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V4.3 — InCom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4.3.0 · 2026-09-03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(V4.3)</w:t>
      </w:r>
    </w:p>
    <w:p>
      <w:r>
        <w:rPr>
          <w:sz w:val="22"/>
        </w:rPr>
        <w:t>El procedimiento de reconstrucción base (Fases 0-5) sigue válido. Para reconstruir el estado completo V4.3 hay que aplicar las 45 migraciones SQL (incluidas 021-024 y 028 de Insights, 029-037 del módulo Agrupadores, 038-040 de Crecimiento x Vendedor y 041-045 de la profundización de Clientes y Productos + cruce de dimensiones en Concentración) y construir los 7 tabs (incluido Clientes y Productos combinado con sus 4 vistas de tabla — Año vs Año, Meses {año}, Meses Hist., vs Prom 90d — y sus expands; Tracking con el modo Comparar vs año anterior; el 4º KPI Prom. Venta Diario; Insights con 6 sub-análisis y el histograma de pastillas), más el módulo Agrupadores que opera en todos los tabs vía las funciones agrupador_* (territorio sintético). Componentes clave V4.3: TrackingCompareYoY, ClientesTresAniosChart, ClientesTableViews (expand mensual + sort + territorio), DesgloseYoYTable (+ ProductoDesglose/ClienteDesglose como wrappers), MesesHistTable, y en DimensionTab el prop fullYearSearchContext (buscador de año completo) y el 4º tableView 'meses-hist'. Ver el inventario completo de archivos/componentes/endpoints en INSTRUCTIVO_AGENTE.xml (secciones fase_10 a fase_17) y el ChangeLog (doc 03).</w:t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V4.3 — InCom · Guía de Reconstrucción · 4.3.0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