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HistoryIT Odyssey Template Reference</w:t>
      </w:r>
    </w:p>
    <w:p>
      <w:r>
        <w:rPr>
          <w:b/>
          <w:color w:val="1F4E78"/>
          <w:sz w:val="22"/>
        </w:rPr>
        <w:t>Controlled template vocabulary and established classification rules</w:t>
      </w:r>
    </w:p>
    <w:p>
      <w:r>
        <w:rPr>
          <w:i/>
          <w:color w:val="5A5A5A"/>
          <w:sz w:val="19"/>
        </w:rPr>
        <w:t>Purpose: permanent Knowledge reference for the HistoryIT Archive Itemization &amp; Imaging QC custom GPT.</w:t>
      </w:r>
    </w:p>
    <w:p/>
    <w:tbl>
      <w:tblPr>
        <w:tblW w:type="auto" w:w="0"/>
        <w:jc w:val="center"/>
        <w:tblLook w:firstColumn="1" w:firstRow="1" w:lastColumn="0" w:lastRow="0" w:noHBand="0" w:noVBand="1" w:val="04A0"/>
      </w:tblPr>
      <w:tblGrid>
        <w:gridCol w:w="10080"/>
      </w:tblGrid>
      <w:tr>
        <w:tc>
          <w:tcPr>
            <w:tcW w:type="dxa" w:w="10080"/>
            <w:shd w:fill="D9EAF7"/>
            <w:tcMar>
              <w:top w:w="90" w:type="dxa"/>
              <w:start w:w="120" w:type="dxa"/>
              <w:bottom w:w="90" w:type="dxa"/>
              <w:end w:w="120" w:type="dxa"/>
            </w:tcMar>
          </w:tcPr>
          <w:p>
            <w:r>
              <w:rPr>
                <w:b/>
                <w:color w:val="1F4E78"/>
              </w:rPr>
              <w:t xml:space="preserve">Governing principle: </w:t>
            </w:r>
            <w:r>
              <w:t>The custom GPT must classify intellectual items using the approved Odyssey template vocabulary. It must not invent new template names unless a project supplies an explicit custom template list.</w:t>
            </w:r>
          </w:p>
        </w:tc>
      </w:tr>
    </w:tbl>
    <w:p>
      <w:pPr>
        <w:spacing w:after="0"/>
      </w:pPr>
    </w:p>
    <w:p>
      <w:pPr>
        <w:pStyle w:val="Heading1"/>
      </w:pPr>
      <w:r>
        <w:t>1. Approved Odyssey template vocabulary</w:t>
      </w:r>
    </w:p>
    <w:p>
      <w:r>
        <w:t>The standard HistoryIT Odyssey vocabulary contains the following 18 templates:</w:t>
      </w:r>
    </w:p>
    <w:tbl>
      <w:tblPr>
        <w:tblStyle w:val="TableGrid"/>
        <w:tblW w:type="auto" w:w="0"/>
        <w:jc w:val="center"/>
        <w:tblLook w:firstColumn="1" w:firstRow="1" w:lastColumn="0" w:lastRow="0" w:noHBand="0" w:noVBand="1" w:val="04A0"/>
      </w:tblPr>
      <w:tblGrid>
        <w:gridCol w:w="3360"/>
        <w:gridCol w:w="3360"/>
        <w:gridCol w:w="3360"/>
      </w:tblGrid>
      <w:tr>
        <w:tc>
          <w:tcPr>
            <w:tcW w:type="dxa" w:w="3024"/>
            <w:shd w:fill="1F4E78"/>
            <w:vAlign w:val="center"/>
            <w:tcMar>
              <w:top w:w="70" w:type="dxa"/>
              <w:start w:w="90" w:type="dxa"/>
              <w:bottom w:w="70" w:type="dxa"/>
              <w:end w:w="90" w:type="dxa"/>
            </w:tcMar>
          </w:tcPr>
          <w:p>
            <w:r>
              <w:rPr>
                <w:b/>
                <w:color w:val="FFFFFF"/>
                <w:sz w:val="18"/>
              </w:rPr>
              <w:t>Template</w:t>
            </w:r>
          </w:p>
        </w:tc>
        <w:tc>
          <w:tcPr>
            <w:tcW w:type="dxa" w:w="3024"/>
            <w:shd w:fill="1F4E78"/>
            <w:vAlign w:val="center"/>
            <w:tcMar>
              <w:top w:w="70" w:type="dxa"/>
              <w:start w:w="90" w:type="dxa"/>
              <w:bottom w:w="70" w:type="dxa"/>
              <w:end w:w="90" w:type="dxa"/>
            </w:tcMar>
          </w:tcPr>
          <w:p>
            <w:r>
              <w:rPr>
                <w:b/>
                <w:color w:val="FFFFFF"/>
                <w:sz w:val="18"/>
              </w:rPr>
              <w:t>Template</w:t>
            </w:r>
          </w:p>
        </w:tc>
        <w:tc>
          <w:tcPr>
            <w:tcW w:type="dxa" w:w="3024"/>
            <w:shd w:fill="1F4E78"/>
            <w:vAlign w:val="center"/>
            <w:tcMar>
              <w:top w:w="70" w:type="dxa"/>
              <w:start w:w="90" w:type="dxa"/>
              <w:bottom w:w="70" w:type="dxa"/>
              <w:end w:w="90" w:type="dxa"/>
            </w:tcMar>
          </w:tcPr>
          <w:p>
            <w:r>
              <w:rPr>
                <w:b/>
                <w:color w:val="FFFFFF"/>
                <w:sz w:val="18"/>
              </w:rPr>
              <w:t>Template</w:t>
            </w:r>
          </w:p>
        </w:tc>
      </w:tr>
      <w:tr>
        <w:tc>
          <w:tcPr>
            <w:tcW w:type="dxa" w:w="3024"/>
            <w:vAlign w:val="top"/>
            <w:tcMar>
              <w:top w:w="70" w:type="dxa"/>
              <w:start w:w="90" w:type="dxa"/>
              <w:bottom w:w="70" w:type="dxa"/>
              <w:end w:w="90" w:type="dxa"/>
            </w:tcMar>
          </w:tcPr>
          <w:p>
            <w:pPr>
              <w:spacing w:after="0"/>
            </w:pPr>
            <w:r>
              <w:rPr>
                <w:rFonts w:ascii="Aptos" w:hAnsi="Aptos"/>
                <w:sz w:val="18"/>
              </w:rPr>
              <w:t>Artwork</w:t>
            </w:r>
          </w:p>
        </w:tc>
        <w:tc>
          <w:tcPr>
            <w:tcW w:type="dxa" w:w="3024"/>
            <w:vAlign w:val="top"/>
            <w:tcMar>
              <w:top w:w="70" w:type="dxa"/>
              <w:start w:w="90" w:type="dxa"/>
              <w:bottom w:w="70" w:type="dxa"/>
              <w:end w:w="90" w:type="dxa"/>
            </w:tcMar>
          </w:tcPr>
          <w:p>
            <w:pPr>
              <w:spacing w:after="0"/>
            </w:pPr>
            <w:r>
              <w:rPr>
                <w:rFonts w:ascii="Aptos" w:hAnsi="Aptos"/>
                <w:sz w:val="18"/>
              </w:rPr>
              <w:t>Publication</w:t>
            </w:r>
          </w:p>
        </w:tc>
        <w:tc>
          <w:tcPr>
            <w:tcW w:type="dxa" w:w="3024"/>
            <w:vAlign w:val="top"/>
            <w:tcMar>
              <w:top w:w="70" w:type="dxa"/>
              <w:start w:w="90" w:type="dxa"/>
              <w:bottom w:w="70" w:type="dxa"/>
              <w:end w:w="90" w:type="dxa"/>
            </w:tcMar>
          </w:tcPr>
          <w:p>
            <w:pPr>
              <w:spacing w:after="0"/>
            </w:pPr>
            <w:r>
              <w:rPr>
                <w:rFonts w:ascii="Aptos" w:hAnsi="Aptos"/>
                <w:sz w:val="18"/>
              </w:rPr>
              <w:t>Clipping</w:t>
            </w:r>
          </w:p>
        </w:tc>
      </w:tr>
      <w:tr>
        <w:tc>
          <w:tcPr>
            <w:tcW w:type="dxa" w:w="3024"/>
            <w:vAlign w:val="top"/>
            <w:tcMar>
              <w:top w:w="70" w:type="dxa"/>
              <w:start w:w="90" w:type="dxa"/>
              <w:bottom w:w="70" w:type="dxa"/>
              <w:end w:w="90" w:type="dxa"/>
            </w:tcMar>
          </w:tcPr>
          <w:p>
            <w:pPr>
              <w:spacing w:after="0"/>
            </w:pPr>
            <w:r>
              <w:rPr>
                <w:rFonts w:ascii="Aptos" w:hAnsi="Aptos"/>
                <w:sz w:val="18"/>
              </w:rPr>
              <w:t>Correspondence</w:t>
            </w:r>
          </w:p>
        </w:tc>
        <w:tc>
          <w:tcPr>
            <w:tcW w:type="dxa" w:w="3024"/>
            <w:vAlign w:val="top"/>
            <w:tcMar>
              <w:top w:w="70" w:type="dxa"/>
              <w:start w:w="90" w:type="dxa"/>
              <w:bottom w:w="70" w:type="dxa"/>
              <w:end w:w="90" w:type="dxa"/>
            </w:tcMar>
          </w:tcPr>
          <w:p>
            <w:pPr>
              <w:spacing w:after="0"/>
            </w:pPr>
            <w:r>
              <w:rPr>
                <w:rFonts w:ascii="Aptos" w:hAnsi="Aptos"/>
                <w:sz w:val="18"/>
              </w:rPr>
              <w:t>Diary/Journal</w:t>
            </w:r>
          </w:p>
        </w:tc>
        <w:tc>
          <w:tcPr>
            <w:tcW w:type="dxa" w:w="3024"/>
            <w:vAlign w:val="top"/>
            <w:tcMar>
              <w:top w:w="70" w:type="dxa"/>
              <w:start w:w="90" w:type="dxa"/>
              <w:bottom w:w="70" w:type="dxa"/>
              <w:end w:w="90" w:type="dxa"/>
            </w:tcMar>
          </w:tcPr>
          <w:p>
            <w:pPr>
              <w:spacing w:after="0"/>
            </w:pPr>
            <w:r>
              <w:rPr>
                <w:rFonts w:ascii="Aptos" w:hAnsi="Aptos"/>
                <w:sz w:val="18"/>
              </w:rPr>
              <w:t>Ephemera</w:t>
            </w:r>
          </w:p>
        </w:tc>
      </w:tr>
      <w:tr>
        <w:tc>
          <w:tcPr>
            <w:tcW w:type="dxa" w:w="3024"/>
            <w:vAlign w:val="top"/>
            <w:tcMar>
              <w:top w:w="70" w:type="dxa"/>
              <w:start w:w="90" w:type="dxa"/>
              <w:bottom w:w="70" w:type="dxa"/>
              <w:end w:w="90" w:type="dxa"/>
            </w:tcMar>
          </w:tcPr>
          <w:p>
            <w:pPr>
              <w:spacing w:after="0"/>
            </w:pPr>
            <w:r>
              <w:rPr>
                <w:rFonts w:ascii="Aptos" w:hAnsi="Aptos"/>
                <w:sz w:val="18"/>
              </w:rPr>
              <w:t>Document</w:t>
            </w:r>
          </w:p>
        </w:tc>
        <w:tc>
          <w:tcPr>
            <w:tcW w:type="dxa" w:w="3024"/>
            <w:vAlign w:val="top"/>
            <w:tcMar>
              <w:top w:w="70" w:type="dxa"/>
              <w:start w:w="90" w:type="dxa"/>
              <w:bottom w:w="70" w:type="dxa"/>
              <w:end w:w="90" w:type="dxa"/>
            </w:tcMar>
          </w:tcPr>
          <w:p>
            <w:pPr>
              <w:spacing w:after="0"/>
            </w:pPr>
            <w:r>
              <w:rPr>
                <w:rFonts w:ascii="Aptos" w:hAnsi="Aptos"/>
                <w:sz w:val="18"/>
              </w:rPr>
              <w:t>Ledger</w:t>
            </w:r>
          </w:p>
        </w:tc>
        <w:tc>
          <w:tcPr>
            <w:tcW w:type="dxa" w:w="3024"/>
            <w:vAlign w:val="top"/>
            <w:tcMar>
              <w:top w:w="70" w:type="dxa"/>
              <w:start w:w="90" w:type="dxa"/>
              <w:bottom w:w="70" w:type="dxa"/>
              <w:end w:w="90" w:type="dxa"/>
            </w:tcMar>
          </w:tcPr>
          <w:p>
            <w:pPr>
              <w:spacing w:after="0"/>
            </w:pPr>
            <w:r>
              <w:rPr>
                <w:rFonts w:ascii="Aptos" w:hAnsi="Aptos"/>
                <w:sz w:val="18"/>
              </w:rPr>
              <w:t>Legal Document</w:t>
            </w:r>
          </w:p>
        </w:tc>
      </w:tr>
      <w:tr>
        <w:tc>
          <w:tcPr>
            <w:tcW w:type="dxa" w:w="3024"/>
            <w:vAlign w:val="top"/>
            <w:tcMar>
              <w:top w:w="70" w:type="dxa"/>
              <w:start w:w="90" w:type="dxa"/>
              <w:bottom w:w="70" w:type="dxa"/>
              <w:end w:w="90" w:type="dxa"/>
            </w:tcMar>
          </w:tcPr>
          <w:p>
            <w:pPr>
              <w:spacing w:after="0"/>
            </w:pPr>
            <w:r>
              <w:rPr>
                <w:rFonts w:ascii="Aptos" w:hAnsi="Aptos"/>
                <w:sz w:val="18"/>
              </w:rPr>
              <w:t>Map</w:t>
            </w:r>
          </w:p>
        </w:tc>
        <w:tc>
          <w:tcPr>
            <w:tcW w:type="dxa" w:w="3024"/>
            <w:vAlign w:val="top"/>
            <w:tcMar>
              <w:top w:w="70" w:type="dxa"/>
              <w:start w:w="90" w:type="dxa"/>
              <w:bottom w:w="70" w:type="dxa"/>
              <w:end w:w="90" w:type="dxa"/>
            </w:tcMar>
          </w:tcPr>
          <w:p>
            <w:pPr>
              <w:spacing w:after="0"/>
            </w:pPr>
            <w:r>
              <w:rPr>
                <w:rFonts w:ascii="Aptos" w:hAnsi="Aptos"/>
                <w:sz w:val="18"/>
              </w:rPr>
              <w:t>Object</w:t>
            </w:r>
          </w:p>
        </w:tc>
        <w:tc>
          <w:tcPr>
            <w:tcW w:type="dxa" w:w="3024"/>
            <w:vAlign w:val="top"/>
            <w:tcMar>
              <w:top w:w="70" w:type="dxa"/>
              <w:start w:w="90" w:type="dxa"/>
              <w:bottom w:w="70" w:type="dxa"/>
              <w:end w:w="90" w:type="dxa"/>
            </w:tcMar>
          </w:tcPr>
          <w:p>
            <w:pPr>
              <w:spacing w:after="0"/>
            </w:pPr>
            <w:r>
              <w:rPr>
                <w:rFonts w:ascii="Aptos" w:hAnsi="Aptos"/>
                <w:sz w:val="18"/>
              </w:rPr>
              <w:t>Photographic Image</w:t>
            </w:r>
          </w:p>
        </w:tc>
      </w:tr>
      <w:tr>
        <w:tc>
          <w:tcPr>
            <w:tcW w:type="dxa" w:w="3024"/>
            <w:vAlign w:val="top"/>
            <w:tcMar>
              <w:top w:w="70" w:type="dxa"/>
              <w:start w:w="90" w:type="dxa"/>
              <w:bottom w:w="70" w:type="dxa"/>
              <w:end w:w="90" w:type="dxa"/>
            </w:tcMar>
          </w:tcPr>
          <w:p>
            <w:pPr>
              <w:spacing w:after="0"/>
            </w:pPr>
            <w:r>
              <w:rPr>
                <w:rFonts w:ascii="Aptos" w:hAnsi="Aptos"/>
                <w:sz w:val="18"/>
              </w:rPr>
              <w:t>Postcard</w:t>
            </w:r>
          </w:p>
        </w:tc>
        <w:tc>
          <w:tcPr>
            <w:tcW w:type="dxa" w:w="3024"/>
            <w:vAlign w:val="top"/>
            <w:tcMar>
              <w:top w:w="70" w:type="dxa"/>
              <w:start w:w="90" w:type="dxa"/>
              <w:bottom w:w="70" w:type="dxa"/>
              <w:end w:w="90" w:type="dxa"/>
            </w:tcMar>
          </w:tcPr>
          <w:p>
            <w:pPr>
              <w:spacing w:after="0"/>
            </w:pPr>
            <w:r>
              <w:rPr>
                <w:rFonts w:ascii="Aptos" w:hAnsi="Aptos"/>
                <w:sz w:val="18"/>
              </w:rPr>
              <w:t>Scrapbook</w:t>
            </w:r>
          </w:p>
        </w:tc>
        <w:tc>
          <w:tcPr>
            <w:tcW w:type="dxa" w:w="3024"/>
            <w:vAlign w:val="top"/>
            <w:tcMar>
              <w:top w:w="70" w:type="dxa"/>
              <w:start w:w="90" w:type="dxa"/>
              <w:bottom w:w="70" w:type="dxa"/>
              <w:end w:w="90" w:type="dxa"/>
            </w:tcMar>
          </w:tcPr>
          <w:p>
            <w:pPr>
              <w:spacing w:after="0"/>
            </w:pPr>
            <w:r>
              <w:rPr>
                <w:rFonts w:ascii="Aptos" w:hAnsi="Aptos"/>
                <w:sz w:val="18"/>
              </w:rPr>
              <w:t>Scrapbook Page</w:t>
            </w:r>
          </w:p>
        </w:tc>
      </w:tr>
      <w:tr>
        <w:tc>
          <w:tcPr>
            <w:tcW w:type="dxa" w:w="3024"/>
            <w:vAlign w:val="top"/>
            <w:tcMar>
              <w:top w:w="70" w:type="dxa"/>
              <w:start w:w="90" w:type="dxa"/>
              <w:bottom w:w="70" w:type="dxa"/>
              <w:end w:w="90" w:type="dxa"/>
            </w:tcMar>
          </w:tcPr>
          <w:p>
            <w:pPr>
              <w:spacing w:after="0"/>
            </w:pPr>
            <w:r>
              <w:rPr>
                <w:rFonts w:ascii="Aptos" w:hAnsi="Aptos"/>
                <w:sz w:val="18"/>
              </w:rPr>
              <w:t>Sheet Music</w:t>
            </w:r>
          </w:p>
        </w:tc>
        <w:tc>
          <w:tcPr>
            <w:tcW w:type="dxa" w:w="3024"/>
            <w:vAlign w:val="top"/>
            <w:tcMar>
              <w:top w:w="70" w:type="dxa"/>
              <w:start w:w="90" w:type="dxa"/>
              <w:bottom w:w="70" w:type="dxa"/>
              <w:end w:w="90" w:type="dxa"/>
            </w:tcMar>
          </w:tcPr>
          <w:p>
            <w:pPr>
              <w:spacing w:after="0"/>
            </w:pPr>
            <w:r>
              <w:rPr>
                <w:rFonts w:ascii="Aptos" w:hAnsi="Aptos"/>
                <w:sz w:val="18"/>
              </w:rPr>
              <w:t>Technical Drawing</w:t>
            </w:r>
          </w:p>
        </w:tc>
        <w:tc>
          <w:tcPr>
            <w:tcW w:type="dxa" w:w="3024"/>
            <w:vAlign w:val="top"/>
            <w:tcMar>
              <w:top w:w="70" w:type="dxa"/>
              <w:start w:w="90" w:type="dxa"/>
              <w:bottom w:w="70" w:type="dxa"/>
              <w:end w:w="90" w:type="dxa"/>
            </w:tcMar>
          </w:tcPr>
          <w:p>
            <w:pPr>
              <w:spacing w:after="0"/>
            </w:pPr>
            <w:r>
              <w:rPr>
                <w:rFonts w:ascii="Aptos" w:hAnsi="Aptos"/>
                <w:sz w:val="18"/>
              </w:rPr>
              <w:t>Textile</w:t>
            </w:r>
          </w:p>
        </w:tc>
      </w:tr>
    </w:tbl>
    <w:p>
      <w:pPr>
        <w:spacing w:after="0"/>
      </w:pPr>
    </w:p>
    <w:p>
      <w:pPr>
        <w:pStyle w:val="Heading1"/>
      </w:pPr>
      <w:r>
        <w:t>2. Special non-Odyssey classification: Metadata Only</w:t>
      </w:r>
    </w:p>
    <w:p>
      <w:r>
        <w:t>Metadata Only is a workflow value, not one of the 18 Odyssey templates. Use it for true contextual or reference captures that should support description or processing but should not become normal Odyssey metadata records.</w:t>
      </w:r>
    </w:p>
    <w:p>
      <w:pPr>
        <w:pStyle w:val="ListBullet"/>
        <w:spacing w:after="40"/>
      </w:pPr>
      <w:r>
        <w:rPr>
          <w:b/>
        </w:rPr>
        <w:t xml:space="preserve">Folder/enclosure images: </w:t>
      </w:r>
      <w:r>
        <w:t>Context images of folders, envelopes, sleeves, packets, or project identifiers when they exist primarily to convey labeling or organizational context.</w:t>
      </w:r>
    </w:p>
    <w:p>
      <w:pPr>
        <w:pStyle w:val="ListBullet"/>
        <w:spacing w:after="40"/>
      </w:pPr>
      <w:r>
        <w:rPr>
          <w:b/>
        </w:rPr>
        <w:t xml:space="preserve">Standalone project identifier sheets: </w:t>
      </w:r>
      <w:r>
        <w:t>Reference captures that identify a group of material but are not collection items intended for public or normal Odyssey ingest.</w:t>
      </w:r>
    </w:p>
    <w:p>
      <w:pPr>
        <w:pStyle w:val="ListBullet"/>
        <w:spacing w:after="40"/>
      </w:pPr>
      <w:r>
        <w:rPr>
          <w:b/>
        </w:rPr>
        <w:t xml:space="preserve">Descriptive inventory/list sheets: </w:t>
      </w:r>
      <w:r>
        <w:t>A handwritten or typed inventory that describes the surrounding photographs or items and functions as context rather than as a collection item in its own right.</w:t>
      </w:r>
    </w:p>
    <w:p>
      <w:pPr>
        <w:pStyle w:val="ListBullet"/>
        <w:spacing w:after="40"/>
      </w:pPr>
      <w:r>
        <w:rPr>
          <w:b/>
        </w:rPr>
        <w:t xml:space="preserve">Filename warning: </w:t>
      </w:r>
      <w:r>
        <w:t>A filename such as Photograph or Archive does not control classification. Visual evidence can show that the image is actually a Metadata Only reference.</w:t>
      </w:r>
    </w:p>
    <w:tbl>
      <w:tblPr>
        <w:tblW w:type="auto" w:w="0"/>
        <w:jc w:val="center"/>
        <w:tblLook w:firstColumn="1" w:firstRow="1" w:lastColumn="0" w:lastRow="0" w:noHBand="0" w:noVBand="1" w:val="04A0"/>
      </w:tblPr>
      <w:tblGrid>
        <w:gridCol w:w="10080"/>
      </w:tblGrid>
      <w:tr>
        <w:tc>
          <w:tcPr>
            <w:tcW w:type="dxa" w:w="10080"/>
            <w:shd w:fill="D9EAF7"/>
            <w:tcMar>
              <w:top w:w="90" w:type="dxa"/>
              <w:start w:w="120" w:type="dxa"/>
              <w:bottom w:w="90" w:type="dxa"/>
              <w:end w:w="120" w:type="dxa"/>
            </w:tcMar>
          </w:tcPr>
          <w:p>
            <w:r>
              <w:rPr>
                <w:b/>
                <w:color w:val="1F4E78"/>
              </w:rPr>
              <w:t xml:space="preserve">Do not misuse Metadata Only: </w:t>
            </w:r>
            <w:r>
              <w:t>A blank verso of a real item is not Metadata Only. Fronts, backs, blank versos, and other physical surfaces remain assets of the intellectual item when they document the original object.</w:t>
            </w:r>
          </w:p>
        </w:tc>
      </w:tr>
    </w:tbl>
    <w:p>
      <w:pPr>
        <w:spacing w:after="0"/>
      </w:pPr>
    </w:p>
    <w:p>
      <w:pPr>
        <w:pStyle w:val="Heading1"/>
      </w:pPr>
      <w:r>
        <w:t>3. Established template-to-type rules</w:t>
      </w:r>
    </w:p>
    <w:tbl>
      <w:tblPr>
        <w:tblStyle w:val="TableGrid"/>
        <w:tblW w:type="auto" w:w="0"/>
        <w:jc w:val="center"/>
        <w:tblLook w:firstColumn="1" w:firstRow="1" w:lastColumn="0" w:lastRow="0" w:noHBand="0" w:noVBand="1" w:val="04A0"/>
      </w:tblPr>
      <w:tblGrid>
        <w:gridCol w:w="3360"/>
        <w:gridCol w:w="3360"/>
        <w:gridCol w:w="3360"/>
      </w:tblGrid>
      <w:tr>
        <w:tc>
          <w:tcPr>
            <w:tcW w:type="dxa" w:w="2232"/>
            <w:shd w:fill="1F4E78"/>
            <w:vAlign w:val="center"/>
            <w:tcMar>
              <w:top w:w="70" w:type="dxa"/>
              <w:start w:w="90" w:type="dxa"/>
              <w:bottom w:w="70" w:type="dxa"/>
              <w:end w:w="90" w:type="dxa"/>
            </w:tcMar>
          </w:tcPr>
          <w:p>
            <w:r>
              <w:rPr>
                <w:b/>
                <w:color w:val="FFFFFF"/>
                <w:sz w:val="18"/>
              </w:rPr>
              <w:t>Template</w:t>
            </w:r>
          </w:p>
        </w:tc>
        <w:tc>
          <w:tcPr>
            <w:tcW w:type="dxa" w:w="2448"/>
            <w:shd w:fill="1F4E78"/>
            <w:vAlign w:val="center"/>
            <w:tcMar>
              <w:top w:w="70" w:type="dxa"/>
              <w:start w:w="90" w:type="dxa"/>
              <w:bottom w:w="70" w:type="dxa"/>
              <w:end w:w="90" w:type="dxa"/>
            </w:tcMar>
          </w:tcPr>
          <w:p>
            <w:r>
              <w:rPr>
                <w:b/>
                <w:color w:val="FFFFFF"/>
                <w:sz w:val="18"/>
              </w:rPr>
              <w:t>Type</w:t>
            </w:r>
          </w:p>
        </w:tc>
        <w:tc>
          <w:tcPr>
            <w:tcW w:type="dxa" w:w="4608"/>
            <w:shd w:fill="1F4E78"/>
            <w:vAlign w:val="center"/>
            <w:tcMar>
              <w:top w:w="70" w:type="dxa"/>
              <w:start w:w="90" w:type="dxa"/>
              <w:bottom w:w="70" w:type="dxa"/>
              <w:end w:w="90" w:type="dxa"/>
            </w:tcMar>
          </w:tcPr>
          <w:p>
            <w:r>
              <w:rPr>
                <w:b/>
                <w:color w:val="FFFFFF"/>
                <w:sz w:val="18"/>
              </w:rPr>
              <w:t>Established rule / use</w:t>
            </w:r>
          </w:p>
        </w:tc>
      </w:tr>
      <w:tr>
        <w:tc>
          <w:tcPr>
            <w:tcW w:type="dxa" w:w="2232"/>
            <w:vAlign w:val="top"/>
            <w:tcMar>
              <w:top w:w="70" w:type="dxa"/>
              <w:start w:w="90" w:type="dxa"/>
              <w:bottom w:w="70" w:type="dxa"/>
              <w:end w:w="90" w:type="dxa"/>
            </w:tcMar>
          </w:tcPr>
          <w:p>
            <w:pPr>
              <w:spacing w:after="0"/>
            </w:pPr>
            <w:r>
              <w:rPr>
                <w:rFonts w:ascii="Aptos" w:hAnsi="Aptos"/>
                <w:sz w:val="18"/>
              </w:rPr>
              <w:t>Publication</w:t>
            </w:r>
          </w:p>
        </w:tc>
        <w:tc>
          <w:tcPr>
            <w:tcW w:type="dxa" w:w="2448"/>
            <w:vAlign w:val="top"/>
            <w:tcMar>
              <w:top w:w="70" w:type="dxa"/>
              <w:start w:w="90" w:type="dxa"/>
              <w:bottom w:w="70" w:type="dxa"/>
              <w:end w:w="90" w:type="dxa"/>
            </w:tcMar>
          </w:tcPr>
          <w:p>
            <w:pPr>
              <w:spacing w:after="0"/>
            </w:pPr>
            <w:r>
              <w:rPr>
                <w:rFonts w:ascii="Aptos" w:hAnsi="Aptos"/>
                <w:sz w:val="18"/>
              </w:rPr>
              <w:t>Songbook</w:t>
            </w:r>
          </w:p>
        </w:tc>
        <w:tc>
          <w:tcPr>
            <w:tcW w:type="dxa" w:w="4608"/>
            <w:vAlign w:val="top"/>
            <w:tcMar>
              <w:top w:w="70" w:type="dxa"/>
              <w:start w:w="90" w:type="dxa"/>
              <w:bottom w:w="70" w:type="dxa"/>
              <w:end w:w="90" w:type="dxa"/>
            </w:tcMar>
          </w:tcPr>
          <w:p>
            <w:pPr>
              <w:spacing w:after="0"/>
            </w:pPr>
            <w:r>
              <w:rPr>
                <w:rFonts w:ascii="Aptos" w:hAnsi="Aptos"/>
                <w:sz w:val="18"/>
              </w:rPr>
              <w:t>A songbook is Publication, not Sheet Music.</w:t>
            </w:r>
          </w:p>
        </w:tc>
      </w:tr>
      <w:tr>
        <w:tc>
          <w:tcPr>
            <w:tcW w:type="dxa" w:w="2232"/>
            <w:vAlign w:val="top"/>
            <w:tcMar>
              <w:top w:w="70" w:type="dxa"/>
              <w:start w:w="90" w:type="dxa"/>
              <w:bottom w:w="70" w:type="dxa"/>
              <w:end w:w="90" w:type="dxa"/>
            </w:tcMar>
          </w:tcPr>
          <w:p>
            <w:pPr>
              <w:spacing w:after="0"/>
            </w:pPr>
            <w:r>
              <w:rPr>
                <w:rFonts w:ascii="Aptos" w:hAnsi="Aptos"/>
                <w:sz w:val="18"/>
              </w:rPr>
              <w:t>Document</w:t>
            </w:r>
          </w:p>
        </w:tc>
        <w:tc>
          <w:tcPr>
            <w:tcW w:type="dxa" w:w="2448"/>
            <w:vAlign w:val="top"/>
            <w:tcMar>
              <w:top w:w="70" w:type="dxa"/>
              <w:start w:w="90" w:type="dxa"/>
              <w:bottom w:w="70" w:type="dxa"/>
              <w:end w:w="90" w:type="dxa"/>
            </w:tcMar>
          </w:tcPr>
          <w:p>
            <w:pPr>
              <w:spacing w:after="0"/>
            </w:pPr>
            <w:r>
              <w:rPr>
                <w:rFonts w:ascii="Aptos" w:hAnsi="Aptos"/>
                <w:sz w:val="18"/>
              </w:rPr>
              <w:t>Convention Program</w:t>
            </w:r>
          </w:p>
        </w:tc>
        <w:tc>
          <w:tcPr>
            <w:tcW w:type="dxa" w:w="4608"/>
            <w:vAlign w:val="top"/>
            <w:tcMar>
              <w:top w:w="70" w:type="dxa"/>
              <w:start w:w="90" w:type="dxa"/>
              <w:bottom w:w="70" w:type="dxa"/>
              <w:end w:w="90" w:type="dxa"/>
            </w:tcMar>
          </w:tcPr>
          <w:p>
            <w:pPr>
              <w:spacing w:after="0"/>
            </w:pPr>
            <w:r>
              <w:rPr>
                <w:rFonts w:ascii="Aptos" w:hAnsi="Aptos"/>
                <w:sz w:val="18"/>
              </w:rPr>
              <w:t>Loose typed convention program sheets are Documents rather than Publications.</w:t>
            </w:r>
          </w:p>
        </w:tc>
      </w:tr>
      <w:tr>
        <w:tc>
          <w:tcPr>
            <w:tcW w:type="dxa" w:w="2232"/>
            <w:vAlign w:val="top"/>
            <w:tcMar>
              <w:top w:w="70" w:type="dxa"/>
              <w:start w:w="90" w:type="dxa"/>
              <w:bottom w:w="70" w:type="dxa"/>
              <w:end w:w="90" w:type="dxa"/>
            </w:tcMar>
          </w:tcPr>
          <w:p>
            <w:pPr>
              <w:spacing w:after="0"/>
            </w:pPr>
            <w:r>
              <w:rPr>
                <w:rFonts w:ascii="Aptos" w:hAnsi="Aptos"/>
                <w:sz w:val="18"/>
              </w:rPr>
              <w:t>Document</w:t>
            </w:r>
          </w:p>
        </w:tc>
        <w:tc>
          <w:tcPr>
            <w:tcW w:type="dxa" w:w="2448"/>
            <w:vAlign w:val="top"/>
            <w:tcMar>
              <w:top w:w="70" w:type="dxa"/>
              <w:start w:w="90" w:type="dxa"/>
              <w:bottom w:w="70" w:type="dxa"/>
              <w:end w:w="90" w:type="dxa"/>
            </w:tcMar>
          </w:tcPr>
          <w:p>
            <w:pPr>
              <w:spacing w:after="0"/>
            </w:pPr>
            <w:r>
              <w:rPr>
                <w:rFonts w:ascii="Aptos" w:hAnsi="Aptos"/>
                <w:sz w:val="18"/>
              </w:rPr>
              <w:t>Diary Transcript</w:t>
            </w:r>
          </w:p>
        </w:tc>
        <w:tc>
          <w:tcPr>
            <w:tcW w:type="dxa" w:w="4608"/>
            <w:vAlign w:val="top"/>
            <w:tcMar>
              <w:top w:w="70" w:type="dxa"/>
              <w:start w:w="90" w:type="dxa"/>
              <w:bottom w:w="70" w:type="dxa"/>
              <w:end w:w="90" w:type="dxa"/>
            </w:tcMar>
          </w:tcPr>
          <w:p>
            <w:pPr>
              <w:spacing w:after="0"/>
            </w:pPr>
            <w:r>
              <w:rPr>
                <w:rFonts w:ascii="Aptos" w:hAnsi="Aptos"/>
                <w:sz w:val="18"/>
              </w:rPr>
              <w:t>A transcription of a diary is Document, not Diary/Journal.</w:t>
            </w:r>
          </w:p>
        </w:tc>
      </w:tr>
      <w:tr>
        <w:tc>
          <w:tcPr>
            <w:tcW w:type="dxa" w:w="2232"/>
            <w:vAlign w:val="top"/>
            <w:tcMar>
              <w:top w:w="70" w:type="dxa"/>
              <w:start w:w="90" w:type="dxa"/>
              <w:bottom w:w="70" w:type="dxa"/>
              <w:end w:w="90" w:type="dxa"/>
            </w:tcMar>
          </w:tcPr>
          <w:p>
            <w:pPr>
              <w:spacing w:after="0"/>
            </w:pPr>
            <w:r>
              <w:rPr>
                <w:rFonts w:ascii="Aptos" w:hAnsi="Aptos"/>
                <w:sz w:val="18"/>
              </w:rPr>
              <w:t>Document</w:t>
            </w:r>
          </w:p>
        </w:tc>
        <w:tc>
          <w:tcPr>
            <w:tcW w:type="dxa" w:w="2448"/>
            <w:vAlign w:val="top"/>
            <w:tcMar>
              <w:top w:w="70" w:type="dxa"/>
              <w:start w:w="90" w:type="dxa"/>
              <w:bottom w:w="70" w:type="dxa"/>
              <w:end w:w="90" w:type="dxa"/>
            </w:tcMar>
          </w:tcPr>
          <w:p>
            <w:pPr>
              <w:spacing w:after="0"/>
            </w:pPr>
            <w:r>
              <w:rPr>
                <w:rFonts w:ascii="Aptos" w:hAnsi="Aptos"/>
                <w:sz w:val="18"/>
              </w:rPr>
              <w:t>Convention Notes</w:t>
            </w:r>
          </w:p>
        </w:tc>
        <w:tc>
          <w:tcPr>
            <w:tcW w:type="dxa" w:w="4608"/>
            <w:vAlign w:val="top"/>
            <w:tcMar>
              <w:top w:w="70" w:type="dxa"/>
              <w:start w:w="90" w:type="dxa"/>
              <w:bottom w:w="70" w:type="dxa"/>
              <w:end w:w="90" w:type="dxa"/>
            </w:tcMar>
          </w:tcPr>
          <w:p>
            <w:pPr>
              <w:spacing w:after="0"/>
            </w:pPr>
            <w:r>
              <w:rPr>
                <w:rFonts w:ascii="Aptos" w:hAnsi="Aptos"/>
                <w:sz w:val="18"/>
              </w:rPr>
              <w:t>Handwritten travel/convention working notes are Documents.</w:t>
            </w:r>
          </w:p>
        </w:tc>
      </w:tr>
      <w:tr>
        <w:tc>
          <w:tcPr>
            <w:tcW w:type="dxa" w:w="2232"/>
            <w:vAlign w:val="top"/>
            <w:tcMar>
              <w:top w:w="70" w:type="dxa"/>
              <w:start w:w="90" w:type="dxa"/>
              <w:bottom w:w="70" w:type="dxa"/>
              <w:end w:w="90" w:type="dxa"/>
            </w:tcMar>
          </w:tcPr>
          <w:p>
            <w:pPr>
              <w:spacing w:after="0"/>
            </w:pPr>
            <w:r>
              <w:rPr>
                <w:rFonts w:ascii="Aptos" w:hAnsi="Aptos"/>
                <w:sz w:val="18"/>
              </w:rPr>
              <w:t>Correspondence</w:t>
            </w:r>
          </w:p>
        </w:tc>
        <w:tc>
          <w:tcPr>
            <w:tcW w:type="dxa" w:w="2448"/>
            <w:vAlign w:val="top"/>
            <w:tcMar>
              <w:top w:w="70" w:type="dxa"/>
              <w:start w:w="90" w:type="dxa"/>
              <w:bottom w:w="70" w:type="dxa"/>
              <w:end w:w="90" w:type="dxa"/>
            </w:tcMar>
          </w:tcPr>
          <w:p>
            <w:pPr>
              <w:spacing w:after="0"/>
            </w:pPr>
            <w:r>
              <w:rPr>
                <w:rFonts w:ascii="Aptos" w:hAnsi="Aptos"/>
                <w:sz w:val="18"/>
              </w:rPr>
              <w:t>Handwritten Note</w:t>
            </w:r>
          </w:p>
        </w:tc>
        <w:tc>
          <w:tcPr>
            <w:tcW w:type="dxa" w:w="4608"/>
            <w:vAlign w:val="top"/>
            <w:tcMar>
              <w:top w:w="70" w:type="dxa"/>
              <w:start w:w="90" w:type="dxa"/>
              <w:bottom w:w="70" w:type="dxa"/>
              <w:end w:w="90" w:type="dxa"/>
            </w:tcMar>
          </w:tcPr>
          <w:p>
            <w:pPr>
              <w:spacing w:after="0"/>
            </w:pPr>
            <w:r>
              <w:rPr>
                <w:rFonts w:ascii="Aptos" w:hAnsi="Aptos"/>
                <w:sz w:val="18"/>
              </w:rPr>
              <w:t>A decorative-format personal message, such as a heart-shaped handwritten note, is Correspondence rather than Ephemera.</w:t>
            </w:r>
          </w:p>
        </w:tc>
      </w:tr>
      <w:tr>
        <w:tc>
          <w:tcPr>
            <w:tcW w:type="dxa" w:w="2232"/>
            <w:vAlign w:val="top"/>
            <w:tcMar>
              <w:top w:w="70" w:type="dxa"/>
              <w:start w:w="90" w:type="dxa"/>
              <w:bottom w:w="70" w:type="dxa"/>
              <w:end w:w="90" w:type="dxa"/>
            </w:tcMar>
          </w:tcPr>
          <w:p>
            <w:pPr>
              <w:spacing w:after="0"/>
            </w:pPr>
            <w:r>
              <w:rPr>
                <w:rFonts w:ascii="Aptos" w:hAnsi="Aptos"/>
                <w:sz w:val="18"/>
              </w:rPr>
              <w:t>Photographic Image</w:t>
            </w:r>
          </w:p>
        </w:tc>
        <w:tc>
          <w:tcPr>
            <w:tcW w:type="dxa" w:w="2448"/>
            <w:vAlign w:val="top"/>
            <w:tcMar>
              <w:top w:w="70" w:type="dxa"/>
              <w:start w:w="90" w:type="dxa"/>
              <w:bottom w:w="70" w:type="dxa"/>
              <w:end w:w="90" w:type="dxa"/>
            </w:tcMar>
          </w:tcPr>
          <w:p>
            <w:pPr>
              <w:spacing w:after="0"/>
            </w:pPr>
            <w:r>
              <w:rPr>
                <w:rFonts w:ascii="Aptos" w:hAnsi="Aptos"/>
                <w:sz w:val="18"/>
              </w:rPr>
              <w:t>Photograph</w:t>
            </w:r>
          </w:p>
        </w:tc>
        <w:tc>
          <w:tcPr>
            <w:tcW w:type="dxa" w:w="4608"/>
            <w:vAlign w:val="top"/>
            <w:tcMar>
              <w:top w:w="70" w:type="dxa"/>
              <w:start w:w="90" w:type="dxa"/>
              <w:bottom w:w="70" w:type="dxa"/>
              <w:end w:w="90" w:type="dxa"/>
            </w:tcMar>
          </w:tcPr>
          <w:p>
            <w:pPr>
              <w:spacing w:after="0"/>
            </w:pPr>
            <w:r>
              <w:rPr>
                <w:rFonts w:ascii="Aptos" w:hAnsi="Aptos"/>
                <w:sz w:val="18"/>
              </w:rPr>
              <w:t>A photographic print/item, including its verso, is grouped as one record.</w:t>
            </w:r>
          </w:p>
        </w:tc>
      </w:tr>
      <w:tr>
        <w:tc>
          <w:tcPr>
            <w:tcW w:type="dxa" w:w="2232"/>
            <w:vAlign w:val="top"/>
            <w:tcMar>
              <w:top w:w="70" w:type="dxa"/>
              <w:start w:w="90" w:type="dxa"/>
              <w:bottom w:w="70" w:type="dxa"/>
              <w:end w:w="90" w:type="dxa"/>
            </w:tcMar>
          </w:tcPr>
          <w:p>
            <w:pPr>
              <w:spacing w:after="0"/>
            </w:pPr>
            <w:r>
              <w:rPr>
                <w:rFonts w:ascii="Aptos" w:hAnsi="Aptos"/>
                <w:sz w:val="18"/>
              </w:rPr>
              <w:t>Photographic Image</w:t>
            </w:r>
          </w:p>
        </w:tc>
        <w:tc>
          <w:tcPr>
            <w:tcW w:type="dxa" w:w="2448"/>
            <w:vAlign w:val="top"/>
            <w:tcMar>
              <w:top w:w="70" w:type="dxa"/>
              <w:start w:w="90" w:type="dxa"/>
              <w:bottom w:w="70" w:type="dxa"/>
              <w:end w:w="90" w:type="dxa"/>
            </w:tcMar>
          </w:tcPr>
          <w:p>
            <w:pPr>
              <w:spacing w:after="0"/>
            </w:pPr>
            <w:r>
              <w:rPr>
                <w:rFonts w:ascii="Aptos" w:hAnsi="Aptos"/>
                <w:sz w:val="18"/>
              </w:rPr>
              <w:t>Negative</w:t>
            </w:r>
          </w:p>
        </w:tc>
        <w:tc>
          <w:tcPr>
            <w:tcW w:type="dxa" w:w="4608"/>
            <w:vAlign w:val="top"/>
            <w:tcMar>
              <w:top w:w="70" w:type="dxa"/>
              <w:start w:w="90" w:type="dxa"/>
              <w:bottom w:w="70" w:type="dxa"/>
              <w:end w:w="90" w:type="dxa"/>
            </w:tcMar>
          </w:tcPr>
          <w:p>
            <w:pPr>
              <w:spacing w:after="0"/>
            </w:pPr>
            <w:r>
              <w:rPr>
                <w:rFonts w:ascii="Aptos" w:hAnsi="Aptos"/>
                <w:sz w:val="18"/>
              </w:rPr>
              <w:t>Each distinct physical negative is a Photographic Image with Type = Negative unless a project rule says otherwise.</w:t>
            </w:r>
          </w:p>
        </w:tc>
      </w:tr>
      <w:tr>
        <w:tc>
          <w:tcPr>
            <w:tcW w:type="dxa" w:w="2232"/>
            <w:vAlign w:val="top"/>
            <w:tcMar>
              <w:top w:w="70" w:type="dxa"/>
              <w:start w:w="90" w:type="dxa"/>
              <w:bottom w:w="70" w:type="dxa"/>
              <w:end w:w="90" w:type="dxa"/>
            </w:tcMar>
          </w:tcPr>
          <w:p>
            <w:pPr>
              <w:spacing w:after="0"/>
            </w:pPr>
            <w:r>
              <w:rPr>
                <w:rFonts w:ascii="Aptos" w:hAnsi="Aptos"/>
                <w:sz w:val="18"/>
              </w:rPr>
              <w:t>Scrapbook</w:t>
            </w:r>
          </w:p>
        </w:tc>
        <w:tc>
          <w:tcPr>
            <w:tcW w:type="dxa" w:w="2448"/>
            <w:vAlign w:val="top"/>
            <w:tcMar>
              <w:top w:w="70" w:type="dxa"/>
              <w:start w:w="90" w:type="dxa"/>
              <w:bottom w:w="70" w:type="dxa"/>
              <w:end w:w="90" w:type="dxa"/>
            </w:tcMar>
          </w:tcPr>
          <w:p>
            <w:pPr>
              <w:spacing w:after="0"/>
            </w:pPr>
            <w:r>
              <w:rPr>
                <w:rFonts w:ascii="Aptos" w:hAnsi="Aptos"/>
                <w:sz w:val="18"/>
              </w:rPr>
              <w:t>Scrapbook</w:t>
            </w:r>
          </w:p>
        </w:tc>
        <w:tc>
          <w:tcPr>
            <w:tcW w:type="dxa" w:w="4608"/>
            <w:vAlign w:val="top"/>
            <w:tcMar>
              <w:top w:w="70" w:type="dxa"/>
              <w:start w:w="90" w:type="dxa"/>
              <w:bottom w:w="70" w:type="dxa"/>
              <w:end w:w="90" w:type="dxa"/>
            </w:tcMar>
          </w:tcPr>
          <w:p>
            <w:pPr>
              <w:spacing w:after="0"/>
            </w:pPr>
            <w:r>
              <w:rPr>
                <w:rFonts w:ascii="Aptos" w:hAnsi="Aptos"/>
                <w:sz w:val="18"/>
              </w:rPr>
              <w:t>The physical scrapbook parent record. The parent has no Digital Assets.</w:t>
            </w:r>
          </w:p>
        </w:tc>
      </w:tr>
      <w:tr>
        <w:tc>
          <w:tcPr>
            <w:tcW w:type="dxa" w:w="2232"/>
            <w:vAlign w:val="top"/>
            <w:tcMar>
              <w:top w:w="70" w:type="dxa"/>
              <w:start w:w="90" w:type="dxa"/>
              <w:bottom w:w="70" w:type="dxa"/>
              <w:end w:w="90" w:type="dxa"/>
            </w:tcMar>
          </w:tcPr>
          <w:p>
            <w:pPr>
              <w:spacing w:after="0"/>
            </w:pPr>
            <w:r>
              <w:rPr>
                <w:rFonts w:ascii="Aptos" w:hAnsi="Aptos"/>
                <w:sz w:val="18"/>
              </w:rPr>
              <w:t>Scrapbook Page</w:t>
            </w:r>
          </w:p>
        </w:tc>
        <w:tc>
          <w:tcPr>
            <w:tcW w:type="dxa" w:w="2448"/>
            <w:vAlign w:val="top"/>
            <w:tcMar>
              <w:top w:w="70" w:type="dxa"/>
              <w:start w:w="90" w:type="dxa"/>
              <w:bottom w:w="70" w:type="dxa"/>
              <w:end w:w="90" w:type="dxa"/>
            </w:tcMar>
          </w:tcPr>
          <w:p>
            <w:pPr>
              <w:spacing w:after="0"/>
            </w:pPr>
            <w:r>
              <w:rPr>
                <w:rFonts w:ascii="Aptos" w:hAnsi="Aptos"/>
                <w:sz w:val="18"/>
              </w:rPr>
              <w:t>Scrapbook Page</w:t>
            </w:r>
          </w:p>
        </w:tc>
        <w:tc>
          <w:tcPr>
            <w:tcW w:type="dxa" w:w="4608"/>
            <w:vAlign w:val="top"/>
            <w:tcMar>
              <w:top w:w="70" w:type="dxa"/>
              <w:start w:w="90" w:type="dxa"/>
              <w:bottom w:w="70" w:type="dxa"/>
              <w:end w:w="90" w:type="dxa"/>
            </w:tcMar>
          </w:tcPr>
          <w:p>
            <w:pPr>
              <w:spacing w:after="0"/>
            </w:pPr>
            <w:r>
              <w:rPr>
                <w:rFonts w:ascii="Aptos" w:hAnsi="Aptos"/>
                <w:sz w:val="18"/>
              </w:rPr>
              <w:t>One record per actual scrapbook page or cover.</w:t>
            </w:r>
          </w:p>
        </w:tc>
      </w:tr>
    </w:tbl>
    <w:p>
      <w:pPr>
        <w:spacing w:after="0"/>
      </w:pPr>
    </w:p>
    <w:p>
      <w:pPr>
        <w:pStyle w:val="Heading1"/>
      </w:pPr>
      <w:r>
        <w:t>4. Scrapbook hierarchy</w:t>
      </w:r>
    </w:p>
    <w:p>
      <w:r>
        <w:t>Scrapbooks use a three-level metadata hierarchy when needed:</w:t>
      </w:r>
    </w:p>
    <w:p>
      <w:pPr>
        <w:pStyle w:val="ListNumber"/>
        <w:spacing w:after="60"/>
      </w:pPr>
      <w:r>
        <w:t>Scrapbook parent record — Template = Scrapbook. The parent record carries no Digital Assets.</w:t>
      </w:r>
    </w:p>
    <w:p>
      <w:pPr>
        <w:pStyle w:val="ListNumber"/>
        <w:spacing w:after="60"/>
      </w:pPr>
      <w:r>
        <w:t>Scrapbook Page record — one record per actual page or cover.</w:t>
      </w:r>
    </w:p>
    <w:p>
      <w:pPr>
        <w:pStyle w:val="ListNumber"/>
        <w:spacing w:after="60"/>
      </w:pPr>
      <w:r>
        <w:t>Child item record — created when a page contains multiple distinct items, or when the single item on a page is itself multi-page (for example, a booklet/publication). The child uses its normal Odyssey template and carries both Parent Scrapbook and Parent Scrapbook Page relationships.</w:t>
      </w:r>
    </w:p>
    <w:p>
      <w:pPr>
        <w:pStyle w:val="ListBullet"/>
        <w:spacing w:after="40"/>
      </w:pPr>
      <w:r>
        <w:rPr>
          <w:b/>
        </w:rPr>
        <w:t xml:space="preserve">Single ordinary item on a page: </w:t>
      </w:r>
      <w:r>
        <w:t>If a scrapbook page contains only one ordinary single-page item, do not create a separate child record. The descriptive work can remain at Scrapbook Page level.</w:t>
      </w:r>
    </w:p>
    <w:p>
      <w:pPr>
        <w:pStyle w:val="ListBullet"/>
        <w:spacing w:after="40"/>
      </w:pPr>
      <w:r>
        <w:rPr>
          <w:b/>
        </w:rPr>
        <w:t xml:space="preserve">Multiple distinct items: </w:t>
      </w:r>
      <w:r>
        <w:t>Create separate child records for the individual photographs, clippings, postcards, ephemera, objects, correspondence, publications, maps, textiles, or other distinct items.</w:t>
      </w:r>
    </w:p>
    <w:p>
      <w:pPr>
        <w:pStyle w:val="ListBullet"/>
        <w:spacing w:after="40"/>
      </w:pPr>
      <w:r>
        <w:rPr>
          <w:b/>
        </w:rPr>
        <w:t xml:space="preserve">Multi-page item: </w:t>
      </w:r>
      <w:r>
        <w:t>A booklet/publication receives a separate child Publication record even when it is the only item on the scrapbook page.</w:t>
      </w:r>
    </w:p>
    <w:p>
      <w:pPr>
        <w:pStyle w:val="Heading1"/>
      </w:pPr>
      <w:r>
        <w:t>5. Item-boundary and classification principles</w:t>
      </w:r>
    </w:p>
    <w:p>
      <w:pPr>
        <w:pStyle w:val="ListBullet"/>
        <w:spacing w:after="40"/>
      </w:pPr>
      <w:r>
        <w:rPr>
          <w:b/>
        </w:rPr>
        <w:t xml:space="preserve">Physical copy matters: </w:t>
      </w:r>
      <w:r>
        <w:t>Distinct physical copies remain distinct metadata records even when the intellectual content is identical.</w:t>
      </w:r>
    </w:p>
    <w:p>
      <w:pPr>
        <w:pStyle w:val="ListBullet"/>
        <w:spacing w:after="40"/>
      </w:pPr>
      <w:r>
        <w:rPr>
          <w:b/>
        </w:rPr>
        <w:t xml:space="preserve">Filename patterns are evidence, not rules: </w:t>
      </w:r>
      <w:r>
        <w:t>Use front/back markers, sequence numbers, and naming conventions as strong clues, but let visual evidence override misleading filenames.</w:t>
      </w:r>
    </w:p>
    <w:p>
      <w:pPr>
        <w:pStyle w:val="ListBullet"/>
        <w:spacing w:after="40"/>
      </w:pPr>
      <w:r>
        <w:rPr>
          <w:b/>
        </w:rPr>
        <w:t xml:space="preserve">Supporting descriptive sheets: </w:t>
      </w:r>
      <w:r>
        <w:t>A descriptive sheet clearly associated with one item stays with that item when appropriate. It can be flagged for invisibility/exclusion from Odyssey ingest rather than automatically becoming a new record.</w:t>
      </w:r>
    </w:p>
    <w:p>
      <w:pPr>
        <w:pStyle w:val="ListBullet"/>
        <w:spacing w:after="40"/>
      </w:pPr>
      <w:r>
        <w:rPr>
          <w:b/>
        </w:rPr>
        <w:t xml:space="preserve">Attached-note captures: </w:t>
      </w:r>
      <w:r>
        <w:t>When an item is photographed with an attached post-it and again clean, keep both source captures under the same item and treat them as one logical surface where appropriate.</w:t>
      </w:r>
    </w:p>
    <w:p>
      <w:pPr>
        <w:pStyle w:val="ListBullet"/>
        <w:spacing w:after="40"/>
      </w:pPr>
      <w:r>
        <w:rPr>
          <w:b/>
        </w:rPr>
        <w:t xml:space="preserve">Front and verso: </w:t>
      </w:r>
      <w:r>
        <w:t>Front and back belong to one intellectual item. Blank versos remain item assets and document the absence of content.</w:t>
      </w:r>
    </w:p>
    <w:p>
      <w:pPr>
        <w:pStyle w:val="ListBullet"/>
        <w:spacing w:after="40"/>
      </w:pPr>
      <w:r>
        <w:rPr>
          <w:b/>
        </w:rPr>
        <w:t xml:space="preserve">Three-capture photograph sets: </w:t>
      </w:r>
      <w:r>
        <w:t>A labeled sleeve/context capture + clean front + verso can all belong to one Photographic Image record. Count the physical front and verso as the logical surfaces; the contextual capture may be marked invisible/excluded from public Odyssey display.</w:t>
      </w:r>
    </w:p>
    <w:p>
      <w:pPr>
        <w:pStyle w:val="ListBullet"/>
        <w:spacing w:after="40"/>
      </w:pPr>
      <w:r>
        <w:rPr>
          <w:b/>
        </w:rPr>
        <w:t xml:space="preserve">Opaque sleeve only: </w:t>
      </w:r>
      <w:r>
        <w:t>If the source captures show only an opaque sleeve and the actual item is not visible, classify the intended item when the context is sufficiently clear, but block the record for Additional Imaging Required.</w:t>
      </w:r>
    </w:p>
    <w:p>
      <w:pPr>
        <w:pStyle w:val="Heading1"/>
      </w:pPr>
      <w:r>
        <w:t>6. Taxonomy ambiguity protocol</w:t>
      </w:r>
    </w:p>
    <w:p>
      <w:pPr>
        <w:pStyle w:val="ListBullet"/>
        <w:spacing w:after="40"/>
      </w:pPr>
      <w:r>
        <w:rPr>
          <w:b/>
        </w:rPr>
        <w:t xml:space="preserve">Hard to identify: </w:t>
      </w:r>
      <w:r>
        <w:t>Make the best likely classification, mark Review, and continue when the item itself cannot be confidently identified.</w:t>
      </w:r>
    </w:p>
    <w:p>
      <w:pPr>
        <w:pStyle w:val="ListBullet"/>
        <w:spacing w:after="40"/>
      </w:pPr>
      <w:r>
        <w:rPr>
          <w:b/>
        </w:rPr>
        <w:t xml:space="preserve">Identifiable but cross-template ambiguous: </w:t>
      </w:r>
      <w:r>
        <w:t>If an item is identifiable but could reasonably fit more than one approved HistoryIT template, stop and ask the user for a project-level classification rule.</w:t>
      </w:r>
    </w:p>
    <w:p>
      <w:pPr>
        <w:pStyle w:val="ListBullet"/>
        <w:spacing w:after="40"/>
      </w:pPr>
      <w:r>
        <w:rPr>
          <w:b/>
        </w:rPr>
        <w:t xml:space="preserve">Batch questions: </w:t>
      </w:r>
      <w:r>
        <w:t>When possible, collect multiple taxonomy ambiguities into one interruption rather than asking one question at a time.</w:t>
      </w:r>
    </w:p>
    <w:p>
      <w:pPr>
        <w:pStyle w:val="ListBullet"/>
        <w:spacing w:after="40"/>
      </w:pPr>
      <w:r>
        <w:rPr>
          <w:b/>
        </w:rPr>
        <w:t xml:space="preserve">Apply the answer consistently: </w:t>
      </w:r>
      <w:r>
        <w:t>Once a project-level rule is supplied, use it throughout the current project/chat and record it in the Project Classification Rules output.</w:t>
      </w:r>
    </w:p>
    <w:p>
      <w:pPr>
        <w:pStyle w:val="ListBullet"/>
        <w:spacing w:after="40"/>
      </w:pPr>
      <w:r>
        <w:rPr>
          <w:b/>
        </w:rPr>
        <w:t xml:space="preserve">Permanent rules: </w:t>
      </w:r>
      <w:r>
        <w:t>Only promote a project decision to a permanent HistoryIT-wide rule after it has been deliberately adopted for broader use.</w:t>
      </w:r>
    </w:p>
    <w:p>
      <w:pPr>
        <w:pStyle w:val="Heading1"/>
      </w:pPr>
      <w:r>
        <w:t>7. Type vocabulary guidance</w:t>
      </w:r>
    </w:p>
    <w:p>
      <w:r>
        <w:t>Type is subordinate to Template and may be more specific. The Template must come from the controlled list above; Type can capture a more granular physical or intellectual form. Established examples from testing include:</w:t>
      </w:r>
    </w:p>
    <w:tbl>
      <w:tblPr>
        <w:tblStyle w:val="TableGrid"/>
        <w:tblW w:type="auto" w:w="0"/>
        <w:jc w:val="center"/>
        <w:tblLook w:firstColumn="1" w:firstRow="1" w:lastColumn="0" w:lastRow="0" w:noHBand="0" w:noVBand="1" w:val="04A0"/>
      </w:tblPr>
      <w:tblGrid>
        <w:gridCol w:w="5040"/>
        <w:gridCol w:w="5040"/>
      </w:tblGrid>
      <w:tr>
        <w:tc>
          <w:tcPr>
            <w:tcW w:type="dxa" w:w="3024"/>
            <w:shd w:fill="1F4E78"/>
            <w:vAlign w:val="center"/>
            <w:tcMar>
              <w:top w:w="70" w:type="dxa"/>
              <w:start w:w="90" w:type="dxa"/>
              <w:bottom w:w="70" w:type="dxa"/>
              <w:end w:w="90" w:type="dxa"/>
            </w:tcMar>
          </w:tcPr>
          <w:p>
            <w:r>
              <w:rPr>
                <w:b/>
                <w:color w:val="FFFFFF"/>
                <w:sz w:val="18"/>
              </w:rPr>
              <w:t>Template</w:t>
            </w:r>
          </w:p>
        </w:tc>
        <w:tc>
          <w:tcPr>
            <w:tcW w:type="dxa" w:w="6192"/>
            <w:shd w:fill="1F4E78"/>
            <w:vAlign w:val="center"/>
            <w:tcMar>
              <w:top w:w="70" w:type="dxa"/>
              <w:start w:w="90" w:type="dxa"/>
              <w:bottom w:w="70" w:type="dxa"/>
              <w:end w:w="90" w:type="dxa"/>
            </w:tcMar>
          </w:tcPr>
          <w:p>
            <w:r>
              <w:rPr>
                <w:b/>
                <w:color w:val="FFFFFF"/>
                <w:sz w:val="18"/>
              </w:rPr>
              <w:t>Example Types</w:t>
            </w:r>
          </w:p>
        </w:tc>
      </w:tr>
      <w:tr>
        <w:tc>
          <w:tcPr>
            <w:tcW w:type="dxa" w:w="3024"/>
            <w:vAlign w:val="top"/>
            <w:tcMar>
              <w:top w:w="70" w:type="dxa"/>
              <w:start w:w="90" w:type="dxa"/>
              <w:bottom w:w="70" w:type="dxa"/>
              <w:end w:w="90" w:type="dxa"/>
            </w:tcMar>
          </w:tcPr>
          <w:p>
            <w:pPr>
              <w:spacing w:after="0"/>
            </w:pPr>
            <w:r>
              <w:rPr>
                <w:rFonts w:ascii="Aptos" w:hAnsi="Aptos"/>
                <w:sz w:val="18"/>
              </w:rPr>
              <w:t>Publication</w:t>
            </w:r>
          </w:p>
        </w:tc>
        <w:tc>
          <w:tcPr>
            <w:tcW w:type="dxa" w:w="6192"/>
            <w:vAlign w:val="top"/>
            <w:tcMar>
              <w:top w:w="70" w:type="dxa"/>
              <w:start w:w="90" w:type="dxa"/>
              <w:bottom w:w="70" w:type="dxa"/>
              <w:end w:w="90" w:type="dxa"/>
            </w:tcMar>
          </w:tcPr>
          <w:p>
            <w:pPr>
              <w:spacing w:after="0"/>
            </w:pPr>
            <w:r>
              <w:rPr>
                <w:rFonts w:ascii="Aptos" w:hAnsi="Aptos"/>
                <w:sz w:val="18"/>
              </w:rPr>
              <w:t>Songbook; Booklet; Magazine; Cookbook; Program</w:t>
            </w:r>
          </w:p>
        </w:tc>
      </w:tr>
      <w:tr>
        <w:tc>
          <w:tcPr>
            <w:tcW w:type="dxa" w:w="3024"/>
            <w:vAlign w:val="top"/>
            <w:tcMar>
              <w:top w:w="70" w:type="dxa"/>
              <w:start w:w="90" w:type="dxa"/>
              <w:bottom w:w="70" w:type="dxa"/>
              <w:end w:w="90" w:type="dxa"/>
            </w:tcMar>
          </w:tcPr>
          <w:p>
            <w:pPr>
              <w:spacing w:after="0"/>
            </w:pPr>
            <w:r>
              <w:rPr>
                <w:rFonts w:ascii="Aptos" w:hAnsi="Aptos"/>
                <w:sz w:val="18"/>
              </w:rPr>
              <w:t>Photographic Image</w:t>
            </w:r>
          </w:p>
        </w:tc>
        <w:tc>
          <w:tcPr>
            <w:tcW w:type="dxa" w:w="6192"/>
            <w:vAlign w:val="top"/>
            <w:tcMar>
              <w:top w:w="70" w:type="dxa"/>
              <w:start w:w="90" w:type="dxa"/>
              <w:bottom w:w="70" w:type="dxa"/>
              <w:end w:w="90" w:type="dxa"/>
            </w:tcMar>
          </w:tcPr>
          <w:p>
            <w:pPr>
              <w:spacing w:after="0"/>
            </w:pPr>
            <w:r>
              <w:rPr>
                <w:rFonts w:ascii="Aptos" w:hAnsi="Aptos"/>
                <w:sz w:val="18"/>
              </w:rPr>
              <w:t>Photograph; Negative; Slide; Print</w:t>
            </w:r>
          </w:p>
        </w:tc>
      </w:tr>
      <w:tr>
        <w:tc>
          <w:tcPr>
            <w:tcW w:type="dxa" w:w="3024"/>
            <w:vAlign w:val="top"/>
            <w:tcMar>
              <w:top w:w="70" w:type="dxa"/>
              <w:start w:w="90" w:type="dxa"/>
              <w:bottom w:w="70" w:type="dxa"/>
              <w:end w:w="90" w:type="dxa"/>
            </w:tcMar>
          </w:tcPr>
          <w:p>
            <w:pPr>
              <w:spacing w:after="0"/>
            </w:pPr>
            <w:r>
              <w:rPr>
                <w:rFonts w:ascii="Aptos" w:hAnsi="Aptos"/>
                <w:sz w:val="18"/>
              </w:rPr>
              <w:t>Document</w:t>
            </w:r>
          </w:p>
        </w:tc>
        <w:tc>
          <w:tcPr>
            <w:tcW w:type="dxa" w:w="6192"/>
            <w:vAlign w:val="top"/>
            <w:tcMar>
              <w:top w:w="70" w:type="dxa"/>
              <w:start w:w="90" w:type="dxa"/>
              <w:bottom w:w="70" w:type="dxa"/>
              <w:end w:w="90" w:type="dxa"/>
            </w:tcMar>
          </w:tcPr>
          <w:p>
            <w:pPr>
              <w:spacing w:after="0"/>
            </w:pPr>
            <w:r>
              <w:rPr>
                <w:rFonts w:ascii="Aptos" w:hAnsi="Aptos"/>
                <w:sz w:val="18"/>
              </w:rPr>
              <w:t>Minutes; Report; Form; Convention Program; Diary Transcript; Convention Notes</w:t>
            </w:r>
          </w:p>
        </w:tc>
      </w:tr>
      <w:tr>
        <w:tc>
          <w:tcPr>
            <w:tcW w:type="dxa" w:w="3024"/>
            <w:vAlign w:val="top"/>
            <w:tcMar>
              <w:top w:w="70" w:type="dxa"/>
              <w:start w:w="90" w:type="dxa"/>
              <w:bottom w:w="70" w:type="dxa"/>
              <w:end w:w="90" w:type="dxa"/>
            </w:tcMar>
          </w:tcPr>
          <w:p>
            <w:pPr>
              <w:spacing w:after="0"/>
            </w:pPr>
            <w:r>
              <w:rPr>
                <w:rFonts w:ascii="Aptos" w:hAnsi="Aptos"/>
                <w:sz w:val="18"/>
              </w:rPr>
              <w:t>Correspondence</w:t>
            </w:r>
          </w:p>
        </w:tc>
        <w:tc>
          <w:tcPr>
            <w:tcW w:type="dxa" w:w="6192"/>
            <w:vAlign w:val="top"/>
            <w:tcMar>
              <w:top w:w="70" w:type="dxa"/>
              <w:start w:w="90" w:type="dxa"/>
              <w:bottom w:w="70" w:type="dxa"/>
              <w:end w:w="90" w:type="dxa"/>
            </w:tcMar>
          </w:tcPr>
          <w:p>
            <w:pPr>
              <w:spacing w:after="0"/>
            </w:pPr>
            <w:r>
              <w:rPr>
                <w:rFonts w:ascii="Aptos" w:hAnsi="Aptos"/>
                <w:sz w:val="18"/>
              </w:rPr>
              <w:t>Letter; Handwritten Note</w:t>
            </w:r>
          </w:p>
        </w:tc>
      </w:tr>
      <w:tr>
        <w:tc>
          <w:tcPr>
            <w:tcW w:type="dxa" w:w="3024"/>
            <w:vAlign w:val="top"/>
            <w:tcMar>
              <w:top w:w="70" w:type="dxa"/>
              <w:start w:w="90" w:type="dxa"/>
              <w:bottom w:w="70" w:type="dxa"/>
              <w:end w:w="90" w:type="dxa"/>
            </w:tcMar>
          </w:tcPr>
          <w:p>
            <w:pPr>
              <w:spacing w:after="0"/>
            </w:pPr>
            <w:r>
              <w:rPr>
                <w:rFonts w:ascii="Aptos" w:hAnsi="Aptos"/>
                <w:sz w:val="18"/>
              </w:rPr>
              <w:t>Ephemera</w:t>
            </w:r>
          </w:p>
        </w:tc>
        <w:tc>
          <w:tcPr>
            <w:tcW w:type="dxa" w:w="6192"/>
            <w:vAlign w:val="top"/>
            <w:tcMar>
              <w:top w:w="70" w:type="dxa"/>
              <w:start w:w="90" w:type="dxa"/>
              <w:bottom w:w="70" w:type="dxa"/>
              <w:end w:w="90" w:type="dxa"/>
            </w:tcMar>
          </w:tcPr>
          <w:p>
            <w:pPr>
              <w:spacing w:after="0"/>
            </w:pPr>
            <w:r>
              <w:rPr>
                <w:rFonts w:ascii="Aptos" w:hAnsi="Aptos"/>
                <w:sz w:val="18"/>
              </w:rPr>
              <w:t>Tag/Label; Ticket; Card/Memento</w:t>
            </w:r>
          </w:p>
        </w:tc>
      </w:tr>
    </w:tbl>
    <w:p>
      <w:pPr>
        <w:spacing w:after="0"/>
      </w:pPr>
    </w:p>
    <w:p>
      <w:r>
        <w:t>These examples are guidance, not a complete controlled Type list. A project may provide a more specific Type vocabulary.</w:t>
      </w:r>
    </w:p>
    <w:p>
      <w:pPr>
        <w:pStyle w:val="Heading1"/>
      </w:pPr>
      <w:r>
        <w:t>8. What this reference does not do</w:t>
      </w:r>
    </w:p>
    <w:p>
      <w:pPr>
        <w:pStyle w:val="ListBullet"/>
        <w:spacing w:after="40"/>
      </w:pPr>
      <w:r>
        <w:t>It does not authorize creation of descriptive metadata fields such as title, description, people, subjects, dates, or places. The itemization workflow determines record boundaries, Template, Type, source assets, and production readiness only.</w:t>
      </w:r>
    </w:p>
    <w:p>
      <w:pPr>
        <w:pStyle w:val="ListBullet"/>
        <w:spacing w:after="40"/>
      </w:pPr>
      <w:r>
        <w:t>It does not replace project-specific template lists or classification rules supplied by the user.</w:t>
      </w:r>
    </w:p>
    <w:p>
      <w:pPr>
        <w:pStyle w:val="ListBullet"/>
        <w:spacing w:after="40"/>
      </w:pPr>
      <w:r>
        <w:t>It does not replace the HistoryIT cropping/QC references for imaging decisions.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6"/>
      </w:rPr>
      <w:t>HistoryIT internal reference | Version 1.0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