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197D" w14:textId="77777777" w:rsidR="00DD2ACB" w:rsidRDefault="00DD2ACB">
      <w:pPr>
        <w:spacing w:before="1200"/>
      </w:pPr>
    </w:p>
    <w:p w14:paraId="5D0CA29B" w14:textId="77777777" w:rsidR="00DD2ACB" w:rsidRDefault="00000000">
      <w:pPr>
        <w:jc w:val="center"/>
      </w:pPr>
      <w:r>
        <w:rPr>
          <w:b/>
          <w:bCs/>
          <w:color w:val="1F3864"/>
          <w:sz w:val="44"/>
          <w:szCs w:val="44"/>
        </w:rPr>
        <w:t>KAFCO INVENTORY CYCLE</w:t>
      </w:r>
    </w:p>
    <w:p w14:paraId="48C6F81D" w14:textId="77777777" w:rsidR="00DD2ACB" w:rsidRDefault="00000000">
      <w:pPr>
        <w:spacing w:after="200"/>
        <w:jc w:val="center"/>
      </w:pPr>
      <w:r>
        <w:rPr>
          <w:b/>
          <w:bCs/>
          <w:color w:val="1F3864"/>
          <w:sz w:val="44"/>
          <w:szCs w:val="44"/>
        </w:rPr>
        <w:t>&amp; REORDER WINDOW ANALYTICS</w:t>
      </w:r>
    </w:p>
    <w:p w14:paraId="14294847" w14:textId="77777777" w:rsidR="00DD2ACB" w:rsidRDefault="00000000">
      <w:pPr>
        <w:spacing w:after="600"/>
        <w:jc w:val="center"/>
      </w:pPr>
      <w:r>
        <w:rPr>
          <w:i/>
          <w:iCs/>
          <w:color w:val="595959"/>
          <w:sz w:val="24"/>
          <w:szCs w:val="24"/>
        </w:rPr>
        <w:t>A Data-Driven Spare Parts Procurement Model for Multi-Year Maintenance Shutdown Cycles</w:t>
      </w:r>
    </w:p>
    <w:p w14:paraId="0EC69A2C" w14:textId="77777777" w:rsidR="00DD2ACB" w:rsidRDefault="00DD2ACB">
      <w:pPr>
        <w:pBdr>
          <w:top w:val="single" w:sz="6" w:space="8" w:color="1F3864"/>
        </w:pBdr>
        <w:spacing w:after="80"/>
        <w:jc w:val="center"/>
      </w:pPr>
    </w:p>
    <w:p w14:paraId="7DDBCE46" w14:textId="37D2A636" w:rsidR="006472B5" w:rsidRPr="006472B5" w:rsidRDefault="00000000" w:rsidP="006472B5">
      <w:pPr>
        <w:spacing w:before="800"/>
        <w:jc w:val="center"/>
        <w:rPr>
          <w:b/>
          <w:bCs/>
          <w:sz w:val="22"/>
          <w:szCs w:val="22"/>
        </w:rPr>
      </w:pPr>
      <w:r w:rsidRPr="006B6DCF">
        <w:rPr>
          <w:b/>
          <w:bCs/>
          <w:sz w:val="22"/>
          <w:szCs w:val="22"/>
        </w:rPr>
        <w:t xml:space="preserve">Prepared by: </w:t>
      </w:r>
      <w:r w:rsidR="006B6DCF">
        <w:rPr>
          <w:b/>
          <w:bCs/>
          <w:sz w:val="22"/>
          <w:szCs w:val="22"/>
        </w:rPr>
        <w:t>Mir Al Musaddek</w:t>
      </w:r>
      <w:r w:rsidR="006472B5" w:rsidRPr="006472B5">
        <w:t xml:space="preserve"> </w:t>
      </w:r>
    </w:p>
    <w:p w14:paraId="6DDDE9CC" w14:textId="77777777" w:rsidR="00DD2ACB" w:rsidRPr="006B6DCF" w:rsidRDefault="00000000">
      <w:pPr>
        <w:jc w:val="center"/>
        <w:rPr>
          <w:sz w:val="22"/>
          <w:szCs w:val="22"/>
        </w:rPr>
      </w:pPr>
      <w:r w:rsidRPr="006B6DCF">
        <w:rPr>
          <w:color w:val="595959"/>
          <w:sz w:val="22"/>
          <w:szCs w:val="22"/>
        </w:rPr>
        <w:t>Based on Industrial Attachment at Karnaphuli Fertilizer Company (KAFCO), Bangladesh</w:t>
      </w:r>
    </w:p>
    <w:p w14:paraId="5C44FE93" w14:textId="77777777" w:rsidR="00DD2ACB" w:rsidRPr="006B6DCF" w:rsidRDefault="00000000">
      <w:pPr>
        <w:spacing w:before="400"/>
        <w:jc w:val="center"/>
        <w:rPr>
          <w:sz w:val="22"/>
          <w:szCs w:val="22"/>
        </w:rPr>
      </w:pPr>
      <w:r w:rsidRPr="006B6DCF">
        <w:rPr>
          <w:color w:val="595959"/>
          <w:sz w:val="22"/>
          <w:szCs w:val="22"/>
        </w:rPr>
        <w:t>Tools: Microsoft Excel · PostgreSQL · Tableau Public</w:t>
      </w:r>
    </w:p>
    <w:p w14:paraId="5DE7273D" w14:textId="77777777" w:rsidR="00DD2ACB" w:rsidRPr="006B6DCF" w:rsidRDefault="00000000">
      <w:pPr>
        <w:spacing w:before="40"/>
        <w:jc w:val="center"/>
        <w:rPr>
          <w:sz w:val="22"/>
          <w:szCs w:val="22"/>
        </w:rPr>
      </w:pPr>
      <w:r w:rsidRPr="006B6DCF">
        <w:rPr>
          <w:color w:val="595959"/>
          <w:sz w:val="22"/>
          <w:szCs w:val="22"/>
        </w:rPr>
        <w:t>Report Date: July 2026</w:t>
      </w:r>
    </w:p>
    <w:p w14:paraId="626F9598" w14:textId="67579C74" w:rsidR="00330571" w:rsidRDefault="00000000">
      <w:r>
        <w:br/>
      </w:r>
      <w:r>
        <w:br/>
      </w:r>
      <w:r>
        <w:br/>
      </w:r>
      <w:r>
        <w:br/>
      </w:r>
      <w:r>
        <w:br/>
      </w:r>
      <w:r>
        <w:br/>
      </w:r>
      <w:r>
        <w:br/>
      </w:r>
      <w:r>
        <w:br/>
      </w:r>
      <w:r>
        <w:br/>
      </w:r>
      <w:r>
        <w:br/>
      </w:r>
      <w:r>
        <w:br/>
      </w:r>
      <w:r>
        <w:br/>
      </w:r>
      <w:r>
        <w:br/>
      </w:r>
    </w:p>
    <w:p w14:paraId="16A60992" w14:textId="77777777" w:rsidR="00330571" w:rsidRDefault="00330571"/>
    <w:p w14:paraId="07D94733" w14:textId="6DCAC2F4" w:rsidR="00DD2ACB" w:rsidRDefault="00000000">
      <w:r>
        <w:br/>
      </w:r>
    </w:p>
    <w:p w14:paraId="358D228E" w14:textId="72885EDB" w:rsidR="00DD2ACB" w:rsidRPr="006B6DCF" w:rsidRDefault="00000000" w:rsidP="00330571">
      <w:pPr>
        <w:pBdr>
          <w:top w:val="single" w:sz="4" w:space="6" w:color="C55A11"/>
          <w:left w:val="single" w:sz="4" w:space="6" w:color="C55A11"/>
          <w:bottom w:val="single" w:sz="4" w:space="0" w:color="C55A11"/>
          <w:right w:val="single" w:sz="4" w:space="6" w:color="C55A11"/>
        </w:pBdr>
        <w:shd w:val="clear" w:color="auto" w:fill="FFF2E6"/>
        <w:spacing w:before="300" w:after="300"/>
        <w:jc w:val="both"/>
        <w:rPr>
          <w:sz w:val="22"/>
          <w:szCs w:val="22"/>
        </w:rPr>
      </w:pPr>
      <w:r w:rsidRPr="006B6DCF">
        <w:rPr>
          <w:i/>
          <w:iCs/>
          <w:color w:val="7F4200"/>
          <w:sz w:val="22"/>
          <w:szCs w:val="22"/>
        </w:rPr>
        <w:t>Data Disclosure: This project uses a synthetically generated dataset (400 records) modeled on realistic KAFCO procurement patterns and industry-standard spare parts categories. Real operational data was not available for this attachment. All figures, dates, and item codes are simulated for portfolio and learning purposes and do not represent actual KAFCO records or vendor performance.</w:t>
      </w:r>
    </w:p>
    <w:p w14:paraId="02736FD1" w14:textId="77777777" w:rsidR="00DD2ACB" w:rsidRDefault="00DD2ACB">
      <w:pPr>
        <w:pageBreakBefore/>
      </w:pPr>
    </w:p>
    <w:p w14:paraId="21954A51" w14:textId="77777777" w:rsidR="00DD2ACB" w:rsidRDefault="00000000">
      <w:pPr>
        <w:pStyle w:val="Heading1"/>
        <w:pBdr>
          <w:bottom w:val="single" w:sz="6" w:space="4" w:color="1F3864"/>
        </w:pBdr>
        <w:spacing w:before="400" w:after="200"/>
      </w:pPr>
      <w:r>
        <w:rPr>
          <w:b/>
          <w:bCs/>
          <w:color w:val="1F3864"/>
          <w:sz w:val="28"/>
          <w:szCs w:val="28"/>
        </w:rPr>
        <w:t>1. Executive Summary</w:t>
      </w:r>
    </w:p>
    <w:p w14:paraId="7750D167" w14:textId="77777777" w:rsidR="00DD2ACB" w:rsidRPr="00574877" w:rsidRDefault="00000000" w:rsidP="006B6DCF">
      <w:pPr>
        <w:spacing w:after="160" w:line="276" w:lineRule="auto"/>
        <w:jc w:val="both"/>
        <w:rPr>
          <w:sz w:val="22"/>
          <w:szCs w:val="22"/>
        </w:rPr>
      </w:pPr>
      <w:r w:rsidRPr="00574877">
        <w:rPr>
          <w:color w:val="222222"/>
          <w:sz w:val="22"/>
          <w:szCs w:val="22"/>
        </w:rPr>
        <w:t>KAFCO's spare-parts procurement for major maintenance shutdowns spans multi-year lead times, yet purchase orders have historically been triggered without a structured, data-backed timeline. This project builds a reorder-window</w:t>
      </w:r>
      <w:r w:rsidRPr="00574877">
        <w:rPr>
          <w:b/>
          <w:bCs/>
          <w:color w:val="222222"/>
          <w:sz w:val="22"/>
          <w:szCs w:val="22"/>
        </w:rPr>
        <w:t xml:space="preserve"> </w:t>
      </w:r>
      <w:r w:rsidRPr="00574877">
        <w:rPr>
          <w:color w:val="222222"/>
          <w:sz w:val="22"/>
          <w:szCs w:val="22"/>
        </w:rPr>
        <w:t>model that converts historical procurement records into a category-specific purchase order calendar, and separately identifies which spare-part categories are over-stocked relative to consumption ahead of the next shutdown.</w:t>
      </w:r>
    </w:p>
    <w:p w14:paraId="727E544D" w14:textId="3A012ADD" w:rsidR="00DD2ACB" w:rsidRPr="00574877" w:rsidRDefault="00000000" w:rsidP="006B6DCF">
      <w:pPr>
        <w:spacing w:after="160" w:line="276" w:lineRule="auto"/>
        <w:jc w:val="both"/>
        <w:rPr>
          <w:color w:val="222222"/>
          <w:sz w:val="22"/>
          <w:szCs w:val="22"/>
        </w:rPr>
      </w:pPr>
      <w:r w:rsidRPr="00574877">
        <w:rPr>
          <w:color w:val="222222"/>
          <w:sz w:val="22"/>
          <w:szCs w:val="22"/>
        </w:rPr>
        <w:t>Working from a 400-item synthetic dataset spanning 10 spare-part categories and four historical shutdown cycles (2017–2027), the analysis produced two outputs: (1) a consumption velocity classification for every item, and (2) a recommended purchase-order date per category</w:t>
      </w:r>
      <w:r w:rsidR="00574877">
        <w:rPr>
          <w:color w:val="222222"/>
          <w:sz w:val="22"/>
          <w:szCs w:val="22"/>
        </w:rPr>
        <w:t>.</w:t>
      </w:r>
    </w:p>
    <w:p w14:paraId="7374FFC9" w14:textId="77777777" w:rsidR="00DD2ACB" w:rsidRDefault="00000000">
      <w:pPr>
        <w:pStyle w:val="Heading2"/>
        <w:spacing w:before="280" w:after="120"/>
      </w:pPr>
      <w:r>
        <w:rPr>
          <w:b/>
          <w:bCs/>
          <w:color w:val="1F3864"/>
          <w:sz w:val="24"/>
          <w:szCs w:val="24"/>
        </w:rPr>
        <w:t>Headline Findings</w:t>
      </w:r>
    </w:p>
    <w:p w14:paraId="6A85BEEC" w14:textId="77777777" w:rsidR="00DD2ACB" w:rsidRPr="00574877" w:rsidRDefault="00000000" w:rsidP="00574877">
      <w:pPr>
        <w:pStyle w:val="ListParagraph"/>
        <w:numPr>
          <w:ilvl w:val="0"/>
          <w:numId w:val="2"/>
        </w:numPr>
        <w:spacing w:after="80" w:line="264" w:lineRule="auto"/>
        <w:jc w:val="both"/>
        <w:rPr>
          <w:sz w:val="22"/>
          <w:szCs w:val="22"/>
        </w:rPr>
      </w:pPr>
      <w:r w:rsidRPr="00574877">
        <w:rPr>
          <w:color w:val="222222"/>
          <w:sz w:val="22"/>
          <w:szCs w:val="22"/>
        </w:rPr>
        <w:t xml:space="preserve">The next major shutdown is targeted for </w:t>
      </w:r>
      <w:r w:rsidRPr="00574877">
        <w:rPr>
          <w:b/>
          <w:bCs/>
          <w:color w:val="222222"/>
          <w:sz w:val="22"/>
          <w:szCs w:val="22"/>
        </w:rPr>
        <w:t>10-Sep-2027</w:t>
      </w:r>
      <w:r w:rsidRPr="00574877">
        <w:rPr>
          <w:color w:val="222222"/>
          <w:sz w:val="22"/>
          <w:szCs w:val="22"/>
        </w:rPr>
        <w:t xml:space="preserve">. </w:t>
      </w:r>
      <w:r w:rsidRPr="00574877">
        <w:rPr>
          <w:b/>
          <w:bCs/>
          <w:color w:val="222222"/>
          <w:sz w:val="22"/>
          <w:szCs w:val="22"/>
        </w:rPr>
        <w:t>Mechanical</w:t>
      </w:r>
      <w:r w:rsidRPr="00574877">
        <w:rPr>
          <w:color w:val="222222"/>
          <w:sz w:val="22"/>
          <w:szCs w:val="22"/>
        </w:rPr>
        <w:t xml:space="preserve"> and </w:t>
      </w:r>
      <w:r w:rsidRPr="00574877">
        <w:rPr>
          <w:b/>
          <w:bCs/>
          <w:color w:val="222222"/>
          <w:sz w:val="22"/>
          <w:szCs w:val="22"/>
        </w:rPr>
        <w:t>Piping</w:t>
      </w:r>
      <w:r w:rsidRPr="00574877">
        <w:rPr>
          <w:color w:val="222222"/>
          <w:sz w:val="22"/>
          <w:szCs w:val="22"/>
        </w:rPr>
        <w:t xml:space="preserve"> — the two categories with the longest and most variable lead times — require purchase orders </w:t>
      </w:r>
      <w:r w:rsidRPr="00574877">
        <w:rPr>
          <w:b/>
          <w:bCs/>
          <w:color w:val="000000" w:themeColor="text1"/>
          <w:sz w:val="22"/>
          <w:szCs w:val="22"/>
        </w:rPr>
        <w:t>6+ months before shutdown</w:t>
      </w:r>
      <w:r w:rsidRPr="00574877">
        <w:rPr>
          <w:color w:val="000000" w:themeColor="text1"/>
          <w:sz w:val="22"/>
          <w:szCs w:val="22"/>
        </w:rPr>
        <w:t xml:space="preserve"> (</w:t>
      </w:r>
      <w:r w:rsidRPr="00574877">
        <w:rPr>
          <w:color w:val="222222"/>
          <w:sz w:val="22"/>
          <w:szCs w:val="22"/>
        </w:rPr>
        <w:t>14-Dec-2026 and 03-Mar-2027 respectively) to arrive on time at a 95% service level.</w:t>
      </w:r>
    </w:p>
    <w:p w14:paraId="27FA5C25" w14:textId="77777777" w:rsidR="00DD2ACB" w:rsidRPr="00574877" w:rsidRDefault="00000000" w:rsidP="00574877">
      <w:pPr>
        <w:pStyle w:val="ListParagraph"/>
        <w:numPr>
          <w:ilvl w:val="0"/>
          <w:numId w:val="2"/>
        </w:numPr>
        <w:spacing w:after="80" w:line="264" w:lineRule="auto"/>
        <w:jc w:val="both"/>
        <w:rPr>
          <w:sz w:val="22"/>
          <w:szCs w:val="22"/>
        </w:rPr>
      </w:pPr>
      <w:r w:rsidRPr="00574877">
        <w:rPr>
          <w:b/>
          <w:bCs/>
          <w:color w:val="222222"/>
          <w:sz w:val="22"/>
          <w:szCs w:val="22"/>
        </w:rPr>
        <w:t>37.5% of Mechanical spare parts</w:t>
      </w:r>
      <w:r w:rsidRPr="00574877">
        <w:rPr>
          <w:color w:val="222222"/>
          <w:sz w:val="22"/>
          <w:szCs w:val="22"/>
        </w:rPr>
        <w:t xml:space="preserve"> and </w:t>
      </w:r>
      <w:r w:rsidRPr="00574877">
        <w:rPr>
          <w:b/>
          <w:bCs/>
          <w:color w:val="222222"/>
          <w:sz w:val="22"/>
          <w:szCs w:val="22"/>
        </w:rPr>
        <w:t>100% of Civil parts</w:t>
      </w:r>
      <w:r w:rsidRPr="00574877">
        <w:rPr>
          <w:color w:val="222222"/>
          <w:sz w:val="22"/>
          <w:szCs w:val="22"/>
        </w:rPr>
        <w:t xml:space="preserve"> fall into the Slow-Moving velocity tier, indicating capital tied up in inventory that turns over far less than once per year — a candidate for inventory rationalization.</w:t>
      </w:r>
    </w:p>
    <w:p w14:paraId="4AADCD4F" w14:textId="39C640E7" w:rsidR="00DD2ACB" w:rsidRPr="00574877" w:rsidRDefault="00000000" w:rsidP="00574877">
      <w:pPr>
        <w:pStyle w:val="ListParagraph"/>
        <w:numPr>
          <w:ilvl w:val="0"/>
          <w:numId w:val="2"/>
        </w:numPr>
        <w:spacing w:after="80" w:line="264" w:lineRule="auto"/>
        <w:jc w:val="both"/>
        <w:rPr>
          <w:sz w:val="22"/>
          <w:szCs w:val="22"/>
        </w:rPr>
      </w:pPr>
      <w:r w:rsidRPr="00574877">
        <w:rPr>
          <w:color w:val="222222"/>
          <w:sz w:val="22"/>
          <w:szCs w:val="22"/>
        </w:rPr>
        <w:t xml:space="preserve">Across the full 400-item dataset, </w:t>
      </w:r>
      <w:r w:rsidRPr="00574877">
        <w:rPr>
          <w:b/>
          <w:bCs/>
          <w:color w:val="222222"/>
          <w:sz w:val="22"/>
          <w:szCs w:val="22"/>
        </w:rPr>
        <w:t>33.2%</w:t>
      </w:r>
      <w:r w:rsidRPr="00574877">
        <w:rPr>
          <w:color w:val="222222"/>
          <w:sz w:val="22"/>
          <w:szCs w:val="22"/>
        </w:rPr>
        <w:t xml:space="preserve"> of items are classified Slow-Moving, </w:t>
      </w:r>
      <w:r w:rsidRPr="00574877">
        <w:rPr>
          <w:b/>
          <w:bCs/>
          <w:color w:val="222222"/>
          <w:sz w:val="22"/>
          <w:szCs w:val="22"/>
        </w:rPr>
        <w:t>33.3%</w:t>
      </w:r>
      <w:r w:rsidRPr="00574877">
        <w:rPr>
          <w:color w:val="222222"/>
          <w:sz w:val="22"/>
          <w:szCs w:val="22"/>
        </w:rPr>
        <w:t xml:space="preserve"> Medium-Moving, and </w:t>
      </w:r>
      <w:r w:rsidRPr="00574877">
        <w:rPr>
          <w:b/>
          <w:bCs/>
          <w:color w:val="222222"/>
          <w:sz w:val="22"/>
          <w:szCs w:val="22"/>
        </w:rPr>
        <w:t>33.5%</w:t>
      </w:r>
      <w:r w:rsidRPr="00574877">
        <w:rPr>
          <w:color w:val="222222"/>
          <w:sz w:val="22"/>
          <w:szCs w:val="22"/>
        </w:rPr>
        <w:t xml:space="preserve"> Fast-Moving (split by turnover rate) — the classification is functioning as designed, evenly separating the catalogue into actionable tiers.</w:t>
      </w:r>
    </w:p>
    <w:p w14:paraId="08AA2FB0" w14:textId="77777777" w:rsidR="00DD2ACB" w:rsidRPr="00574877" w:rsidRDefault="00000000" w:rsidP="00574877">
      <w:pPr>
        <w:pStyle w:val="ListParagraph"/>
        <w:numPr>
          <w:ilvl w:val="0"/>
          <w:numId w:val="2"/>
        </w:numPr>
        <w:spacing w:after="80" w:line="264" w:lineRule="auto"/>
        <w:jc w:val="both"/>
        <w:rPr>
          <w:sz w:val="22"/>
          <w:szCs w:val="22"/>
        </w:rPr>
      </w:pPr>
      <w:r w:rsidRPr="00574877">
        <w:rPr>
          <w:color w:val="222222"/>
          <w:sz w:val="22"/>
          <w:szCs w:val="22"/>
        </w:rPr>
        <w:t xml:space="preserve">Lead time variability (coefficient of variation) is highest for shutdown-linked categories, justifying safety buffers ranging from </w:t>
      </w:r>
      <w:r w:rsidRPr="00574877">
        <w:rPr>
          <w:b/>
          <w:bCs/>
          <w:color w:val="222222"/>
          <w:sz w:val="22"/>
          <w:szCs w:val="22"/>
        </w:rPr>
        <w:t>23 days (Lubrication)</w:t>
      </w:r>
      <w:r w:rsidRPr="00574877">
        <w:rPr>
          <w:color w:val="222222"/>
          <w:sz w:val="22"/>
          <w:szCs w:val="22"/>
        </w:rPr>
        <w:t xml:space="preserve"> to </w:t>
      </w:r>
      <w:r w:rsidRPr="00574877">
        <w:rPr>
          <w:b/>
          <w:bCs/>
          <w:color w:val="222222"/>
          <w:sz w:val="22"/>
          <w:szCs w:val="22"/>
        </w:rPr>
        <w:t>76 days (Mechanical)</w:t>
      </w:r>
      <w:r w:rsidRPr="00574877">
        <w:rPr>
          <w:color w:val="222222"/>
          <w:sz w:val="22"/>
          <w:szCs w:val="22"/>
        </w:rPr>
        <w:t xml:space="preserve"> — buffers are data-derived, not a flat assumption.</w:t>
      </w:r>
    </w:p>
    <w:p w14:paraId="03F41A34" w14:textId="77777777" w:rsidR="00DD2ACB" w:rsidRDefault="00000000" w:rsidP="00574877">
      <w:pPr>
        <w:pStyle w:val="ListParagraph"/>
        <w:numPr>
          <w:ilvl w:val="0"/>
          <w:numId w:val="2"/>
        </w:numPr>
        <w:spacing w:after="80" w:line="264" w:lineRule="auto"/>
        <w:jc w:val="both"/>
      </w:pPr>
      <w:r w:rsidRPr="00574877">
        <w:rPr>
          <w:color w:val="222222"/>
          <w:sz w:val="22"/>
          <w:szCs w:val="22"/>
        </w:rPr>
        <w:t xml:space="preserve">Benchmarked against a common non-analytical heuristic — a flat "order 90 days before shutdown" rule — the data-driven model closes a stockout-risk exposure that would otherwise affect </w:t>
      </w:r>
      <w:r w:rsidRPr="00330571">
        <w:rPr>
          <w:b/>
          <w:bCs/>
          <w:color w:val="000000" w:themeColor="text1"/>
          <w:sz w:val="22"/>
          <w:szCs w:val="22"/>
        </w:rPr>
        <w:t>95% of the catalogue (380 of 400 items)</w:t>
      </w:r>
      <w:r w:rsidRPr="00330571">
        <w:rPr>
          <w:color w:val="000000" w:themeColor="text1"/>
          <w:sz w:val="22"/>
          <w:szCs w:val="22"/>
        </w:rPr>
        <w:t xml:space="preserve">, </w:t>
      </w:r>
      <w:r w:rsidRPr="00574877">
        <w:rPr>
          <w:color w:val="222222"/>
          <w:sz w:val="22"/>
          <w:szCs w:val="22"/>
        </w:rPr>
        <w:t xml:space="preserve">arriving a weighted average of </w:t>
      </w:r>
      <w:r w:rsidRPr="00574877">
        <w:rPr>
          <w:b/>
          <w:bCs/>
          <w:color w:val="222222"/>
          <w:sz w:val="22"/>
          <w:szCs w:val="22"/>
        </w:rPr>
        <w:t>103 days late</w:t>
      </w:r>
      <w:r w:rsidRPr="00574877">
        <w:rPr>
          <w:color w:val="222222"/>
          <w:sz w:val="22"/>
          <w:szCs w:val="22"/>
        </w:rPr>
        <w:t xml:space="preserve"> and up to </w:t>
      </w:r>
      <w:r w:rsidRPr="00574877">
        <w:rPr>
          <w:b/>
          <w:bCs/>
          <w:color w:val="222222"/>
          <w:sz w:val="22"/>
          <w:szCs w:val="22"/>
        </w:rPr>
        <w:t>179.8 days late for Mechanical</w:t>
      </w:r>
      <w:r w:rsidRPr="00574877">
        <w:rPr>
          <w:color w:val="222222"/>
          <w:sz w:val="22"/>
          <w:szCs w:val="22"/>
        </w:rPr>
        <w:t xml:space="preserve"> (Section 5).</w:t>
      </w:r>
    </w:p>
    <w:p w14:paraId="469DF742" w14:textId="77777777" w:rsidR="00DD2ACB" w:rsidRDefault="00000000">
      <w:pPr>
        <w:pStyle w:val="Heading1"/>
        <w:pBdr>
          <w:bottom w:val="single" w:sz="6" w:space="4" w:color="1F3864"/>
        </w:pBdr>
        <w:spacing w:before="400" w:after="200"/>
      </w:pPr>
      <w:r>
        <w:rPr>
          <w:b/>
          <w:bCs/>
          <w:color w:val="1F3864"/>
          <w:sz w:val="28"/>
          <w:szCs w:val="28"/>
        </w:rPr>
        <w:t>2. Project Objectives</w:t>
      </w:r>
    </w:p>
    <w:p w14:paraId="35238BEC" w14:textId="4DAC4FC7" w:rsidR="00DD2ACB" w:rsidRPr="00026F04" w:rsidRDefault="00000000" w:rsidP="00026F04">
      <w:pPr>
        <w:spacing w:after="160" w:line="276" w:lineRule="auto"/>
        <w:jc w:val="both"/>
        <w:rPr>
          <w:sz w:val="22"/>
          <w:szCs w:val="22"/>
        </w:rPr>
      </w:pPr>
      <w:r w:rsidRPr="00026F04">
        <w:rPr>
          <w:color w:val="222222"/>
          <w:sz w:val="22"/>
          <w:szCs w:val="22"/>
        </w:rPr>
        <w:t>Two objectives were defined at the outset:</w:t>
      </w:r>
    </w:p>
    <w:p w14:paraId="2FBBBA9F" w14:textId="77777777" w:rsidR="00DD2ACB" w:rsidRPr="00026F04" w:rsidRDefault="00000000" w:rsidP="00026F04">
      <w:pPr>
        <w:pStyle w:val="ListParagraph"/>
        <w:numPr>
          <w:ilvl w:val="0"/>
          <w:numId w:val="2"/>
        </w:numPr>
        <w:spacing w:after="80" w:line="264" w:lineRule="auto"/>
        <w:jc w:val="both"/>
        <w:rPr>
          <w:sz w:val="22"/>
          <w:szCs w:val="22"/>
        </w:rPr>
      </w:pPr>
      <w:r w:rsidRPr="00026F04">
        <w:rPr>
          <w:b/>
          <w:bCs/>
          <w:color w:val="222222"/>
          <w:sz w:val="22"/>
          <w:szCs w:val="22"/>
        </w:rPr>
        <w:t xml:space="preserve">Consumption Velocity — </w:t>
      </w:r>
      <w:r w:rsidRPr="00026F04">
        <w:rPr>
          <w:color w:val="222222"/>
          <w:sz w:val="22"/>
          <w:szCs w:val="22"/>
        </w:rPr>
        <w:t>determine how quickly each spare-part category is consumed relative to the multi-year (3–4 year) shutdown cycle, to separate routine-use stock from shutdown-reserve stock.</w:t>
      </w:r>
    </w:p>
    <w:p w14:paraId="4FF33017" w14:textId="77777777" w:rsidR="00DD2ACB" w:rsidRPr="00026F04" w:rsidRDefault="00000000" w:rsidP="00026F04">
      <w:pPr>
        <w:pStyle w:val="ListParagraph"/>
        <w:numPr>
          <w:ilvl w:val="0"/>
          <w:numId w:val="2"/>
        </w:numPr>
        <w:spacing w:after="80" w:line="264" w:lineRule="auto"/>
        <w:jc w:val="both"/>
        <w:rPr>
          <w:sz w:val="22"/>
          <w:szCs w:val="22"/>
        </w:rPr>
      </w:pPr>
      <w:r w:rsidRPr="00026F04">
        <w:rPr>
          <w:b/>
          <w:bCs/>
          <w:color w:val="222222"/>
          <w:sz w:val="22"/>
          <w:szCs w:val="22"/>
        </w:rPr>
        <w:t xml:space="preserve">Optimal Reorder Windows — </w:t>
      </w:r>
      <w:r w:rsidRPr="00026F04">
        <w:rPr>
          <w:color w:val="222222"/>
          <w:sz w:val="22"/>
          <w:szCs w:val="22"/>
        </w:rPr>
        <w:t>calculate, per category, the exact calendar date by which a purchase order must be placed so that the part arrives at the warehouse before the next shutdown begins, using the formula:</w:t>
      </w:r>
    </w:p>
    <w:p w14:paraId="7B0166C6" w14:textId="7FD0A154" w:rsidR="00026F04" w:rsidRPr="00026F04" w:rsidRDefault="00000000" w:rsidP="00026F04">
      <w:pPr>
        <w:shd w:val="clear" w:color="auto" w:fill="DCE6F1"/>
        <w:spacing w:before="120" w:after="200"/>
        <w:jc w:val="center"/>
        <w:rPr>
          <w:b/>
          <w:bCs/>
          <w:color w:val="1F3864"/>
          <w:sz w:val="22"/>
          <w:szCs w:val="22"/>
        </w:rPr>
      </w:pPr>
      <w:r w:rsidRPr="00026F04">
        <w:rPr>
          <w:b/>
          <w:bCs/>
          <w:color w:val="1F3864"/>
          <w:sz w:val="22"/>
          <w:szCs w:val="22"/>
        </w:rPr>
        <w:t xml:space="preserve">Reorder </w:t>
      </w:r>
      <w:proofErr w:type="gramStart"/>
      <w:r w:rsidRPr="00026F04">
        <w:rPr>
          <w:b/>
          <w:bCs/>
          <w:color w:val="1F3864"/>
          <w:sz w:val="22"/>
          <w:szCs w:val="22"/>
        </w:rPr>
        <w:t>Date  =</w:t>
      </w:r>
      <w:proofErr w:type="gramEnd"/>
      <w:r w:rsidRPr="00026F04">
        <w:rPr>
          <w:b/>
          <w:bCs/>
          <w:color w:val="1F3864"/>
          <w:sz w:val="22"/>
          <w:szCs w:val="22"/>
        </w:rPr>
        <w:t xml:space="preserve">  Shutdown </w:t>
      </w:r>
      <w:proofErr w:type="gramStart"/>
      <w:r w:rsidRPr="00026F04">
        <w:rPr>
          <w:b/>
          <w:bCs/>
          <w:color w:val="1F3864"/>
          <w:sz w:val="22"/>
          <w:szCs w:val="22"/>
        </w:rPr>
        <w:t>Date  –</w:t>
      </w:r>
      <w:proofErr w:type="gramEnd"/>
      <w:r w:rsidRPr="00026F04">
        <w:rPr>
          <w:b/>
          <w:bCs/>
          <w:color w:val="1F3864"/>
          <w:sz w:val="22"/>
          <w:szCs w:val="22"/>
        </w:rPr>
        <w:t xml:space="preserve">  Average Lead Time (per </w:t>
      </w:r>
      <w:proofErr w:type="gramStart"/>
      <w:r w:rsidRPr="00026F04">
        <w:rPr>
          <w:b/>
          <w:bCs/>
          <w:color w:val="1F3864"/>
          <w:sz w:val="22"/>
          <w:szCs w:val="22"/>
        </w:rPr>
        <w:t>category)  –</w:t>
      </w:r>
      <w:proofErr w:type="gramEnd"/>
      <w:r w:rsidRPr="00026F04">
        <w:rPr>
          <w:b/>
          <w:bCs/>
          <w:color w:val="1F3864"/>
          <w:sz w:val="22"/>
          <w:szCs w:val="22"/>
        </w:rPr>
        <w:t xml:space="preserve">  Safety Buffer</w:t>
      </w:r>
    </w:p>
    <w:p w14:paraId="3E74E1D6" w14:textId="77777777" w:rsidR="00026F04" w:rsidRDefault="00026F04">
      <w:pPr>
        <w:pStyle w:val="Heading1"/>
        <w:pBdr>
          <w:bottom w:val="single" w:sz="6" w:space="4" w:color="1F3864"/>
        </w:pBdr>
        <w:spacing w:before="400" w:after="200"/>
        <w:rPr>
          <w:b/>
          <w:bCs/>
          <w:color w:val="1F3864"/>
          <w:sz w:val="28"/>
          <w:szCs w:val="28"/>
        </w:rPr>
      </w:pPr>
    </w:p>
    <w:p w14:paraId="7CBC8F6B" w14:textId="01CA06D6" w:rsidR="00DD2ACB" w:rsidRDefault="00000000">
      <w:pPr>
        <w:pStyle w:val="Heading1"/>
        <w:pBdr>
          <w:bottom w:val="single" w:sz="6" w:space="4" w:color="1F3864"/>
        </w:pBdr>
        <w:spacing w:before="400" w:after="200"/>
      </w:pPr>
      <w:r>
        <w:rPr>
          <w:b/>
          <w:bCs/>
          <w:color w:val="1F3864"/>
          <w:sz w:val="28"/>
          <w:szCs w:val="28"/>
        </w:rPr>
        <w:lastRenderedPageBreak/>
        <w:t>3. Data Source &amp; Methodology</w:t>
      </w:r>
    </w:p>
    <w:p w14:paraId="68D6EFA2" w14:textId="77777777" w:rsidR="00DD2ACB" w:rsidRDefault="00000000">
      <w:pPr>
        <w:pStyle w:val="Heading2"/>
        <w:spacing w:before="280" w:after="120"/>
      </w:pPr>
      <w:r>
        <w:rPr>
          <w:b/>
          <w:bCs/>
          <w:color w:val="1F3864"/>
          <w:sz w:val="24"/>
          <w:szCs w:val="24"/>
        </w:rPr>
        <w:t>3.1 Dataset</w:t>
      </w:r>
    </w:p>
    <w:p w14:paraId="18B40C1F" w14:textId="77777777" w:rsidR="00DD2ACB" w:rsidRPr="00026F04" w:rsidRDefault="00000000" w:rsidP="00026F04">
      <w:pPr>
        <w:spacing w:after="160" w:line="276" w:lineRule="auto"/>
        <w:jc w:val="both"/>
        <w:rPr>
          <w:sz w:val="22"/>
          <w:szCs w:val="22"/>
        </w:rPr>
      </w:pPr>
      <w:r w:rsidRPr="00026F04">
        <w:rPr>
          <w:color w:val="222222"/>
          <w:sz w:val="22"/>
          <w:szCs w:val="22"/>
        </w:rPr>
        <w:t>A synthetic dataset of 400 items across 10 categories (Mechanical, Electrical, Instrumentation, Piping, Safety, Chemical, Utility, Lubrication, HVAC, Civil) was constructed with realistic industrial assumptions rather than randomized values:</w:t>
      </w:r>
    </w:p>
    <w:p w14:paraId="4E41B4D0" w14:textId="77777777" w:rsidR="00DD2ACB" w:rsidRPr="00026F04" w:rsidRDefault="00000000" w:rsidP="00026F04">
      <w:pPr>
        <w:pStyle w:val="ListParagraph"/>
        <w:numPr>
          <w:ilvl w:val="0"/>
          <w:numId w:val="2"/>
        </w:numPr>
        <w:spacing w:after="80" w:line="264" w:lineRule="auto"/>
        <w:jc w:val="both"/>
        <w:rPr>
          <w:sz w:val="22"/>
          <w:szCs w:val="22"/>
        </w:rPr>
      </w:pPr>
      <w:r w:rsidRPr="00026F04">
        <w:rPr>
          <w:color w:val="222222"/>
          <w:sz w:val="22"/>
          <w:szCs w:val="22"/>
        </w:rPr>
        <w:t>Shutdown-linked categories (Mechanical, Piping, Instrumentation, Civil) were assigned long lead times (90–270 days) and issue dates clustered within 3 weeks of a shutdown date — mirroring how plants stage critical spares ahead of planned outages.</w:t>
      </w:r>
    </w:p>
    <w:p w14:paraId="49C26834" w14:textId="77777777" w:rsidR="00DD2ACB" w:rsidRPr="00026F04" w:rsidRDefault="00000000" w:rsidP="00026F04">
      <w:pPr>
        <w:pStyle w:val="ListParagraph"/>
        <w:numPr>
          <w:ilvl w:val="0"/>
          <w:numId w:val="2"/>
        </w:numPr>
        <w:spacing w:after="80" w:line="264" w:lineRule="auto"/>
        <w:jc w:val="both"/>
        <w:rPr>
          <w:sz w:val="22"/>
          <w:szCs w:val="22"/>
        </w:rPr>
      </w:pPr>
      <w:r w:rsidRPr="00026F04">
        <w:rPr>
          <w:color w:val="222222"/>
          <w:sz w:val="22"/>
          <w:szCs w:val="22"/>
        </w:rPr>
        <w:t>Routine categories (Electrical, Safety, Chemical, Utility, Lubrication, HVAC) were assigned shorter lead times and issue dates spread 5–60 days after receipt — mirroring continuous operational consumption.</w:t>
      </w:r>
    </w:p>
    <w:p w14:paraId="42246829" w14:textId="77777777" w:rsidR="00DD2ACB" w:rsidRPr="00026F04" w:rsidRDefault="00000000" w:rsidP="00026F04">
      <w:pPr>
        <w:pStyle w:val="ListParagraph"/>
        <w:numPr>
          <w:ilvl w:val="0"/>
          <w:numId w:val="2"/>
        </w:numPr>
        <w:spacing w:after="80" w:line="264" w:lineRule="auto"/>
        <w:jc w:val="both"/>
        <w:rPr>
          <w:sz w:val="22"/>
          <w:szCs w:val="22"/>
        </w:rPr>
      </w:pPr>
      <w:r w:rsidRPr="00026F04">
        <w:rPr>
          <w:color w:val="222222"/>
          <w:sz w:val="22"/>
          <w:szCs w:val="22"/>
        </w:rPr>
        <w:t>Four historical shutdown dates were used as anchors: 15-Nov-2017, 01-Mar-2021, 20-Jun-2024, and 10-Sep-2027, reflecting KAFCO's approximate 3.3–</w:t>
      </w:r>
      <w:proofErr w:type="gramStart"/>
      <w:r w:rsidRPr="00026F04">
        <w:rPr>
          <w:color w:val="222222"/>
          <w:sz w:val="22"/>
          <w:szCs w:val="22"/>
        </w:rPr>
        <w:t>3.5 year</w:t>
      </w:r>
      <w:proofErr w:type="gramEnd"/>
      <w:r w:rsidRPr="00026F04">
        <w:rPr>
          <w:color w:val="222222"/>
          <w:sz w:val="22"/>
          <w:szCs w:val="22"/>
        </w:rPr>
        <w:t xml:space="preserve"> turnaround cycle.</w:t>
      </w:r>
    </w:p>
    <w:p w14:paraId="09BCBB7F" w14:textId="77777777" w:rsidR="00DD2ACB" w:rsidRPr="00026F04" w:rsidRDefault="00000000" w:rsidP="00026F04">
      <w:pPr>
        <w:spacing w:after="160" w:line="276" w:lineRule="auto"/>
        <w:jc w:val="both"/>
        <w:rPr>
          <w:sz w:val="22"/>
          <w:szCs w:val="22"/>
        </w:rPr>
      </w:pPr>
      <w:r w:rsidRPr="00026F04">
        <w:rPr>
          <w:color w:val="222222"/>
          <w:sz w:val="22"/>
          <w:szCs w:val="22"/>
        </w:rPr>
        <w:t>Seven fields were captured per item: Item Code (anonymized), Category, PO Date, Received Date, Issue Date, Quantity Received, and Demand Rate (units/year) — matching the scope defined in the initial project brief.</w:t>
      </w:r>
    </w:p>
    <w:p w14:paraId="2871BF5F" w14:textId="77777777" w:rsidR="00DD2ACB" w:rsidRDefault="00000000">
      <w:pPr>
        <w:pStyle w:val="Heading2"/>
        <w:spacing w:before="280" w:after="120"/>
      </w:pPr>
      <w:r>
        <w:rPr>
          <w:b/>
          <w:bCs/>
          <w:color w:val="1F3864"/>
          <w:sz w:val="24"/>
          <w:szCs w:val="24"/>
        </w:rPr>
        <w:t>3.2 Analytical Pipeline</w:t>
      </w:r>
    </w:p>
    <w:p w14:paraId="2EC756E3" w14:textId="77777777" w:rsidR="00DD2ACB" w:rsidRPr="00026F04" w:rsidRDefault="00000000" w:rsidP="00026F04">
      <w:pPr>
        <w:spacing w:after="160" w:line="276" w:lineRule="auto"/>
        <w:jc w:val="both"/>
        <w:rPr>
          <w:sz w:val="22"/>
          <w:szCs w:val="22"/>
        </w:rPr>
      </w:pPr>
      <w:r w:rsidRPr="00026F04">
        <w:rPr>
          <w:color w:val="222222"/>
          <w:sz w:val="22"/>
          <w:szCs w:val="22"/>
        </w:rPr>
        <w:t>The project was executed as a three-tool pipeline, reflecting a standard industry analytics workflow from raw data to stakeholder-facing dashboard:</w:t>
      </w:r>
    </w:p>
    <w:p w14:paraId="305CFEDC" w14:textId="77777777" w:rsidR="00DD2ACB" w:rsidRDefault="00DD2ACB">
      <w:pPr>
        <w:spacing w:after="2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260"/>
      </w:tblGrid>
      <w:tr w:rsidR="00DD2ACB" w14:paraId="66912C5C"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tcPr>
          <w:p w14:paraId="7AAA00D4" w14:textId="77777777" w:rsidR="00DD2ACB" w:rsidRPr="00FD5C49" w:rsidRDefault="00000000">
            <w:pPr>
              <w:rPr>
                <w:sz w:val="20"/>
                <w:szCs w:val="20"/>
              </w:rPr>
            </w:pPr>
            <w:r w:rsidRPr="00FD5C49">
              <w:rPr>
                <w:b/>
                <w:bCs/>
                <w:color w:val="FFFFFF"/>
                <w:sz w:val="20"/>
                <w:szCs w:val="20"/>
              </w:rPr>
              <w:t>Phase</w:t>
            </w:r>
          </w:p>
        </w:tc>
        <w:tc>
          <w:tcPr>
            <w:tcW w:w="2400" w:type="dxa"/>
            <w:shd w:val="clear" w:color="auto" w:fill="1F3864"/>
            <w:tcMar>
              <w:top w:w="80" w:type="dxa"/>
              <w:left w:w="100" w:type="dxa"/>
              <w:bottom w:w="80" w:type="dxa"/>
              <w:right w:w="100" w:type="dxa"/>
            </w:tcMar>
          </w:tcPr>
          <w:p w14:paraId="66EECD15" w14:textId="77777777" w:rsidR="00DD2ACB" w:rsidRPr="00FD5C49" w:rsidRDefault="00000000">
            <w:pPr>
              <w:rPr>
                <w:sz w:val="20"/>
                <w:szCs w:val="20"/>
              </w:rPr>
            </w:pPr>
            <w:r w:rsidRPr="00FD5C49">
              <w:rPr>
                <w:b/>
                <w:bCs/>
                <w:color w:val="FFFFFF"/>
                <w:sz w:val="20"/>
                <w:szCs w:val="20"/>
              </w:rPr>
              <w:t>Tool</w:t>
            </w:r>
          </w:p>
        </w:tc>
        <w:tc>
          <w:tcPr>
            <w:tcW w:w="5260" w:type="dxa"/>
            <w:shd w:val="clear" w:color="auto" w:fill="1F3864"/>
            <w:tcMar>
              <w:top w:w="80" w:type="dxa"/>
              <w:left w:w="100" w:type="dxa"/>
              <w:bottom w:w="80" w:type="dxa"/>
              <w:right w:w="100" w:type="dxa"/>
            </w:tcMar>
          </w:tcPr>
          <w:p w14:paraId="723E996F" w14:textId="77777777" w:rsidR="00DD2ACB" w:rsidRPr="00FD5C49" w:rsidRDefault="00000000">
            <w:pPr>
              <w:rPr>
                <w:sz w:val="20"/>
                <w:szCs w:val="20"/>
              </w:rPr>
            </w:pPr>
            <w:r w:rsidRPr="00FD5C49">
              <w:rPr>
                <w:b/>
                <w:bCs/>
                <w:color w:val="FFFFFF"/>
                <w:sz w:val="20"/>
                <w:szCs w:val="20"/>
              </w:rPr>
              <w:t>Primary Output</w:t>
            </w:r>
          </w:p>
        </w:tc>
      </w:tr>
      <w:tr w:rsidR="00DD2ACB" w14:paraId="51953B69" w14:textId="77777777">
        <w:tblPrEx>
          <w:tblCellMar>
            <w:top w:w="0" w:type="dxa"/>
            <w:bottom w:w="0" w:type="dxa"/>
          </w:tblCellMar>
        </w:tblPrEx>
        <w:tc>
          <w:tcPr>
            <w:tcW w:w="1800" w:type="dxa"/>
            <w:tcMar>
              <w:top w:w="70" w:type="dxa"/>
              <w:left w:w="100" w:type="dxa"/>
              <w:bottom w:w="70" w:type="dxa"/>
              <w:right w:w="100" w:type="dxa"/>
            </w:tcMar>
          </w:tcPr>
          <w:p w14:paraId="6A5FBB22" w14:textId="77777777" w:rsidR="00DD2ACB" w:rsidRPr="00FD5C49" w:rsidRDefault="00000000">
            <w:pPr>
              <w:rPr>
                <w:sz w:val="20"/>
                <w:szCs w:val="20"/>
              </w:rPr>
            </w:pPr>
            <w:r w:rsidRPr="00FD5C49">
              <w:rPr>
                <w:b/>
                <w:bCs/>
                <w:color w:val="222222"/>
                <w:sz w:val="20"/>
                <w:szCs w:val="20"/>
              </w:rPr>
              <w:t>1. Data Foundation</w:t>
            </w:r>
          </w:p>
        </w:tc>
        <w:tc>
          <w:tcPr>
            <w:tcW w:w="2400" w:type="dxa"/>
            <w:tcMar>
              <w:top w:w="70" w:type="dxa"/>
              <w:left w:w="100" w:type="dxa"/>
              <w:bottom w:w="70" w:type="dxa"/>
              <w:right w:w="100" w:type="dxa"/>
            </w:tcMar>
          </w:tcPr>
          <w:p w14:paraId="759AEEE6" w14:textId="77777777" w:rsidR="00DD2ACB" w:rsidRPr="00FD5C49" w:rsidRDefault="00000000">
            <w:pPr>
              <w:rPr>
                <w:sz w:val="20"/>
                <w:szCs w:val="20"/>
              </w:rPr>
            </w:pPr>
            <w:r w:rsidRPr="00FD5C49">
              <w:rPr>
                <w:color w:val="222222"/>
                <w:sz w:val="20"/>
                <w:szCs w:val="20"/>
              </w:rPr>
              <w:t>Microsoft Excel</w:t>
            </w:r>
          </w:p>
        </w:tc>
        <w:tc>
          <w:tcPr>
            <w:tcW w:w="5260" w:type="dxa"/>
            <w:tcMar>
              <w:top w:w="70" w:type="dxa"/>
              <w:left w:w="100" w:type="dxa"/>
              <w:bottom w:w="70" w:type="dxa"/>
              <w:right w:w="100" w:type="dxa"/>
            </w:tcMar>
          </w:tcPr>
          <w:p w14:paraId="53CBEECE" w14:textId="1891A724" w:rsidR="00DD2ACB" w:rsidRPr="00FD5C49" w:rsidRDefault="00000000">
            <w:pPr>
              <w:rPr>
                <w:sz w:val="20"/>
                <w:szCs w:val="20"/>
              </w:rPr>
            </w:pPr>
            <w:r w:rsidRPr="00FD5C49">
              <w:rPr>
                <w:color w:val="222222"/>
                <w:sz w:val="20"/>
                <w:szCs w:val="20"/>
              </w:rPr>
              <w:t xml:space="preserve">400-row synthetic dataset (10 categories); </w:t>
            </w:r>
            <w:proofErr w:type="spellStart"/>
            <w:r w:rsidRPr="00FD5C49">
              <w:rPr>
                <w:color w:val="222222"/>
                <w:sz w:val="20"/>
                <w:szCs w:val="20"/>
              </w:rPr>
              <w:t>Pivot</w:t>
            </w:r>
            <w:r w:rsidR="00FD5C49">
              <w:rPr>
                <w:color w:val="222222"/>
                <w:sz w:val="20"/>
                <w:szCs w:val="20"/>
              </w:rPr>
              <w:t>_s</w:t>
            </w:r>
            <w:r w:rsidRPr="00FD5C49">
              <w:rPr>
                <w:color w:val="222222"/>
                <w:sz w:val="20"/>
                <w:szCs w:val="20"/>
              </w:rPr>
              <w:t>ummary</w:t>
            </w:r>
            <w:proofErr w:type="spellEnd"/>
            <w:r w:rsidRPr="00FD5C49">
              <w:rPr>
                <w:color w:val="222222"/>
                <w:sz w:val="20"/>
                <w:szCs w:val="20"/>
              </w:rPr>
              <w:t xml:space="preserve"> sheet with COUNTIF/AVERAGEIF/SUMIF aggregations and 2 charts</w:t>
            </w:r>
          </w:p>
        </w:tc>
      </w:tr>
      <w:tr w:rsidR="00DD2ACB" w14:paraId="0BD609D2" w14:textId="77777777">
        <w:tblPrEx>
          <w:tblCellMar>
            <w:top w:w="0" w:type="dxa"/>
            <w:bottom w:w="0" w:type="dxa"/>
          </w:tblCellMar>
        </w:tblPrEx>
        <w:tc>
          <w:tcPr>
            <w:tcW w:w="1800" w:type="dxa"/>
            <w:tcMar>
              <w:top w:w="70" w:type="dxa"/>
              <w:left w:w="100" w:type="dxa"/>
              <w:bottom w:w="70" w:type="dxa"/>
              <w:right w:w="100" w:type="dxa"/>
            </w:tcMar>
          </w:tcPr>
          <w:p w14:paraId="65151E88" w14:textId="77777777" w:rsidR="00DD2ACB" w:rsidRPr="00FD5C49" w:rsidRDefault="00000000">
            <w:pPr>
              <w:rPr>
                <w:sz w:val="20"/>
                <w:szCs w:val="20"/>
              </w:rPr>
            </w:pPr>
            <w:r w:rsidRPr="00FD5C49">
              <w:rPr>
                <w:b/>
                <w:bCs/>
                <w:color w:val="222222"/>
                <w:sz w:val="20"/>
                <w:szCs w:val="20"/>
              </w:rPr>
              <w:t>2. Analysis</w:t>
            </w:r>
          </w:p>
        </w:tc>
        <w:tc>
          <w:tcPr>
            <w:tcW w:w="2400" w:type="dxa"/>
            <w:tcMar>
              <w:top w:w="70" w:type="dxa"/>
              <w:left w:w="100" w:type="dxa"/>
              <w:bottom w:w="70" w:type="dxa"/>
              <w:right w:w="100" w:type="dxa"/>
            </w:tcMar>
          </w:tcPr>
          <w:p w14:paraId="76413D1E" w14:textId="77777777" w:rsidR="00DD2ACB" w:rsidRPr="00FD5C49" w:rsidRDefault="00000000">
            <w:pPr>
              <w:rPr>
                <w:sz w:val="20"/>
                <w:szCs w:val="20"/>
              </w:rPr>
            </w:pPr>
            <w:r w:rsidRPr="00FD5C49">
              <w:rPr>
                <w:color w:val="222222"/>
                <w:sz w:val="20"/>
                <w:szCs w:val="20"/>
              </w:rPr>
              <w:t>PostgreSQL (</w:t>
            </w:r>
            <w:proofErr w:type="spellStart"/>
            <w:r w:rsidRPr="00FD5C49">
              <w:rPr>
                <w:color w:val="222222"/>
                <w:sz w:val="20"/>
                <w:szCs w:val="20"/>
              </w:rPr>
              <w:t>pgAdmin</w:t>
            </w:r>
            <w:proofErr w:type="spellEnd"/>
            <w:r w:rsidRPr="00FD5C49">
              <w:rPr>
                <w:color w:val="222222"/>
                <w:sz w:val="20"/>
                <w:szCs w:val="20"/>
              </w:rPr>
              <w:t>)</w:t>
            </w:r>
          </w:p>
        </w:tc>
        <w:tc>
          <w:tcPr>
            <w:tcW w:w="5260" w:type="dxa"/>
            <w:tcMar>
              <w:top w:w="70" w:type="dxa"/>
              <w:left w:w="100" w:type="dxa"/>
              <w:bottom w:w="70" w:type="dxa"/>
              <w:right w:w="100" w:type="dxa"/>
            </w:tcMar>
          </w:tcPr>
          <w:p w14:paraId="3FD28F73" w14:textId="38549474" w:rsidR="00DD2ACB" w:rsidRPr="00FD5C49" w:rsidRDefault="00FD5C49">
            <w:pPr>
              <w:rPr>
                <w:sz w:val="20"/>
                <w:szCs w:val="20"/>
              </w:rPr>
            </w:pPr>
            <w:r>
              <w:rPr>
                <w:color w:val="222222"/>
                <w:sz w:val="20"/>
                <w:szCs w:val="20"/>
              </w:rPr>
              <w:t>V</w:t>
            </w:r>
            <w:r w:rsidR="00000000" w:rsidRPr="00FD5C49">
              <w:rPr>
                <w:color w:val="222222"/>
                <w:sz w:val="20"/>
                <w:szCs w:val="20"/>
              </w:rPr>
              <w:t xml:space="preserve">alidation queries; 7 views culminating in </w:t>
            </w:r>
            <w:proofErr w:type="spellStart"/>
            <w:r w:rsidR="00000000" w:rsidRPr="00FD5C49">
              <w:rPr>
                <w:color w:val="222222"/>
                <w:sz w:val="20"/>
                <w:szCs w:val="20"/>
              </w:rPr>
              <w:t>kafco_item_detail</w:t>
            </w:r>
            <w:proofErr w:type="spellEnd"/>
            <w:r w:rsidR="00000000" w:rsidRPr="00FD5C49">
              <w:rPr>
                <w:color w:val="222222"/>
                <w:sz w:val="20"/>
                <w:szCs w:val="20"/>
              </w:rPr>
              <w:t xml:space="preserve"> (400 rows) and </w:t>
            </w:r>
            <w:proofErr w:type="spellStart"/>
            <w:r w:rsidR="00000000" w:rsidRPr="00FD5C49">
              <w:rPr>
                <w:color w:val="222222"/>
                <w:sz w:val="20"/>
                <w:szCs w:val="20"/>
              </w:rPr>
              <w:t>kafco_category_kpi</w:t>
            </w:r>
            <w:proofErr w:type="spellEnd"/>
            <w:r w:rsidR="00000000" w:rsidRPr="00FD5C49">
              <w:rPr>
                <w:color w:val="222222"/>
                <w:sz w:val="20"/>
                <w:szCs w:val="20"/>
              </w:rPr>
              <w:t xml:space="preserve"> (10 rows)</w:t>
            </w:r>
          </w:p>
        </w:tc>
      </w:tr>
      <w:tr w:rsidR="00DD2ACB" w14:paraId="04565F99" w14:textId="77777777">
        <w:tblPrEx>
          <w:tblCellMar>
            <w:top w:w="0" w:type="dxa"/>
            <w:bottom w:w="0" w:type="dxa"/>
          </w:tblCellMar>
        </w:tblPrEx>
        <w:tc>
          <w:tcPr>
            <w:tcW w:w="1800" w:type="dxa"/>
            <w:tcMar>
              <w:top w:w="70" w:type="dxa"/>
              <w:left w:w="100" w:type="dxa"/>
              <w:bottom w:w="70" w:type="dxa"/>
              <w:right w:w="100" w:type="dxa"/>
            </w:tcMar>
          </w:tcPr>
          <w:p w14:paraId="2D436501" w14:textId="77777777" w:rsidR="00DD2ACB" w:rsidRPr="00FD5C49" w:rsidRDefault="00000000">
            <w:pPr>
              <w:rPr>
                <w:sz w:val="20"/>
                <w:szCs w:val="20"/>
              </w:rPr>
            </w:pPr>
            <w:r w:rsidRPr="00FD5C49">
              <w:rPr>
                <w:b/>
                <w:bCs/>
                <w:color w:val="222222"/>
                <w:sz w:val="20"/>
                <w:szCs w:val="20"/>
              </w:rPr>
              <w:t>3. Visualization</w:t>
            </w:r>
          </w:p>
        </w:tc>
        <w:tc>
          <w:tcPr>
            <w:tcW w:w="2400" w:type="dxa"/>
            <w:tcMar>
              <w:top w:w="70" w:type="dxa"/>
              <w:left w:w="100" w:type="dxa"/>
              <w:bottom w:w="70" w:type="dxa"/>
              <w:right w:w="100" w:type="dxa"/>
            </w:tcMar>
          </w:tcPr>
          <w:p w14:paraId="0D86952F" w14:textId="77777777" w:rsidR="00DD2ACB" w:rsidRPr="00FD5C49" w:rsidRDefault="00000000">
            <w:pPr>
              <w:rPr>
                <w:sz w:val="20"/>
                <w:szCs w:val="20"/>
              </w:rPr>
            </w:pPr>
            <w:r w:rsidRPr="00FD5C49">
              <w:rPr>
                <w:color w:val="222222"/>
                <w:sz w:val="20"/>
                <w:szCs w:val="20"/>
              </w:rPr>
              <w:t>Tableau Public</w:t>
            </w:r>
          </w:p>
        </w:tc>
        <w:tc>
          <w:tcPr>
            <w:tcW w:w="5260" w:type="dxa"/>
            <w:tcMar>
              <w:top w:w="70" w:type="dxa"/>
              <w:left w:w="100" w:type="dxa"/>
              <w:bottom w:w="70" w:type="dxa"/>
              <w:right w:w="100" w:type="dxa"/>
            </w:tcMar>
          </w:tcPr>
          <w:p w14:paraId="7F15D9ED" w14:textId="77777777" w:rsidR="00DD2ACB" w:rsidRPr="00FD5C49" w:rsidRDefault="00000000">
            <w:pPr>
              <w:rPr>
                <w:sz w:val="20"/>
                <w:szCs w:val="20"/>
              </w:rPr>
            </w:pPr>
            <w:r w:rsidRPr="00FD5C49">
              <w:rPr>
                <w:color w:val="222222"/>
                <w:sz w:val="20"/>
                <w:szCs w:val="20"/>
              </w:rPr>
              <w:t>4-worksheet interactive dashboard with filter actions, published dashboard link</w:t>
            </w:r>
          </w:p>
        </w:tc>
      </w:tr>
      <w:tr w:rsidR="00DD2ACB" w14:paraId="20F4383A" w14:textId="77777777">
        <w:tblPrEx>
          <w:tblCellMar>
            <w:top w:w="0" w:type="dxa"/>
            <w:bottom w:w="0" w:type="dxa"/>
          </w:tblCellMar>
        </w:tblPrEx>
        <w:tc>
          <w:tcPr>
            <w:tcW w:w="1800" w:type="dxa"/>
            <w:tcMar>
              <w:top w:w="70" w:type="dxa"/>
              <w:left w:w="100" w:type="dxa"/>
              <w:bottom w:w="70" w:type="dxa"/>
              <w:right w:w="100" w:type="dxa"/>
            </w:tcMar>
          </w:tcPr>
          <w:p w14:paraId="009E25DC" w14:textId="77777777" w:rsidR="00DD2ACB" w:rsidRPr="00FD5C49" w:rsidRDefault="00000000">
            <w:pPr>
              <w:rPr>
                <w:sz w:val="20"/>
                <w:szCs w:val="20"/>
              </w:rPr>
            </w:pPr>
            <w:r w:rsidRPr="00FD5C49">
              <w:rPr>
                <w:b/>
                <w:bCs/>
                <w:color w:val="222222"/>
                <w:sz w:val="20"/>
                <w:szCs w:val="20"/>
              </w:rPr>
              <w:t>4. Distribution</w:t>
            </w:r>
          </w:p>
        </w:tc>
        <w:tc>
          <w:tcPr>
            <w:tcW w:w="2400" w:type="dxa"/>
            <w:tcMar>
              <w:top w:w="70" w:type="dxa"/>
              <w:left w:w="100" w:type="dxa"/>
              <w:bottom w:w="70" w:type="dxa"/>
              <w:right w:w="100" w:type="dxa"/>
            </w:tcMar>
          </w:tcPr>
          <w:p w14:paraId="4E1F2204" w14:textId="77777777" w:rsidR="00DD2ACB" w:rsidRPr="00FD5C49" w:rsidRDefault="00000000">
            <w:pPr>
              <w:rPr>
                <w:sz w:val="20"/>
                <w:szCs w:val="20"/>
              </w:rPr>
            </w:pPr>
            <w:r w:rsidRPr="00FD5C49">
              <w:rPr>
                <w:color w:val="222222"/>
                <w:sz w:val="20"/>
                <w:szCs w:val="20"/>
              </w:rPr>
              <w:t>GitHub</w:t>
            </w:r>
          </w:p>
        </w:tc>
        <w:tc>
          <w:tcPr>
            <w:tcW w:w="5260" w:type="dxa"/>
            <w:tcMar>
              <w:top w:w="70" w:type="dxa"/>
              <w:left w:w="100" w:type="dxa"/>
              <w:bottom w:w="70" w:type="dxa"/>
              <w:right w:w="100" w:type="dxa"/>
            </w:tcMar>
          </w:tcPr>
          <w:p w14:paraId="1B68DD08" w14:textId="3FD33082" w:rsidR="00DD2ACB" w:rsidRPr="00FD5C49" w:rsidRDefault="00000000">
            <w:pPr>
              <w:rPr>
                <w:sz w:val="20"/>
                <w:szCs w:val="20"/>
              </w:rPr>
            </w:pPr>
            <w:r w:rsidRPr="00FD5C49">
              <w:rPr>
                <w:color w:val="222222"/>
                <w:sz w:val="20"/>
                <w:szCs w:val="20"/>
              </w:rPr>
              <w:t>Version-controlled repository: /data, /</w:t>
            </w:r>
            <w:r w:rsidR="00FD5C49">
              <w:rPr>
                <w:color w:val="222222"/>
                <w:sz w:val="20"/>
                <w:szCs w:val="20"/>
              </w:rPr>
              <w:t>SQL</w:t>
            </w:r>
            <w:r w:rsidRPr="00FD5C49">
              <w:rPr>
                <w:color w:val="222222"/>
                <w:sz w:val="20"/>
                <w:szCs w:val="20"/>
              </w:rPr>
              <w:t>, README with methodology and findings</w:t>
            </w:r>
          </w:p>
        </w:tc>
      </w:tr>
    </w:tbl>
    <w:p w14:paraId="541DC503" w14:textId="77777777" w:rsidR="00DD2ACB" w:rsidRDefault="00DD2ACB">
      <w:pPr>
        <w:spacing w:after="200"/>
      </w:pPr>
    </w:p>
    <w:p w14:paraId="151BE9EC" w14:textId="77777777" w:rsidR="00DD2ACB" w:rsidRDefault="00000000">
      <w:pPr>
        <w:pStyle w:val="Heading2"/>
        <w:spacing w:before="280" w:after="120"/>
      </w:pPr>
      <w:r>
        <w:rPr>
          <w:b/>
          <w:bCs/>
          <w:color w:val="1F3864"/>
          <w:sz w:val="24"/>
          <w:szCs w:val="24"/>
        </w:rPr>
        <w:t>3.3 Key Calculations</w:t>
      </w:r>
    </w:p>
    <w:p w14:paraId="6AE9B070" w14:textId="77777777" w:rsidR="00DD2ACB" w:rsidRPr="00FD5C49" w:rsidRDefault="00000000" w:rsidP="00FD5C49">
      <w:pPr>
        <w:pStyle w:val="ListParagraph"/>
        <w:numPr>
          <w:ilvl w:val="0"/>
          <w:numId w:val="2"/>
        </w:numPr>
        <w:spacing w:after="80" w:line="264" w:lineRule="auto"/>
        <w:jc w:val="both"/>
        <w:rPr>
          <w:sz w:val="22"/>
          <w:szCs w:val="22"/>
        </w:rPr>
      </w:pPr>
      <w:r w:rsidRPr="00FD5C49">
        <w:rPr>
          <w:b/>
          <w:bCs/>
          <w:color w:val="222222"/>
          <w:sz w:val="22"/>
          <w:szCs w:val="22"/>
        </w:rPr>
        <w:t xml:space="preserve">Cycle segmentation — </w:t>
      </w:r>
      <w:r w:rsidRPr="00FD5C49">
        <w:rPr>
          <w:color w:val="222222"/>
          <w:sz w:val="22"/>
          <w:szCs w:val="22"/>
        </w:rPr>
        <w:t>each item's lifecycle was split into Procurement Days (PO → Received), Storage Days (Received → Issue), and Total Cycle Days (PO → Issue).</w:t>
      </w:r>
    </w:p>
    <w:p w14:paraId="2222B140" w14:textId="77777777" w:rsidR="00DD2ACB" w:rsidRPr="00FD5C49" w:rsidRDefault="00000000" w:rsidP="00FD5C49">
      <w:pPr>
        <w:pStyle w:val="ListParagraph"/>
        <w:numPr>
          <w:ilvl w:val="0"/>
          <w:numId w:val="2"/>
        </w:numPr>
        <w:spacing w:after="80" w:line="264" w:lineRule="auto"/>
        <w:jc w:val="both"/>
        <w:rPr>
          <w:sz w:val="22"/>
          <w:szCs w:val="22"/>
        </w:rPr>
      </w:pPr>
      <w:r w:rsidRPr="00FD5C49">
        <w:rPr>
          <w:b/>
          <w:bCs/>
          <w:color w:val="222222"/>
          <w:sz w:val="22"/>
          <w:szCs w:val="22"/>
        </w:rPr>
        <w:t xml:space="preserve">Days of Supply — </w:t>
      </w:r>
      <w:r w:rsidRPr="00FD5C49">
        <w:rPr>
          <w:color w:val="222222"/>
          <w:sz w:val="22"/>
          <w:szCs w:val="22"/>
        </w:rPr>
        <w:t>quantity received ÷ (annual demand rate ÷ 365), giving the theoretical number of days a received batch would last at normal consumption.</w:t>
      </w:r>
    </w:p>
    <w:p w14:paraId="27F6A1C5" w14:textId="77777777" w:rsidR="00DD2ACB" w:rsidRPr="00FD5C49" w:rsidRDefault="00000000" w:rsidP="00FD5C49">
      <w:pPr>
        <w:pStyle w:val="ListParagraph"/>
        <w:numPr>
          <w:ilvl w:val="0"/>
          <w:numId w:val="2"/>
        </w:numPr>
        <w:spacing w:after="80" w:line="264" w:lineRule="auto"/>
        <w:jc w:val="both"/>
        <w:rPr>
          <w:sz w:val="22"/>
          <w:szCs w:val="22"/>
        </w:rPr>
      </w:pPr>
      <w:r w:rsidRPr="00FD5C49">
        <w:rPr>
          <w:b/>
          <w:bCs/>
          <w:color w:val="222222"/>
          <w:sz w:val="22"/>
          <w:szCs w:val="22"/>
        </w:rPr>
        <w:t xml:space="preserve">Turnover Rate — </w:t>
      </w:r>
      <w:r w:rsidRPr="00FD5C49">
        <w:rPr>
          <w:color w:val="222222"/>
          <w:sz w:val="22"/>
          <w:szCs w:val="22"/>
        </w:rPr>
        <w:t xml:space="preserve">annual demand rate ÷ quantity received; used to rank all 400 items and split them into equal Fast / Medium / Slow-Moving tiers via </w:t>
      </w:r>
      <w:proofErr w:type="gramStart"/>
      <w:r w:rsidRPr="00FD5C49">
        <w:rPr>
          <w:color w:val="222222"/>
          <w:sz w:val="22"/>
          <w:szCs w:val="22"/>
        </w:rPr>
        <w:t>NTILE(</w:t>
      </w:r>
      <w:proofErr w:type="gramEnd"/>
      <w:r w:rsidRPr="00FD5C49">
        <w:rPr>
          <w:color w:val="222222"/>
          <w:sz w:val="22"/>
          <w:szCs w:val="22"/>
        </w:rPr>
        <w:t>3).</w:t>
      </w:r>
    </w:p>
    <w:p w14:paraId="3BA8BAEA" w14:textId="77777777" w:rsidR="00DD2ACB" w:rsidRPr="00FD5C49" w:rsidRDefault="00000000" w:rsidP="00FD5C49">
      <w:pPr>
        <w:pStyle w:val="ListParagraph"/>
        <w:numPr>
          <w:ilvl w:val="0"/>
          <w:numId w:val="2"/>
        </w:numPr>
        <w:spacing w:after="80" w:line="264" w:lineRule="auto"/>
        <w:jc w:val="both"/>
        <w:rPr>
          <w:sz w:val="22"/>
          <w:szCs w:val="22"/>
        </w:rPr>
      </w:pPr>
      <w:r w:rsidRPr="00FD5C49">
        <w:rPr>
          <w:b/>
          <w:bCs/>
          <w:color w:val="222222"/>
          <w:sz w:val="22"/>
          <w:szCs w:val="22"/>
        </w:rPr>
        <w:lastRenderedPageBreak/>
        <w:t xml:space="preserve">Lead Time Reliability — </w:t>
      </w:r>
      <w:r w:rsidRPr="00FD5C49">
        <w:rPr>
          <w:color w:val="222222"/>
          <w:sz w:val="22"/>
          <w:szCs w:val="22"/>
        </w:rPr>
        <w:t>coefficient of variation (</w:t>
      </w:r>
      <w:proofErr w:type="spellStart"/>
      <w:r w:rsidRPr="00FD5C49">
        <w:rPr>
          <w:color w:val="222222"/>
          <w:sz w:val="22"/>
          <w:szCs w:val="22"/>
        </w:rPr>
        <w:t>stddev</w:t>
      </w:r>
      <w:proofErr w:type="spellEnd"/>
      <w:r w:rsidRPr="00FD5C49">
        <w:rPr>
          <w:color w:val="222222"/>
          <w:sz w:val="22"/>
          <w:szCs w:val="22"/>
        </w:rPr>
        <w:t xml:space="preserve"> ÷ mean lead time) per category, used to rank supplier predictability.</w:t>
      </w:r>
    </w:p>
    <w:p w14:paraId="53176D43" w14:textId="77777777" w:rsidR="00DD2ACB" w:rsidRPr="00FD5C49" w:rsidRDefault="00000000" w:rsidP="00FD5C49">
      <w:pPr>
        <w:pStyle w:val="ListParagraph"/>
        <w:numPr>
          <w:ilvl w:val="0"/>
          <w:numId w:val="2"/>
        </w:numPr>
        <w:spacing w:after="80" w:line="264" w:lineRule="auto"/>
        <w:jc w:val="both"/>
        <w:rPr>
          <w:sz w:val="22"/>
          <w:szCs w:val="22"/>
        </w:rPr>
      </w:pPr>
      <w:r w:rsidRPr="00FD5C49">
        <w:rPr>
          <w:b/>
          <w:bCs/>
          <w:color w:val="222222"/>
          <w:sz w:val="22"/>
          <w:szCs w:val="22"/>
        </w:rPr>
        <w:t xml:space="preserve">Safety Buffer — </w:t>
      </w:r>
      <w:r w:rsidRPr="00FD5C49">
        <w:rPr>
          <w:color w:val="222222"/>
          <w:sz w:val="22"/>
          <w:szCs w:val="22"/>
        </w:rPr>
        <w:t>1.65 × standard deviation of category lead time, corresponding to a 95% service level — a standard industrial safety-stock formula, not an arbitrary padding figure.</w:t>
      </w:r>
    </w:p>
    <w:p w14:paraId="44C77D67" w14:textId="77777777" w:rsidR="00DD2ACB" w:rsidRDefault="00000000">
      <w:pPr>
        <w:pStyle w:val="Heading1"/>
        <w:pBdr>
          <w:bottom w:val="single" w:sz="6" w:space="4" w:color="1F3864"/>
        </w:pBdr>
        <w:spacing w:before="400" w:after="200"/>
      </w:pPr>
      <w:r>
        <w:rPr>
          <w:b/>
          <w:bCs/>
          <w:color w:val="1F3864"/>
          <w:sz w:val="28"/>
          <w:szCs w:val="28"/>
        </w:rPr>
        <w:t>4. Findings</w:t>
      </w:r>
    </w:p>
    <w:p w14:paraId="3422BEFF" w14:textId="77777777" w:rsidR="00DD2ACB" w:rsidRDefault="00000000">
      <w:pPr>
        <w:pStyle w:val="Heading2"/>
        <w:spacing w:before="280" w:after="120"/>
      </w:pPr>
      <w:r>
        <w:rPr>
          <w:b/>
          <w:bCs/>
          <w:color w:val="1F3864"/>
          <w:sz w:val="24"/>
          <w:szCs w:val="24"/>
        </w:rPr>
        <w:t>4.1 Category-Level Reorder Calendar</w:t>
      </w:r>
    </w:p>
    <w:p w14:paraId="340609AA" w14:textId="77777777" w:rsidR="00DD2ACB" w:rsidRPr="00FD5C49" w:rsidRDefault="00000000" w:rsidP="00FD5C49">
      <w:pPr>
        <w:spacing w:after="160" w:line="276" w:lineRule="auto"/>
        <w:jc w:val="both"/>
        <w:rPr>
          <w:sz w:val="22"/>
          <w:szCs w:val="22"/>
        </w:rPr>
      </w:pPr>
      <w:r w:rsidRPr="00FD5C49">
        <w:rPr>
          <w:color w:val="222222"/>
          <w:sz w:val="22"/>
          <w:szCs w:val="22"/>
        </w:rPr>
        <w:t>The table below is the core deliverable: the recommended purchase-order date for each spare-part category ahead of the 10-Sep-2027 shutdown, along with the slow-moving share of each category's inventory.</w:t>
      </w:r>
    </w:p>
    <w:p w14:paraId="66AD8E1B" w14:textId="77777777" w:rsidR="00DD2ACB" w:rsidRDefault="00DD2ACB">
      <w:pPr>
        <w:spacing w:after="16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1600"/>
        <w:gridCol w:w="2260"/>
      </w:tblGrid>
      <w:tr w:rsidR="00DD2ACB" w14:paraId="22E72991"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2B31895C" w14:textId="77777777" w:rsidR="00DD2ACB" w:rsidRPr="00FD5C49" w:rsidRDefault="00000000">
            <w:pPr>
              <w:rPr>
                <w:rFonts w:asciiTheme="minorHAnsi" w:hAnsiTheme="minorHAnsi" w:cstheme="minorHAnsi"/>
                <w:sz w:val="20"/>
                <w:szCs w:val="20"/>
              </w:rPr>
            </w:pPr>
            <w:r w:rsidRPr="00FD5C49">
              <w:rPr>
                <w:rFonts w:asciiTheme="minorHAnsi" w:hAnsiTheme="minorHAnsi" w:cstheme="minorHAnsi"/>
                <w:b/>
                <w:bCs/>
                <w:color w:val="FFFFFF"/>
                <w:sz w:val="20"/>
                <w:szCs w:val="20"/>
              </w:rPr>
              <w:t>Category</w:t>
            </w:r>
          </w:p>
        </w:tc>
        <w:tc>
          <w:tcPr>
            <w:tcW w:w="1600" w:type="dxa"/>
            <w:shd w:val="clear" w:color="auto" w:fill="1F3864"/>
            <w:tcMar>
              <w:top w:w="80" w:type="dxa"/>
              <w:left w:w="100" w:type="dxa"/>
              <w:bottom w:w="80" w:type="dxa"/>
              <w:right w:w="100" w:type="dxa"/>
            </w:tcMar>
          </w:tcPr>
          <w:p w14:paraId="266F6950" w14:textId="77777777" w:rsidR="00DD2ACB" w:rsidRPr="00FD5C49" w:rsidRDefault="00000000">
            <w:pPr>
              <w:rPr>
                <w:rFonts w:asciiTheme="minorHAnsi" w:hAnsiTheme="minorHAnsi" w:cstheme="minorHAnsi"/>
                <w:sz w:val="20"/>
                <w:szCs w:val="20"/>
              </w:rPr>
            </w:pPr>
            <w:r w:rsidRPr="00FD5C49">
              <w:rPr>
                <w:rFonts w:asciiTheme="minorHAnsi" w:hAnsiTheme="minorHAnsi" w:cstheme="minorHAnsi"/>
                <w:b/>
                <w:bCs/>
                <w:color w:val="FFFFFF"/>
                <w:sz w:val="20"/>
                <w:szCs w:val="20"/>
              </w:rPr>
              <w:t>Avg Lead Time (days)</w:t>
            </w:r>
          </w:p>
        </w:tc>
        <w:tc>
          <w:tcPr>
            <w:tcW w:w="1600" w:type="dxa"/>
            <w:shd w:val="clear" w:color="auto" w:fill="1F3864"/>
            <w:tcMar>
              <w:top w:w="80" w:type="dxa"/>
              <w:left w:w="100" w:type="dxa"/>
              <w:bottom w:w="80" w:type="dxa"/>
              <w:right w:w="100" w:type="dxa"/>
            </w:tcMar>
          </w:tcPr>
          <w:p w14:paraId="1B27E234" w14:textId="77777777" w:rsidR="00DD2ACB" w:rsidRPr="00FD5C49" w:rsidRDefault="00000000">
            <w:pPr>
              <w:rPr>
                <w:rFonts w:asciiTheme="minorHAnsi" w:hAnsiTheme="minorHAnsi" w:cstheme="minorHAnsi"/>
                <w:sz w:val="20"/>
                <w:szCs w:val="20"/>
              </w:rPr>
            </w:pPr>
            <w:r w:rsidRPr="00FD5C49">
              <w:rPr>
                <w:rFonts w:asciiTheme="minorHAnsi" w:hAnsiTheme="minorHAnsi" w:cstheme="minorHAnsi"/>
                <w:b/>
                <w:bCs/>
                <w:color w:val="FFFFFF"/>
                <w:sz w:val="20"/>
                <w:szCs w:val="20"/>
              </w:rPr>
              <w:t>Safety Buffer (days)</w:t>
            </w:r>
          </w:p>
        </w:tc>
        <w:tc>
          <w:tcPr>
            <w:tcW w:w="1600" w:type="dxa"/>
            <w:shd w:val="clear" w:color="auto" w:fill="1F3864"/>
            <w:tcMar>
              <w:top w:w="80" w:type="dxa"/>
              <w:left w:w="100" w:type="dxa"/>
              <w:bottom w:w="80" w:type="dxa"/>
              <w:right w:w="100" w:type="dxa"/>
            </w:tcMar>
          </w:tcPr>
          <w:p w14:paraId="641DAAF2" w14:textId="77777777" w:rsidR="00DD2ACB" w:rsidRPr="00FD5C49" w:rsidRDefault="00000000">
            <w:pPr>
              <w:rPr>
                <w:rFonts w:asciiTheme="minorHAnsi" w:hAnsiTheme="minorHAnsi" w:cstheme="minorHAnsi"/>
                <w:sz w:val="20"/>
                <w:szCs w:val="20"/>
              </w:rPr>
            </w:pPr>
            <w:r w:rsidRPr="00FD5C49">
              <w:rPr>
                <w:rFonts w:asciiTheme="minorHAnsi" w:hAnsiTheme="minorHAnsi" w:cstheme="minorHAnsi"/>
                <w:b/>
                <w:bCs/>
                <w:color w:val="FFFFFF"/>
                <w:sz w:val="20"/>
                <w:szCs w:val="20"/>
              </w:rPr>
              <w:t>% Slow-Moving</w:t>
            </w:r>
          </w:p>
        </w:tc>
        <w:tc>
          <w:tcPr>
            <w:tcW w:w="2260" w:type="dxa"/>
            <w:shd w:val="clear" w:color="auto" w:fill="1F3864"/>
            <w:tcMar>
              <w:top w:w="80" w:type="dxa"/>
              <w:left w:w="100" w:type="dxa"/>
              <w:bottom w:w="80" w:type="dxa"/>
              <w:right w:w="100" w:type="dxa"/>
            </w:tcMar>
          </w:tcPr>
          <w:p w14:paraId="6133FFBF" w14:textId="77777777" w:rsidR="00DD2ACB" w:rsidRPr="00FD5C49" w:rsidRDefault="00000000">
            <w:pPr>
              <w:rPr>
                <w:rFonts w:asciiTheme="minorHAnsi" w:hAnsiTheme="minorHAnsi" w:cstheme="minorHAnsi"/>
                <w:sz w:val="20"/>
                <w:szCs w:val="20"/>
              </w:rPr>
            </w:pPr>
            <w:r w:rsidRPr="00FD5C49">
              <w:rPr>
                <w:rFonts w:asciiTheme="minorHAnsi" w:hAnsiTheme="minorHAnsi" w:cstheme="minorHAnsi"/>
                <w:b/>
                <w:bCs/>
                <w:color w:val="FFFFFF"/>
                <w:sz w:val="20"/>
                <w:szCs w:val="20"/>
              </w:rPr>
              <w:t>Recommended PO Date</w:t>
            </w:r>
          </w:p>
        </w:tc>
      </w:tr>
      <w:tr w:rsidR="00DD2ACB" w14:paraId="51E38567"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193257BA" w14:textId="77777777" w:rsidR="00DD2ACB" w:rsidRPr="00FD5C49" w:rsidRDefault="00000000">
            <w:pPr>
              <w:rPr>
                <w:rFonts w:asciiTheme="minorHAnsi" w:hAnsiTheme="minorHAnsi" w:cstheme="minorHAnsi"/>
                <w:sz w:val="20"/>
                <w:szCs w:val="20"/>
              </w:rPr>
            </w:pPr>
            <w:r w:rsidRPr="00FD5C49">
              <w:rPr>
                <w:rFonts w:asciiTheme="minorHAnsi" w:hAnsiTheme="minorHAnsi" w:cstheme="minorHAnsi"/>
                <w:b/>
                <w:bCs/>
                <w:color w:val="222222"/>
                <w:sz w:val="20"/>
                <w:szCs w:val="20"/>
              </w:rPr>
              <w:t>Mechanical</w:t>
            </w:r>
          </w:p>
        </w:tc>
        <w:tc>
          <w:tcPr>
            <w:tcW w:w="1600" w:type="dxa"/>
            <w:shd w:val="clear" w:color="auto" w:fill="FFFFFF"/>
            <w:tcMar>
              <w:top w:w="70" w:type="dxa"/>
              <w:left w:w="100" w:type="dxa"/>
              <w:bottom w:w="70" w:type="dxa"/>
              <w:right w:w="100" w:type="dxa"/>
            </w:tcMar>
          </w:tcPr>
          <w:p w14:paraId="3B5C28F4"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193.8</w:t>
            </w:r>
          </w:p>
        </w:tc>
        <w:tc>
          <w:tcPr>
            <w:tcW w:w="1600" w:type="dxa"/>
            <w:shd w:val="clear" w:color="auto" w:fill="FFFFFF"/>
            <w:tcMar>
              <w:top w:w="70" w:type="dxa"/>
              <w:left w:w="100" w:type="dxa"/>
              <w:bottom w:w="70" w:type="dxa"/>
              <w:right w:w="100" w:type="dxa"/>
            </w:tcMar>
          </w:tcPr>
          <w:p w14:paraId="599BDCD3"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76</w:t>
            </w:r>
          </w:p>
        </w:tc>
        <w:tc>
          <w:tcPr>
            <w:tcW w:w="1600" w:type="dxa"/>
            <w:shd w:val="clear" w:color="auto" w:fill="FFFFFF"/>
            <w:tcMar>
              <w:top w:w="70" w:type="dxa"/>
              <w:left w:w="100" w:type="dxa"/>
              <w:bottom w:w="70" w:type="dxa"/>
              <w:right w:w="100" w:type="dxa"/>
            </w:tcMar>
          </w:tcPr>
          <w:p w14:paraId="4B736FBB"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b/>
                <w:bCs/>
                <w:color w:val="C00000"/>
                <w:sz w:val="20"/>
                <w:szCs w:val="20"/>
              </w:rPr>
              <w:t>37.5%</w:t>
            </w:r>
          </w:p>
        </w:tc>
        <w:tc>
          <w:tcPr>
            <w:tcW w:w="2260" w:type="dxa"/>
            <w:shd w:val="clear" w:color="auto" w:fill="FFFFFF"/>
            <w:tcMar>
              <w:top w:w="70" w:type="dxa"/>
              <w:left w:w="100" w:type="dxa"/>
              <w:bottom w:w="70" w:type="dxa"/>
              <w:right w:w="100" w:type="dxa"/>
            </w:tcMar>
          </w:tcPr>
          <w:p w14:paraId="2692340C"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14-Dec-2026</w:t>
            </w:r>
          </w:p>
        </w:tc>
      </w:tr>
      <w:tr w:rsidR="00DD2ACB" w14:paraId="36A3ED57" w14:textId="77777777">
        <w:tblPrEx>
          <w:tblCellMar>
            <w:top w:w="0" w:type="dxa"/>
            <w:bottom w:w="0" w:type="dxa"/>
          </w:tblCellMar>
        </w:tblPrEx>
        <w:tc>
          <w:tcPr>
            <w:tcW w:w="2400" w:type="dxa"/>
            <w:shd w:val="clear" w:color="auto" w:fill="F2F2F2"/>
            <w:tcMar>
              <w:top w:w="70" w:type="dxa"/>
              <w:left w:w="100" w:type="dxa"/>
              <w:bottom w:w="70" w:type="dxa"/>
              <w:right w:w="100" w:type="dxa"/>
            </w:tcMar>
          </w:tcPr>
          <w:p w14:paraId="2081A07A" w14:textId="77777777" w:rsidR="00DD2ACB" w:rsidRPr="00FD5C49" w:rsidRDefault="00000000">
            <w:pPr>
              <w:rPr>
                <w:rFonts w:asciiTheme="minorHAnsi" w:hAnsiTheme="minorHAnsi" w:cstheme="minorHAnsi"/>
                <w:sz w:val="20"/>
                <w:szCs w:val="20"/>
              </w:rPr>
            </w:pPr>
            <w:r w:rsidRPr="00FD5C49">
              <w:rPr>
                <w:rFonts w:asciiTheme="minorHAnsi" w:hAnsiTheme="minorHAnsi" w:cstheme="minorHAnsi"/>
                <w:b/>
                <w:bCs/>
                <w:color w:val="222222"/>
                <w:sz w:val="20"/>
                <w:szCs w:val="20"/>
              </w:rPr>
              <w:t>Civil</w:t>
            </w:r>
          </w:p>
        </w:tc>
        <w:tc>
          <w:tcPr>
            <w:tcW w:w="1600" w:type="dxa"/>
            <w:shd w:val="clear" w:color="auto" w:fill="F2F2F2"/>
            <w:tcMar>
              <w:top w:w="70" w:type="dxa"/>
              <w:left w:w="100" w:type="dxa"/>
              <w:bottom w:w="70" w:type="dxa"/>
              <w:right w:w="100" w:type="dxa"/>
            </w:tcMar>
          </w:tcPr>
          <w:p w14:paraId="27F63CEB"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163.7</w:t>
            </w:r>
          </w:p>
        </w:tc>
        <w:tc>
          <w:tcPr>
            <w:tcW w:w="1600" w:type="dxa"/>
            <w:shd w:val="clear" w:color="auto" w:fill="F2F2F2"/>
            <w:tcMar>
              <w:top w:w="70" w:type="dxa"/>
              <w:left w:w="100" w:type="dxa"/>
              <w:bottom w:w="70" w:type="dxa"/>
              <w:right w:w="100" w:type="dxa"/>
            </w:tcMar>
          </w:tcPr>
          <w:p w14:paraId="2C8BB99F"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49</w:t>
            </w:r>
          </w:p>
        </w:tc>
        <w:tc>
          <w:tcPr>
            <w:tcW w:w="1600" w:type="dxa"/>
            <w:shd w:val="clear" w:color="auto" w:fill="F2F2F2"/>
            <w:tcMar>
              <w:top w:w="70" w:type="dxa"/>
              <w:left w:w="100" w:type="dxa"/>
              <w:bottom w:w="70" w:type="dxa"/>
              <w:right w:w="100" w:type="dxa"/>
            </w:tcMar>
          </w:tcPr>
          <w:p w14:paraId="075CCFB9"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b/>
                <w:bCs/>
                <w:color w:val="C00000"/>
                <w:sz w:val="20"/>
                <w:szCs w:val="20"/>
              </w:rPr>
              <w:t>100.0%</w:t>
            </w:r>
          </w:p>
        </w:tc>
        <w:tc>
          <w:tcPr>
            <w:tcW w:w="2260" w:type="dxa"/>
            <w:shd w:val="clear" w:color="auto" w:fill="F2F2F2"/>
            <w:tcMar>
              <w:top w:w="70" w:type="dxa"/>
              <w:left w:w="100" w:type="dxa"/>
              <w:bottom w:w="70" w:type="dxa"/>
              <w:right w:w="100" w:type="dxa"/>
            </w:tcMar>
          </w:tcPr>
          <w:p w14:paraId="0E99A036"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09-Feb-2027</w:t>
            </w:r>
          </w:p>
        </w:tc>
      </w:tr>
      <w:tr w:rsidR="00DD2ACB" w14:paraId="60BF0239"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49D50583" w14:textId="77777777" w:rsidR="00DD2ACB" w:rsidRPr="00FD5C49" w:rsidRDefault="00000000">
            <w:pPr>
              <w:rPr>
                <w:rFonts w:asciiTheme="minorHAnsi" w:hAnsiTheme="minorHAnsi" w:cstheme="minorHAnsi"/>
                <w:sz w:val="20"/>
                <w:szCs w:val="20"/>
              </w:rPr>
            </w:pPr>
            <w:r w:rsidRPr="00FD5C49">
              <w:rPr>
                <w:rFonts w:asciiTheme="minorHAnsi" w:hAnsiTheme="minorHAnsi" w:cstheme="minorHAnsi"/>
                <w:b/>
                <w:bCs/>
                <w:color w:val="222222"/>
                <w:sz w:val="20"/>
                <w:szCs w:val="20"/>
              </w:rPr>
              <w:t>Piping</w:t>
            </w:r>
          </w:p>
        </w:tc>
        <w:tc>
          <w:tcPr>
            <w:tcW w:w="1600" w:type="dxa"/>
            <w:shd w:val="clear" w:color="auto" w:fill="FFFFFF"/>
            <w:tcMar>
              <w:top w:w="70" w:type="dxa"/>
              <w:left w:w="100" w:type="dxa"/>
              <w:bottom w:w="70" w:type="dxa"/>
              <w:right w:w="100" w:type="dxa"/>
            </w:tcMar>
          </w:tcPr>
          <w:p w14:paraId="0C414371"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139.8</w:t>
            </w:r>
          </w:p>
        </w:tc>
        <w:tc>
          <w:tcPr>
            <w:tcW w:w="1600" w:type="dxa"/>
            <w:shd w:val="clear" w:color="auto" w:fill="FFFFFF"/>
            <w:tcMar>
              <w:top w:w="70" w:type="dxa"/>
              <w:left w:w="100" w:type="dxa"/>
              <w:bottom w:w="70" w:type="dxa"/>
              <w:right w:w="100" w:type="dxa"/>
            </w:tcMar>
          </w:tcPr>
          <w:p w14:paraId="3EC4F927"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51</w:t>
            </w:r>
          </w:p>
        </w:tc>
        <w:tc>
          <w:tcPr>
            <w:tcW w:w="1600" w:type="dxa"/>
            <w:shd w:val="clear" w:color="auto" w:fill="FFFFFF"/>
            <w:tcMar>
              <w:top w:w="70" w:type="dxa"/>
              <w:left w:w="100" w:type="dxa"/>
              <w:bottom w:w="70" w:type="dxa"/>
              <w:right w:w="100" w:type="dxa"/>
            </w:tcMar>
          </w:tcPr>
          <w:p w14:paraId="2597225D"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b/>
                <w:bCs/>
                <w:color w:val="C00000"/>
                <w:sz w:val="20"/>
                <w:szCs w:val="20"/>
              </w:rPr>
              <w:t>67.5%</w:t>
            </w:r>
          </w:p>
        </w:tc>
        <w:tc>
          <w:tcPr>
            <w:tcW w:w="2260" w:type="dxa"/>
            <w:shd w:val="clear" w:color="auto" w:fill="FFFFFF"/>
            <w:tcMar>
              <w:top w:w="70" w:type="dxa"/>
              <w:left w:w="100" w:type="dxa"/>
              <w:bottom w:w="70" w:type="dxa"/>
              <w:right w:w="100" w:type="dxa"/>
            </w:tcMar>
          </w:tcPr>
          <w:p w14:paraId="320E116B"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03-Mar-2027</w:t>
            </w:r>
          </w:p>
        </w:tc>
      </w:tr>
      <w:tr w:rsidR="00DD2ACB" w14:paraId="02365539" w14:textId="77777777">
        <w:tblPrEx>
          <w:tblCellMar>
            <w:top w:w="0" w:type="dxa"/>
            <w:bottom w:w="0" w:type="dxa"/>
          </w:tblCellMar>
        </w:tblPrEx>
        <w:tc>
          <w:tcPr>
            <w:tcW w:w="2400" w:type="dxa"/>
            <w:shd w:val="clear" w:color="auto" w:fill="F2F2F2"/>
            <w:tcMar>
              <w:top w:w="70" w:type="dxa"/>
              <w:left w:w="100" w:type="dxa"/>
              <w:bottom w:w="70" w:type="dxa"/>
              <w:right w:w="100" w:type="dxa"/>
            </w:tcMar>
          </w:tcPr>
          <w:p w14:paraId="1AC52212" w14:textId="77777777" w:rsidR="00DD2ACB" w:rsidRPr="00FD5C49" w:rsidRDefault="00000000">
            <w:pPr>
              <w:rPr>
                <w:rFonts w:asciiTheme="minorHAnsi" w:hAnsiTheme="minorHAnsi" w:cstheme="minorHAnsi"/>
                <w:sz w:val="20"/>
                <w:szCs w:val="20"/>
              </w:rPr>
            </w:pPr>
            <w:r w:rsidRPr="00FD5C49">
              <w:rPr>
                <w:rFonts w:asciiTheme="minorHAnsi" w:hAnsiTheme="minorHAnsi" w:cstheme="minorHAnsi"/>
                <w:b/>
                <w:bCs/>
                <w:color w:val="222222"/>
                <w:sz w:val="20"/>
                <w:szCs w:val="20"/>
              </w:rPr>
              <w:t>Instrumentation</w:t>
            </w:r>
          </w:p>
        </w:tc>
        <w:tc>
          <w:tcPr>
            <w:tcW w:w="1600" w:type="dxa"/>
            <w:shd w:val="clear" w:color="auto" w:fill="F2F2F2"/>
            <w:tcMar>
              <w:top w:w="70" w:type="dxa"/>
              <w:left w:w="100" w:type="dxa"/>
              <w:bottom w:w="70" w:type="dxa"/>
              <w:right w:w="100" w:type="dxa"/>
            </w:tcMar>
          </w:tcPr>
          <w:p w14:paraId="17B8CC75"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136.5</w:t>
            </w:r>
          </w:p>
        </w:tc>
        <w:tc>
          <w:tcPr>
            <w:tcW w:w="1600" w:type="dxa"/>
            <w:shd w:val="clear" w:color="auto" w:fill="F2F2F2"/>
            <w:tcMar>
              <w:top w:w="70" w:type="dxa"/>
              <w:left w:w="100" w:type="dxa"/>
              <w:bottom w:w="70" w:type="dxa"/>
              <w:right w:w="100" w:type="dxa"/>
            </w:tcMar>
          </w:tcPr>
          <w:p w14:paraId="278855A9"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42</w:t>
            </w:r>
          </w:p>
        </w:tc>
        <w:tc>
          <w:tcPr>
            <w:tcW w:w="1600" w:type="dxa"/>
            <w:shd w:val="clear" w:color="auto" w:fill="F2F2F2"/>
            <w:tcMar>
              <w:top w:w="70" w:type="dxa"/>
              <w:left w:w="100" w:type="dxa"/>
              <w:bottom w:w="70" w:type="dxa"/>
              <w:right w:w="100" w:type="dxa"/>
            </w:tcMar>
          </w:tcPr>
          <w:p w14:paraId="344AEDDE"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32.0%</w:t>
            </w:r>
          </w:p>
        </w:tc>
        <w:tc>
          <w:tcPr>
            <w:tcW w:w="2260" w:type="dxa"/>
            <w:shd w:val="clear" w:color="auto" w:fill="F2F2F2"/>
            <w:tcMar>
              <w:top w:w="70" w:type="dxa"/>
              <w:left w:w="100" w:type="dxa"/>
              <w:bottom w:w="70" w:type="dxa"/>
              <w:right w:w="100" w:type="dxa"/>
            </w:tcMar>
          </w:tcPr>
          <w:p w14:paraId="39941D57"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15-Mar-2027</w:t>
            </w:r>
          </w:p>
        </w:tc>
      </w:tr>
      <w:tr w:rsidR="00DD2ACB" w14:paraId="33DDBDBF"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79700B2C" w14:textId="77777777" w:rsidR="00DD2ACB" w:rsidRPr="00FD5C49" w:rsidRDefault="00000000">
            <w:pPr>
              <w:rPr>
                <w:rFonts w:asciiTheme="minorHAnsi" w:hAnsiTheme="minorHAnsi" w:cstheme="minorHAnsi"/>
                <w:sz w:val="20"/>
                <w:szCs w:val="20"/>
              </w:rPr>
            </w:pPr>
            <w:r w:rsidRPr="00FD5C49">
              <w:rPr>
                <w:rFonts w:asciiTheme="minorHAnsi" w:hAnsiTheme="minorHAnsi" w:cstheme="minorHAnsi"/>
                <w:b/>
                <w:bCs/>
                <w:color w:val="222222"/>
                <w:sz w:val="20"/>
                <w:szCs w:val="20"/>
              </w:rPr>
              <w:t>HVAC</w:t>
            </w:r>
          </w:p>
        </w:tc>
        <w:tc>
          <w:tcPr>
            <w:tcW w:w="1600" w:type="dxa"/>
            <w:shd w:val="clear" w:color="auto" w:fill="FFFFFF"/>
            <w:tcMar>
              <w:top w:w="70" w:type="dxa"/>
              <w:left w:w="100" w:type="dxa"/>
              <w:bottom w:w="70" w:type="dxa"/>
              <w:right w:w="100" w:type="dxa"/>
            </w:tcMar>
          </w:tcPr>
          <w:p w14:paraId="5A69A247"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112.9</w:t>
            </w:r>
          </w:p>
        </w:tc>
        <w:tc>
          <w:tcPr>
            <w:tcW w:w="1600" w:type="dxa"/>
            <w:shd w:val="clear" w:color="auto" w:fill="FFFFFF"/>
            <w:tcMar>
              <w:top w:w="70" w:type="dxa"/>
              <w:left w:w="100" w:type="dxa"/>
              <w:bottom w:w="70" w:type="dxa"/>
              <w:right w:w="100" w:type="dxa"/>
            </w:tcMar>
          </w:tcPr>
          <w:p w14:paraId="218361F9"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43</w:t>
            </w:r>
          </w:p>
        </w:tc>
        <w:tc>
          <w:tcPr>
            <w:tcW w:w="1600" w:type="dxa"/>
            <w:shd w:val="clear" w:color="auto" w:fill="FFFFFF"/>
            <w:tcMar>
              <w:top w:w="70" w:type="dxa"/>
              <w:left w:w="100" w:type="dxa"/>
              <w:bottom w:w="70" w:type="dxa"/>
              <w:right w:w="100" w:type="dxa"/>
            </w:tcMar>
          </w:tcPr>
          <w:p w14:paraId="485261AD"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13.3%</w:t>
            </w:r>
          </w:p>
        </w:tc>
        <w:tc>
          <w:tcPr>
            <w:tcW w:w="2260" w:type="dxa"/>
            <w:shd w:val="clear" w:color="auto" w:fill="FFFFFF"/>
            <w:tcMar>
              <w:top w:w="70" w:type="dxa"/>
              <w:left w:w="100" w:type="dxa"/>
              <w:bottom w:w="70" w:type="dxa"/>
              <w:right w:w="100" w:type="dxa"/>
            </w:tcMar>
          </w:tcPr>
          <w:p w14:paraId="1B7A09FC"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07-Apr-2027</w:t>
            </w:r>
          </w:p>
        </w:tc>
      </w:tr>
      <w:tr w:rsidR="00DD2ACB" w14:paraId="6B3A8862" w14:textId="77777777">
        <w:tblPrEx>
          <w:tblCellMar>
            <w:top w:w="0" w:type="dxa"/>
            <w:bottom w:w="0" w:type="dxa"/>
          </w:tblCellMar>
        </w:tblPrEx>
        <w:tc>
          <w:tcPr>
            <w:tcW w:w="2400" w:type="dxa"/>
            <w:shd w:val="clear" w:color="auto" w:fill="F2F2F2"/>
            <w:tcMar>
              <w:top w:w="70" w:type="dxa"/>
              <w:left w:w="100" w:type="dxa"/>
              <w:bottom w:w="70" w:type="dxa"/>
              <w:right w:w="100" w:type="dxa"/>
            </w:tcMar>
          </w:tcPr>
          <w:p w14:paraId="5CC520E0" w14:textId="77777777" w:rsidR="00DD2ACB" w:rsidRPr="00FD5C49" w:rsidRDefault="00000000">
            <w:pPr>
              <w:rPr>
                <w:rFonts w:asciiTheme="minorHAnsi" w:hAnsiTheme="minorHAnsi" w:cstheme="minorHAnsi"/>
                <w:sz w:val="20"/>
                <w:szCs w:val="20"/>
              </w:rPr>
            </w:pPr>
            <w:r w:rsidRPr="00FD5C49">
              <w:rPr>
                <w:rFonts w:asciiTheme="minorHAnsi" w:hAnsiTheme="minorHAnsi" w:cstheme="minorHAnsi"/>
                <w:b/>
                <w:bCs/>
                <w:color w:val="222222"/>
                <w:sz w:val="20"/>
                <w:szCs w:val="20"/>
              </w:rPr>
              <w:t>Electrical</w:t>
            </w:r>
          </w:p>
        </w:tc>
        <w:tc>
          <w:tcPr>
            <w:tcW w:w="1600" w:type="dxa"/>
            <w:shd w:val="clear" w:color="auto" w:fill="F2F2F2"/>
            <w:tcMar>
              <w:top w:w="70" w:type="dxa"/>
              <w:left w:w="100" w:type="dxa"/>
              <w:bottom w:w="70" w:type="dxa"/>
              <w:right w:w="100" w:type="dxa"/>
            </w:tcMar>
          </w:tcPr>
          <w:p w14:paraId="118B1F13"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109.8</w:t>
            </w:r>
          </w:p>
        </w:tc>
        <w:tc>
          <w:tcPr>
            <w:tcW w:w="1600" w:type="dxa"/>
            <w:shd w:val="clear" w:color="auto" w:fill="F2F2F2"/>
            <w:tcMar>
              <w:top w:w="70" w:type="dxa"/>
              <w:left w:w="100" w:type="dxa"/>
              <w:bottom w:w="70" w:type="dxa"/>
              <w:right w:w="100" w:type="dxa"/>
            </w:tcMar>
          </w:tcPr>
          <w:p w14:paraId="2133CC62"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42</w:t>
            </w:r>
          </w:p>
        </w:tc>
        <w:tc>
          <w:tcPr>
            <w:tcW w:w="1600" w:type="dxa"/>
            <w:shd w:val="clear" w:color="auto" w:fill="F2F2F2"/>
            <w:tcMar>
              <w:top w:w="70" w:type="dxa"/>
              <w:left w:w="100" w:type="dxa"/>
              <w:bottom w:w="70" w:type="dxa"/>
              <w:right w:w="100" w:type="dxa"/>
            </w:tcMar>
          </w:tcPr>
          <w:p w14:paraId="5B349315"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12.5%</w:t>
            </w:r>
          </w:p>
        </w:tc>
        <w:tc>
          <w:tcPr>
            <w:tcW w:w="2260" w:type="dxa"/>
            <w:shd w:val="clear" w:color="auto" w:fill="F2F2F2"/>
            <w:tcMar>
              <w:top w:w="70" w:type="dxa"/>
              <w:left w:w="100" w:type="dxa"/>
              <w:bottom w:w="70" w:type="dxa"/>
              <w:right w:w="100" w:type="dxa"/>
            </w:tcMar>
          </w:tcPr>
          <w:p w14:paraId="0AFB7169"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11-Apr-2027</w:t>
            </w:r>
          </w:p>
        </w:tc>
      </w:tr>
      <w:tr w:rsidR="00DD2ACB" w14:paraId="7B4CE752"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3F8EFD21" w14:textId="77777777" w:rsidR="00DD2ACB" w:rsidRPr="00FD5C49" w:rsidRDefault="00000000">
            <w:pPr>
              <w:rPr>
                <w:rFonts w:asciiTheme="minorHAnsi" w:hAnsiTheme="minorHAnsi" w:cstheme="minorHAnsi"/>
                <w:sz w:val="20"/>
                <w:szCs w:val="20"/>
              </w:rPr>
            </w:pPr>
            <w:r w:rsidRPr="00FD5C49">
              <w:rPr>
                <w:rFonts w:asciiTheme="minorHAnsi" w:hAnsiTheme="minorHAnsi" w:cstheme="minorHAnsi"/>
                <w:b/>
                <w:bCs/>
                <w:color w:val="222222"/>
                <w:sz w:val="20"/>
                <w:szCs w:val="20"/>
              </w:rPr>
              <w:t>Chemical</w:t>
            </w:r>
          </w:p>
        </w:tc>
        <w:tc>
          <w:tcPr>
            <w:tcW w:w="1600" w:type="dxa"/>
            <w:shd w:val="clear" w:color="auto" w:fill="FFFFFF"/>
            <w:tcMar>
              <w:top w:w="70" w:type="dxa"/>
              <w:left w:w="100" w:type="dxa"/>
              <w:bottom w:w="70" w:type="dxa"/>
              <w:right w:w="100" w:type="dxa"/>
            </w:tcMar>
          </w:tcPr>
          <w:p w14:paraId="6B91B99F"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86.9</w:t>
            </w:r>
          </w:p>
        </w:tc>
        <w:tc>
          <w:tcPr>
            <w:tcW w:w="1600" w:type="dxa"/>
            <w:shd w:val="clear" w:color="auto" w:fill="FFFFFF"/>
            <w:tcMar>
              <w:top w:w="70" w:type="dxa"/>
              <w:left w:w="100" w:type="dxa"/>
              <w:bottom w:w="70" w:type="dxa"/>
              <w:right w:w="100" w:type="dxa"/>
            </w:tcMar>
          </w:tcPr>
          <w:p w14:paraId="508AF269"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37</w:t>
            </w:r>
          </w:p>
        </w:tc>
        <w:tc>
          <w:tcPr>
            <w:tcW w:w="1600" w:type="dxa"/>
            <w:shd w:val="clear" w:color="auto" w:fill="FFFFFF"/>
            <w:tcMar>
              <w:top w:w="70" w:type="dxa"/>
              <w:left w:w="100" w:type="dxa"/>
              <w:bottom w:w="70" w:type="dxa"/>
              <w:right w:w="100" w:type="dxa"/>
            </w:tcMar>
          </w:tcPr>
          <w:p w14:paraId="7D82847A"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25.0%</w:t>
            </w:r>
          </w:p>
        </w:tc>
        <w:tc>
          <w:tcPr>
            <w:tcW w:w="2260" w:type="dxa"/>
            <w:shd w:val="clear" w:color="auto" w:fill="FFFFFF"/>
            <w:tcMar>
              <w:top w:w="70" w:type="dxa"/>
              <w:left w:w="100" w:type="dxa"/>
              <w:bottom w:w="70" w:type="dxa"/>
              <w:right w:w="100" w:type="dxa"/>
            </w:tcMar>
          </w:tcPr>
          <w:p w14:paraId="13213076"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09-May-2027</w:t>
            </w:r>
          </w:p>
        </w:tc>
      </w:tr>
      <w:tr w:rsidR="00DD2ACB" w14:paraId="34E6ECD4" w14:textId="77777777">
        <w:tblPrEx>
          <w:tblCellMar>
            <w:top w:w="0" w:type="dxa"/>
            <w:bottom w:w="0" w:type="dxa"/>
          </w:tblCellMar>
        </w:tblPrEx>
        <w:tc>
          <w:tcPr>
            <w:tcW w:w="2400" w:type="dxa"/>
            <w:shd w:val="clear" w:color="auto" w:fill="F2F2F2"/>
            <w:tcMar>
              <w:top w:w="70" w:type="dxa"/>
              <w:left w:w="100" w:type="dxa"/>
              <w:bottom w:w="70" w:type="dxa"/>
              <w:right w:w="100" w:type="dxa"/>
            </w:tcMar>
          </w:tcPr>
          <w:p w14:paraId="5053276E" w14:textId="77777777" w:rsidR="00DD2ACB" w:rsidRPr="00FD5C49" w:rsidRDefault="00000000">
            <w:pPr>
              <w:rPr>
                <w:rFonts w:asciiTheme="minorHAnsi" w:hAnsiTheme="minorHAnsi" w:cstheme="minorHAnsi"/>
                <w:sz w:val="20"/>
                <w:szCs w:val="20"/>
              </w:rPr>
            </w:pPr>
            <w:r w:rsidRPr="00FD5C49">
              <w:rPr>
                <w:rFonts w:asciiTheme="minorHAnsi" w:hAnsiTheme="minorHAnsi" w:cstheme="minorHAnsi"/>
                <w:b/>
                <w:bCs/>
                <w:color w:val="222222"/>
                <w:sz w:val="20"/>
                <w:szCs w:val="20"/>
              </w:rPr>
              <w:t>Utility</w:t>
            </w:r>
          </w:p>
        </w:tc>
        <w:tc>
          <w:tcPr>
            <w:tcW w:w="1600" w:type="dxa"/>
            <w:shd w:val="clear" w:color="auto" w:fill="F2F2F2"/>
            <w:tcMar>
              <w:top w:w="70" w:type="dxa"/>
              <w:left w:w="100" w:type="dxa"/>
              <w:bottom w:w="70" w:type="dxa"/>
              <w:right w:w="100" w:type="dxa"/>
            </w:tcMar>
          </w:tcPr>
          <w:p w14:paraId="211C7D81"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86.0</w:t>
            </w:r>
          </w:p>
        </w:tc>
        <w:tc>
          <w:tcPr>
            <w:tcW w:w="1600" w:type="dxa"/>
            <w:shd w:val="clear" w:color="auto" w:fill="F2F2F2"/>
            <w:tcMar>
              <w:top w:w="70" w:type="dxa"/>
              <w:left w:w="100" w:type="dxa"/>
              <w:bottom w:w="70" w:type="dxa"/>
              <w:right w:w="100" w:type="dxa"/>
            </w:tcMar>
          </w:tcPr>
          <w:p w14:paraId="5D078FD5"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34</w:t>
            </w:r>
          </w:p>
        </w:tc>
        <w:tc>
          <w:tcPr>
            <w:tcW w:w="1600" w:type="dxa"/>
            <w:shd w:val="clear" w:color="auto" w:fill="F2F2F2"/>
            <w:tcMar>
              <w:top w:w="70" w:type="dxa"/>
              <w:left w:w="100" w:type="dxa"/>
              <w:bottom w:w="70" w:type="dxa"/>
              <w:right w:w="100" w:type="dxa"/>
            </w:tcMar>
          </w:tcPr>
          <w:p w14:paraId="0625D3A5"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b/>
                <w:bCs/>
                <w:color w:val="C00000"/>
                <w:sz w:val="20"/>
                <w:szCs w:val="20"/>
              </w:rPr>
              <w:t>40.0%</w:t>
            </w:r>
          </w:p>
        </w:tc>
        <w:tc>
          <w:tcPr>
            <w:tcW w:w="2260" w:type="dxa"/>
            <w:shd w:val="clear" w:color="auto" w:fill="F2F2F2"/>
            <w:tcMar>
              <w:top w:w="70" w:type="dxa"/>
              <w:left w:w="100" w:type="dxa"/>
              <w:bottom w:w="70" w:type="dxa"/>
              <w:right w:w="100" w:type="dxa"/>
            </w:tcMar>
          </w:tcPr>
          <w:p w14:paraId="74351EAE"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13-May-2027</w:t>
            </w:r>
          </w:p>
        </w:tc>
      </w:tr>
      <w:tr w:rsidR="00DD2ACB" w14:paraId="0FE1AC8F"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1A183EFC" w14:textId="77777777" w:rsidR="00DD2ACB" w:rsidRPr="00FD5C49" w:rsidRDefault="00000000">
            <w:pPr>
              <w:rPr>
                <w:rFonts w:asciiTheme="minorHAnsi" w:hAnsiTheme="minorHAnsi" w:cstheme="minorHAnsi"/>
                <w:sz w:val="20"/>
                <w:szCs w:val="20"/>
              </w:rPr>
            </w:pPr>
            <w:r w:rsidRPr="00FD5C49">
              <w:rPr>
                <w:rFonts w:asciiTheme="minorHAnsi" w:hAnsiTheme="minorHAnsi" w:cstheme="minorHAnsi"/>
                <w:b/>
                <w:bCs/>
                <w:color w:val="222222"/>
                <w:sz w:val="20"/>
                <w:szCs w:val="20"/>
              </w:rPr>
              <w:t>Safety</w:t>
            </w:r>
          </w:p>
        </w:tc>
        <w:tc>
          <w:tcPr>
            <w:tcW w:w="1600" w:type="dxa"/>
            <w:shd w:val="clear" w:color="auto" w:fill="FFFFFF"/>
            <w:tcMar>
              <w:top w:w="70" w:type="dxa"/>
              <w:left w:w="100" w:type="dxa"/>
              <w:bottom w:w="70" w:type="dxa"/>
              <w:right w:w="100" w:type="dxa"/>
            </w:tcMar>
          </w:tcPr>
          <w:p w14:paraId="2F350557"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63.6</w:t>
            </w:r>
          </w:p>
        </w:tc>
        <w:tc>
          <w:tcPr>
            <w:tcW w:w="1600" w:type="dxa"/>
            <w:shd w:val="clear" w:color="auto" w:fill="FFFFFF"/>
            <w:tcMar>
              <w:top w:w="70" w:type="dxa"/>
              <w:left w:w="100" w:type="dxa"/>
              <w:bottom w:w="70" w:type="dxa"/>
              <w:right w:w="100" w:type="dxa"/>
            </w:tcMar>
          </w:tcPr>
          <w:p w14:paraId="201AB280"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30</w:t>
            </w:r>
          </w:p>
        </w:tc>
        <w:tc>
          <w:tcPr>
            <w:tcW w:w="1600" w:type="dxa"/>
            <w:shd w:val="clear" w:color="auto" w:fill="FFFFFF"/>
            <w:tcMar>
              <w:top w:w="70" w:type="dxa"/>
              <w:left w:w="100" w:type="dxa"/>
              <w:bottom w:w="70" w:type="dxa"/>
              <w:right w:w="100" w:type="dxa"/>
            </w:tcMar>
          </w:tcPr>
          <w:p w14:paraId="3B3E8E73"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10.0%</w:t>
            </w:r>
          </w:p>
        </w:tc>
        <w:tc>
          <w:tcPr>
            <w:tcW w:w="2260" w:type="dxa"/>
            <w:shd w:val="clear" w:color="auto" w:fill="FFFFFF"/>
            <w:tcMar>
              <w:top w:w="70" w:type="dxa"/>
              <w:left w:w="100" w:type="dxa"/>
              <w:bottom w:w="70" w:type="dxa"/>
              <w:right w:w="100" w:type="dxa"/>
            </w:tcMar>
          </w:tcPr>
          <w:p w14:paraId="69EBA339"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08-Jun-2027</w:t>
            </w:r>
          </w:p>
        </w:tc>
      </w:tr>
      <w:tr w:rsidR="00DD2ACB" w14:paraId="78A5C5DE" w14:textId="77777777">
        <w:tblPrEx>
          <w:tblCellMar>
            <w:top w:w="0" w:type="dxa"/>
            <w:bottom w:w="0" w:type="dxa"/>
          </w:tblCellMar>
        </w:tblPrEx>
        <w:tc>
          <w:tcPr>
            <w:tcW w:w="2400" w:type="dxa"/>
            <w:shd w:val="clear" w:color="auto" w:fill="F2F2F2"/>
            <w:tcMar>
              <w:top w:w="70" w:type="dxa"/>
              <w:left w:w="100" w:type="dxa"/>
              <w:bottom w:w="70" w:type="dxa"/>
              <w:right w:w="100" w:type="dxa"/>
            </w:tcMar>
          </w:tcPr>
          <w:p w14:paraId="5FA59E2C" w14:textId="77777777" w:rsidR="00DD2ACB" w:rsidRPr="00FD5C49" w:rsidRDefault="00000000">
            <w:pPr>
              <w:rPr>
                <w:rFonts w:asciiTheme="minorHAnsi" w:hAnsiTheme="minorHAnsi" w:cstheme="minorHAnsi"/>
                <w:sz w:val="20"/>
                <w:szCs w:val="20"/>
              </w:rPr>
            </w:pPr>
            <w:r w:rsidRPr="00FD5C49">
              <w:rPr>
                <w:rFonts w:asciiTheme="minorHAnsi" w:hAnsiTheme="minorHAnsi" w:cstheme="minorHAnsi"/>
                <w:b/>
                <w:bCs/>
                <w:color w:val="222222"/>
                <w:sz w:val="20"/>
                <w:szCs w:val="20"/>
              </w:rPr>
              <w:t>Lubrication</w:t>
            </w:r>
          </w:p>
        </w:tc>
        <w:tc>
          <w:tcPr>
            <w:tcW w:w="1600" w:type="dxa"/>
            <w:shd w:val="clear" w:color="auto" w:fill="F2F2F2"/>
            <w:tcMar>
              <w:top w:w="70" w:type="dxa"/>
              <w:left w:w="100" w:type="dxa"/>
              <w:bottom w:w="70" w:type="dxa"/>
              <w:right w:w="100" w:type="dxa"/>
            </w:tcMar>
          </w:tcPr>
          <w:p w14:paraId="6FB1EEF9"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39.1</w:t>
            </w:r>
          </w:p>
        </w:tc>
        <w:tc>
          <w:tcPr>
            <w:tcW w:w="1600" w:type="dxa"/>
            <w:shd w:val="clear" w:color="auto" w:fill="F2F2F2"/>
            <w:tcMar>
              <w:top w:w="70" w:type="dxa"/>
              <w:left w:w="100" w:type="dxa"/>
              <w:bottom w:w="70" w:type="dxa"/>
              <w:right w:w="100" w:type="dxa"/>
            </w:tcMar>
          </w:tcPr>
          <w:p w14:paraId="1829C35E"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23</w:t>
            </w:r>
          </w:p>
        </w:tc>
        <w:tc>
          <w:tcPr>
            <w:tcW w:w="1600" w:type="dxa"/>
            <w:shd w:val="clear" w:color="auto" w:fill="F2F2F2"/>
            <w:tcMar>
              <w:top w:w="70" w:type="dxa"/>
              <w:left w:w="100" w:type="dxa"/>
              <w:bottom w:w="70" w:type="dxa"/>
              <w:right w:w="100" w:type="dxa"/>
            </w:tcMar>
          </w:tcPr>
          <w:p w14:paraId="153898D6"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15.0%</w:t>
            </w:r>
          </w:p>
        </w:tc>
        <w:tc>
          <w:tcPr>
            <w:tcW w:w="2260" w:type="dxa"/>
            <w:shd w:val="clear" w:color="auto" w:fill="F2F2F2"/>
            <w:tcMar>
              <w:top w:w="70" w:type="dxa"/>
              <w:left w:w="100" w:type="dxa"/>
              <w:bottom w:w="70" w:type="dxa"/>
              <w:right w:w="100" w:type="dxa"/>
            </w:tcMar>
          </w:tcPr>
          <w:p w14:paraId="374BF93F" w14:textId="77777777" w:rsidR="00DD2ACB" w:rsidRPr="00FD5C49" w:rsidRDefault="00000000">
            <w:pPr>
              <w:jc w:val="center"/>
              <w:rPr>
                <w:rFonts w:asciiTheme="minorHAnsi" w:hAnsiTheme="minorHAnsi" w:cstheme="minorHAnsi"/>
                <w:sz w:val="20"/>
                <w:szCs w:val="20"/>
              </w:rPr>
            </w:pPr>
            <w:r w:rsidRPr="00FD5C49">
              <w:rPr>
                <w:rFonts w:asciiTheme="minorHAnsi" w:hAnsiTheme="minorHAnsi" w:cstheme="minorHAnsi"/>
                <w:color w:val="222222"/>
                <w:sz w:val="20"/>
                <w:szCs w:val="20"/>
              </w:rPr>
              <w:t>10-Jul-2027</w:t>
            </w:r>
          </w:p>
        </w:tc>
      </w:tr>
    </w:tbl>
    <w:p w14:paraId="0AA4C9A4" w14:textId="77777777" w:rsidR="00DD2ACB" w:rsidRDefault="00DD2ACB">
      <w:pPr>
        <w:spacing w:after="200"/>
      </w:pPr>
    </w:p>
    <w:p w14:paraId="6ED852F2" w14:textId="77777777" w:rsidR="00DD2ACB" w:rsidRPr="00B42571" w:rsidRDefault="00000000" w:rsidP="00B42571">
      <w:pPr>
        <w:spacing w:after="160" w:line="276" w:lineRule="auto"/>
        <w:jc w:val="both"/>
        <w:rPr>
          <w:sz w:val="22"/>
          <w:szCs w:val="22"/>
        </w:rPr>
      </w:pPr>
      <w:r w:rsidRPr="00B42571">
        <w:rPr>
          <w:color w:val="222222"/>
          <w:sz w:val="22"/>
          <w:szCs w:val="22"/>
        </w:rPr>
        <w:t xml:space="preserve">Rows shaded red under % Slow-Moving (≥35%) — </w:t>
      </w:r>
      <w:r w:rsidRPr="00B42571">
        <w:rPr>
          <w:b/>
          <w:bCs/>
          <w:color w:val="222222"/>
          <w:sz w:val="22"/>
          <w:szCs w:val="22"/>
        </w:rPr>
        <w:t>Mechanical (37.5%)</w:t>
      </w:r>
      <w:r w:rsidRPr="00B42571">
        <w:rPr>
          <w:color w:val="222222"/>
          <w:sz w:val="22"/>
          <w:szCs w:val="22"/>
        </w:rPr>
        <w:t xml:space="preserve"> and </w:t>
      </w:r>
      <w:r w:rsidRPr="00B42571">
        <w:rPr>
          <w:b/>
          <w:bCs/>
          <w:color w:val="222222"/>
          <w:sz w:val="22"/>
          <w:szCs w:val="22"/>
        </w:rPr>
        <w:t>Civil (100%)</w:t>
      </w:r>
      <w:r w:rsidRPr="00B42571">
        <w:rPr>
          <w:color w:val="222222"/>
          <w:sz w:val="22"/>
          <w:szCs w:val="22"/>
        </w:rPr>
        <w:t xml:space="preserve"> — carry the dual signal of both a long lead time and low turnover, making them the highest-priority categories for both early procurement action and inventory review.</w:t>
      </w:r>
    </w:p>
    <w:p w14:paraId="7BF2FADB" w14:textId="77777777" w:rsidR="00DD2ACB" w:rsidRDefault="00000000">
      <w:pPr>
        <w:pStyle w:val="Heading2"/>
        <w:spacing w:before="280" w:after="120"/>
      </w:pPr>
      <w:r>
        <w:rPr>
          <w:b/>
          <w:bCs/>
          <w:color w:val="1F3864"/>
          <w:sz w:val="24"/>
          <w:szCs w:val="24"/>
        </w:rPr>
        <w:t>4.2 Consumption Velocity Distribution</w:t>
      </w:r>
    </w:p>
    <w:p w14:paraId="338EA7F5" w14:textId="77777777" w:rsidR="00DD2ACB" w:rsidRPr="00B42571" w:rsidRDefault="00000000" w:rsidP="00B42571">
      <w:pPr>
        <w:spacing w:after="160" w:line="276" w:lineRule="auto"/>
        <w:jc w:val="both"/>
        <w:rPr>
          <w:sz w:val="22"/>
          <w:szCs w:val="22"/>
        </w:rPr>
      </w:pPr>
      <w:r w:rsidRPr="00B42571">
        <w:rPr>
          <w:color w:val="222222"/>
          <w:sz w:val="22"/>
          <w:szCs w:val="22"/>
        </w:rPr>
        <w:t>Classifying all 400 items by turnover rate produced a near-even three-way split (134 Fast-Moving, 133 Medium-Moving, 133 Slow-Moving), confirming the ranking method is discriminating meaningfully across the catalogue rather than clustering items at one extreme. The category-level pattern is more informative than the aggregate: Civil (100% Slow-Moving) and Piping (67.5%) are almost entirely shutdown-reserve stock, while Electrical (12.5%) and Safety (10%) are overwhelmingly routine-use, fast-turning categories.</w:t>
      </w:r>
    </w:p>
    <w:p w14:paraId="02CE3A59" w14:textId="77777777" w:rsidR="00DD2ACB" w:rsidRDefault="00000000" w:rsidP="00B42571">
      <w:pPr>
        <w:spacing w:after="160" w:line="276" w:lineRule="auto"/>
        <w:jc w:val="both"/>
      </w:pPr>
      <w:r w:rsidRPr="00B42571">
        <w:rPr>
          <w:b/>
          <w:bCs/>
          <w:color w:val="222222"/>
          <w:sz w:val="22"/>
          <w:szCs w:val="22"/>
        </w:rPr>
        <w:t xml:space="preserve">Interpretation: </w:t>
      </w:r>
      <w:r w:rsidRPr="00B42571">
        <w:rPr>
          <w:color w:val="222222"/>
          <w:sz w:val="22"/>
          <w:szCs w:val="22"/>
        </w:rPr>
        <w:t xml:space="preserve">categories with a high Slow-Moving share are not necessarily mismanaged — for Civil and Piping this is expected, since these parts exist specifically to be held in reserve for the next shutdown. The risk flag applies where a category shows both a high Slow-Moving share and a low lead time (i.e., stock that could have been </w:t>
      </w:r>
      <w:r w:rsidRPr="00B42571">
        <w:rPr>
          <w:color w:val="222222"/>
          <w:sz w:val="22"/>
          <w:szCs w:val="22"/>
        </w:rPr>
        <w:lastRenderedPageBreak/>
        <w:t>ordered later but was received early), which was not observed as a pattern here; long-lead categories and high slow-moving shares track together, consistent with intentional shutdown staging rather than poor planning.</w:t>
      </w:r>
    </w:p>
    <w:p w14:paraId="3CA121BA" w14:textId="77777777" w:rsidR="00DD2ACB" w:rsidRDefault="00000000">
      <w:pPr>
        <w:pStyle w:val="Heading2"/>
        <w:spacing w:before="280" w:after="120"/>
      </w:pPr>
      <w:r>
        <w:rPr>
          <w:b/>
          <w:bCs/>
          <w:color w:val="1F3864"/>
          <w:sz w:val="24"/>
          <w:szCs w:val="24"/>
        </w:rPr>
        <w:t>4.3 Lead Time &amp; Safety Buffer</w:t>
      </w:r>
    </w:p>
    <w:p w14:paraId="0C97BBA9" w14:textId="77777777" w:rsidR="00DD2ACB" w:rsidRPr="00B42571" w:rsidRDefault="00000000" w:rsidP="00B42571">
      <w:pPr>
        <w:spacing w:after="160" w:line="276" w:lineRule="auto"/>
        <w:jc w:val="both"/>
        <w:rPr>
          <w:sz w:val="22"/>
          <w:szCs w:val="22"/>
        </w:rPr>
      </w:pPr>
      <w:r w:rsidRPr="00B42571">
        <w:rPr>
          <w:color w:val="222222"/>
          <w:sz w:val="22"/>
          <w:szCs w:val="22"/>
        </w:rPr>
        <w:t xml:space="preserve">Average lead time across all 400 items is </w:t>
      </w:r>
      <w:r w:rsidRPr="00B42571">
        <w:rPr>
          <w:b/>
          <w:bCs/>
          <w:color w:val="222222"/>
          <w:sz w:val="22"/>
          <w:szCs w:val="22"/>
        </w:rPr>
        <w:t>135.3 days</w:t>
      </w:r>
      <w:r w:rsidRPr="00B42571">
        <w:rPr>
          <w:color w:val="222222"/>
          <w:sz w:val="22"/>
          <w:szCs w:val="22"/>
        </w:rPr>
        <w:t xml:space="preserve"> (range: 20–270 days). Mechanical parts carry both the longest average lead time (193.8 days) and the largest absolute variability (±45.5 days </w:t>
      </w:r>
      <w:proofErr w:type="spellStart"/>
      <w:r w:rsidRPr="00B42571">
        <w:rPr>
          <w:color w:val="222222"/>
          <w:sz w:val="22"/>
          <w:szCs w:val="22"/>
        </w:rPr>
        <w:t>stddev</w:t>
      </w:r>
      <w:proofErr w:type="spellEnd"/>
      <w:r w:rsidRPr="00B42571">
        <w:rPr>
          <w:color w:val="222222"/>
          <w:sz w:val="22"/>
          <w:szCs w:val="22"/>
        </w:rPr>
        <w:t>), driving the largest safety buffer in the dataset (76 days). This compounding effect — long lead time and high variability together — is precisely why Mechanical requires the earliest purchase order of any category, roughly 9 months ahead of shutdown.</w:t>
      </w:r>
    </w:p>
    <w:p w14:paraId="3406F9C5" w14:textId="77777777" w:rsidR="00DD2ACB" w:rsidRDefault="00000000">
      <w:pPr>
        <w:pStyle w:val="Heading1"/>
        <w:pBdr>
          <w:bottom w:val="single" w:sz="6" w:space="4" w:color="1F3864"/>
        </w:pBdr>
        <w:spacing w:before="400" w:after="200"/>
      </w:pPr>
      <w:r>
        <w:rPr>
          <w:b/>
          <w:bCs/>
          <w:color w:val="1F3864"/>
          <w:sz w:val="28"/>
          <w:szCs w:val="28"/>
        </w:rPr>
        <w:t>5. Baseline Comparison &amp; Quantified Impact</w:t>
      </w:r>
    </w:p>
    <w:p w14:paraId="0AA8B6F6" w14:textId="77777777" w:rsidR="00DD2ACB" w:rsidRPr="00B42571" w:rsidRDefault="00000000" w:rsidP="00B42571">
      <w:pPr>
        <w:spacing w:after="160" w:line="276" w:lineRule="auto"/>
        <w:jc w:val="both"/>
        <w:rPr>
          <w:sz w:val="22"/>
          <w:szCs w:val="22"/>
        </w:rPr>
      </w:pPr>
      <w:r w:rsidRPr="00B42571">
        <w:rPr>
          <w:color w:val="222222"/>
          <w:sz w:val="22"/>
          <w:szCs w:val="22"/>
        </w:rPr>
        <w:t>A reorder model is only useful if it is measurably better than what a plant would do without it. This section benchmarks the data-driven model (Section 4.1) against two naive procurement rules that are common in plants without formal analytics — a flat calendar rule, and a lead-time calculation that forgets variability. Both are measured in days of schedule risk and SKUs exposed, the only units the dataset can support without unit-cost data. No currency or cost-saving figure is claimed, since the dataset carries no price field — see Section 7, Limitations.</w:t>
      </w:r>
    </w:p>
    <w:p w14:paraId="057FBE48" w14:textId="77777777" w:rsidR="00DD2ACB" w:rsidRDefault="00000000">
      <w:pPr>
        <w:pStyle w:val="Heading2"/>
        <w:spacing w:before="280" w:after="120"/>
      </w:pPr>
      <w:r>
        <w:rPr>
          <w:b/>
          <w:bCs/>
          <w:color w:val="1F3864"/>
          <w:sz w:val="24"/>
          <w:szCs w:val="24"/>
        </w:rPr>
        <w:t>5.1 Baseline A — Flat “90 Days Before Shutdown” Rule</w:t>
      </w:r>
    </w:p>
    <w:p w14:paraId="10B38B81" w14:textId="77777777" w:rsidR="00DD2ACB" w:rsidRPr="00B42571" w:rsidRDefault="00000000" w:rsidP="00B42571">
      <w:pPr>
        <w:spacing w:after="160" w:line="276" w:lineRule="auto"/>
        <w:jc w:val="both"/>
        <w:rPr>
          <w:sz w:val="22"/>
          <w:szCs w:val="22"/>
        </w:rPr>
      </w:pPr>
      <w:r w:rsidRPr="00B42571">
        <w:rPr>
          <w:color w:val="222222"/>
          <w:sz w:val="22"/>
          <w:szCs w:val="22"/>
        </w:rPr>
        <w:t>A common heuristic in the absence of analytics is to place every purchase order a fixed number of days before a known shutdown date, regardless of category. Using 90 days — a reasonable, frequently-used default — against each category's actual required lead time (average lead time plus safety buffer) shows where that heuristic breaks down:</w:t>
      </w:r>
    </w:p>
    <w:p w14:paraId="52FB81F1" w14:textId="77777777" w:rsidR="00DD2ACB" w:rsidRDefault="00DD2ACB">
      <w:pPr>
        <w:spacing w:after="16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000"/>
        <w:gridCol w:w="1600"/>
        <w:gridCol w:w="1400"/>
        <w:gridCol w:w="1400"/>
        <w:gridCol w:w="1160"/>
      </w:tblGrid>
      <w:tr w:rsidR="00DD2ACB" w14:paraId="45733DD2"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tcPr>
          <w:p w14:paraId="15B4EF97" w14:textId="77777777" w:rsidR="00DD2ACB" w:rsidRPr="00B42571" w:rsidRDefault="00000000">
            <w:pPr>
              <w:rPr>
                <w:rFonts w:asciiTheme="minorHAnsi" w:hAnsiTheme="minorHAnsi" w:cstheme="minorHAnsi"/>
                <w:sz w:val="20"/>
                <w:szCs w:val="20"/>
              </w:rPr>
            </w:pPr>
            <w:r w:rsidRPr="00B42571">
              <w:rPr>
                <w:rFonts w:asciiTheme="minorHAnsi" w:hAnsiTheme="minorHAnsi" w:cstheme="minorHAnsi"/>
                <w:b/>
                <w:bCs/>
                <w:color w:val="FFFFFF"/>
                <w:sz w:val="20"/>
                <w:szCs w:val="20"/>
              </w:rPr>
              <w:t>Category</w:t>
            </w:r>
          </w:p>
        </w:tc>
        <w:tc>
          <w:tcPr>
            <w:tcW w:w="2000" w:type="dxa"/>
            <w:shd w:val="clear" w:color="auto" w:fill="1F3864"/>
            <w:tcMar>
              <w:top w:w="80" w:type="dxa"/>
              <w:left w:w="100" w:type="dxa"/>
              <w:bottom w:w="80" w:type="dxa"/>
              <w:right w:w="100" w:type="dxa"/>
            </w:tcMar>
          </w:tcPr>
          <w:p w14:paraId="5958430E" w14:textId="77777777" w:rsidR="00DD2ACB" w:rsidRPr="00B42571" w:rsidRDefault="00000000">
            <w:pPr>
              <w:rPr>
                <w:rFonts w:asciiTheme="minorHAnsi" w:hAnsiTheme="minorHAnsi" w:cstheme="minorHAnsi"/>
                <w:sz w:val="20"/>
                <w:szCs w:val="20"/>
              </w:rPr>
            </w:pPr>
            <w:r w:rsidRPr="00B42571">
              <w:rPr>
                <w:rFonts w:asciiTheme="minorHAnsi" w:hAnsiTheme="minorHAnsi" w:cstheme="minorHAnsi"/>
                <w:b/>
                <w:bCs/>
                <w:color w:val="FFFFFF"/>
                <w:sz w:val="20"/>
                <w:szCs w:val="20"/>
              </w:rPr>
              <w:t>Required (Avg Lead + Buffer, days)</w:t>
            </w:r>
          </w:p>
        </w:tc>
        <w:tc>
          <w:tcPr>
            <w:tcW w:w="1600" w:type="dxa"/>
            <w:shd w:val="clear" w:color="auto" w:fill="1F3864"/>
            <w:tcMar>
              <w:top w:w="80" w:type="dxa"/>
              <w:left w:w="100" w:type="dxa"/>
              <w:bottom w:w="80" w:type="dxa"/>
              <w:right w:w="100" w:type="dxa"/>
            </w:tcMar>
          </w:tcPr>
          <w:p w14:paraId="2A1149B4" w14:textId="77777777" w:rsidR="00DD2ACB" w:rsidRPr="00B42571" w:rsidRDefault="00000000">
            <w:pPr>
              <w:rPr>
                <w:rFonts w:asciiTheme="minorHAnsi" w:hAnsiTheme="minorHAnsi" w:cstheme="minorHAnsi"/>
                <w:sz w:val="20"/>
                <w:szCs w:val="20"/>
              </w:rPr>
            </w:pPr>
            <w:r w:rsidRPr="00B42571">
              <w:rPr>
                <w:rFonts w:asciiTheme="minorHAnsi" w:hAnsiTheme="minorHAnsi" w:cstheme="minorHAnsi"/>
                <w:b/>
                <w:bCs/>
                <w:color w:val="FFFFFF"/>
                <w:sz w:val="20"/>
                <w:szCs w:val="20"/>
              </w:rPr>
              <w:t>Flat Rule (days)</w:t>
            </w:r>
          </w:p>
        </w:tc>
        <w:tc>
          <w:tcPr>
            <w:tcW w:w="1400" w:type="dxa"/>
            <w:shd w:val="clear" w:color="auto" w:fill="1F3864"/>
            <w:tcMar>
              <w:top w:w="80" w:type="dxa"/>
              <w:left w:w="100" w:type="dxa"/>
              <w:bottom w:w="80" w:type="dxa"/>
              <w:right w:w="100" w:type="dxa"/>
            </w:tcMar>
          </w:tcPr>
          <w:p w14:paraId="74453B28" w14:textId="77777777" w:rsidR="00DD2ACB" w:rsidRPr="00B42571" w:rsidRDefault="00000000">
            <w:pPr>
              <w:rPr>
                <w:rFonts w:asciiTheme="minorHAnsi" w:hAnsiTheme="minorHAnsi" w:cstheme="minorHAnsi"/>
                <w:sz w:val="20"/>
                <w:szCs w:val="20"/>
              </w:rPr>
            </w:pPr>
            <w:r w:rsidRPr="00B42571">
              <w:rPr>
                <w:rFonts w:asciiTheme="minorHAnsi" w:hAnsiTheme="minorHAnsi" w:cstheme="minorHAnsi"/>
                <w:b/>
                <w:bCs/>
                <w:color w:val="FFFFFF"/>
                <w:sz w:val="20"/>
                <w:szCs w:val="20"/>
              </w:rPr>
              <w:t>Gap (days)</w:t>
            </w:r>
          </w:p>
        </w:tc>
        <w:tc>
          <w:tcPr>
            <w:tcW w:w="1400" w:type="dxa"/>
            <w:shd w:val="clear" w:color="auto" w:fill="1F3864"/>
            <w:tcMar>
              <w:top w:w="80" w:type="dxa"/>
              <w:left w:w="100" w:type="dxa"/>
              <w:bottom w:w="80" w:type="dxa"/>
              <w:right w:w="100" w:type="dxa"/>
            </w:tcMar>
          </w:tcPr>
          <w:p w14:paraId="1EFB5349" w14:textId="77777777" w:rsidR="00DD2ACB" w:rsidRPr="00B42571" w:rsidRDefault="00000000">
            <w:pPr>
              <w:rPr>
                <w:rFonts w:asciiTheme="minorHAnsi" w:hAnsiTheme="minorHAnsi" w:cstheme="minorHAnsi"/>
                <w:sz w:val="20"/>
                <w:szCs w:val="20"/>
              </w:rPr>
            </w:pPr>
            <w:r w:rsidRPr="00B42571">
              <w:rPr>
                <w:rFonts w:asciiTheme="minorHAnsi" w:hAnsiTheme="minorHAnsi" w:cstheme="minorHAnsi"/>
                <w:b/>
                <w:bCs/>
                <w:color w:val="FFFFFF"/>
                <w:sz w:val="20"/>
                <w:szCs w:val="20"/>
              </w:rPr>
              <w:t>Status</w:t>
            </w:r>
          </w:p>
        </w:tc>
        <w:tc>
          <w:tcPr>
            <w:tcW w:w="1160" w:type="dxa"/>
            <w:shd w:val="clear" w:color="auto" w:fill="1F3864"/>
            <w:tcMar>
              <w:top w:w="80" w:type="dxa"/>
              <w:left w:w="100" w:type="dxa"/>
              <w:bottom w:w="80" w:type="dxa"/>
              <w:right w:w="100" w:type="dxa"/>
            </w:tcMar>
          </w:tcPr>
          <w:p w14:paraId="2AB6E4C6" w14:textId="77777777" w:rsidR="00DD2ACB" w:rsidRPr="00B42571" w:rsidRDefault="00000000">
            <w:pPr>
              <w:rPr>
                <w:rFonts w:asciiTheme="minorHAnsi" w:hAnsiTheme="minorHAnsi" w:cstheme="minorHAnsi"/>
                <w:sz w:val="20"/>
                <w:szCs w:val="20"/>
              </w:rPr>
            </w:pPr>
            <w:r w:rsidRPr="00B42571">
              <w:rPr>
                <w:rFonts w:asciiTheme="minorHAnsi" w:hAnsiTheme="minorHAnsi" w:cstheme="minorHAnsi"/>
                <w:b/>
                <w:bCs/>
                <w:color w:val="FFFFFF"/>
                <w:sz w:val="20"/>
                <w:szCs w:val="20"/>
              </w:rPr>
              <w:t>Items</w:t>
            </w:r>
          </w:p>
        </w:tc>
      </w:tr>
      <w:tr w:rsidR="00DD2ACB" w14:paraId="36C36140"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71177C79" w14:textId="77777777" w:rsidR="00DD2ACB" w:rsidRPr="00B42571" w:rsidRDefault="00000000">
            <w:pPr>
              <w:rPr>
                <w:rFonts w:asciiTheme="minorHAnsi" w:hAnsiTheme="minorHAnsi" w:cstheme="minorHAnsi"/>
                <w:sz w:val="20"/>
                <w:szCs w:val="20"/>
              </w:rPr>
            </w:pPr>
            <w:r w:rsidRPr="00B42571">
              <w:rPr>
                <w:rFonts w:asciiTheme="minorHAnsi" w:hAnsiTheme="minorHAnsi" w:cstheme="minorHAnsi"/>
                <w:b/>
                <w:bCs/>
                <w:color w:val="222222"/>
                <w:sz w:val="20"/>
                <w:szCs w:val="20"/>
              </w:rPr>
              <w:t>Mechanical</w:t>
            </w:r>
          </w:p>
        </w:tc>
        <w:tc>
          <w:tcPr>
            <w:tcW w:w="2000" w:type="dxa"/>
            <w:shd w:val="clear" w:color="auto" w:fill="FFFFFF"/>
            <w:tcMar>
              <w:top w:w="70" w:type="dxa"/>
              <w:left w:w="100" w:type="dxa"/>
              <w:bottom w:w="70" w:type="dxa"/>
              <w:right w:w="100" w:type="dxa"/>
            </w:tcMar>
          </w:tcPr>
          <w:p w14:paraId="2D0F3055"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269.8</w:t>
            </w:r>
          </w:p>
        </w:tc>
        <w:tc>
          <w:tcPr>
            <w:tcW w:w="1600" w:type="dxa"/>
            <w:shd w:val="clear" w:color="auto" w:fill="FFFFFF"/>
            <w:tcMar>
              <w:top w:w="70" w:type="dxa"/>
              <w:left w:w="100" w:type="dxa"/>
              <w:bottom w:w="70" w:type="dxa"/>
              <w:right w:w="100" w:type="dxa"/>
            </w:tcMar>
          </w:tcPr>
          <w:p w14:paraId="3ABE08D1"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90</w:t>
            </w:r>
          </w:p>
        </w:tc>
        <w:tc>
          <w:tcPr>
            <w:tcW w:w="1400" w:type="dxa"/>
            <w:shd w:val="clear" w:color="auto" w:fill="FCE4E4"/>
            <w:tcMar>
              <w:top w:w="70" w:type="dxa"/>
              <w:left w:w="100" w:type="dxa"/>
              <w:bottom w:w="70" w:type="dxa"/>
              <w:right w:w="100" w:type="dxa"/>
            </w:tcMar>
          </w:tcPr>
          <w:p w14:paraId="27650EE5"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b/>
                <w:bCs/>
                <w:color w:val="C00000"/>
                <w:sz w:val="20"/>
                <w:szCs w:val="20"/>
              </w:rPr>
              <w:t>+179.8</w:t>
            </w:r>
          </w:p>
        </w:tc>
        <w:tc>
          <w:tcPr>
            <w:tcW w:w="1400" w:type="dxa"/>
            <w:shd w:val="clear" w:color="auto" w:fill="FCE4E4"/>
            <w:tcMar>
              <w:top w:w="70" w:type="dxa"/>
              <w:left w:w="100" w:type="dxa"/>
              <w:bottom w:w="70" w:type="dxa"/>
              <w:right w:w="100" w:type="dxa"/>
            </w:tcMar>
          </w:tcPr>
          <w:p w14:paraId="6AF94047"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b/>
                <w:bCs/>
                <w:color w:val="C00000"/>
                <w:sz w:val="20"/>
                <w:szCs w:val="20"/>
              </w:rPr>
              <w:t>LATE</w:t>
            </w:r>
          </w:p>
        </w:tc>
        <w:tc>
          <w:tcPr>
            <w:tcW w:w="1160" w:type="dxa"/>
            <w:shd w:val="clear" w:color="auto" w:fill="FFFFFF"/>
            <w:tcMar>
              <w:top w:w="70" w:type="dxa"/>
              <w:left w:w="100" w:type="dxa"/>
              <w:bottom w:w="70" w:type="dxa"/>
              <w:right w:w="100" w:type="dxa"/>
            </w:tcMar>
          </w:tcPr>
          <w:p w14:paraId="7723E2DE"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120</w:t>
            </w:r>
          </w:p>
        </w:tc>
      </w:tr>
      <w:tr w:rsidR="00DD2ACB" w14:paraId="4EE2939E" w14:textId="77777777">
        <w:tblPrEx>
          <w:tblCellMar>
            <w:top w:w="0" w:type="dxa"/>
            <w:bottom w:w="0" w:type="dxa"/>
          </w:tblCellMar>
        </w:tblPrEx>
        <w:tc>
          <w:tcPr>
            <w:tcW w:w="1900" w:type="dxa"/>
            <w:shd w:val="clear" w:color="auto" w:fill="F2F2F2"/>
            <w:tcMar>
              <w:top w:w="70" w:type="dxa"/>
              <w:left w:w="100" w:type="dxa"/>
              <w:bottom w:w="70" w:type="dxa"/>
              <w:right w:w="100" w:type="dxa"/>
            </w:tcMar>
          </w:tcPr>
          <w:p w14:paraId="00769ECF" w14:textId="77777777" w:rsidR="00DD2ACB" w:rsidRPr="00B42571" w:rsidRDefault="00000000">
            <w:pPr>
              <w:rPr>
                <w:rFonts w:asciiTheme="minorHAnsi" w:hAnsiTheme="minorHAnsi" w:cstheme="minorHAnsi"/>
                <w:sz w:val="20"/>
                <w:szCs w:val="20"/>
              </w:rPr>
            </w:pPr>
            <w:r w:rsidRPr="00B42571">
              <w:rPr>
                <w:rFonts w:asciiTheme="minorHAnsi" w:hAnsiTheme="minorHAnsi" w:cstheme="minorHAnsi"/>
                <w:b/>
                <w:bCs/>
                <w:color w:val="222222"/>
                <w:sz w:val="20"/>
                <w:szCs w:val="20"/>
              </w:rPr>
              <w:t>Civil</w:t>
            </w:r>
          </w:p>
        </w:tc>
        <w:tc>
          <w:tcPr>
            <w:tcW w:w="2000" w:type="dxa"/>
            <w:shd w:val="clear" w:color="auto" w:fill="F2F2F2"/>
            <w:tcMar>
              <w:top w:w="70" w:type="dxa"/>
              <w:left w:w="100" w:type="dxa"/>
              <w:bottom w:w="70" w:type="dxa"/>
              <w:right w:w="100" w:type="dxa"/>
            </w:tcMar>
          </w:tcPr>
          <w:p w14:paraId="61B71468"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212.7</w:t>
            </w:r>
          </w:p>
        </w:tc>
        <w:tc>
          <w:tcPr>
            <w:tcW w:w="1600" w:type="dxa"/>
            <w:shd w:val="clear" w:color="auto" w:fill="F2F2F2"/>
            <w:tcMar>
              <w:top w:w="70" w:type="dxa"/>
              <w:left w:w="100" w:type="dxa"/>
              <w:bottom w:w="70" w:type="dxa"/>
              <w:right w:w="100" w:type="dxa"/>
            </w:tcMar>
          </w:tcPr>
          <w:p w14:paraId="4796D63D"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90</w:t>
            </w:r>
          </w:p>
        </w:tc>
        <w:tc>
          <w:tcPr>
            <w:tcW w:w="1400" w:type="dxa"/>
            <w:shd w:val="clear" w:color="auto" w:fill="FCE4E4"/>
            <w:tcMar>
              <w:top w:w="70" w:type="dxa"/>
              <w:left w:w="100" w:type="dxa"/>
              <w:bottom w:w="70" w:type="dxa"/>
              <w:right w:w="100" w:type="dxa"/>
            </w:tcMar>
          </w:tcPr>
          <w:p w14:paraId="00A5BC27"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b/>
                <w:bCs/>
                <w:color w:val="C00000"/>
                <w:sz w:val="20"/>
                <w:szCs w:val="20"/>
              </w:rPr>
              <w:t>+122.7</w:t>
            </w:r>
          </w:p>
        </w:tc>
        <w:tc>
          <w:tcPr>
            <w:tcW w:w="1400" w:type="dxa"/>
            <w:shd w:val="clear" w:color="auto" w:fill="FCE4E4"/>
            <w:tcMar>
              <w:top w:w="70" w:type="dxa"/>
              <w:left w:w="100" w:type="dxa"/>
              <w:bottom w:w="70" w:type="dxa"/>
              <w:right w:w="100" w:type="dxa"/>
            </w:tcMar>
          </w:tcPr>
          <w:p w14:paraId="712FDD69"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b/>
                <w:bCs/>
                <w:color w:val="C00000"/>
                <w:sz w:val="20"/>
                <w:szCs w:val="20"/>
              </w:rPr>
              <w:t>LATE</w:t>
            </w:r>
          </w:p>
        </w:tc>
        <w:tc>
          <w:tcPr>
            <w:tcW w:w="1160" w:type="dxa"/>
            <w:shd w:val="clear" w:color="auto" w:fill="F2F2F2"/>
            <w:tcMar>
              <w:top w:w="70" w:type="dxa"/>
              <w:left w:w="100" w:type="dxa"/>
              <w:bottom w:w="70" w:type="dxa"/>
              <w:right w:w="100" w:type="dxa"/>
            </w:tcMar>
          </w:tcPr>
          <w:p w14:paraId="544DFCA8"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15</w:t>
            </w:r>
          </w:p>
        </w:tc>
      </w:tr>
      <w:tr w:rsidR="00DD2ACB" w14:paraId="52F5CBEE"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65460563" w14:textId="77777777" w:rsidR="00DD2ACB" w:rsidRPr="00B42571" w:rsidRDefault="00000000">
            <w:pPr>
              <w:rPr>
                <w:rFonts w:asciiTheme="minorHAnsi" w:hAnsiTheme="minorHAnsi" w:cstheme="minorHAnsi"/>
                <w:sz w:val="20"/>
                <w:szCs w:val="20"/>
              </w:rPr>
            </w:pPr>
            <w:r w:rsidRPr="00B42571">
              <w:rPr>
                <w:rFonts w:asciiTheme="minorHAnsi" w:hAnsiTheme="minorHAnsi" w:cstheme="minorHAnsi"/>
                <w:b/>
                <w:bCs/>
                <w:color w:val="222222"/>
                <w:sz w:val="20"/>
                <w:szCs w:val="20"/>
              </w:rPr>
              <w:t>Piping</w:t>
            </w:r>
          </w:p>
        </w:tc>
        <w:tc>
          <w:tcPr>
            <w:tcW w:w="2000" w:type="dxa"/>
            <w:shd w:val="clear" w:color="auto" w:fill="FFFFFF"/>
            <w:tcMar>
              <w:top w:w="70" w:type="dxa"/>
              <w:left w:w="100" w:type="dxa"/>
              <w:bottom w:w="70" w:type="dxa"/>
              <w:right w:w="100" w:type="dxa"/>
            </w:tcMar>
          </w:tcPr>
          <w:p w14:paraId="4A49A3DF"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190.8</w:t>
            </w:r>
          </w:p>
        </w:tc>
        <w:tc>
          <w:tcPr>
            <w:tcW w:w="1600" w:type="dxa"/>
            <w:shd w:val="clear" w:color="auto" w:fill="FFFFFF"/>
            <w:tcMar>
              <w:top w:w="70" w:type="dxa"/>
              <w:left w:w="100" w:type="dxa"/>
              <w:bottom w:w="70" w:type="dxa"/>
              <w:right w:w="100" w:type="dxa"/>
            </w:tcMar>
          </w:tcPr>
          <w:p w14:paraId="062073FD"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90</w:t>
            </w:r>
          </w:p>
        </w:tc>
        <w:tc>
          <w:tcPr>
            <w:tcW w:w="1400" w:type="dxa"/>
            <w:shd w:val="clear" w:color="auto" w:fill="FCE4E4"/>
            <w:tcMar>
              <w:top w:w="70" w:type="dxa"/>
              <w:left w:w="100" w:type="dxa"/>
              <w:bottom w:w="70" w:type="dxa"/>
              <w:right w:w="100" w:type="dxa"/>
            </w:tcMar>
          </w:tcPr>
          <w:p w14:paraId="260E5973"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b/>
                <w:bCs/>
                <w:color w:val="C00000"/>
                <w:sz w:val="20"/>
                <w:szCs w:val="20"/>
              </w:rPr>
              <w:t>+100.8</w:t>
            </w:r>
          </w:p>
        </w:tc>
        <w:tc>
          <w:tcPr>
            <w:tcW w:w="1400" w:type="dxa"/>
            <w:shd w:val="clear" w:color="auto" w:fill="FCE4E4"/>
            <w:tcMar>
              <w:top w:w="70" w:type="dxa"/>
              <w:left w:w="100" w:type="dxa"/>
              <w:bottom w:w="70" w:type="dxa"/>
              <w:right w:w="100" w:type="dxa"/>
            </w:tcMar>
          </w:tcPr>
          <w:p w14:paraId="0F8A4E86"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b/>
                <w:bCs/>
                <w:color w:val="C00000"/>
                <w:sz w:val="20"/>
                <w:szCs w:val="20"/>
              </w:rPr>
              <w:t>LATE</w:t>
            </w:r>
          </w:p>
        </w:tc>
        <w:tc>
          <w:tcPr>
            <w:tcW w:w="1160" w:type="dxa"/>
            <w:shd w:val="clear" w:color="auto" w:fill="FFFFFF"/>
            <w:tcMar>
              <w:top w:w="70" w:type="dxa"/>
              <w:left w:w="100" w:type="dxa"/>
              <w:bottom w:w="70" w:type="dxa"/>
              <w:right w:w="100" w:type="dxa"/>
            </w:tcMar>
          </w:tcPr>
          <w:p w14:paraId="47F31191"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40</w:t>
            </w:r>
          </w:p>
        </w:tc>
      </w:tr>
      <w:tr w:rsidR="00DD2ACB" w14:paraId="02E08155" w14:textId="77777777">
        <w:tblPrEx>
          <w:tblCellMar>
            <w:top w:w="0" w:type="dxa"/>
            <w:bottom w:w="0" w:type="dxa"/>
          </w:tblCellMar>
        </w:tblPrEx>
        <w:tc>
          <w:tcPr>
            <w:tcW w:w="1900" w:type="dxa"/>
            <w:shd w:val="clear" w:color="auto" w:fill="F2F2F2"/>
            <w:tcMar>
              <w:top w:w="70" w:type="dxa"/>
              <w:left w:w="100" w:type="dxa"/>
              <w:bottom w:w="70" w:type="dxa"/>
              <w:right w:w="100" w:type="dxa"/>
            </w:tcMar>
          </w:tcPr>
          <w:p w14:paraId="3A9D44A6" w14:textId="77777777" w:rsidR="00DD2ACB" w:rsidRPr="00B42571" w:rsidRDefault="00000000">
            <w:pPr>
              <w:rPr>
                <w:rFonts w:asciiTheme="minorHAnsi" w:hAnsiTheme="minorHAnsi" w:cstheme="minorHAnsi"/>
                <w:sz w:val="20"/>
                <w:szCs w:val="20"/>
              </w:rPr>
            </w:pPr>
            <w:r w:rsidRPr="00B42571">
              <w:rPr>
                <w:rFonts w:asciiTheme="minorHAnsi" w:hAnsiTheme="minorHAnsi" w:cstheme="minorHAnsi"/>
                <w:b/>
                <w:bCs/>
                <w:color w:val="222222"/>
                <w:sz w:val="20"/>
                <w:szCs w:val="20"/>
              </w:rPr>
              <w:t>Instrumentation</w:t>
            </w:r>
          </w:p>
        </w:tc>
        <w:tc>
          <w:tcPr>
            <w:tcW w:w="2000" w:type="dxa"/>
            <w:shd w:val="clear" w:color="auto" w:fill="F2F2F2"/>
            <w:tcMar>
              <w:top w:w="70" w:type="dxa"/>
              <w:left w:w="100" w:type="dxa"/>
              <w:bottom w:w="70" w:type="dxa"/>
              <w:right w:w="100" w:type="dxa"/>
            </w:tcMar>
          </w:tcPr>
          <w:p w14:paraId="3E5F7051"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178.5</w:t>
            </w:r>
          </w:p>
        </w:tc>
        <w:tc>
          <w:tcPr>
            <w:tcW w:w="1600" w:type="dxa"/>
            <w:shd w:val="clear" w:color="auto" w:fill="F2F2F2"/>
            <w:tcMar>
              <w:top w:w="70" w:type="dxa"/>
              <w:left w:w="100" w:type="dxa"/>
              <w:bottom w:w="70" w:type="dxa"/>
              <w:right w:w="100" w:type="dxa"/>
            </w:tcMar>
          </w:tcPr>
          <w:p w14:paraId="6E64AF5C"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90</w:t>
            </w:r>
          </w:p>
        </w:tc>
        <w:tc>
          <w:tcPr>
            <w:tcW w:w="1400" w:type="dxa"/>
            <w:shd w:val="clear" w:color="auto" w:fill="FCE4E4"/>
            <w:tcMar>
              <w:top w:w="70" w:type="dxa"/>
              <w:left w:w="100" w:type="dxa"/>
              <w:bottom w:w="70" w:type="dxa"/>
              <w:right w:w="100" w:type="dxa"/>
            </w:tcMar>
          </w:tcPr>
          <w:p w14:paraId="27A857C1"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b/>
                <w:bCs/>
                <w:color w:val="C00000"/>
                <w:sz w:val="20"/>
                <w:szCs w:val="20"/>
              </w:rPr>
              <w:t>+88.5</w:t>
            </w:r>
          </w:p>
        </w:tc>
        <w:tc>
          <w:tcPr>
            <w:tcW w:w="1400" w:type="dxa"/>
            <w:shd w:val="clear" w:color="auto" w:fill="FCE4E4"/>
            <w:tcMar>
              <w:top w:w="70" w:type="dxa"/>
              <w:left w:w="100" w:type="dxa"/>
              <w:bottom w:w="70" w:type="dxa"/>
              <w:right w:w="100" w:type="dxa"/>
            </w:tcMar>
          </w:tcPr>
          <w:p w14:paraId="003B605B"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b/>
                <w:bCs/>
                <w:color w:val="C00000"/>
                <w:sz w:val="20"/>
                <w:szCs w:val="20"/>
              </w:rPr>
              <w:t>LATE</w:t>
            </w:r>
          </w:p>
        </w:tc>
        <w:tc>
          <w:tcPr>
            <w:tcW w:w="1160" w:type="dxa"/>
            <w:shd w:val="clear" w:color="auto" w:fill="F2F2F2"/>
            <w:tcMar>
              <w:top w:w="70" w:type="dxa"/>
              <w:left w:w="100" w:type="dxa"/>
              <w:bottom w:w="70" w:type="dxa"/>
              <w:right w:w="100" w:type="dxa"/>
            </w:tcMar>
          </w:tcPr>
          <w:p w14:paraId="00EC435A"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50</w:t>
            </w:r>
          </w:p>
        </w:tc>
      </w:tr>
      <w:tr w:rsidR="00DD2ACB" w14:paraId="06C0B216"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79CE4D1D" w14:textId="77777777" w:rsidR="00DD2ACB" w:rsidRPr="00B42571" w:rsidRDefault="00000000">
            <w:pPr>
              <w:rPr>
                <w:rFonts w:asciiTheme="minorHAnsi" w:hAnsiTheme="minorHAnsi" w:cstheme="minorHAnsi"/>
                <w:sz w:val="20"/>
                <w:szCs w:val="20"/>
              </w:rPr>
            </w:pPr>
            <w:r w:rsidRPr="00B42571">
              <w:rPr>
                <w:rFonts w:asciiTheme="minorHAnsi" w:hAnsiTheme="minorHAnsi" w:cstheme="minorHAnsi"/>
                <w:b/>
                <w:bCs/>
                <w:color w:val="222222"/>
                <w:sz w:val="20"/>
                <w:szCs w:val="20"/>
              </w:rPr>
              <w:t>HVAC</w:t>
            </w:r>
          </w:p>
        </w:tc>
        <w:tc>
          <w:tcPr>
            <w:tcW w:w="2000" w:type="dxa"/>
            <w:shd w:val="clear" w:color="auto" w:fill="FFFFFF"/>
            <w:tcMar>
              <w:top w:w="70" w:type="dxa"/>
              <w:left w:w="100" w:type="dxa"/>
              <w:bottom w:w="70" w:type="dxa"/>
              <w:right w:w="100" w:type="dxa"/>
            </w:tcMar>
          </w:tcPr>
          <w:p w14:paraId="7A714FA3"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155.9</w:t>
            </w:r>
          </w:p>
        </w:tc>
        <w:tc>
          <w:tcPr>
            <w:tcW w:w="1600" w:type="dxa"/>
            <w:shd w:val="clear" w:color="auto" w:fill="FFFFFF"/>
            <w:tcMar>
              <w:top w:w="70" w:type="dxa"/>
              <w:left w:w="100" w:type="dxa"/>
              <w:bottom w:w="70" w:type="dxa"/>
              <w:right w:w="100" w:type="dxa"/>
            </w:tcMar>
          </w:tcPr>
          <w:p w14:paraId="68092BF4"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90</w:t>
            </w:r>
          </w:p>
        </w:tc>
        <w:tc>
          <w:tcPr>
            <w:tcW w:w="1400" w:type="dxa"/>
            <w:shd w:val="clear" w:color="auto" w:fill="FCE4E4"/>
            <w:tcMar>
              <w:top w:w="70" w:type="dxa"/>
              <w:left w:w="100" w:type="dxa"/>
              <w:bottom w:w="70" w:type="dxa"/>
              <w:right w:w="100" w:type="dxa"/>
            </w:tcMar>
          </w:tcPr>
          <w:p w14:paraId="42E826B4"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b/>
                <w:bCs/>
                <w:color w:val="C00000"/>
                <w:sz w:val="20"/>
                <w:szCs w:val="20"/>
              </w:rPr>
              <w:t>+65.9</w:t>
            </w:r>
          </w:p>
        </w:tc>
        <w:tc>
          <w:tcPr>
            <w:tcW w:w="1400" w:type="dxa"/>
            <w:shd w:val="clear" w:color="auto" w:fill="FCE4E4"/>
            <w:tcMar>
              <w:top w:w="70" w:type="dxa"/>
              <w:left w:w="100" w:type="dxa"/>
              <w:bottom w:w="70" w:type="dxa"/>
              <w:right w:w="100" w:type="dxa"/>
            </w:tcMar>
          </w:tcPr>
          <w:p w14:paraId="5F2192EB"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b/>
                <w:bCs/>
                <w:color w:val="C00000"/>
                <w:sz w:val="20"/>
                <w:szCs w:val="20"/>
              </w:rPr>
              <w:t>LATE</w:t>
            </w:r>
          </w:p>
        </w:tc>
        <w:tc>
          <w:tcPr>
            <w:tcW w:w="1160" w:type="dxa"/>
            <w:shd w:val="clear" w:color="auto" w:fill="FFFFFF"/>
            <w:tcMar>
              <w:top w:w="70" w:type="dxa"/>
              <w:left w:w="100" w:type="dxa"/>
              <w:bottom w:w="70" w:type="dxa"/>
              <w:right w:w="100" w:type="dxa"/>
            </w:tcMar>
          </w:tcPr>
          <w:p w14:paraId="260E1ECF"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15</w:t>
            </w:r>
          </w:p>
        </w:tc>
      </w:tr>
      <w:tr w:rsidR="00DD2ACB" w14:paraId="551087AE" w14:textId="77777777">
        <w:tblPrEx>
          <w:tblCellMar>
            <w:top w:w="0" w:type="dxa"/>
            <w:bottom w:w="0" w:type="dxa"/>
          </w:tblCellMar>
        </w:tblPrEx>
        <w:tc>
          <w:tcPr>
            <w:tcW w:w="1900" w:type="dxa"/>
            <w:shd w:val="clear" w:color="auto" w:fill="F2F2F2"/>
            <w:tcMar>
              <w:top w:w="70" w:type="dxa"/>
              <w:left w:w="100" w:type="dxa"/>
              <w:bottom w:w="70" w:type="dxa"/>
              <w:right w:w="100" w:type="dxa"/>
            </w:tcMar>
          </w:tcPr>
          <w:p w14:paraId="297CA307" w14:textId="77777777" w:rsidR="00DD2ACB" w:rsidRPr="00B42571" w:rsidRDefault="00000000">
            <w:pPr>
              <w:rPr>
                <w:rFonts w:asciiTheme="minorHAnsi" w:hAnsiTheme="minorHAnsi" w:cstheme="minorHAnsi"/>
                <w:sz w:val="20"/>
                <w:szCs w:val="20"/>
              </w:rPr>
            </w:pPr>
            <w:r w:rsidRPr="00B42571">
              <w:rPr>
                <w:rFonts w:asciiTheme="minorHAnsi" w:hAnsiTheme="minorHAnsi" w:cstheme="minorHAnsi"/>
                <w:b/>
                <w:bCs/>
                <w:color w:val="222222"/>
                <w:sz w:val="20"/>
                <w:szCs w:val="20"/>
              </w:rPr>
              <w:t>Electrical</w:t>
            </w:r>
          </w:p>
        </w:tc>
        <w:tc>
          <w:tcPr>
            <w:tcW w:w="2000" w:type="dxa"/>
            <w:shd w:val="clear" w:color="auto" w:fill="F2F2F2"/>
            <w:tcMar>
              <w:top w:w="70" w:type="dxa"/>
              <w:left w:w="100" w:type="dxa"/>
              <w:bottom w:w="70" w:type="dxa"/>
              <w:right w:w="100" w:type="dxa"/>
            </w:tcMar>
          </w:tcPr>
          <w:p w14:paraId="2D86FD64"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151.8</w:t>
            </w:r>
          </w:p>
        </w:tc>
        <w:tc>
          <w:tcPr>
            <w:tcW w:w="1600" w:type="dxa"/>
            <w:shd w:val="clear" w:color="auto" w:fill="F2F2F2"/>
            <w:tcMar>
              <w:top w:w="70" w:type="dxa"/>
              <w:left w:w="100" w:type="dxa"/>
              <w:bottom w:w="70" w:type="dxa"/>
              <w:right w:w="100" w:type="dxa"/>
            </w:tcMar>
          </w:tcPr>
          <w:p w14:paraId="2EB3A17F"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90</w:t>
            </w:r>
          </w:p>
        </w:tc>
        <w:tc>
          <w:tcPr>
            <w:tcW w:w="1400" w:type="dxa"/>
            <w:shd w:val="clear" w:color="auto" w:fill="FCE4E4"/>
            <w:tcMar>
              <w:top w:w="70" w:type="dxa"/>
              <w:left w:w="100" w:type="dxa"/>
              <w:bottom w:w="70" w:type="dxa"/>
              <w:right w:w="100" w:type="dxa"/>
            </w:tcMar>
          </w:tcPr>
          <w:p w14:paraId="3C475982"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b/>
                <w:bCs/>
                <w:color w:val="C00000"/>
                <w:sz w:val="20"/>
                <w:szCs w:val="20"/>
              </w:rPr>
              <w:t>+61.8</w:t>
            </w:r>
          </w:p>
        </w:tc>
        <w:tc>
          <w:tcPr>
            <w:tcW w:w="1400" w:type="dxa"/>
            <w:shd w:val="clear" w:color="auto" w:fill="FCE4E4"/>
            <w:tcMar>
              <w:top w:w="70" w:type="dxa"/>
              <w:left w:w="100" w:type="dxa"/>
              <w:bottom w:w="70" w:type="dxa"/>
              <w:right w:w="100" w:type="dxa"/>
            </w:tcMar>
          </w:tcPr>
          <w:p w14:paraId="184197F0"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b/>
                <w:bCs/>
                <w:color w:val="C00000"/>
                <w:sz w:val="20"/>
                <w:szCs w:val="20"/>
              </w:rPr>
              <w:t>LATE</w:t>
            </w:r>
          </w:p>
        </w:tc>
        <w:tc>
          <w:tcPr>
            <w:tcW w:w="1160" w:type="dxa"/>
            <w:shd w:val="clear" w:color="auto" w:fill="F2F2F2"/>
            <w:tcMar>
              <w:top w:w="70" w:type="dxa"/>
              <w:left w:w="100" w:type="dxa"/>
              <w:bottom w:w="70" w:type="dxa"/>
              <w:right w:w="100" w:type="dxa"/>
            </w:tcMar>
          </w:tcPr>
          <w:p w14:paraId="276E7F25"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80</w:t>
            </w:r>
          </w:p>
        </w:tc>
      </w:tr>
      <w:tr w:rsidR="00DD2ACB" w14:paraId="4F3EABAB"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763204DC" w14:textId="77777777" w:rsidR="00DD2ACB" w:rsidRPr="00B42571" w:rsidRDefault="00000000">
            <w:pPr>
              <w:rPr>
                <w:rFonts w:asciiTheme="minorHAnsi" w:hAnsiTheme="minorHAnsi" w:cstheme="minorHAnsi"/>
                <w:sz w:val="20"/>
                <w:szCs w:val="20"/>
              </w:rPr>
            </w:pPr>
            <w:r w:rsidRPr="00B42571">
              <w:rPr>
                <w:rFonts w:asciiTheme="minorHAnsi" w:hAnsiTheme="minorHAnsi" w:cstheme="minorHAnsi"/>
                <w:b/>
                <w:bCs/>
                <w:color w:val="222222"/>
                <w:sz w:val="20"/>
                <w:szCs w:val="20"/>
              </w:rPr>
              <w:t>Chemical</w:t>
            </w:r>
          </w:p>
        </w:tc>
        <w:tc>
          <w:tcPr>
            <w:tcW w:w="2000" w:type="dxa"/>
            <w:shd w:val="clear" w:color="auto" w:fill="FFFFFF"/>
            <w:tcMar>
              <w:top w:w="70" w:type="dxa"/>
              <w:left w:w="100" w:type="dxa"/>
              <w:bottom w:w="70" w:type="dxa"/>
              <w:right w:w="100" w:type="dxa"/>
            </w:tcMar>
          </w:tcPr>
          <w:p w14:paraId="77F16647"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123.9</w:t>
            </w:r>
          </w:p>
        </w:tc>
        <w:tc>
          <w:tcPr>
            <w:tcW w:w="1600" w:type="dxa"/>
            <w:shd w:val="clear" w:color="auto" w:fill="FFFFFF"/>
            <w:tcMar>
              <w:top w:w="70" w:type="dxa"/>
              <w:left w:w="100" w:type="dxa"/>
              <w:bottom w:w="70" w:type="dxa"/>
              <w:right w:w="100" w:type="dxa"/>
            </w:tcMar>
          </w:tcPr>
          <w:p w14:paraId="02EDA377"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90</w:t>
            </w:r>
          </w:p>
        </w:tc>
        <w:tc>
          <w:tcPr>
            <w:tcW w:w="1400" w:type="dxa"/>
            <w:shd w:val="clear" w:color="auto" w:fill="FCE4E4"/>
            <w:tcMar>
              <w:top w:w="70" w:type="dxa"/>
              <w:left w:w="100" w:type="dxa"/>
              <w:bottom w:w="70" w:type="dxa"/>
              <w:right w:w="100" w:type="dxa"/>
            </w:tcMar>
          </w:tcPr>
          <w:p w14:paraId="71A4AE78"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b/>
                <w:bCs/>
                <w:color w:val="C00000"/>
                <w:sz w:val="20"/>
                <w:szCs w:val="20"/>
              </w:rPr>
              <w:t>+33.9</w:t>
            </w:r>
          </w:p>
        </w:tc>
        <w:tc>
          <w:tcPr>
            <w:tcW w:w="1400" w:type="dxa"/>
            <w:shd w:val="clear" w:color="auto" w:fill="FCE4E4"/>
            <w:tcMar>
              <w:top w:w="70" w:type="dxa"/>
              <w:left w:w="100" w:type="dxa"/>
              <w:bottom w:w="70" w:type="dxa"/>
              <w:right w:w="100" w:type="dxa"/>
            </w:tcMar>
          </w:tcPr>
          <w:p w14:paraId="55C6322C"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b/>
                <w:bCs/>
                <w:color w:val="C00000"/>
                <w:sz w:val="20"/>
                <w:szCs w:val="20"/>
              </w:rPr>
              <w:t>LATE</w:t>
            </w:r>
          </w:p>
        </w:tc>
        <w:tc>
          <w:tcPr>
            <w:tcW w:w="1160" w:type="dxa"/>
            <w:shd w:val="clear" w:color="auto" w:fill="FFFFFF"/>
            <w:tcMar>
              <w:top w:w="70" w:type="dxa"/>
              <w:left w:w="100" w:type="dxa"/>
              <w:bottom w:w="70" w:type="dxa"/>
              <w:right w:w="100" w:type="dxa"/>
            </w:tcMar>
          </w:tcPr>
          <w:p w14:paraId="2F7FA737"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20</w:t>
            </w:r>
          </w:p>
        </w:tc>
      </w:tr>
      <w:tr w:rsidR="00DD2ACB" w14:paraId="29493D65" w14:textId="77777777">
        <w:tblPrEx>
          <w:tblCellMar>
            <w:top w:w="0" w:type="dxa"/>
            <w:bottom w:w="0" w:type="dxa"/>
          </w:tblCellMar>
        </w:tblPrEx>
        <w:tc>
          <w:tcPr>
            <w:tcW w:w="1900" w:type="dxa"/>
            <w:shd w:val="clear" w:color="auto" w:fill="F2F2F2"/>
            <w:tcMar>
              <w:top w:w="70" w:type="dxa"/>
              <w:left w:w="100" w:type="dxa"/>
              <w:bottom w:w="70" w:type="dxa"/>
              <w:right w:w="100" w:type="dxa"/>
            </w:tcMar>
          </w:tcPr>
          <w:p w14:paraId="324C8BEC" w14:textId="77777777" w:rsidR="00DD2ACB" w:rsidRPr="00B42571" w:rsidRDefault="00000000">
            <w:pPr>
              <w:rPr>
                <w:rFonts w:asciiTheme="minorHAnsi" w:hAnsiTheme="minorHAnsi" w:cstheme="minorHAnsi"/>
                <w:sz w:val="20"/>
                <w:szCs w:val="20"/>
              </w:rPr>
            </w:pPr>
            <w:r w:rsidRPr="00B42571">
              <w:rPr>
                <w:rFonts w:asciiTheme="minorHAnsi" w:hAnsiTheme="minorHAnsi" w:cstheme="minorHAnsi"/>
                <w:b/>
                <w:bCs/>
                <w:color w:val="222222"/>
                <w:sz w:val="20"/>
                <w:szCs w:val="20"/>
              </w:rPr>
              <w:t>Utility</w:t>
            </w:r>
          </w:p>
        </w:tc>
        <w:tc>
          <w:tcPr>
            <w:tcW w:w="2000" w:type="dxa"/>
            <w:shd w:val="clear" w:color="auto" w:fill="F2F2F2"/>
            <w:tcMar>
              <w:top w:w="70" w:type="dxa"/>
              <w:left w:w="100" w:type="dxa"/>
              <w:bottom w:w="70" w:type="dxa"/>
              <w:right w:w="100" w:type="dxa"/>
            </w:tcMar>
          </w:tcPr>
          <w:p w14:paraId="3DA0BD8B"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120.0</w:t>
            </w:r>
          </w:p>
        </w:tc>
        <w:tc>
          <w:tcPr>
            <w:tcW w:w="1600" w:type="dxa"/>
            <w:shd w:val="clear" w:color="auto" w:fill="F2F2F2"/>
            <w:tcMar>
              <w:top w:w="70" w:type="dxa"/>
              <w:left w:w="100" w:type="dxa"/>
              <w:bottom w:w="70" w:type="dxa"/>
              <w:right w:w="100" w:type="dxa"/>
            </w:tcMar>
          </w:tcPr>
          <w:p w14:paraId="5A944B0C"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90</w:t>
            </w:r>
          </w:p>
        </w:tc>
        <w:tc>
          <w:tcPr>
            <w:tcW w:w="1400" w:type="dxa"/>
            <w:shd w:val="clear" w:color="auto" w:fill="FCE4E4"/>
            <w:tcMar>
              <w:top w:w="70" w:type="dxa"/>
              <w:left w:w="100" w:type="dxa"/>
              <w:bottom w:w="70" w:type="dxa"/>
              <w:right w:w="100" w:type="dxa"/>
            </w:tcMar>
          </w:tcPr>
          <w:p w14:paraId="060FE521"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b/>
                <w:bCs/>
                <w:color w:val="C00000"/>
                <w:sz w:val="20"/>
                <w:szCs w:val="20"/>
              </w:rPr>
              <w:t>+30.0</w:t>
            </w:r>
          </w:p>
        </w:tc>
        <w:tc>
          <w:tcPr>
            <w:tcW w:w="1400" w:type="dxa"/>
            <w:shd w:val="clear" w:color="auto" w:fill="FCE4E4"/>
            <w:tcMar>
              <w:top w:w="70" w:type="dxa"/>
              <w:left w:w="100" w:type="dxa"/>
              <w:bottom w:w="70" w:type="dxa"/>
              <w:right w:w="100" w:type="dxa"/>
            </w:tcMar>
          </w:tcPr>
          <w:p w14:paraId="2AD5C755"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b/>
                <w:bCs/>
                <w:color w:val="C00000"/>
                <w:sz w:val="20"/>
                <w:szCs w:val="20"/>
              </w:rPr>
              <w:t>LATE</w:t>
            </w:r>
          </w:p>
        </w:tc>
        <w:tc>
          <w:tcPr>
            <w:tcW w:w="1160" w:type="dxa"/>
            <w:shd w:val="clear" w:color="auto" w:fill="F2F2F2"/>
            <w:tcMar>
              <w:top w:w="70" w:type="dxa"/>
              <w:left w:w="100" w:type="dxa"/>
              <w:bottom w:w="70" w:type="dxa"/>
              <w:right w:w="100" w:type="dxa"/>
            </w:tcMar>
          </w:tcPr>
          <w:p w14:paraId="664CBF06"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20</w:t>
            </w:r>
          </w:p>
        </w:tc>
      </w:tr>
      <w:tr w:rsidR="00DD2ACB" w14:paraId="5A6D341E"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79C51AF6" w14:textId="77777777" w:rsidR="00DD2ACB" w:rsidRPr="00B42571" w:rsidRDefault="00000000">
            <w:pPr>
              <w:rPr>
                <w:rFonts w:asciiTheme="minorHAnsi" w:hAnsiTheme="minorHAnsi" w:cstheme="minorHAnsi"/>
                <w:sz w:val="20"/>
                <w:szCs w:val="20"/>
              </w:rPr>
            </w:pPr>
            <w:r w:rsidRPr="00B42571">
              <w:rPr>
                <w:rFonts w:asciiTheme="minorHAnsi" w:hAnsiTheme="minorHAnsi" w:cstheme="minorHAnsi"/>
                <w:b/>
                <w:bCs/>
                <w:color w:val="222222"/>
                <w:sz w:val="20"/>
                <w:szCs w:val="20"/>
              </w:rPr>
              <w:t>Safety</w:t>
            </w:r>
          </w:p>
        </w:tc>
        <w:tc>
          <w:tcPr>
            <w:tcW w:w="2000" w:type="dxa"/>
            <w:shd w:val="clear" w:color="auto" w:fill="FFFFFF"/>
            <w:tcMar>
              <w:top w:w="70" w:type="dxa"/>
              <w:left w:w="100" w:type="dxa"/>
              <w:bottom w:w="70" w:type="dxa"/>
              <w:right w:w="100" w:type="dxa"/>
            </w:tcMar>
          </w:tcPr>
          <w:p w14:paraId="19A85651"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93.6</w:t>
            </w:r>
          </w:p>
        </w:tc>
        <w:tc>
          <w:tcPr>
            <w:tcW w:w="1600" w:type="dxa"/>
            <w:shd w:val="clear" w:color="auto" w:fill="FFFFFF"/>
            <w:tcMar>
              <w:top w:w="70" w:type="dxa"/>
              <w:left w:w="100" w:type="dxa"/>
              <w:bottom w:w="70" w:type="dxa"/>
              <w:right w:w="100" w:type="dxa"/>
            </w:tcMar>
          </w:tcPr>
          <w:p w14:paraId="6A041A25"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90</w:t>
            </w:r>
          </w:p>
        </w:tc>
        <w:tc>
          <w:tcPr>
            <w:tcW w:w="1400" w:type="dxa"/>
            <w:shd w:val="clear" w:color="auto" w:fill="FCE4E4"/>
            <w:tcMar>
              <w:top w:w="70" w:type="dxa"/>
              <w:left w:w="100" w:type="dxa"/>
              <w:bottom w:w="70" w:type="dxa"/>
              <w:right w:w="100" w:type="dxa"/>
            </w:tcMar>
          </w:tcPr>
          <w:p w14:paraId="3A6BEA8A"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b/>
                <w:bCs/>
                <w:color w:val="C00000"/>
                <w:sz w:val="20"/>
                <w:szCs w:val="20"/>
              </w:rPr>
              <w:t>+3.6</w:t>
            </w:r>
          </w:p>
        </w:tc>
        <w:tc>
          <w:tcPr>
            <w:tcW w:w="1400" w:type="dxa"/>
            <w:shd w:val="clear" w:color="auto" w:fill="FCE4E4"/>
            <w:tcMar>
              <w:top w:w="70" w:type="dxa"/>
              <w:left w:w="100" w:type="dxa"/>
              <w:bottom w:w="70" w:type="dxa"/>
              <w:right w:w="100" w:type="dxa"/>
            </w:tcMar>
          </w:tcPr>
          <w:p w14:paraId="59117597"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b/>
                <w:bCs/>
                <w:color w:val="C00000"/>
                <w:sz w:val="20"/>
                <w:szCs w:val="20"/>
              </w:rPr>
              <w:t>LATE</w:t>
            </w:r>
          </w:p>
        </w:tc>
        <w:tc>
          <w:tcPr>
            <w:tcW w:w="1160" w:type="dxa"/>
            <w:shd w:val="clear" w:color="auto" w:fill="FFFFFF"/>
            <w:tcMar>
              <w:top w:w="70" w:type="dxa"/>
              <w:left w:w="100" w:type="dxa"/>
              <w:bottom w:w="70" w:type="dxa"/>
              <w:right w:w="100" w:type="dxa"/>
            </w:tcMar>
          </w:tcPr>
          <w:p w14:paraId="0DD90A4F"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20</w:t>
            </w:r>
          </w:p>
        </w:tc>
      </w:tr>
      <w:tr w:rsidR="00DD2ACB" w14:paraId="5C22AA17" w14:textId="77777777">
        <w:tblPrEx>
          <w:tblCellMar>
            <w:top w:w="0" w:type="dxa"/>
            <w:bottom w:w="0" w:type="dxa"/>
          </w:tblCellMar>
        </w:tblPrEx>
        <w:tc>
          <w:tcPr>
            <w:tcW w:w="1900" w:type="dxa"/>
            <w:shd w:val="clear" w:color="auto" w:fill="F2F2F2"/>
            <w:tcMar>
              <w:top w:w="70" w:type="dxa"/>
              <w:left w:w="100" w:type="dxa"/>
              <w:bottom w:w="70" w:type="dxa"/>
              <w:right w:w="100" w:type="dxa"/>
            </w:tcMar>
          </w:tcPr>
          <w:p w14:paraId="2A753E50" w14:textId="77777777" w:rsidR="00DD2ACB" w:rsidRPr="00B42571" w:rsidRDefault="00000000">
            <w:pPr>
              <w:rPr>
                <w:rFonts w:asciiTheme="minorHAnsi" w:hAnsiTheme="minorHAnsi" w:cstheme="minorHAnsi"/>
                <w:sz w:val="20"/>
                <w:szCs w:val="20"/>
              </w:rPr>
            </w:pPr>
            <w:r w:rsidRPr="00B42571">
              <w:rPr>
                <w:rFonts w:asciiTheme="minorHAnsi" w:hAnsiTheme="minorHAnsi" w:cstheme="minorHAnsi"/>
                <w:b/>
                <w:bCs/>
                <w:color w:val="222222"/>
                <w:sz w:val="20"/>
                <w:szCs w:val="20"/>
              </w:rPr>
              <w:t>Lubrication</w:t>
            </w:r>
          </w:p>
        </w:tc>
        <w:tc>
          <w:tcPr>
            <w:tcW w:w="2000" w:type="dxa"/>
            <w:shd w:val="clear" w:color="auto" w:fill="F2F2F2"/>
            <w:tcMar>
              <w:top w:w="70" w:type="dxa"/>
              <w:left w:w="100" w:type="dxa"/>
              <w:bottom w:w="70" w:type="dxa"/>
              <w:right w:w="100" w:type="dxa"/>
            </w:tcMar>
          </w:tcPr>
          <w:p w14:paraId="6EE44D9D"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62.1</w:t>
            </w:r>
          </w:p>
        </w:tc>
        <w:tc>
          <w:tcPr>
            <w:tcW w:w="1600" w:type="dxa"/>
            <w:shd w:val="clear" w:color="auto" w:fill="F2F2F2"/>
            <w:tcMar>
              <w:top w:w="70" w:type="dxa"/>
              <w:left w:w="100" w:type="dxa"/>
              <w:bottom w:w="70" w:type="dxa"/>
              <w:right w:w="100" w:type="dxa"/>
            </w:tcMar>
          </w:tcPr>
          <w:p w14:paraId="478275F9"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90</w:t>
            </w:r>
          </w:p>
        </w:tc>
        <w:tc>
          <w:tcPr>
            <w:tcW w:w="1400" w:type="dxa"/>
            <w:shd w:val="clear" w:color="auto" w:fill="E2EFDA"/>
            <w:tcMar>
              <w:top w:w="70" w:type="dxa"/>
              <w:left w:w="100" w:type="dxa"/>
              <w:bottom w:w="70" w:type="dxa"/>
              <w:right w:w="100" w:type="dxa"/>
            </w:tcMar>
          </w:tcPr>
          <w:p w14:paraId="72F4A7B2"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b/>
                <w:bCs/>
                <w:color w:val="375623"/>
                <w:sz w:val="20"/>
                <w:szCs w:val="20"/>
              </w:rPr>
              <w:t>−27.9</w:t>
            </w:r>
          </w:p>
        </w:tc>
        <w:tc>
          <w:tcPr>
            <w:tcW w:w="1400" w:type="dxa"/>
            <w:shd w:val="clear" w:color="auto" w:fill="E2EFDA"/>
            <w:tcMar>
              <w:top w:w="70" w:type="dxa"/>
              <w:left w:w="100" w:type="dxa"/>
              <w:bottom w:w="70" w:type="dxa"/>
              <w:right w:w="100" w:type="dxa"/>
            </w:tcMar>
          </w:tcPr>
          <w:p w14:paraId="2ED25A7E"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b/>
                <w:bCs/>
                <w:color w:val="375623"/>
                <w:sz w:val="20"/>
                <w:szCs w:val="20"/>
              </w:rPr>
              <w:t>EARLY</w:t>
            </w:r>
          </w:p>
        </w:tc>
        <w:tc>
          <w:tcPr>
            <w:tcW w:w="1160" w:type="dxa"/>
            <w:shd w:val="clear" w:color="auto" w:fill="F2F2F2"/>
            <w:tcMar>
              <w:top w:w="70" w:type="dxa"/>
              <w:left w:w="100" w:type="dxa"/>
              <w:bottom w:w="70" w:type="dxa"/>
              <w:right w:w="100" w:type="dxa"/>
            </w:tcMar>
          </w:tcPr>
          <w:p w14:paraId="56E64CF1" w14:textId="77777777" w:rsidR="00DD2ACB" w:rsidRPr="00B42571" w:rsidRDefault="00000000">
            <w:pPr>
              <w:jc w:val="center"/>
              <w:rPr>
                <w:rFonts w:asciiTheme="minorHAnsi" w:hAnsiTheme="minorHAnsi" w:cstheme="minorHAnsi"/>
                <w:sz w:val="20"/>
                <w:szCs w:val="20"/>
              </w:rPr>
            </w:pPr>
            <w:r w:rsidRPr="00B42571">
              <w:rPr>
                <w:rFonts w:asciiTheme="minorHAnsi" w:hAnsiTheme="minorHAnsi" w:cstheme="minorHAnsi"/>
                <w:color w:val="222222"/>
                <w:sz w:val="20"/>
                <w:szCs w:val="20"/>
              </w:rPr>
              <w:t>20</w:t>
            </w:r>
          </w:p>
        </w:tc>
      </w:tr>
    </w:tbl>
    <w:p w14:paraId="38E42DD1" w14:textId="77777777" w:rsidR="00DD2ACB" w:rsidRDefault="00DD2ACB">
      <w:pPr>
        <w:spacing w:after="200"/>
      </w:pPr>
    </w:p>
    <w:p w14:paraId="24BE6F43" w14:textId="77777777" w:rsidR="00DD2ACB" w:rsidRPr="00B42571" w:rsidRDefault="00000000" w:rsidP="00B42571">
      <w:pPr>
        <w:pStyle w:val="ListParagraph"/>
        <w:numPr>
          <w:ilvl w:val="0"/>
          <w:numId w:val="2"/>
        </w:numPr>
        <w:spacing w:after="80" w:line="264" w:lineRule="auto"/>
        <w:jc w:val="both"/>
        <w:rPr>
          <w:sz w:val="22"/>
          <w:szCs w:val="22"/>
        </w:rPr>
      </w:pPr>
      <w:r w:rsidRPr="00B42571">
        <w:rPr>
          <w:b/>
          <w:bCs/>
          <w:color w:val="000000" w:themeColor="text1"/>
          <w:sz w:val="22"/>
          <w:szCs w:val="22"/>
        </w:rPr>
        <w:lastRenderedPageBreak/>
        <w:t>9 of 10 categories</w:t>
      </w:r>
      <w:r w:rsidRPr="00B42571">
        <w:rPr>
          <w:color w:val="222222"/>
          <w:sz w:val="22"/>
          <w:szCs w:val="22"/>
        </w:rPr>
        <w:t xml:space="preserve">, covering </w:t>
      </w:r>
      <w:r w:rsidRPr="00B42571">
        <w:rPr>
          <w:b/>
          <w:bCs/>
          <w:color w:val="000000" w:themeColor="text1"/>
          <w:sz w:val="22"/>
          <w:szCs w:val="22"/>
        </w:rPr>
        <w:t>380 of 400 items (95.0%)</w:t>
      </w:r>
      <w:r w:rsidRPr="00B42571">
        <w:rPr>
          <w:color w:val="000000" w:themeColor="text1"/>
          <w:sz w:val="22"/>
          <w:szCs w:val="22"/>
        </w:rPr>
        <w:t xml:space="preserve">, </w:t>
      </w:r>
      <w:r w:rsidRPr="00B42571">
        <w:rPr>
          <w:color w:val="222222"/>
          <w:sz w:val="22"/>
          <w:szCs w:val="22"/>
        </w:rPr>
        <w:t>would have their purchase order placed too late under a flat 90-day rule — the part would still be in transit or awaiting receipt when the shutdown begins.</w:t>
      </w:r>
    </w:p>
    <w:p w14:paraId="38BF29FE" w14:textId="77777777" w:rsidR="00DD2ACB" w:rsidRPr="00B42571" w:rsidRDefault="00000000" w:rsidP="00B42571">
      <w:pPr>
        <w:pStyle w:val="ListParagraph"/>
        <w:numPr>
          <w:ilvl w:val="0"/>
          <w:numId w:val="2"/>
        </w:numPr>
        <w:spacing w:after="80" w:line="264" w:lineRule="auto"/>
        <w:jc w:val="both"/>
        <w:rPr>
          <w:sz w:val="22"/>
          <w:szCs w:val="22"/>
        </w:rPr>
      </w:pPr>
      <w:r w:rsidRPr="00B42571">
        <w:rPr>
          <w:color w:val="222222"/>
          <w:sz w:val="22"/>
          <w:szCs w:val="22"/>
        </w:rPr>
        <w:t xml:space="preserve">The exposure is not uniform: </w:t>
      </w:r>
      <w:r w:rsidRPr="00B42571">
        <w:rPr>
          <w:b/>
          <w:bCs/>
          <w:color w:val="222222"/>
          <w:sz w:val="22"/>
          <w:szCs w:val="22"/>
        </w:rPr>
        <w:t>Mechanical</w:t>
      </w:r>
      <w:r w:rsidRPr="00B42571">
        <w:rPr>
          <w:color w:val="222222"/>
          <w:sz w:val="22"/>
          <w:szCs w:val="22"/>
        </w:rPr>
        <w:t xml:space="preserve"> would arrive </w:t>
      </w:r>
      <w:r w:rsidRPr="00B42571">
        <w:rPr>
          <w:b/>
          <w:bCs/>
          <w:color w:val="222222"/>
          <w:sz w:val="22"/>
          <w:szCs w:val="22"/>
        </w:rPr>
        <w:t>179.8 days</w:t>
      </w:r>
      <w:r w:rsidRPr="00B42571">
        <w:rPr>
          <w:color w:val="222222"/>
          <w:sz w:val="22"/>
          <w:szCs w:val="22"/>
        </w:rPr>
        <w:t xml:space="preserve"> after it was needed, versus </w:t>
      </w:r>
      <w:r w:rsidRPr="00B42571">
        <w:rPr>
          <w:b/>
          <w:bCs/>
          <w:color w:val="222222"/>
          <w:sz w:val="22"/>
          <w:szCs w:val="22"/>
        </w:rPr>
        <w:t>3.6 days</w:t>
      </w:r>
      <w:r w:rsidRPr="00B42571">
        <w:rPr>
          <w:color w:val="222222"/>
          <w:sz w:val="22"/>
          <w:szCs w:val="22"/>
        </w:rPr>
        <w:t xml:space="preserve"> for Safety — a 50-fold difference in risk that a single flat rule cannot capture.</w:t>
      </w:r>
    </w:p>
    <w:p w14:paraId="18BAC826" w14:textId="77777777" w:rsidR="00DD2ACB" w:rsidRPr="00B42571" w:rsidRDefault="00000000" w:rsidP="00B42571">
      <w:pPr>
        <w:pStyle w:val="ListParagraph"/>
        <w:numPr>
          <w:ilvl w:val="0"/>
          <w:numId w:val="2"/>
        </w:numPr>
        <w:spacing w:after="80" w:line="264" w:lineRule="auto"/>
        <w:jc w:val="both"/>
        <w:rPr>
          <w:sz w:val="22"/>
          <w:szCs w:val="22"/>
        </w:rPr>
      </w:pPr>
      <w:r w:rsidRPr="00B42571">
        <w:rPr>
          <w:color w:val="222222"/>
          <w:sz w:val="22"/>
          <w:szCs w:val="22"/>
        </w:rPr>
        <w:t xml:space="preserve">Only </w:t>
      </w:r>
      <w:r w:rsidRPr="00B42571">
        <w:rPr>
          <w:b/>
          <w:bCs/>
          <w:color w:val="222222"/>
          <w:sz w:val="22"/>
          <w:szCs w:val="22"/>
        </w:rPr>
        <w:t>Lubrication</w:t>
      </w:r>
      <w:r w:rsidRPr="00B42571">
        <w:rPr>
          <w:color w:val="222222"/>
          <w:sz w:val="22"/>
          <w:szCs w:val="22"/>
        </w:rPr>
        <w:t xml:space="preserve"> (20 items) would be ordered earlier than necessary under this rule, tying up warehouse space for an extra </w:t>
      </w:r>
      <w:r w:rsidRPr="00B42571">
        <w:rPr>
          <w:b/>
          <w:bCs/>
          <w:color w:val="222222"/>
          <w:sz w:val="22"/>
          <w:szCs w:val="22"/>
        </w:rPr>
        <w:t>27.9 days</w:t>
      </w:r>
      <w:r w:rsidRPr="00B42571">
        <w:rPr>
          <w:color w:val="222222"/>
          <w:sz w:val="22"/>
          <w:szCs w:val="22"/>
        </w:rPr>
        <w:t xml:space="preserve"> with no corresponding benefit.</w:t>
      </w:r>
    </w:p>
    <w:p w14:paraId="509D093C" w14:textId="77777777" w:rsidR="00DD2ACB" w:rsidRDefault="00000000">
      <w:pPr>
        <w:pStyle w:val="Heading2"/>
        <w:spacing w:before="280" w:after="120"/>
      </w:pPr>
      <w:r>
        <w:rPr>
          <w:b/>
          <w:bCs/>
          <w:color w:val="1F3864"/>
          <w:sz w:val="24"/>
          <w:szCs w:val="24"/>
        </w:rPr>
        <w:t>5.2 Baseline B — Lead Time Without a Safety Buffer</w:t>
      </w:r>
    </w:p>
    <w:p w14:paraId="21CFCC50" w14:textId="78868AE3" w:rsidR="00DD2ACB" w:rsidRPr="00E65A69" w:rsidRDefault="00000000" w:rsidP="00E65A69">
      <w:pPr>
        <w:spacing w:after="160" w:line="276" w:lineRule="auto"/>
        <w:jc w:val="both"/>
        <w:rPr>
          <w:sz w:val="22"/>
          <w:szCs w:val="22"/>
        </w:rPr>
      </w:pPr>
      <w:r w:rsidRPr="00E65A69">
        <w:rPr>
          <w:color w:val="222222"/>
          <w:sz w:val="22"/>
          <w:szCs w:val="22"/>
        </w:rPr>
        <w:t>A subtler and more realistic mistake is calculating average lead time correctly, but omitting the safety buffer for lead-time variability — i.e. ordering exactly “avg lead time before shutdown” and assuming every shipment is on schedule. Because the safety buffer (Section 3.3) exists precisely to absorb that variability, skipping it produces a shortfall equal to the full buffer, in every single category: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260"/>
      </w:tblGrid>
      <w:tr w:rsidR="00DD2ACB" w14:paraId="449D0277"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3BDDD30F" w14:textId="77777777" w:rsidR="00DD2ACB" w:rsidRDefault="00000000">
            <w:r>
              <w:rPr>
                <w:b/>
                <w:bCs/>
                <w:color w:val="FFFFFF"/>
                <w:sz w:val="18"/>
                <w:szCs w:val="18"/>
              </w:rPr>
              <w:t>Category</w:t>
            </w:r>
          </w:p>
        </w:tc>
        <w:tc>
          <w:tcPr>
            <w:tcW w:w="2400" w:type="dxa"/>
            <w:shd w:val="clear" w:color="auto" w:fill="1F3864"/>
            <w:tcMar>
              <w:top w:w="80" w:type="dxa"/>
              <w:left w:w="100" w:type="dxa"/>
              <w:bottom w:w="80" w:type="dxa"/>
              <w:right w:w="100" w:type="dxa"/>
            </w:tcMar>
          </w:tcPr>
          <w:p w14:paraId="47F6B08E" w14:textId="77777777" w:rsidR="00DD2ACB" w:rsidRDefault="00000000">
            <w:r>
              <w:rPr>
                <w:b/>
                <w:bCs/>
                <w:color w:val="FFFFFF"/>
                <w:sz w:val="18"/>
                <w:szCs w:val="18"/>
              </w:rPr>
              <w:t>Avg Lead Time Used (days)</w:t>
            </w:r>
          </w:p>
        </w:tc>
        <w:tc>
          <w:tcPr>
            <w:tcW w:w="2400" w:type="dxa"/>
            <w:shd w:val="clear" w:color="auto" w:fill="1F3864"/>
            <w:tcMar>
              <w:top w:w="80" w:type="dxa"/>
              <w:left w:w="100" w:type="dxa"/>
              <w:bottom w:w="80" w:type="dxa"/>
              <w:right w:w="100" w:type="dxa"/>
            </w:tcMar>
          </w:tcPr>
          <w:p w14:paraId="5DE003B6" w14:textId="77777777" w:rsidR="00DD2ACB" w:rsidRDefault="00000000">
            <w:r>
              <w:rPr>
                <w:b/>
                <w:bCs/>
                <w:color w:val="FFFFFF"/>
                <w:sz w:val="18"/>
                <w:szCs w:val="18"/>
              </w:rPr>
              <w:t>Buffer Omitted = Shortfall (days)</w:t>
            </w:r>
          </w:p>
        </w:tc>
        <w:tc>
          <w:tcPr>
            <w:tcW w:w="2260" w:type="dxa"/>
            <w:shd w:val="clear" w:color="auto" w:fill="1F3864"/>
            <w:tcMar>
              <w:top w:w="80" w:type="dxa"/>
              <w:left w:w="100" w:type="dxa"/>
              <w:bottom w:w="80" w:type="dxa"/>
              <w:right w:w="100" w:type="dxa"/>
            </w:tcMar>
          </w:tcPr>
          <w:p w14:paraId="75FB4BEF" w14:textId="77777777" w:rsidR="00DD2ACB" w:rsidRDefault="00000000">
            <w:r>
              <w:rPr>
                <w:b/>
                <w:bCs/>
                <w:color w:val="FFFFFF"/>
                <w:sz w:val="18"/>
                <w:szCs w:val="18"/>
              </w:rPr>
              <w:t>Items Under-Ordered</w:t>
            </w:r>
          </w:p>
        </w:tc>
      </w:tr>
      <w:tr w:rsidR="00DD2ACB" w14:paraId="433F5028" w14:textId="77777777">
        <w:tblPrEx>
          <w:tblCellMar>
            <w:top w:w="0" w:type="dxa"/>
            <w:bottom w:w="0" w:type="dxa"/>
          </w:tblCellMar>
        </w:tblPrEx>
        <w:tc>
          <w:tcPr>
            <w:tcW w:w="2400" w:type="dxa"/>
            <w:shd w:val="clear" w:color="auto" w:fill="FCE4E4"/>
            <w:tcMar>
              <w:top w:w="70" w:type="dxa"/>
              <w:left w:w="100" w:type="dxa"/>
              <w:bottom w:w="70" w:type="dxa"/>
              <w:right w:w="100" w:type="dxa"/>
            </w:tcMar>
          </w:tcPr>
          <w:p w14:paraId="567465C6" w14:textId="77777777" w:rsidR="00DD2ACB" w:rsidRDefault="00000000">
            <w:r>
              <w:rPr>
                <w:b/>
                <w:bCs/>
                <w:color w:val="222222"/>
                <w:sz w:val="18"/>
                <w:szCs w:val="18"/>
              </w:rPr>
              <w:t>Mechanical</w:t>
            </w:r>
          </w:p>
        </w:tc>
        <w:tc>
          <w:tcPr>
            <w:tcW w:w="2400" w:type="dxa"/>
            <w:shd w:val="clear" w:color="auto" w:fill="FCE4E4"/>
            <w:tcMar>
              <w:top w:w="70" w:type="dxa"/>
              <w:left w:w="100" w:type="dxa"/>
              <w:bottom w:w="70" w:type="dxa"/>
              <w:right w:w="100" w:type="dxa"/>
            </w:tcMar>
          </w:tcPr>
          <w:p w14:paraId="4A712EE7" w14:textId="77777777" w:rsidR="00DD2ACB" w:rsidRDefault="00000000">
            <w:pPr>
              <w:jc w:val="center"/>
            </w:pPr>
            <w:r>
              <w:rPr>
                <w:color w:val="222222"/>
                <w:sz w:val="18"/>
                <w:szCs w:val="18"/>
              </w:rPr>
              <w:t>193.8</w:t>
            </w:r>
          </w:p>
        </w:tc>
        <w:tc>
          <w:tcPr>
            <w:tcW w:w="2400" w:type="dxa"/>
            <w:shd w:val="clear" w:color="auto" w:fill="FCE4E4"/>
            <w:tcMar>
              <w:top w:w="70" w:type="dxa"/>
              <w:left w:w="100" w:type="dxa"/>
              <w:bottom w:w="70" w:type="dxa"/>
              <w:right w:w="100" w:type="dxa"/>
            </w:tcMar>
          </w:tcPr>
          <w:p w14:paraId="732122D1" w14:textId="77777777" w:rsidR="00DD2ACB" w:rsidRDefault="00000000">
            <w:pPr>
              <w:jc w:val="center"/>
            </w:pPr>
            <w:r>
              <w:rPr>
                <w:b/>
                <w:bCs/>
                <w:color w:val="C00000"/>
                <w:sz w:val="18"/>
                <w:szCs w:val="18"/>
              </w:rPr>
              <w:t>76</w:t>
            </w:r>
          </w:p>
        </w:tc>
        <w:tc>
          <w:tcPr>
            <w:tcW w:w="2260" w:type="dxa"/>
            <w:shd w:val="clear" w:color="auto" w:fill="FCE4E4"/>
            <w:tcMar>
              <w:top w:w="70" w:type="dxa"/>
              <w:left w:w="100" w:type="dxa"/>
              <w:bottom w:w="70" w:type="dxa"/>
              <w:right w:w="100" w:type="dxa"/>
            </w:tcMar>
          </w:tcPr>
          <w:p w14:paraId="59419007" w14:textId="77777777" w:rsidR="00DD2ACB" w:rsidRDefault="00000000">
            <w:pPr>
              <w:jc w:val="center"/>
            </w:pPr>
            <w:r>
              <w:rPr>
                <w:color w:val="222222"/>
                <w:sz w:val="18"/>
                <w:szCs w:val="18"/>
              </w:rPr>
              <w:t>120</w:t>
            </w:r>
          </w:p>
        </w:tc>
      </w:tr>
      <w:tr w:rsidR="00DD2ACB" w14:paraId="1B207750" w14:textId="77777777">
        <w:tblPrEx>
          <w:tblCellMar>
            <w:top w:w="0" w:type="dxa"/>
            <w:bottom w:w="0" w:type="dxa"/>
          </w:tblCellMar>
        </w:tblPrEx>
        <w:tc>
          <w:tcPr>
            <w:tcW w:w="2400" w:type="dxa"/>
            <w:shd w:val="clear" w:color="auto" w:fill="FCE4E4"/>
            <w:tcMar>
              <w:top w:w="70" w:type="dxa"/>
              <w:left w:w="100" w:type="dxa"/>
              <w:bottom w:w="70" w:type="dxa"/>
              <w:right w:w="100" w:type="dxa"/>
            </w:tcMar>
          </w:tcPr>
          <w:p w14:paraId="6EF2F2C8" w14:textId="77777777" w:rsidR="00DD2ACB" w:rsidRDefault="00000000">
            <w:r>
              <w:rPr>
                <w:b/>
                <w:bCs/>
                <w:color w:val="222222"/>
                <w:sz w:val="18"/>
                <w:szCs w:val="18"/>
              </w:rPr>
              <w:t>Civil</w:t>
            </w:r>
          </w:p>
        </w:tc>
        <w:tc>
          <w:tcPr>
            <w:tcW w:w="2400" w:type="dxa"/>
            <w:shd w:val="clear" w:color="auto" w:fill="FCE4E4"/>
            <w:tcMar>
              <w:top w:w="70" w:type="dxa"/>
              <w:left w:w="100" w:type="dxa"/>
              <w:bottom w:w="70" w:type="dxa"/>
              <w:right w:w="100" w:type="dxa"/>
            </w:tcMar>
          </w:tcPr>
          <w:p w14:paraId="7958E434" w14:textId="77777777" w:rsidR="00DD2ACB" w:rsidRDefault="00000000">
            <w:pPr>
              <w:jc w:val="center"/>
            </w:pPr>
            <w:r>
              <w:rPr>
                <w:color w:val="222222"/>
                <w:sz w:val="18"/>
                <w:szCs w:val="18"/>
              </w:rPr>
              <w:t>163.7</w:t>
            </w:r>
          </w:p>
        </w:tc>
        <w:tc>
          <w:tcPr>
            <w:tcW w:w="2400" w:type="dxa"/>
            <w:shd w:val="clear" w:color="auto" w:fill="FCE4E4"/>
            <w:tcMar>
              <w:top w:w="70" w:type="dxa"/>
              <w:left w:w="100" w:type="dxa"/>
              <w:bottom w:w="70" w:type="dxa"/>
              <w:right w:w="100" w:type="dxa"/>
            </w:tcMar>
          </w:tcPr>
          <w:p w14:paraId="6237A157" w14:textId="77777777" w:rsidR="00DD2ACB" w:rsidRDefault="00000000">
            <w:pPr>
              <w:jc w:val="center"/>
            </w:pPr>
            <w:r>
              <w:rPr>
                <w:b/>
                <w:bCs/>
                <w:color w:val="C00000"/>
                <w:sz w:val="18"/>
                <w:szCs w:val="18"/>
              </w:rPr>
              <w:t>49</w:t>
            </w:r>
          </w:p>
        </w:tc>
        <w:tc>
          <w:tcPr>
            <w:tcW w:w="2260" w:type="dxa"/>
            <w:shd w:val="clear" w:color="auto" w:fill="FCE4E4"/>
            <w:tcMar>
              <w:top w:w="70" w:type="dxa"/>
              <w:left w:w="100" w:type="dxa"/>
              <w:bottom w:w="70" w:type="dxa"/>
              <w:right w:w="100" w:type="dxa"/>
            </w:tcMar>
          </w:tcPr>
          <w:p w14:paraId="0B356997" w14:textId="77777777" w:rsidR="00DD2ACB" w:rsidRDefault="00000000">
            <w:pPr>
              <w:jc w:val="center"/>
            </w:pPr>
            <w:r>
              <w:rPr>
                <w:color w:val="222222"/>
                <w:sz w:val="18"/>
                <w:szCs w:val="18"/>
              </w:rPr>
              <w:t>15</w:t>
            </w:r>
          </w:p>
        </w:tc>
      </w:tr>
      <w:tr w:rsidR="00DD2ACB" w14:paraId="3D83A639" w14:textId="77777777">
        <w:tblPrEx>
          <w:tblCellMar>
            <w:top w:w="0" w:type="dxa"/>
            <w:bottom w:w="0" w:type="dxa"/>
          </w:tblCellMar>
        </w:tblPrEx>
        <w:tc>
          <w:tcPr>
            <w:tcW w:w="2400" w:type="dxa"/>
            <w:shd w:val="clear" w:color="auto" w:fill="FCE4E4"/>
            <w:tcMar>
              <w:top w:w="70" w:type="dxa"/>
              <w:left w:w="100" w:type="dxa"/>
              <w:bottom w:w="70" w:type="dxa"/>
              <w:right w:w="100" w:type="dxa"/>
            </w:tcMar>
          </w:tcPr>
          <w:p w14:paraId="478DE70B" w14:textId="77777777" w:rsidR="00DD2ACB" w:rsidRDefault="00000000">
            <w:r>
              <w:rPr>
                <w:b/>
                <w:bCs/>
                <w:color w:val="222222"/>
                <w:sz w:val="18"/>
                <w:szCs w:val="18"/>
              </w:rPr>
              <w:t>Piping</w:t>
            </w:r>
          </w:p>
        </w:tc>
        <w:tc>
          <w:tcPr>
            <w:tcW w:w="2400" w:type="dxa"/>
            <w:shd w:val="clear" w:color="auto" w:fill="FCE4E4"/>
            <w:tcMar>
              <w:top w:w="70" w:type="dxa"/>
              <w:left w:w="100" w:type="dxa"/>
              <w:bottom w:w="70" w:type="dxa"/>
              <w:right w:w="100" w:type="dxa"/>
            </w:tcMar>
          </w:tcPr>
          <w:p w14:paraId="29E56691" w14:textId="77777777" w:rsidR="00DD2ACB" w:rsidRDefault="00000000">
            <w:pPr>
              <w:jc w:val="center"/>
            </w:pPr>
            <w:r>
              <w:rPr>
                <w:color w:val="222222"/>
                <w:sz w:val="18"/>
                <w:szCs w:val="18"/>
              </w:rPr>
              <w:t>139.8</w:t>
            </w:r>
          </w:p>
        </w:tc>
        <w:tc>
          <w:tcPr>
            <w:tcW w:w="2400" w:type="dxa"/>
            <w:shd w:val="clear" w:color="auto" w:fill="FCE4E4"/>
            <w:tcMar>
              <w:top w:w="70" w:type="dxa"/>
              <w:left w:w="100" w:type="dxa"/>
              <w:bottom w:w="70" w:type="dxa"/>
              <w:right w:w="100" w:type="dxa"/>
            </w:tcMar>
          </w:tcPr>
          <w:p w14:paraId="609C8CC9" w14:textId="77777777" w:rsidR="00DD2ACB" w:rsidRDefault="00000000">
            <w:pPr>
              <w:jc w:val="center"/>
            </w:pPr>
            <w:r>
              <w:rPr>
                <w:b/>
                <w:bCs/>
                <w:color w:val="C00000"/>
                <w:sz w:val="18"/>
                <w:szCs w:val="18"/>
              </w:rPr>
              <w:t>51</w:t>
            </w:r>
          </w:p>
        </w:tc>
        <w:tc>
          <w:tcPr>
            <w:tcW w:w="2260" w:type="dxa"/>
            <w:shd w:val="clear" w:color="auto" w:fill="FCE4E4"/>
            <w:tcMar>
              <w:top w:w="70" w:type="dxa"/>
              <w:left w:w="100" w:type="dxa"/>
              <w:bottom w:w="70" w:type="dxa"/>
              <w:right w:w="100" w:type="dxa"/>
            </w:tcMar>
          </w:tcPr>
          <w:p w14:paraId="70D1D920" w14:textId="77777777" w:rsidR="00DD2ACB" w:rsidRDefault="00000000">
            <w:pPr>
              <w:jc w:val="center"/>
            </w:pPr>
            <w:r>
              <w:rPr>
                <w:color w:val="222222"/>
                <w:sz w:val="18"/>
                <w:szCs w:val="18"/>
              </w:rPr>
              <w:t>40</w:t>
            </w:r>
          </w:p>
        </w:tc>
      </w:tr>
      <w:tr w:rsidR="00DD2ACB" w14:paraId="5E5EE58E" w14:textId="77777777">
        <w:tblPrEx>
          <w:tblCellMar>
            <w:top w:w="0" w:type="dxa"/>
            <w:bottom w:w="0" w:type="dxa"/>
          </w:tblCellMar>
        </w:tblPrEx>
        <w:tc>
          <w:tcPr>
            <w:tcW w:w="2400" w:type="dxa"/>
            <w:shd w:val="clear" w:color="auto" w:fill="FCE4E4"/>
            <w:tcMar>
              <w:top w:w="70" w:type="dxa"/>
              <w:left w:w="100" w:type="dxa"/>
              <w:bottom w:w="70" w:type="dxa"/>
              <w:right w:w="100" w:type="dxa"/>
            </w:tcMar>
          </w:tcPr>
          <w:p w14:paraId="7E8CAD73" w14:textId="77777777" w:rsidR="00DD2ACB" w:rsidRDefault="00000000">
            <w:r>
              <w:rPr>
                <w:b/>
                <w:bCs/>
                <w:color w:val="222222"/>
                <w:sz w:val="18"/>
                <w:szCs w:val="18"/>
              </w:rPr>
              <w:t>Instrumentation</w:t>
            </w:r>
          </w:p>
        </w:tc>
        <w:tc>
          <w:tcPr>
            <w:tcW w:w="2400" w:type="dxa"/>
            <w:shd w:val="clear" w:color="auto" w:fill="FCE4E4"/>
            <w:tcMar>
              <w:top w:w="70" w:type="dxa"/>
              <w:left w:w="100" w:type="dxa"/>
              <w:bottom w:w="70" w:type="dxa"/>
              <w:right w:w="100" w:type="dxa"/>
            </w:tcMar>
          </w:tcPr>
          <w:p w14:paraId="75E6FF53" w14:textId="77777777" w:rsidR="00DD2ACB" w:rsidRDefault="00000000">
            <w:pPr>
              <w:jc w:val="center"/>
            </w:pPr>
            <w:r>
              <w:rPr>
                <w:color w:val="222222"/>
                <w:sz w:val="18"/>
                <w:szCs w:val="18"/>
              </w:rPr>
              <w:t>136.5</w:t>
            </w:r>
          </w:p>
        </w:tc>
        <w:tc>
          <w:tcPr>
            <w:tcW w:w="2400" w:type="dxa"/>
            <w:shd w:val="clear" w:color="auto" w:fill="FCE4E4"/>
            <w:tcMar>
              <w:top w:w="70" w:type="dxa"/>
              <w:left w:w="100" w:type="dxa"/>
              <w:bottom w:w="70" w:type="dxa"/>
              <w:right w:w="100" w:type="dxa"/>
            </w:tcMar>
          </w:tcPr>
          <w:p w14:paraId="39DDF862" w14:textId="77777777" w:rsidR="00DD2ACB" w:rsidRDefault="00000000">
            <w:pPr>
              <w:jc w:val="center"/>
            </w:pPr>
            <w:r>
              <w:rPr>
                <w:b/>
                <w:bCs/>
                <w:color w:val="C00000"/>
                <w:sz w:val="18"/>
                <w:szCs w:val="18"/>
              </w:rPr>
              <w:t>42</w:t>
            </w:r>
          </w:p>
        </w:tc>
        <w:tc>
          <w:tcPr>
            <w:tcW w:w="2260" w:type="dxa"/>
            <w:shd w:val="clear" w:color="auto" w:fill="FCE4E4"/>
            <w:tcMar>
              <w:top w:w="70" w:type="dxa"/>
              <w:left w:w="100" w:type="dxa"/>
              <w:bottom w:w="70" w:type="dxa"/>
              <w:right w:w="100" w:type="dxa"/>
            </w:tcMar>
          </w:tcPr>
          <w:p w14:paraId="138E8A5E" w14:textId="77777777" w:rsidR="00DD2ACB" w:rsidRDefault="00000000">
            <w:pPr>
              <w:jc w:val="center"/>
            </w:pPr>
            <w:r>
              <w:rPr>
                <w:color w:val="222222"/>
                <w:sz w:val="18"/>
                <w:szCs w:val="18"/>
              </w:rPr>
              <w:t>50</w:t>
            </w:r>
          </w:p>
        </w:tc>
      </w:tr>
      <w:tr w:rsidR="00DD2ACB" w14:paraId="4EAA6CDB" w14:textId="77777777">
        <w:tblPrEx>
          <w:tblCellMar>
            <w:top w:w="0" w:type="dxa"/>
            <w:bottom w:w="0" w:type="dxa"/>
          </w:tblCellMar>
        </w:tblPrEx>
        <w:tc>
          <w:tcPr>
            <w:tcW w:w="2400" w:type="dxa"/>
            <w:shd w:val="clear" w:color="auto" w:fill="FCE4E4"/>
            <w:tcMar>
              <w:top w:w="70" w:type="dxa"/>
              <w:left w:w="100" w:type="dxa"/>
              <w:bottom w:w="70" w:type="dxa"/>
              <w:right w:w="100" w:type="dxa"/>
            </w:tcMar>
          </w:tcPr>
          <w:p w14:paraId="79995545" w14:textId="77777777" w:rsidR="00DD2ACB" w:rsidRDefault="00000000">
            <w:r>
              <w:rPr>
                <w:b/>
                <w:bCs/>
                <w:color w:val="222222"/>
                <w:sz w:val="18"/>
                <w:szCs w:val="18"/>
              </w:rPr>
              <w:t>HVAC</w:t>
            </w:r>
          </w:p>
        </w:tc>
        <w:tc>
          <w:tcPr>
            <w:tcW w:w="2400" w:type="dxa"/>
            <w:shd w:val="clear" w:color="auto" w:fill="FCE4E4"/>
            <w:tcMar>
              <w:top w:w="70" w:type="dxa"/>
              <w:left w:w="100" w:type="dxa"/>
              <w:bottom w:w="70" w:type="dxa"/>
              <w:right w:w="100" w:type="dxa"/>
            </w:tcMar>
          </w:tcPr>
          <w:p w14:paraId="0A692C5C" w14:textId="77777777" w:rsidR="00DD2ACB" w:rsidRDefault="00000000">
            <w:pPr>
              <w:jc w:val="center"/>
            </w:pPr>
            <w:r>
              <w:rPr>
                <w:color w:val="222222"/>
                <w:sz w:val="18"/>
                <w:szCs w:val="18"/>
              </w:rPr>
              <w:t>112.9</w:t>
            </w:r>
          </w:p>
        </w:tc>
        <w:tc>
          <w:tcPr>
            <w:tcW w:w="2400" w:type="dxa"/>
            <w:shd w:val="clear" w:color="auto" w:fill="FCE4E4"/>
            <w:tcMar>
              <w:top w:w="70" w:type="dxa"/>
              <w:left w:w="100" w:type="dxa"/>
              <w:bottom w:w="70" w:type="dxa"/>
              <w:right w:w="100" w:type="dxa"/>
            </w:tcMar>
          </w:tcPr>
          <w:p w14:paraId="7FD7754C" w14:textId="77777777" w:rsidR="00DD2ACB" w:rsidRDefault="00000000">
            <w:pPr>
              <w:jc w:val="center"/>
            </w:pPr>
            <w:r>
              <w:rPr>
                <w:b/>
                <w:bCs/>
                <w:color w:val="C00000"/>
                <w:sz w:val="18"/>
                <w:szCs w:val="18"/>
              </w:rPr>
              <w:t>43</w:t>
            </w:r>
          </w:p>
        </w:tc>
        <w:tc>
          <w:tcPr>
            <w:tcW w:w="2260" w:type="dxa"/>
            <w:shd w:val="clear" w:color="auto" w:fill="FCE4E4"/>
            <w:tcMar>
              <w:top w:w="70" w:type="dxa"/>
              <w:left w:w="100" w:type="dxa"/>
              <w:bottom w:w="70" w:type="dxa"/>
              <w:right w:w="100" w:type="dxa"/>
            </w:tcMar>
          </w:tcPr>
          <w:p w14:paraId="07BBE770" w14:textId="77777777" w:rsidR="00DD2ACB" w:rsidRDefault="00000000">
            <w:pPr>
              <w:jc w:val="center"/>
            </w:pPr>
            <w:r>
              <w:rPr>
                <w:color w:val="222222"/>
                <w:sz w:val="18"/>
                <w:szCs w:val="18"/>
              </w:rPr>
              <w:t>15</w:t>
            </w:r>
          </w:p>
        </w:tc>
      </w:tr>
      <w:tr w:rsidR="00DD2ACB" w14:paraId="0A11759E" w14:textId="77777777">
        <w:tblPrEx>
          <w:tblCellMar>
            <w:top w:w="0" w:type="dxa"/>
            <w:bottom w:w="0" w:type="dxa"/>
          </w:tblCellMar>
        </w:tblPrEx>
        <w:tc>
          <w:tcPr>
            <w:tcW w:w="2400" w:type="dxa"/>
            <w:shd w:val="clear" w:color="auto" w:fill="FCE4E4"/>
            <w:tcMar>
              <w:top w:w="70" w:type="dxa"/>
              <w:left w:w="100" w:type="dxa"/>
              <w:bottom w:w="70" w:type="dxa"/>
              <w:right w:w="100" w:type="dxa"/>
            </w:tcMar>
          </w:tcPr>
          <w:p w14:paraId="7B1EFE19" w14:textId="77777777" w:rsidR="00DD2ACB" w:rsidRDefault="00000000">
            <w:r>
              <w:rPr>
                <w:b/>
                <w:bCs/>
                <w:color w:val="222222"/>
                <w:sz w:val="18"/>
                <w:szCs w:val="18"/>
              </w:rPr>
              <w:t>Electrical</w:t>
            </w:r>
          </w:p>
        </w:tc>
        <w:tc>
          <w:tcPr>
            <w:tcW w:w="2400" w:type="dxa"/>
            <w:shd w:val="clear" w:color="auto" w:fill="FCE4E4"/>
            <w:tcMar>
              <w:top w:w="70" w:type="dxa"/>
              <w:left w:w="100" w:type="dxa"/>
              <w:bottom w:w="70" w:type="dxa"/>
              <w:right w:w="100" w:type="dxa"/>
            </w:tcMar>
          </w:tcPr>
          <w:p w14:paraId="6F06FE8A" w14:textId="77777777" w:rsidR="00DD2ACB" w:rsidRDefault="00000000">
            <w:pPr>
              <w:jc w:val="center"/>
            </w:pPr>
            <w:r>
              <w:rPr>
                <w:color w:val="222222"/>
                <w:sz w:val="18"/>
                <w:szCs w:val="18"/>
              </w:rPr>
              <w:t>109.8</w:t>
            </w:r>
          </w:p>
        </w:tc>
        <w:tc>
          <w:tcPr>
            <w:tcW w:w="2400" w:type="dxa"/>
            <w:shd w:val="clear" w:color="auto" w:fill="FCE4E4"/>
            <w:tcMar>
              <w:top w:w="70" w:type="dxa"/>
              <w:left w:w="100" w:type="dxa"/>
              <w:bottom w:w="70" w:type="dxa"/>
              <w:right w:w="100" w:type="dxa"/>
            </w:tcMar>
          </w:tcPr>
          <w:p w14:paraId="7A5FDEE7" w14:textId="77777777" w:rsidR="00DD2ACB" w:rsidRDefault="00000000">
            <w:pPr>
              <w:jc w:val="center"/>
            </w:pPr>
            <w:r>
              <w:rPr>
                <w:b/>
                <w:bCs/>
                <w:color w:val="C00000"/>
                <w:sz w:val="18"/>
                <w:szCs w:val="18"/>
              </w:rPr>
              <w:t>42</w:t>
            </w:r>
          </w:p>
        </w:tc>
        <w:tc>
          <w:tcPr>
            <w:tcW w:w="2260" w:type="dxa"/>
            <w:shd w:val="clear" w:color="auto" w:fill="FCE4E4"/>
            <w:tcMar>
              <w:top w:w="70" w:type="dxa"/>
              <w:left w:w="100" w:type="dxa"/>
              <w:bottom w:w="70" w:type="dxa"/>
              <w:right w:w="100" w:type="dxa"/>
            </w:tcMar>
          </w:tcPr>
          <w:p w14:paraId="4AF73DFA" w14:textId="77777777" w:rsidR="00DD2ACB" w:rsidRDefault="00000000">
            <w:pPr>
              <w:jc w:val="center"/>
            </w:pPr>
            <w:r>
              <w:rPr>
                <w:color w:val="222222"/>
                <w:sz w:val="18"/>
                <w:szCs w:val="18"/>
              </w:rPr>
              <w:t>80</w:t>
            </w:r>
          </w:p>
        </w:tc>
      </w:tr>
      <w:tr w:rsidR="00DD2ACB" w14:paraId="59335541" w14:textId="77777777">
        <w:tblPrEx>
          <w:tblCellMar>
            <w:top w:w="0" w:type="dxa"/>
            <w:bottom w:w="0" w:type="dxa"/>
          </w:tblCellMar>
        </w:tblPrEx>
        <w:tc>
          <w:tcPr>
            <w:tcW w:w="2400" w:type="dxa"/>
            <w:shd w:val="clear" w:color="auto" w:fill="FCE4E4"/>
            <w:tcMar>
              <w:top w:w="70" w:type="dxa"/>
              <w:left w:w="100" w:type="dxa"/>
              <w:bottom w:w="70" w:type="dxa"/>
              <w:right w:w="100" w:type="dxa"/>
            </w:tcMar>
          </w:tcPr>
          <w:p w14:paraId="5AD9E10C" w14:textId="77777777" w:rsidR="00DD2ACB" w:rsidRDefault="00000000">
            <w:r>
              <w:rPr>
                <w:b/>
                <w:bCs/>
                <w:color w:val="222222"/>
                <w:sz w:val="18"/>
                <w:szCs w:val="18"/>
              </w:rPr>
              <w:t>Chemical</w:t>
            </w:r>
          </w:p>
        </w:tc>
        <w:tc>
          <w:tcPr>
            <w:tcW w:w="2400" w:type="dxa"/>
            <w:shd w:val="clear" w:color="auto" w:fill="FCE4E4"/>
            <w:tcMar>
              <w:top w:w="70" w:type="dxa"/>
              <w:left w:w="100" w:type="dxa"/>
              <w:bottom w:w="70" w:type="dxa"/>
              <w:right w:w="100" w:type="dxa"/>
            </w:tcMar>
          </w:tcPr>
          <w:p w14:paraId="739B8177" w14:textId="77777777" w:rsidR="00DD2ACB" w:rsidRDefault="00000000">
            <w:pPr>
              <w:jc w:val="center"/>
            </w:pPr>
            <w:r>
              <w:rPr>
                <w:color w:val="222222"/>
                <w:sz w:val="18"/>
                <w:szCs w:val="18"/>
              </w:rPr>
              <w:t>86.9</w:t>
            </w:r>
          </w:p>
        </w:tc>
        <w:tc>
          <w:tcPr>
            <w:tcW w:w="2400" w:type="dxa"/>
            <w:shd w:val="clear" w:color="auto" w:fill="FCE4E4"/>
            <w:tcMar>
              <w:top w:w="70" w:type="dxa"/>
              <w:left w:w="100" w:type="dxa"/>
              <w:bottom w:w="70" w:type="dxa"/>
              <w:right w:w="100" w:type="dxa"/>
            </w:tcMar>
          </w:tcPr>
          <w:p w14:paraId="2FC2B8F4" w14:textId="77777777" w:rsidR="00DD2ACB" w:rsidRDefault="00000000">
            <w:pPr>
              <w:jc w:val="center"/>
            </w:pPr>
            <w:r>
              <w:rPr>
                <w:b/>
                <w:bCs/>
                <w:color w:val="C00000"/>
                <w:sz w:val="18"/>
                <w:szCs w:val="18"/>
              </w:rPr>
              <w:t>37</w:t>
            </w:r>
          </w:p>
        </w:tc>
        <w:tc>
          <w:tcPr>
            <w:tcW w:w="2260" w:type="dxa"/>
            <w:shd w:val="clear" w:color="auto" w:fill="FCE4E4"/>
            <w:tcMar>
              <w:top w:w="70" w:type="dxa"/>
              <w:left w:w="100" w:type="dxa"/>
              <w:bottom w:w="70" w:type="dxa"/>
              <w:right w:w="100" w:type="dxa"/>
            </w:tcMar>
          </w:tcPr>
          <w:p w14:paraId="5C3E32E5" w14:textId="77777777" w:rsidR="00DD2ACB" w:rsidRDefault="00000000">
            <w:pPr>
              <w:jc w:val="center"/>
            </w:pPr>
            <w:r>
              <w:rPr>
                <w:color w:val="222222"/>
                <w:sz w:val="18"/>
                <w:szCs w:val="18"/>
              </w:rPr>
              <w:t>20</w:t>
            </w:r>
          </w:p>
        </w:tc>
      </w:tr>
      <w:tr w:rsidR="00DD2ACB" w14:paraId="50F65621" w14:textId="77777777">
        <w:tblPrEx>
          <w:tblCellMar>
            <w:top w:w="0" w:type="dxa"/>
            <w:bottom w:w="0" w:type="dxa"/>
          </w:tblCellMar>
        </w:tblPrEx>
        <w:tc>
          <w:tcPr>
            <w:tcW w:w="2400" w:type="dxa"/>
            <w:shd w:val="clear" w:color="auto" w:fill="FCE4E4"/>
            <w:tcMar>
              <w:top w:w="70" w:type="dxa"/>
              <w:left w:w="100" w:type="dxa"/>
              <w:bottom w:w="70" w:type="dxa"/>
              <w:right w:w="100" w:type="dxa"/>
            </w:tcMar>
          </w:tcPr>
          <w:p w14:paraId="215A8531" w14:textId="77777777" w:rsidR="00DD2ACB" w:rsidRDefault="00000000">
            <w:r>
              <w:rPr>
                <w:b/>
                <w:bCs/>
                <w:color w:val="222222"/>
                <w:sz w:val="18"/>
                <w:szCs w:val="18"/>
              </w:rPr>
              <w:t>Utility</w:t>
            </w:r>
          </w:p>
        </w:tc>
        <w:tc>
          <w:tcPr>
            <w:tcW w:w="2400" w:type="dxa"/>
            <w:shd w:val="clear" w:color="auto" w:fill="FCE4E4"/>
            <w:tcMar>
              <w:top w:w="70" w:type="dxa"/>
              <w:left w:w="100" w:type="dxa"/>
              <w:bottom w:w="70" w:type="dxa"/>
              <w:right w:w="100" w:type="dxa"/>
            </w:tcMar>
          </w:tcPr>
          <w:p w14:paraId="28B475D4" w14:textId="77777777" w:rsidR="00DD2ACB" w:rsidRDefault="00000000">
            <w:pPr>
              <w:jc w:val="center"/>
            </w:pPr>
            <w:r>
              <w:rPr>
                <w:color w:val="222222"/>
                <w:sz w:val="18"/>
                <w:szCs w:val="18"/>
              </w:rPr>
              <w:t>86.0</w:t>
            </w:r>
          </w:p>
        </w:tc>
        <w:tc>
          <w:tcPr>
            <w:tcW w:w="2400" w:type="dxa"/>
            <w:shd w:val="clear" w:color="auto" w:fill="FCE4E4"/>
            <w:tcMar>
              <w:top w:w="70" w:type="dxa"/>
              <w:left w:w="100" w:type="dxa"/>
              <w:bottom w:w="70" w:type="dxa"/>
              <w:right w:w="100" w:type="dxa"/>
            </w:tcMar>
          </w:tcPr>
          <w:p w14:paraId="2E19155E" w14:textId="77777777" w:rsidR="00DD2ACB" w:rsidRDefault="00000000">
            <w:pPr>
              <w:jc w:val="center"/>
            </w:pPr>
            <w:r>
              <w:rPr>
                <w:b/>
                <w:bCs/>
                <w:color w:val="C00000"/>
                <w:sz w:val="18"/>
                <w:szCs w:val="18"/>
              </w:rPr>
              <w:t>34</w:t>
            </w:r>
          </w:p>
        </w:tc>
        <w:tc>
          <w:tcPr>
            <w:tcW w:w="2260" w:type="dxa"/>
            <w:shd w:val="clear" w:color="auto" w:fill="FCE4E4"/>
            <w:tcMar>
              <w:top w:w="70" w:type="dxa"/>
              <w:left w:w="100" w:type="dxa"/>
              <w:bottom w:w="70" w:type="dxa"/>
              <w:right w:w="100" w:type="dxa"/>
            </w:tcMar>
          </w:tcPr>
          <w:p w14:paraId="13557857" w14:textId="77777777" w:rsidR="00DD2ACB" w:rsidRDefault="00000000">
            <w:pPr>
              <w:jc w:val="center"/>
            </w:pPr>
            <w:r>
              <w:rPr>
                <w:color w:val="222222"/>
                <w:sz w:val="18"/>
                <w:szCs w:val="18"/>
              </w:rPr>
              <w:t>20</w:t>
            </w:r>
          </w:p>
        </w:tc>
      </w:tr>
      <w:tr w:rsidR="00DD2ACB" w14:paraId="56C1CE23" w14:textId="77777777">
        <w:tblPrEx>
          <w:tblCellMar>
            <w:top w:w="0" w:type="dxa"/>
            <w:bottom w:w="0" w:type="dxa"/>
          </w:tblCellMar>
        </w:tblPrEx>
        <w:tc>
          <w:tcPr>
            <w:tcW w:w="2400" w:type="dxa"/>
            <w:shd w:val="clear" w:color="auto" w:fill="FCE4E4"/>
            <w:tcMar>
              <w:top w:w="70" w:type="dxa"/>
              <w:left w:w="100" w:type="dxa"/>
              <w:bottom w:w="70" w:type="dxa"/>
              <w:right w:w="100" w:type="dxa"/>
            </w:tcMar>
          </w:tcPr>
          <w:p w14:paraId="1553167E" w14:textId="77777777" w:rsidR="00DD2ACB" w:rsidRDefault="00000000">
            <w:r>
              <w:rPr>
                <w:b/>
                <w:bCs/>
                <w:color w:val="222222"/>
                <w:sz w:val="18"/>
                <w:szCs w:val="18"/>
              </w:rPr>
              <w:t>Safety</w:t>
            </w:r>
          </w:p>
        </w:tc>
        <w:tc>
          <w:tcPr>
            <w:tcW w:w="2400" w:type="dxa"/>
            <w:shd w:val="clear" w:color="auto" w:fill="FCE4E4"/>
            <w:tcMar>
              <w:top w:w="70" w:type="dxa"/>
              <w:left w:w="100" w:type="dxa"/>
              <w:bottom w:w="70" w:type="dxa"/>
              <w:right w:w="100" w:type="dxa"/>
            </w:tcMar>
          </w:tcPr>
          <w:p w14:paraId="2F92A5D5" w14:textId="77777777" w:rsidR="00DD2ACB" w:rsidRDefault="00000000">
            <w:pPr>
              <w:jc w:val="center"/>
            </w:pPr>
            <w:r>
              <w:rPr>
                <w:color w:val="222222"/>
                <w:sz w:val="18"/>
                <w:szCs w:val="18"/>
              </w:rPr>
              <w:t>63.6</w:t>
            </w:r>
          </w:p>
        </w:tc>
        <w:tc>
          <w:tcPr>
            <w:tcW w:w="2400" w:type="dxa"/>
            <w:shd w:val="clear" w:color="auto" w:fill="FCE4E4"/>
            <w:tcMar>
              <w:top w:w="70" w:type="dxa"/>
              <w:left w:w="100" w:type="dxa"/>
              <w:bottom w:w="70" w:type="dxa"/>
              <w:right w:w="100" w:type="dxa"/>
            </w:tcMar>
          </w:tcPr>
          <w:p w14:paraId="27F0AFDA" w14:textId="77777777" w:rsidR="00DD2ACB" w:rsidRDefault="00000000">
            <w:pPr>
              <w:jc w:val="center"/>
            </w:pPr>
            <w:r>
              <w:rPr>
                <w:b/>
                <w:bCs/>
                <w:color w:val="C00000"/>
                <w:sz w:val="18"/>
                <w:szCs w:val="18"/>
              </w:rPr>
              <w:t>30</w:t>
            </w:r>
          </w:p>
        </w:tc>
        <w:tc>
          <w:tcPr>
            <w:tcW w:w="2260" w:type="dxa"/>
            <w:shd w:val="clear" w:color="auto" w:fill="FCE4E4"/>
            <w:tcMar>
              <w:top w:w="70" w:type="dxa"/>
              <w:left w:w="100" w:type="dxa"/>
              <w:bottom w:w="70" w:type="dxa"/>
              <w:right w:w="100" w:type="dxa"/>
            </w:tcMar>
          </w:tcPr>
          <w:p w14:paraId="5796FF02" w14:textId="77777777" w:rsidR="00DD2ACB" w:rsidRDefault="00000000">
            <w:pPr>
              <w:jc w:val="center"/>
            </w:pPr>
            <w:r>
              <w:rPr>
                <w:color w:val="222222"/>
                <w:sz w:val="18"/>
                <w:szCs w:val="18"/>
              </w:rPr>
              <w:t>20</w:t>
            </w:r>
          </w:p>
        </w:tc>
      </w:tr>
      <w:tr w:rsidR="00DD2ACB" w14:paraId="10B5FD8A" w14:textId="77777777">
        <w:tblPrEx>
          <w:tblCellMar>
            <w:top w:w="0" w:type="dxa"/>
            <w:bottom w:w="0" w:type="dxa"/>
          </w:tblCellMar>
        </w:tblPrEx>
        <w:tc>
          <w:tcPr>
            <w:tcW w:w="2400" w:type="dxa"/>
            <w:shd w:val="clear" w:color="auto" w:fill="FCE4E4"/>
            <w:tcMar>
              <w:top w:w="70" w:type="dxa"/>
              <w:left w:w="100" w:type="dxa"/>
              <w:bottom w:w="70" w:type="dxa"/>
              <w:right w:w="100" w:type="dxa"/>
            </w:tcMar>
          </w:tcPr>
          <w:p w14:paraId="640DE975" w14:textId="77777777" w:rsidR="00DD2ACB" w:rsidRDefault="00000000">
            <w:r>
              <w:rPr>
                <w:b/>
                <w:bCs/>
                <w:color w:val="222222"/>
                <w:sz w:val="18"/>
                <w:szCs w:val="18"/>
              </w:rPr>
              <w:t>Lubrication</w:t>
            </w:r>
          </w:p>
        </w:tc>
        <w:tc>
          <w:tcPr>
            <w:tcW w:w="2400" w:type="dxa"/>
            <w:shd w:val="clear" w:color="auto" w:fill="FCE4E4"/>
            <w:tcMar>
              <w:top w:w="70" w:type="dxa"/>
              <w:left w:w="100" w:type="dxa"/>
              <w:bottom w:w="70" w:type="dxa"/>
              <w:right w:w="100" w:type="dxa"/>
            </w:tcMar>
          </w:tcPr>
          <w:p w14:paraId="04C2180E" w14:textId="77777777" w:rsidR="00DD2ACB" w:rsidRDefault="00000000">
            <w:pPr>
              <w:jc w:val="center"/>
            </w:pPr>
            <w:r>
              <w:rPr>
                <w:color w:val="222222"/>
                <w:sz w:val="18"/>
                <w:szCs w:val="18"/>
              </w:rPr>
              <w:t>39.1</w:t>
            </w:r>
          </w:p>
        </w:tc>
        <w:tc>
          <w:tcPr>
            <w:tcW w:w="2400" w:type="dxa"/>
            <w:shd w:val="clear" w:color="auto" w:fill="FCE4E4"/>
            <w:tcMar>
              <w:top w:w="70" w:type="dxa"/>
              <w:left w:w="100" w:type="dxa"/>
              <w:bottom w:w="70" w:type="dxa"/>
              <w:right w:w="100" w:type="dxa"/>
            </w:tcMar>
          </w:tcPr>
          <w:p w14:paraId="25218FCE" w14:textId="77777777" w:rsidR="00DD2ACB" w:rsidRDefault="00000000">
            <w:pPr>
              <w:jc w:val="center"/>
            </w:pPr>
            <w:r>
              <w:rPr>
                <w:b/>
                <w:bCs/>
                <w:color w:val="C00000"/>
                <w:sz w:val="18"/>
                <w:szCs w:val="18"/>
              </w:rPr>
              <w:t>23</w:t>
            </w:r>
          </w:p>
        </w:tc>
        <w:tc>
          <w:tcPr>
            <w:tcW w:w="2260" w:type="dxa"/>
            <w:shd w:val="clear" w:color="auto" w:fill="FCE4E4"/>
            <w:tcMar>
              <w:top w:w="70" w:type="dxa"/>
              <w:left w:w="100" w:type="dxa"/>
              <w:bottom w:w="70" w:type="dxa"/>
              <w:right w:w="100" w:type="dxa"/>
            </w:tcMar>
          </w:tcPr>
          <w:p w14:paraId="13968697" w14:textId="77777777" w:rsidR="00DD2ACB" w:rsidRDefault="00000000">
            <w:pPr>
              <w:jc w:val="center"/>
            </w:pPr>
            <w:r>
              <w:rPr>
                <w:color w:val="222222"/>
                <w:sz w:val="18"/>
                <w:szCs w:val="18"/>
              </w:rPr>
              <w:t>20</w:t>
            </w:r>
          </w:p>
        </w:tc>
      </w:tr>
    </w:tbl>
    <w:p w14:paraId="30CC50D4" w14:textId="77777777" w:rsidR="00DD2ACB" w:rsidRDefault="00DD2ACB">
      <w:pPr>
        <w:spacing w:after="200"/>
      </w:pPr>
    </w:p>
    <w:p w14:paraId="2945A99D" w14:textId="77777777" w:rsidR="00DD2ACB" w:rsidRPr="00E65A69" w:rsidRDefault="00000000" w:rsidP="00E65A69">
      <w:pPr>
        <w:pStyle w:val="ListParagraph"/>
        <w:numPr>
          <w:ilvl w:val="0"/>
          <w:numId w:val="2"/>
        </w:numPr>
        <w:spacing w:after="80" w:line="264" w:lineRule="auto"/>
        <w:jc w:val="both"/>
        <w:rPr>
          <w:sz w:val="22"/>
          <w:szCs w:val="22"/>
        </w:rPr>
      </w:pPr>
      <w:r w:rsidRPr="00E65A69">
        <w:rPr>
          <w:color w:val="222222"/>
          <w:sz w:val="22"/>
          <w:szCs w:val="22"/>
        </w:rPr>
        <w:t xml:space="preserve">This mistake affects </w:t>
      </w:r>
      <w:r w:rsidRPr="00E65A69">
        <w:rPr>
          <w:b/>
          <w:bCs/>
          <w:color w:val="000000" w:themeColor="text1"/>
          <w:sz w:val="22"/>
          <w:szCs w:val="22"/>
        </w:rPr>
        <w:t>all 10 categories and all 400 items (100%)</w:t>
      </w:r>
      <w:r w:rsidRPr="00E65A69">
        <w:rPr>
          <w:color w:val="000000" w:themeColor="text1"/>
          <w:sz w:val="22"/>
          <w:szCs w:val="22"/>
        </w:rPr>
        <w:t xml:space="preserve"> </w:t>
      </w:r>
      <w:r w:rsidRPr="00E65A69">
        <w:rPr>
          <w:color w:val="222222"/>
          <w:sz w:val="22"/>
          <w:szCs w:val="22"/>
        </w:rPr>
        <w:t>by construction — it is a systematic, not occasional, error.</w:t>
      </w:r>
    </w:p>
    <w:p w14:paraId="7088A248" w14:textId="77777777" w:rsidR="00DD2ACB" w:rsidRPr="00E65A69" w:rsidRDefault="00000000" w:rsidP="00E65A69">
      <w:pPr>
        <w:pStyle w:val="ListParagraph"/>
        <w:numPr>
          <w:ilvl w:val="0"/>
          <w:numId w:val="2"/>
        </w:numPr>
        <w:spacing w:after="80" w:line="264" w:lineRule="auto"/>
        <w:jc w:val="both"/>
        <w:rPr>
          <w:sz w:val="22"/>
          <w:szCs w:val="22"/>
        </w:rPr>
      </w:pPr>
      <w:r w:rsidRPr="00E65A69">
        <w:rPr>
          <w:color w:val="222222"/>
          <w:sz w:val="22"/>
          <w:szCs w:val="22"/>
        </w:rPr>
        <w:t xml:space="preserve">The item-weighted average shortfall is </w:t>
      </w:r>
      <w:r w:rsidRPr="00E65A69">
        <w:rPr>
          <w:b/>
          <w:bCs/>
          <w:color w:val="222222"/>
          <w:sz w:val="22"/>
          <w:szCs w:val="22"/>
        </w:rPr>
        <w:t>51.2 days</w:t>
      </w:r>
      <w:r w:rsidRPr="00E65A69">
        <w:rPr>
          <w:color w:val="222222"/>
          <w:sz w:val="22"/>
          <w:szCs w:val="22"/>
        </w:rPr>
        <w:t>; the exposure is largest for Mechanical (</w:t>
      </w:r>
      <w:r w:rsidRPr="00E65A69">
        <w:rPr>
          <w:b/>
          <w:bCs/>
          <w:color w:val="222222"/>
          <w:sz w:val="22"/>
          <w:szCs w:val="22"/>
        </w:rPr>
        <w:t>76 days</w:t>
      </w:r>
      <w:r w:rsidRPr="00E65A69">
        <w:rPr>
          <w:color w:val="222222"/>
          <w:sz w:val="22"/>
          <w:szCs w:val="22"/>
        </w:rPr>
        <w:t>) because its lead time is also its most variable.</w:t>
      </w:r>
    </w:p>
    <w:p w14:paraId="10C7CFC3" w14:textId="1B6E7B8D" w:rsidR="00DD2ACB" w:rsidRDefault="00000000" w:rsidP="00E65A69">
      <w:pPr>
        <w:pStyle w:val="Heading2"/>
        <w:spacing w:before="280" w:after="120"/>
      </w:pPr>
      <w:r>
        <w:rPr>
          <w:b/>
          <w:bCs/>
          <w:color w:val="1F3864"/>
          <w:sz w:val="24"/>
          <w:szCs w:val="24"/>
        </w:rPr>
        <w:t>5.3 Decision</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980"/>
        <w:gridCol w:w="1980"/>
        <w:gridCol w:w="1700"/>
      </w:tblGrid>
      <w:tr w:rsidR="00DD2ACB" w14:paraId="1C88F137" w14:textId="77777777">
        <w:tblPrEx>
          <w:tblCellMar>
            <w:top w:w="0" w:type="dxa"/>
            <w:bottom w:w="0" w:type="dxa"/>
          </w:tblCellMar>
        </w:tblPrEx>
        <w:trPr>
          <w:tblHeader/>
        </w:trPr>
        <w:tc>
          <w:tcPr>
            <w:tcW w:w="3800" w:type="dxa"/>
            <w:shd w:val="clear" w:color="auto" w:fill="1F3864"/>
            <w:tcMar>
              <w:top w:w="80" w:type="dxa"/>
              <w:left w:w="100" w:type="dxa"/>
              <w:bottom w:w="80" w:type="dxa"/>
              <w:right w:w="100" w:type="dxa"/>
            </w:tcMar>
          </w:tcPr>
          <w:p w14:paraId="5C7A2888" w14:textId="77777777" w:rsidR="00DD2ACB" w:rsidRDefault="00000000">
            <w:r>
              <w:rPr>
                <w:b/>
                <w:bCs/>
                <w:color w:val="FFFFFF"/>
                <w:sz w:val="18"/>
                <w:szCs w:val="18"/>
              </w:rPr>
              <w:t>Metric</w:t>
            </w:r>
          </w:p>
        </w:tc>
        <w:tc>
          <w:tcPr>
            <w:tcW w:w="1980" w:type="dxa"/>
            <w:shd w:val="clear" w:color="auto" w:fill="1F3864"/>
            <w:tcMar>
              <w:top w:w="80" w:type="dxa"/>
              <w:left w:w="100" w:type="dxa"/>
              <w:bottom w:w="80" w:type="dxa"/>
              <w:right w:w="100" w:type="dxa"/>
            </w:tcMar>
          </w:tcPr>
          <w:p w14:paraId="5571C831" w14:textId="77777777" w:rsidR="00DD2ACB" w:rsidRDefault="00000000">
            <w:r>
              <w:rPr>
                <w:b/>
                <w:bCs/>
                <w:color w:val="FFFFFF"/>
                <w:sz w:val="18"/>
                <w:szCs w:val="18"/>
              </w:rPr>
              <w:t>Flat 90-Day Rule</w:t>
            </w:r>
          </w:p>
        </w:tc>
        <w:tc>
          <w:tcPr>
            <w:tcW w:w="1980" w:type="dxa"/>
            <w:shd w:val="clear" w:color="auto" w:fill="1F3864"/>
            <w:tcMar>
              <w:top w:w="80" w:type="dxa"/>
              <w:left w:w="100" w:type="dxa"/>
              <w:bottom w:w="80" w:type="dxa"/>
              <w:right w:w="100" w:type="dxa"/>
            </w:tcMar>
          </w:tcPr>
          <w:p w14:paraId="0919D107" w14:textId="77777777" w:rsidR="00DD2ACB" w:rsidRDefault="00000000">
            <w:r>
              <w:rPr>
                <w:b/>
                <w:bCs/>
                <w:color w:val="FFFFFF"/>
                <w:sz w:val="18"/>
                <w:szCs w:val="18"/>
              </w:rPr>
              <w:t>Lead-Time-Only (No Buffer)</w:t>
            </w:r>
          </w:p>
        </w:tc>
        <w:tc>
          <w:tcPr>
            <w:tcW w:w="1700" w:type="dxa"/>
            <w:shd w:val="clear" w:color="auto" w:fill="1F3864"/>
            <w:tcMar>
              <w:top w:w="80" w:type="dxa"/>
              <w:left w:w="100" w:type="dxa"/>
              <w:bottom w:w="80" w:type="dxa"/>
              <w:right w:w="100" w:type="dxa"/>
            </w:tcMar>
          </w:tcPr>
          <w:p w14:paraId="3E74A91F" w14:textId="77777777" w:rsidR="00DD2ACB" w:rsidRDefault="00000000">
            <w:r>
              <w:rPr>
                <w:b/>
                <w:bCs/>
                <w:color w:val="FFFFFF"/>
                <w:sz w:val="18"/>
                <w:szCs w:val="18"/>
              </w:rPr>
              <w:t>Data-Driven Model</w:t>
            </w:r>
          </w:p>
        </w:tc>
      </w:tr>
      <w:tr w:rsidR="00DD2ACB" w14:paraId="712DF5B3" w14:textId="77777777">
        <w:tblPrEx>
          <w:tblCellMar>
            <w:top w:w="0" w:type="dxa"/>
            <w:bottom w:w="0" w:type="dxa"/>
          </w:tblCellMar>
        </w:tblPrEx>
        <w:tc>
          <w:tcPr>
            <w:tcW w:w="3800" w:type="dxa"/>
            <w:shd w:val="clear" w:color="auto" w:fill="FFFFFF"/>
            <w:tcMar>
              <w:top w:w="70" w:type="dxa"/>
              <w:left w:w="100" w:type="dxa"/>
              <w:bottom w:w="70" w:type="dxa"/>
              <w:right w:w="100" w:type="dxa"/>
            </w:tcMar>
          </w:tcPr>
          <w:p w14:paraId="4C9A947C" w14:textId="77777777" w:rsidR="00DD2ACB" w:rsidRDefault="00000000">
            <w:r>
              <w:rPr>
                <w:b/>
                <w:bCs/>
                <w:color w:val="222222"/>
                <w:sz w:val="18"/>
                <w:szCs w:val="18"/>
              </w:rPr>
              <w:t>Categories exposed to stockout risk (of 10)</w:t>
            </w:r>
          </w:p>
        </w:tc>
        <w:tc>
          <w:tcPr>
            <w:tcW w:w="1980" w:type="dxa"/>
            <w:shd w:val="clear" w:color="auto" w:fill="FCE4E4"/>
            <w:tcMar>
              <w:top w:w="70" w:type="dxa"/>
              <w:left w:w="100" w:type="dxa"/>
              <w:bottom w:w="70" w:type="dxa"/>
              <w:right w:w="100" w:type="dxa"/>
            </w:tcMar>
          </w:tcPr>
          <w:p w14:paraId="613F3A27" w14:textId="77777777" w:rsidR="00DD2ACB" w:rsidRDefault="00000000">
            <w:pPr>
              <w:jc w:val="center"/>
            </w:pPr>
            <w:r>
              <w:rPr>
                <w:b/>
                <w:bCs/>
                <w:color w:val="C00000"/>
                <w:sz w:val="18"/>
                <w:szCs w:val="18"/>
              </w:rPr>
              <w:t>9</w:t>
            </w:r>
          </w:p>
        </w:tc>
        <w:tc>
          <w:tcPr>
            <w:tcW w:w="1980" w:type="dxa"/>
            <w:shd w:val="clear" w:color="auto" w:fill="FCE4E4"/>
            <w:tcMar>
              <w:top w:w="70" w:type="dxa"/>
              <w:left w:w="100" w:type="dxa"/>
              <w:bottom w:w="70" w:type="dxa"/>
              <w:right w:w="100" w:type="dxa"/>
            </w:tcMar>
          </w:tcPr>
          <w:p w14:paraId="51A6D397" w14:textId="77777777" w:rsidR="00DD2ACB" w:rsidRDefault="00000000">
            <w:pPr>
              <w:jc w:val="center"/>
            </w:pPr>
            <w:r>
              <w:rPr>
                <w:b/>
                <w:bCs/>
                <w:color w:val="C00000"/>
                <w:sz w:val="18"/>
                <w:szCs w:val="18"/>
              </w:rPr>
              <w:t>10</w:t>
            </w:r>
          </w:p>
        </w:tc>
        <w:tc>
          <w:tcPr>
            <w:tcW w:w="1700" w:type="dxa"/>
            <w:shd w:val="clear" w:color="auto" w:fill="E2EFDA"/>
            <w:tcMar>
              <w:top w:w="70" w:type="dxa"/>
              <w:left w:w="100" w:type="dxa"/>
              <w:bottom w:w="70" w:type="dxa"/>
              <w:right w:w="100" w:type="dxa"/>
            </w:tcMar>
          </w:tcPr>
          <w:p w14:paraId="08103781" w14:textId="77777777" w:rsidR="00DD2ACB" w:rsidRDefault="00000000">
            <w:pPr>
              <w:jc w:val="center"/>
            </w:pPr>
            <w:r>
              <w:rPr>
                <w:b/>
                <w:bCs/>
                <w:color w:val="375623"/>
                <w:sz w:val="18"/>
                <w:szCs w:val="18"/>
              </w:rPr>
              <w:t>0</w:t>
            </w:r>
          </w:p>
        </w:tc>
      </w:tr>
      <w:tr w:rsidR="00DD2ACB" w14:paraId="52DD1F64" w14:textId="77777777">
        <w:tblPrEx>
          <w:tblCellMar>
            <w:top w:w="0" w:type="dxa"/>
            <w:bottom w:w="0" w:type="dxa"/>
          </w:tblCellMar>
        </w:tblPrEx>
        <w:tc>
          <w:tcPr>
            <w:tcW w:w="3800" w:type="dxa"/>
            <w:shd w:val="clear" w:color="auto" w:fill="F2F2F2"/>
            <w:tcMar>
              <w:top w:w="70" w:type="dxa"/>
              <w:left w:w="100" w:type="dxa"/>
              <w:bottom w:w="70" w:type="dxa"/>
              <w:right w:w="100" w:type="dxa"/>
            </w:tcMar>
          </w:tcPr>
          <w:p w14:paraId="0B37C9D1" w14:textId="77777777" w:rsidR="00DD2ACB" w:rsidRDefault="00000000">
            <w:r>
              <w:rPr>
                <w:b/>
                <w:bCs/>
                <w:color w:val="222222"/>
                <w:sz w:val="18"/>
                <w:szCs w:val="18"/>
              </w:rPr>
              <w:t>Items exposed to stockout risk (of 400)</w:t>
            </w:r>
          </w:p>
        </w:tc>
        <w:tc>
          <w:tcPr>
            <w:tcW w:w="1980" w:type="dxa"/>
            <w:shd w:val="clear" w:color="auto" w:fill="FCE4E4"/>
            <w:tcMar>
              <w:top w:w="70" w:type="dxa"/>
              <w:left w:w="100" w:type="dxa"/>
              <w:bottom w:w="70" w:type="dxa"/>
              <w:right w:w="100" w:type="dxa"/>
            </w:tcMar>
          </w:tcPr>
          <w:p w14:paraId="76461F14" w14:textId="77777777" w:rsidR="00DD2ACB" w:rsidRDefault="00000000">
            <w:pPr>
              <w:jc w:val="center"/>
            </w:pPr>
            <w:r>
              <w:rPr>
                <w:b/>
                <w:bCs/>
                <w:color w:val="C00000"/>
                <w:sz w:val="18"/>
                <w:szCs w:val="18"/>
              </w:rPr>
              <w:t>380</w:t>
            </w:r>
          </w:p>
        </w:tc>
        <w:tc>
          <w:tcPr>
            <w:tcW w:w="1980" w:type="dxa"/>
            <w:shd w:val="clear" w:color="auto" w:fill="FCE4E4"/>
            <w:tcMar>
              <w:top w:w="70" w:type="dxa"/>
              <w:left w:w="100" w:type="dxa"/>
              <w:bottom w:w="70" w:type="dxa"/>
              <w:right w:w="100" w:type="dxa"/>
            </w:tcMar>
          </w:tcPr>
          <w:p w14:paraId="7B233F65" w14:textId="77777777" w:rsidR="00DD2ACB" w:rsidRDefault="00000000">
            <w:pPr>
              <w:jc w:val="center"/>
            </w:pPr>
            <w:r>
              <w:rPr>
                <w:b/>
                <w:bCs/>
                <w:color w:val="C00000"/>
                <w:sz w:val="18"/>
                <w:szCs w:val="18"/>
              </w:rPr>
              <w:t>400</w:t>
            </w:r>
          </w:p>
        </w:tc>
        <w:tc>
          <w:tcPr>
            <w:tcW w:w="1700" w:type="dxa"/>
            <w:shd w:val="clear" w:color="auto" w:fill="E2EFDA"/>
            <w:tcMar>
              <w:top w:w="70" w:type="dxa"/>
              <w:left w:w="100" w:type="dxa"/>
              <w:bottom w:w="70" w:type="dxa"/>
              <w:right w:w="100" w:type="dxa"/>
            </w:tcMar>
          </w:tcPr>
          <w:p w14:paraId="1243ECB9" w14:textId="77777777" w:rsidR="00DD2ACB" w:rsidRDefault="00000000">
            <w:pPr>
              <w:jc w:val="center"/>
            </w:pPr>
            <w:r>
              <w:rPr>
                <w:b/>
                <w:bCs/>
                <w:color w:val="375623"/>
                <w:sz w:val="18"/>
                <w:szCs w:val="18"/>
              </w:rPr>
              <w:t>0</w:t>
            </w:r>
          </w:p>
        </w:tc>
      </w:tr>
      <w:tr w:rsidR="00DD2ACB" w14:paraId="0264BA9F" w14:textId="77777777">
        <w:tblPrEx>
          <w:tblCellMar>
            <w:top w:w="0" w:type="dxa"/>
            <w:bottom w:w="0" w:type="dxa"/>
          </w:tblCellMar>
        </w:tblPrEx>
        <w:tc>
          <w:tcPr>
            <w:tcW w:w="3800" w:type="dxa"/>
            <w:shd w:val="clear" w:color="auto" w:fill="FFFFFF"/>
            <w:tcMar>
              <w:top w:w="70" w:type="dxa"/>
              <w:left w:w="100" w:type="dxa"/>
              <w:bottom w:w="70" w:type="dxa"/>
              <w:right w:w="100" w:type="dxa"/>
            </w:tcMar>
          </w:tcPr>
          <w:p w14:paraId="080A2349" w14:textId="77777777" w:rsidR="00DD2ACB" w:rsidRDefault="00000000">
            <w:r>
              <w:rPr>
                <w:b/>
                <w:bCs/>
                <w:color w:val="222222"/>
                <w:sz w:val="18"/>
                <w:szCs w:val="18"/>
              </w:rPr>
              <w:t>% of catalogue exposed</w:t>
            </w:r>
          </w:p>
        </w:tc>
        <w:tc>
          <w:tcPr>
            <w:tcW w:w="1980" w:type="dxa"/>
            <w:shd w:val="clear" w:color="auto" w:fill="FCE4E4"/>
            <w:tcMar>
              <w:top w:w="70" w:type="dxa"/>
              <w:left w:w="100" w:type="dxa"/>
              <w:bottom w:w="70" w:type="dxa"/>
              <w:right w:w="100" w:type="dxa"/>
            </w:tcMar>
          </w:tcPr>
          <w:p w14:paraId="07F866D6" w14:textId="77777777" w:rsidR="00DD2ACB" w:rsidRDefault="00000000">
            <w:pPr>
              <w:jc w:val="center"/>
            </w:pPr>
            <w:r>
              <w:rPr>
                <w:b/>
                <w:bCs/>
                <w:color w:val="C00000"/>
                <w:sz w:val="18"/>
                <w:szCs w:val="18"/>
              </w:rPr>
              <w:t>95.0%</w:t>
            </w:r>
          </w:p>
        </w:tc>
        <w:tc>
          <w:tcPr>
            <w:tcW w:w="1980" w:type="dxa"/>
            <w:shd w:val="clear" w:color="auto" w:fill="FCE4E4"/>
            <w:tcMar>
              <w:top w:w="70" w:type="dxa"/>
              <w:left w:w="100" w:type="dxa"/>
              <w:bottom w:w="70" w:type="dxa"/>
              <w:right w:w="100" w:type="dxa"/>
            </w:tcMar>
          </w:tcPr>
          <w:p w14:paraId="5F8DE5E0" w14:textId="77777777" w:rsidR="00DD2ACB" w:rsidRDefault="00000000">
            <w:pPr>
              <w:jc w:val="center"/>
            </w:pPr>
            <w:r>
              <w:rPr>
                <w:b/>
                <w:bCs/>
                <w:color w:val="C00000"/>
                <w:sz w:val="18"/>
                <w:szCs w:val="18"/>
              </w:rPr>
              <w:t>100.0%</w:t>
            </w:r>
          </w:p>
        </w:tc>
        <w:tc>
          <w:tcPr>
            <w:tcW w:w="1700" w:type="dxa"/>
            <w:shd w:val="clear" w:color="auto" w:fill="E2EFDA"/>
            <w:tcMar>
              <w:top w:w="70" w:type="dxa"/>
              <w:left w:w="100" w:type="dxa"/>
              <w:bottom w:w="70" w:type="dxa"/>
              <w:right w:w="100" w:type="dxa"/>
            </w:tcMar>
          </w:tcPr>
          <w:p w14:paraId="61B89CD0" w14:textId="77777777" w:rsidR="00DD2ACB" w:rsidRDefault="00000000">
            <w:pPr>
              <w:jc w:val="center"/>
            </w:pPr>
            <w:r>
              <w:rPr>
                <w:b/>
                <w:bCs/>
                <w:color w:val="375623"/>
                <w:sz w:val="18"/>
                <w:szCs w:val="18"/>
              </w:rPr>
              <w:t>0.0%</w:t>
            </w:r>
          </w:p>
        </w:tc>
      </w:tr>
      <w:tr w:rsidR="00DD2ACB" w14:paraId="37B7612D" w14:textId="77777777">
        <w:tblPrEx>
          <w:tblCellMar>
            <w:top w:w="0" w:type="dxa"/>
            <w:bottom w:w="0" w:type="dxa"/>
          </w:tblCellMar>
        </w:tblPrEx>
        <w:tc>
          <w:tcPr>
            <w:tcW w:w="3800" w:type="dxa"/>
            <w:shd w:val="clear" w:color="auto" w:fill="F2F2F2"/>
            <w:tcMar>
              <w:top w:w="70" w:type="dxa"/>
              <w:left w:w="100" w:type="dxa"/>
              <w:bottom w:w="70" w:type="dxa"/>
              <w:right w:w="100" w:type="dxa"/>
            </w:tcMar>
          </w:tcPr>
          <w:p w14:paraId="6D581E2E" w14:textId="77777777" w:rsidR="00DD2ACB" w:rsidRDefault="00000000">
            <w:r>
              <w:rPr>
                <w:b/>
                <w:bCs/>
                <w:color w:val="222222"/>
                <w:sz w:val="18"/>
                <w:szCs w:val="18"/>
              </w:rPr>
              <w:t>Worst-case days late</w:t>
            </w:r>
          </w:p>
        </w:tc>
        <w:tc>
          <w:tcPr>
            <w:tcW w:w="1980" w:type="dxa"/>
            <w:shd w:val="clear" w:color="auto" w:fill="FCE4E4"/>
            <w:tcMar>
              <w:top w:w="70" w:type="dxa"/>
              <w:left w:w="100" w:type="dxa"/>
              <w:bottom w:w="70" w:type="dxa"/>
              <w:right w:w="100" w:type="dxa"/>
            </w:tcMar>
          </w:tcPr>
          <w:p w14:paraId="688AC24C" w14:textId="77777777" w:rsidR="00DD2ACB" w:rsidRDefault="00000000">
            <w:pPr>
              <w:jc w:val="center"/>
            </w:pPr>
            <w:r>
              <w:rPr>
                <w:b/>
                <w:bCs/>
                <w:color w:val="C00000"/>
                <w:sz w:val="18"/>
                <w:szCs w:val="18"/>
              </w:rPr>
              <w:t>179.8</w:t>
            </w:r>
          </w:p>
        </w:tc>
        <w:tc>
          <w:tcPr>
            <w:tcW w:w="1980" w:type="dxa"/>
            <w:shd w:val="clear" w:color="auto" w:fill="FCE4E4"/>
            <w:tcMar>
              <w:top w:w="70" w:type="dxa"/>
              <w:left w:w="100" w:type="dxa"/>
              <w:bottom w:w="70" w:type="dxa"/>
              <w:right w:w="100" w:type="dxa"/>
            </w:tcMar>
          </w:tcPr>
          <w:p w14:paraId="2E4CCAA2" w14:textId="77777777" w:rsidR="00DD2ACB" w:rsidRDefault="00000000">
            <w:pPr>
              <w:jc w:val="center"/>
            </w:pPr>
            <w:r>
              <w:rPr>
                <w:b/>
                <w:bCs/>
                <w:color w:val="C00000"/>
                <w:sz w:val="18"/>
                <w:szCs w:val="18"/>
              </w:rPr>
              <w:t>76.0</w:t>
            </w:r>
          </w:p>
        </w:tc>
        <w:tc>
          <w:tcPr>
            <w:tcW w:w="1700" w:type="dxa"/>
            <w:shd w:val="clear" w:color="auto" w:fill="E2EFDA"/>
            <w:tcMar>
              <w:top w:w="70" w:type="dxa"/>
              <w:left w:w="100" w:type="dxa"/>
              <w:bottom w:w="70" w:type="dxa"/>
              <w:right w:w="100" w:type="dxa"/>
            </w:tcMar>
          </w:tcPr>
          <w:p w14:paraId="53066757" w14:textId="77777777" w:rsidR="00DD2ACB" w:rsidRDefault="00000000">
            <w:pPr>
              <w:jc w:val="center"/>
            </w:pPr>
            <w:r>
              <w:rPr>
                <w:b/>
                <w:bCs/>
                <w:color w:val="375623"/>
                <w:sz w:val="18"/>
                <w:szCs w:val="18"/>
              </w:rPr>
              <w:t>0.0</w:t>
            </w:r>
          </w:p>
        </w:tc>
      </w:tr>
      <w:tr w:rsidR="00DD2ACB" w14:paraId="0704A328" w14:textId="77777777">
        <w:tblPrEx>
          <w:tblCellMar>
            <w:top w:w="0" w:type="dxa"/>
            <w:bottom w:w="0" w:type="dxa"/>
          </w:tblCellMar>
        </w:tblPrEx>
        <w:tc>
          <w:tcPr>
            <w:tcW w:w="3800" w:type="dxa"/>
            <w:shd w:val="clear" w:color="auto" w:fill="FFFFFF"/>
            <w:tcMar>
              <w:top w:w="70" w:type="dxa"/>
              <w:left w:w="100" w:type="dxa"/>
              <w:bottom w:w="70" w:type="dxa"/>
              <w:right w:w="100" w:type="dxa"/>
            </w:tcMar>
          </w:tcPr>
          <w:p w14:paraId="1117DCC2" w14:textId="77777777" w:rsidR="00DD2ACB" w:rsidRDefault="00000000">
            <w:r>
              <w:rPr>
                <w:b/>
                <w:bCs/>
                <w:color w:val="222222"/>
                <w:sz w:val="18"/>
                <w:szCs w:val="18"/>
              </w:rPr>
              <w:t>Item-weighted avg days late (at-risk items)</w:t>
            </w:r>
          </w:p>
        </w:tc>
        <w:tc>
          <w:tcPr>
            <w:tcW w:w="1980" w:type="dxa"/>
            <w:shd w:val="clear" w:color="auto" w:fill="FCE4E4"/>
            <w:tcMar>
              <w:top w:w="70" w:type="dxa"/>
              <w:left w:w="100" w:type="dxa"/>
              <w:bottom w:w="70" w:type="dxa"/>
              <w:right w:w="100" w:type="dxa"/>
            </w:tcMar>
          </w:tcPr>
          <w:p w14:paraId="5B7CB70C" w14:textId="77777777" w:rsidR="00DD2ACB" w:rsidRDefault="00000000">
            <w:pPr>
              <w:jc w:val="center"/>
            </w:pPr>
            <w:r>
              <w:rPr>
                <w:b/>
                <w:bCs/>
                <w:color w:val="C00000"/>
                <w:sz w:val="18"/>
                <w:szCs w:val="18"/>
              </w:rPr>
              <w:t>103.0</w:t>
            </w:r>
          </w:p>
        </w:tc>
        <w:tc>
          <w:tcPr>
            <w:tcW w:w="1980" w:type="dxa"/>
            <w:shd w:val="clear" w:color="auto" w:fill="FCE4E4"/>
            <w:tcMar>
              <w:top w:w="70" w:type="dxa"/>
              <w:left w:w="100" w:type="dxa"/>
              <w:bottom w:w="70" w:type="dxa"/>
              <w:right w:w="100" w:type="dxa"/>
            </w:tcMar>
          </w:tcPr>
          <w:p w14:paraId="5A872684" w14:textId="77777777" w:rsidR="00DD2ACB" w:rsidRDefault="00000000">
            <w:pPr>
              <w:jc w:val="center"/>
            </w:pPr>
            <w:r>
              <w:rPr>
                <w:b/>
                <w:bCs/>
                <w:color w:val="C00000"/>
                <w:sz w:val="18"/>
                <w:szCs w:val="18"/>
              </w:rPr>
              <w:t>51.2</w:t>
            </w:r>
          </w:p>
        </w:tc>
        <w:tc>
          <w:tcPr>
            <w:tcW w:w="1700" w:type="dxa"/>
            <w:shd w:val="clear" w:color="auto" w:fill="E2EFDA"/>
            <w:tcMar>
              <w:top w:w="70" w:type="dxa"/>
              <w:left w:w="100" w:type="dxa"/>
              <w:bottom w:w="70" w:type="dxa"/>
              <w:right w:w="100" w:type="dxa"/>
            </w:tcMar>
          </w:tcPr>
          <w:p w14:paraId="0DDD8A05" w14:textId="77777777" w:rsidR="00DD2ACB" w:rsidRDefault="00000000">
            <w:pPr>
              <w:jc w:val="center"/>
            </w:pPr>
            <w:r>
              <w:rPr>
                <w:b/>
                <w:bCs/>
                <w:color w:val="375623"/>
                <w:sz w:val="18"/>
                <w:szCs w:val="18"/>
              </w:rPr>
              <w:t>0.0</w:t>
            </w:r>
          </w:p>
        </w:tc>
      </w:tr>
    </w:tbl>
    <w:p w14:paraId="57F3F7FE" w14:textId="77777777" w:rsidR="00DD2ACB" w:rsidRDefault="00DD2ACB">
      <w:pPr>
        <w:spacing w:after="200"/>
      </w:pPr>
    </w:p>
    <w:p w14:paraId="457DA989" w14:textId="77777777" w:rsidR="00DD2ACB" w:rsidRPr="009C7FEB" w:rsidRDefault="00000000" w:rsidP="009C7FEB">
      <w:pPr>
        <w:spacing w:after="160" w:line="276" w:lineRule="auto"/>
        <w:jc w:val="both"/>
        <w:rPr>
          <w:sz w:val="22"/>
          <w:szCs w:val="22"/>
        </w:rPr>
      </w:pPr>
      <w:r w:rsidRPr="009C7FEB">
        <w:rPr>
          <w:color w:val="222222"/>
          <w:sz w:val="22"/>
          <w:szCs w:val="22"/>
        </w:rPr>
        <w:lastRenderedPageBreak/>
        <w:t>The data-driven, per-category model (Section 4.1) is adopted as the procurement calendar for the 10-Sep-2027 shutdown, replacing both naive alternatives.</w:t>
      </w:r>
      <w:r w:rsidRPr="009C7FEB">
        <w:rPr>
          <w:b/>
          <w:bCs/>
          <w:color w:val="222222"/>
          <w:sz w:val="22"/>
          <w:szCs w:val="22"/>
        </w:rPr>
        <w:t xml:space="preserve"> </w:t>
      </w:r>
      <w:r w:rsidRPr="009C7FEB">
        <w:rPr>
          <w:color w:val="222222"/>
          <w:sz w:val="22"/>
          <w:szCs w:val="22"/>
        </w:rPr>
        <w:t>Under either naive baseline, the majority of the catalogue would be ordered with insufficient lead time; under the data-driven model, stockout-risk exposure at the target 95% service level is reduced to zero by design, since each category's PO date is built from its own lead time and variability rather than a shared assumption. The trade-off is operational complexity: a 10-row category calendar to maintain instead of one date, which is a manageable cost for the risk this project quantifies.</w:t>
      </w:r>
    </w:p>
    <w:p w14:paraId="00DDB395" w14:textId="77777777" w:rsidR="00DD2ACB" w:rsidRDefault="00000000">
      <w:pPr>
        <w:pStyle w:val="Heading1"/>
        <w:pBdr>
          <w:bottom w:val="single" w:sz="6" w:space="4" w:color="1F3864"/>
        </w:pBdr>
        <w:spacing w:before="400" w:after="200"/>
      </w:pPr>
      <w:r>
        <w:rPr>
          <w:b/>
          <w:bCs/>
          <w:color w:val="1F3864"/>
          <w:sz w:val="28"/>
          <w:szCs w:val="28"/>
        </w:rPr>
        <w:t>6. Conclusions</w:t>
      </w:r>
    </w:p>
    <w:p w14:paraId="543F0131" w14:textId="77777777" w:rsidR="00DD2ACB" w:rsidRPr="009C7FEB" w:rsidRDefault="00000000" w:rsidP="009C7FEB">
      <w:pPr>
        <w:spacing w:after="160" w:line="276" w:lineRule="auto"/>
        <w:jc w:val="both"/>
        <w:rPr>
          <w:sz w:val="22"/>
          <w:szCs w:val="22"/>
        </w:rPr>
      </w:pPr>
      <w:r w:rsidRPr="009C7FEB">
        <w:rPr>
          <w:color w:val="222222"/>
          <w:sz w:val="22"/>
          <w:szCs w:val="22"/>
        </w:rPr>
        <w:t>Four conclusions follow directly from the analysis:</w:t>
      </w:r>
    </w:p>
    <w:p w14:paraId="101D9922" w14:textId="77777777" w:rsidR="00DD2ACB" w:rsidRPr="009C7FEB" w:rsidRDefault="00000000" w:rsidP="009C7FEB">
      <w:pPr>
        <w:pStyle w:val="ListParagraph"/>
        <w:numPr>
          <w:ilvl w:val="0"/>
          <w:numId w:val="2"/>
        </w:numPr>
        <w:spacing w:after="80" w:line="264" w:lineRule="auto"/>
        <w:jc w:val="both"/>
        <w:rPr>
          <w:sz w:val="22"/>
          <w:szCs w:val="22"/>
        </w:rPr>
      </w:pPr>
      <w:r w:rsidRPr="009C7FEB">
        <w:rPr>
          <w:b/>
          <w:bCs/>
          <w:color w:val="222222"/>
          <w:sz w:val="22"/>
          <w:szCs w:val="22"/>
        </w:rPr>
        <w:t xml:space="preserve">1. Procurement timing should be category-specific, not uniform. </w:t>
      </w:r>
      <w:r w:rsidRPr="009C7FEB">
        <w:rPr>
          <w:color w:val="222222"/>
          <w:sz w:val="22"/>
          <w:szCs w:val="22"/>
        </w:rPr>
        <w:t>A single blanket lead time assumption (e.g., "order 3 months ahead") would leave Mechanical and Piping parts arriving after they are needed, while over-ordering Lubrication and Safety parts unnecessarily early. The data supports a differentiated PO calendar spanning 14-Dec-2026 (Mechanical) through 10-Jul-2027 (Lubrication) for the same shutdown date.</w:t>
      </w:r>
    </w:p>
    <w:p w14:paraId="5A88749B" w14:textId="77777777" w:rsidR="00DD2ACB" w:rsidRPr="009C7FEB" w:rsidRDefault="00000000" w:rsidP="009C7FEB">
      <w:pPr>
        <w:pStyle w:val="ListParagraph"/>
        <w:numPr>
          <w:ilvl w:val="0"/>
          <w:numId w:val="2"/>
        </w:numPr>
        <w:spacing w:after="80" w:line="264" w:lineRule="auto"/>
        <w:jc w:val="both"/>
        <w:rPr>
          <w:sz w:val="22"/>
          <w:szCs w:val="22"/>
        </w:rPr>
      </w:pPr>
      <w:r w:rsidRPr="009C7FEB">
        <w:rPr>
          <w:b/>
          <w:bCs/>
          <w:color w:val="222222"/>
          <w:sz w:val="22"/>
          <w:szCs w:val="22"/>
        </w:rPr>
        <w:t xml:space="preserve">2. Safety buffers should be statistically derived per category, not flat. </w:t>
      </w:r>
      <w:r w:rsidRPr="009C7FEB">
        <w:rPr>
          <w:color w:val="222222"/>
          <w:sz w:val="22"/>
          <w:szCs w:val="22"/>
        </w:rPr>
        <w:t>Buffer sizes in this model range from 23 to 76 days depending on each category's own historical lead time variability — categories with unpredictable suppliers (Mechanical) are protected with a larger buffer than consistent ones (Lubrication), avoiding both stockout risk and unnecessary overstock.</w:t>
      </w:r>
    </w:p>
    <w:p w14:paraId="3FEE548C" w14:textId="77777777" w:rsidR="00DD2ACB" w:rsidRPr="009C7FEB" w:rsidRDefault="00000000" w:rsidP="009C7FEB">
      <w:pPr>
        <w:pStyle w:val="ListParagraph"/>
        <w:numPr>
          <w:ilvl w:val="0"/>
          <w:numId w:val="2"/>
        </w:numPr>
        <w:spacing w:after="80" w:line="264" w:lineRule="auto"/>
        <w:jc w:val="both"/>
        <w:rPr>
          <w:sz w:val="22"/>
          <w:szCs w:val="22"/>
        </w:rPr>
      </w:pPr>
      <w:r w:rsidRPr="009C7FEB">
        <w:rPr>
          <w:b/>
          <w:bCs/>
          <w:color w:val="222222"/>
          <w:sz w:val="22"/>
          <w:szCs w:val="22"/>
        </w:rPr>
        <w:t xml:space="preserve">3. Against realistic naive alternatives, the model closes a measurable and specific gap. </w:t>
      </w:r>
      <w:r w:rsidRPr="009C7FEB">
        <w:rPr>
          <w:color w:val="222222"/>
          <w:sz w:val="22"/>
          <w:szCs w:val="22"/>
        </w:rPr>
        <w:t>A flat 90-day rule would expose 95% of the catalogue to late delivery (up to 179.8 days late for Mechanical); omitting the safety buffer alone would under-order every category by an average of 51.2 days. Both are quantified failure modes the data-driven model corrects — this is the concrete evidence that the model outperforms plausible non-analytical alternatives, not merely a different way of presenting the same schedule.</w:t>
      </w:r>
    </w:p>
    <w:p w14:paraId="352E4A77" w14:textId="77777777" w:rsidR="00DD2ACB" w:rsidRPr="009C7FEB" w:rsidRDefault="00000000" w:rsidP="009C7FEB">
      <w:pPr>
        <w:pStyle w:val="ListParagraph"/>
        <w:numPr>
          <w:ilvl w:val="0"/>
          <w:numId w:val="2"/>
        </w:numPr>
        <w:spacing w:after="80" w:line="264" w:lineRule="auto"/>
        <w:jc w:val="both"/>
        <w:rPr>
          <w:sz w:val="22"/>
          <w:szCs w:val="22"/>
        </w:rPr>
      </w:pPr>
      <w:r w:rsidRPr="009C7FEB">
        <w:rPr>
          <w:b/>
          <w:bCs/>
          <w:color w:val="222222"/>
          <w:sz w:val="22"/>
          <w:szCs w:val="22"/>
        </w:rPr>
        <w:t xml:space="preserve">4. Mechanical and Civil warrant a follow-up inventory review. </w:t>
      </w:r>
      <w:r w:rsidRPr="009C7FEB">
        <w:rPr>
          <w:color w:val="222222"/>
          <w:sz w:val="22"/>
          <w:szCs w:val="22"/>
        </w:rPr>
        <w:t>Their combination of long lead time and high Slow-Moving share means capital is committed early and held for the longest period. This is expected behavior for shutdown-reserve stock, but it is also the segment where excess-quantity ordering would be most costly to correct — a natural next audit target.</w:t>
      </w:r>
    </w:p>
    <w:p w14:paraId="4BEB7545" w14:textId="77777777" w:rsidR="00DD2ACB" w:rsidRDefault="00000000">
      <w:pPr>
        <w:pStyle w:val="Heading2"/>
        <w:spacing w:before="280" w:after="120"/>
      </w:pPr>
      <w:r>
        <w:rPr>
          <w:b/>
          <w:bCs/>
          <w:color w:val="1F3864"/>
          <w:sz w:val="24"/>
          <w:szCs w:val="24"/>
        </w:rPr>
        <w:t>6.1 Recommendations</w:t>
      </w:r>
    </w:p>
    <w:p w14:paraId="22FEC131" w14:textId="77777777" w:rsidR="00DD2ACB" w:rsidRPr="009C7FEB" w:rsidRDefault="00000000" w:rsidP="009C7FEB">
      <w:pPr>
        <w:pStyle w:val="ListParagraph"/>
        <w:numPr>
          <w:ilvl w:val="0"/>
          <w:numId w:val="2"/>
        </w:numPr>
        <w:spacing w:after="80" w:line="264" w:lineRule="auto"/>
        <w:jc w:val="both"/>
        <w:rPr>
          <w:sz w:val="22"/>
          <w:szCs w:val="22"/>
        </w:rPr>
      </w:pPr>
      <w:r w:rsidRPr="009C7FEB">
        <w:rPr>
          <w:color w:val="222222"/>
          <w:sz w:val="22"/>
          <w:szCs w:val="22"/>
        </w:rPr>
        <w:t>Adopt the category-level reorder calendar (Section 4.1) as the basis for the next PO cycle ahead of the 10-Sep-2027 shutdown, prioritizing Mechanical, Civil, and Piping given their lead time.</w:t>
      </w:r>
    </w:p>
    <w:p w14:paraId="22464893" w14:textId="77777777" w:rsidR="00DD2ACB" w:rsidRPr="009C7FEB" w:rsidRDefault="00000000" w:rsidP="009C7FEB">
      <w:pPr>
        <w:pStyle w:val="ListParagraph"/>
        <w:numPr>
          <w:ilvl w:val="0"/>
          <w:numId w:val="2"/>
        </w:numPr>
        <w:spacing w:after="80" w:line="264" w:lineRule="auto"/>
        <w:jc w:val="both"/>
        <w:rPr>
          <w:sz w:val="22"/>
          <w:szCs w:val="22"/>
        </w:rPr>
      </w:pPr>
      <w:r w:rsidRPr="009C7FEB">
        <w:rPr>
          <w:color w:val="222222"/>
          <w:sz w:val="22"/>
          <w:szCs w:val="22"/>
        </w:rPr>
        <w:t>Extend the safety-buffer methodology (Step 8) to future procurement cycles by recalculating lead time variability once each new shutdown's real data becomes available, rather than reusing a fixed figure.</w:t>
      </w:r>
    </w:p>
    <w:p w14:paraId="7D5AE5B9" w14:textId="77777777" w:rsidR="00DD2ACB" w:rsidRPr="009C7FEB" w:rsidRDefault="00000000" w:rsidP="009C7FEB">
      <w:pPr>
        <w:pStyle w:val="ListParagraph"/>
        <w:numPr>
          <w:ilvl w:val="0"/>
          <w:numId w:val="2"/>
        </w:numPr>
        <w:spacing w:after="80" w:line="264" w:lineRule="auto"/>
        <w:jc w:val="both"/>
        <w:rPr>
          <w:sz w:val="22"/>
          <w:szCs w:val="22"/>
        </w:rPr>
      </w:pPr>
      <w:r w:rsidRPr="009C7FEB">
        <w:rPr>
          <w:color w:val="222222"/>
          <w:sz w:val="22"/>
          <w:szCs w:val="22"/>
        </w:rPr>
        <w:t>Validate the model against real KAFCO procurement records when access is available, to confirm the assumed lead-time ranges and shutdown-clustering pattern hold in practice.</w:t>
      </w:r>
    </w:p>
    <w:p w14:paraId="232BDE7F" w14:textId="77777777" w:rsidR="00DD2ACB" w:rsidRPr="009C7FEB" w:rsidRDefault="00000000" w:rsidP="009C7FEB">
      <w:pPr>
        <w:pStyle w:val="ListParagraph"/>
        <w:numPr>
          <w:ilvl w:val="0"/>
          <w:numId w:val="2"/>
        </w:numPr>
        <w:spacing w:after="80" w:line="264" w:lineRule="auto"/>
        <w:jc w:val="both"/>
        <w:rPr>
          <w:sz w:val="22"/>
          <w:szCs w:val="22"/>
        </w:rPr>
      </w:pPr>
      <w:r w:rsidRPr="009C7FEB">
        <w:rPr>
          <w:color w:val="222222"/>
          <w:sz w:val="22"/>
          <w:szCs w:val="22"/>
        </w:rPr>
        <w:t>If unit cost data becomes available, extend the Section 5 comparison from days-of-risk to carrying-cost and expedite-freight cost, to translate the current schedule-risk finding into a currency figure.</w:t>
      </w:r>
    </w:p>
    <w:p w14:paraId="5A50052A" w14:textId="77777777" w:rsidR="009C7FEB" w:rsidRDefault="009C7FEB">
      <w:pPr>
        <w:pStyle w:val="Heading1"/>
        <w:pBdr>
          <w:bottom w:val="single" w:sz="6" w:space="4" w:color="1F3864"/>
        </w:pBdr>
        <w:spacing w:before="400" w:after="200"/>
        <w:rPr>
          <w:b/>
          <w:bCs/>
          <w:color w:val="1F3864"/>
          <w:sz w:val="28"/>
          <w:szCs w:val="28"/>
        </w:rPr>
      </w:pPr>
    </w:p>
    <w:p w14:paraId="001EEDB9" w14:textId="77777777" w:rsidR="009C7FEB" w:rsidRDefault="009C7FEB">
      <w:pPr>
        <w:pStyle w:val="Heading1"/>
        <w:pBdr>
          <w:bottom w:val="single" w:sz="6" w:space="4" w:color="1F3864"/>
        </w:pBdr>
        <w:spacing w:before="400" w:after="200"/>
        <w:rPr>
          <w:b/>
          <w:bCs/>
          <w:color w:val="1F3864"/>
          <w:sz w:val="28"/>
          <w:szCs w:val="28"/>
        </w:rPr>
      </w:pPr>
    </w:p>
    <w:p w14:paraId="65038461" w14:textId="4AE2F6B2" w:rsidR="00DD2ACB" w:rsidRDefault="00000000">
      <w:pPr>
        <w:pStyle w:val="Heading1"/>
        <w:pBdr>
          <w:bottom w:val="single" w:sz="6" w:space="4" w:color="1F3864"/>
        </w:pBdr>
        <w:spacing w:before="400" w:after="200"/>
      </w:pPr>
      <w:r>
        <w:rPr>
          <w:b/>
          <w:bCs/>
          <w:color w:val="1F3864"/>
          <w:sz w:val="28"/>
          <w:szCs w:val="28"/>
        </w:rPr>
        <w:lastRenderedPageBreak/>
        <w:t>7. Limitations</w:t>
      </w:r>
    </w:p>
    <w:p w14:paraId="52FA59B3" w14:textId="77777777" w:rsidR="00DD2ACB" w:rsidRPr="006472B5" w:rsidRDefault="00000000" w:rsidP="006472B5">
      <w:pPr>
        <w:pStyle w:val="ListParagraph"/>
        <w:numPr>
          <w:ilvl w:val="0"/>
          <w:numId w:val="2"/>
        </w:numPr>
        <w:spacing w:after="80" w:line="264" w:lineRule="auto"/>
        <w:jc w:val="both"/>
        <w:rPr>
          <w:sz w:val="22"/>
          <w:szCs w:val="22"/>
        </w:rPr>
      </w:pPr>
      <w:r w:rsidRPr="006472B5">
        <w:rPr>
          <w:color w:val="222222"/>
          <w:sz w:val="22"/>
          <w:szCs w:val="22"/>
        </w:rPr>
        <w:t>The dataset is synthetic. Real supplier lead times, demand rates, and shutdown-linked ordering behavior at KAFCO may differ from the modeled assumptions, so absolute dates and buffer sizes should be treated as a methodology demonstration rather than an operational schedule.</w:t>
      </w:r>
    </w:p>
    <w:p w14:paraId="69500769" w14:textId="77777777" w:rsidR="00DD2ACB" w:rsidRPr="006472B5" w:rsidRDefault="00000000" w:rsidP="006472B5">
      <w:pPr>
        <w:pStyle w:val="ListParagraph"/>
        <w:numPr>
          <w:ilvl w:val="0"/>
          <w:numId w:val="2"/>
        </w:numPr>
        <w:spacing w:after="80" w:line="264" w:lineRule="auto"/>
        <w:jc w:val="both"/>
        <w:rPr>
          <w:sz w:val="22"/>
          <w:szCs w:val="22"/>
        </w:rPr>
      </w:pPr>
      <w:r w:rsidRPr="006472B5">
        <w:rPr>
          <w:color w:val="222222"/>
          <w:sz w:val="22"/>
          <w:szCs w:val="22"/>
        </w:rPr>
        <w:t>The safety-stock formula (1.65σ, 95% service level) assumes lead time variability is approximately normally distributed; this was not tested against the synthetic data's actual distribution shape.</w:t>
      </w:r>
    </w:p>
    <w:p w14:paraId="3E3929C0" w14:textId="77777777" w:rsidR="00DD2ACB" w:rsidRPr="006472B5" w:rsidRDefault="00000000" w:rsidP="006472B5">
      <w:pPr>
        <w:pStyle w:val="ListParagraph"/>
        <w:numPr>
          <w:ilvl w:val="0"/>
          <w:numId w:val="2"/>
        </w:numPr>
        <w:spacing w:after="80" w:line="264" w:lineRule="auto"/>
        <w:jc w:val="both"/>
        <w:rPr>
          <w:sz w:val="22"/>
          <w:szCs w:val="22"/>
        </w:rPr>
      </w:pPr>
      <w:r w:rsidRPr="006472B5">
        <w:rPr>
          <w:color w:val="222222"/>
          <w:sz w:val="22"/>
          <w:szCs w:val="22"/>
        </w:rPr>
        <w:t>Demand rate is treated as constant per item; no seasonality or shutdown-driven demand spikes were modeled beyond the issue-date clustering built into the dataset.</w:t>
      </w:r>
    </w:p>
    <w:p w14:paraId="32038617" w14:textId="77777777" w:rsidR="00DD2ACB" w:rsidRPr="006472B5" w:rsidRDefault="00000000" w:rsidP="006472B5">
      <w:pPr>
        <w:pStyle w:val="ListParagraph"/>
        <w:numPr>
          <w:ilvl w:val="0"/>
          <w:numId w:val="2"/>
        </w:numPr>
        <w:spacing w:after="80" w:line="264" w:lineRule="auto"/>
        <w:jc w:val="both"/>
        <w:rPr>
          <w:sz w:val="22"/>
          <w:szCs w:val="22"/>
        </w:rPr>
      </w:pPr>
      <w:r w:rsidRPr="006472B5">
        <w:rPr>
          <w:color w:val="222222"/>
          <w:sz w:val="22"/>
          <w:szCs w:val="22"/>
        </w:rPr>
        <w:t>The Section 5 baseline comparison is measured in schedule-risk days and SKU counts, not currency, because the dataset has no unit-cost or carrying-cost field. Any cost-saving figure would be an assumption, not a finding, and has been deliberately excluded.</w:t>
      </w:r>
    </w:p>
    <w:p w14:paraId="371E80E6" w14:textId="77777777" w:rsidR="006472B5" w:rsidRPr="006472B5" w:rsidRDefault="006472B5" w:rsidP="006472B5">
      <w:pPr>
        <w:pStyle w:val="ListParagraph"/>
        <w:spacing w:after="80" w:line="264" w:lineRule="auto"/>
        <w:ind w:left="360"/>
        <w:rPr>
          <w:color w:val="222222"/>
        </w:rPr>
      </w:pPr>
    </w:p>
    <w:p w14:paraId="4C3BE3F1" w14:textId="43CD1689" w:rsidR="00DD2ACB" w:rsidRDefault="00000000">
      <w:pPr>
        <w:pStyle w:val="Heading1"/>
        <w:pBdr>
          <w:bottom w:val="single" w:sz="6" w:space="4" w:color="1F3864"/>
        </w:pBdr>
        <w:spacing w:before="400" w:after="200"/>
      </w:pPr>
      <w:r>
        <w:rPr>
          <w:b/>
          <w:bCs/>
          <w:color w:val="1F3864"/>
          <w:sz w:val="28"/>
          <w:szCs w:val="28"/>
        </w:rPr>
        <w:t>8. Deliverables</w:t>
      </w:r>
    </w:p>
    <w:p w14:paraId="30A4683F" w14:textId="77777777" w:rsidR="00DD2ACB" w:rsidRPr="006472B5" w:rsidRDefault="00000000" w:rsidP="006472B5">
      <w:pPr>
        <w:pStyle w:val="ListParagraph"/>
        <w:numPr>
          <w:ilvl w:val="0"/>
          <w:numId w:val="2"/>
        </w:numPr>
        <w:spacing w:after="80" w:line="264" w:lineRule="auto"/>
        <w:jc w:val="both"/>
        <w:rPr>
          <w:sz w:val="22"/>
          <w:szCs w:val="22"/>
        </w:rPr>
      </w:pPr>
      <w:r w:rsidRPr="006472B5">
        <w:rPr>
          <w:color w:val="222222"/>
          <w:sz w:val="22"/>
          <w:szCs w:val="22"/>
        </w:rPr>
        <w:t xml:space="preserve">Phase 1 (Excel): KAFCO_ItemCode_Category_Dates_400.xlsx — 400-row source dataset with </w:t>
      </w:r>
      <w:proofErr w:type="spellStart"/>
      <w:r w:rsidRPr="006472B5">
        <w:rPr>
          <w:color w:val="222222"/>
          <w:sz w:val="22"/>
          <w:szCs w:val="22"/>
        </w:rPr>
        <w:t>Pivot_Summary</w:t>
      </w:r>
      <w:proofErr w:type="spellEnd"/>
      <w:r w:rsidRPr="006472B5">
        <w:rPr>
          <w:color w:val="222222"/>
          <w:sz w:val="22"/>
          <w:szCs w:val="22"/>
        </w:rPr>
        <w:t xml:space="preserve"> sheet.</w:t>
      </w:r>
    </w:p>
    <w:p w14:paraId="2E400E9B" w14:textId="10AC520C" w:rsidR="00DD2ACB" w:rsidRPr="006472B5" w:rsidRDefault="00000000" w:rsidP="006472B5">
      <w:pPr>
        <w:pStyle w:val="ListParagraph"/>
        <w:numPr>
          <w:ilvl w:val="0"/>
          <w:numId w:val="2"/>
        </w:numPr>
        <w:spacing w:after="80" w:line="264" w:lineRule="auto"/>
        <w:jc w:val="both"/>
        <w:rPr>
          <w:sz w:val="22"/>
          <w:szCs w:val="22"/>
        </w:rPr>
      </w:pPr>
      <w:r w:rsidRPr="006472B5">
        <w:rPr>
          <w:color w:val="222222"/>
          <w:sz w:val="22"/>
          <w:szCs w:val="22"/>
        </w:rPr>
        <w:t xml:space="preserve">Phase 2 (SQL): </w:t>
      </w:r>
      <w:proofErr w:type="spellStart"/>
      <w:r w:rsidRPr="006472B5">
        <w:rPr>
          <w:color w:val="222222"/>
          <w:sz w:val="22"/>
          <w:szCs w:val="22"/>
        </w:rPr>
        <w:t>KAFCO_full_analysis.sql</w:t>
      </w:r>
      <w:proofErr w:type="spellEnd"/>
      <w:r w:rsidRPr="006472B5">
        <w:rPr>
          <w:color w:val="222222"/>
          <w:sz w:val="22"/>
          <w:szCs w:val="22"/>
        </w:rPr>
        <w:t xml:space="preserve"> — PostgreSQL script; </w:t>
      </w:r>
      <w:proofErr w:type="spellStart"/>
      <w:r w:rsidRPr="006472B5">
        <w:rPr>
          <w:color w:val="222222"/>
          <w:sz w:val="22"/>
          <w:szCs w:val="22"/>
        </w:rPr>
        <w:t>kafco_item_detail</w:t>
      </w:r>
      <w:proofErr w:type="spellEnd"/>
      <w:r w:rsidRPr="006472B5">
        <w:rPr>
          <w:color w:val="222222"/>
          <w:sz w:val="22"/>
          <w:szCs w:val="22"/>
        </w:rPr>
        <w:t xml:space="preserve"> (400 rows) and </w:t>
      </w:r>
      <w:proofErr w:type="spellStart"/>
      <w:r w:rsidRPr="006472B5">
        <w:rPr>
          <w:color w:val="222222"/>
          <w:sz w:val="22"/>
          <w:szCs w:val="22"/>
        </w:rPr>
        <w:t>kafco_category_kpi</w:t>
      </w:r>
      <w:proofErr w:type="spellEnd"/>
      <w:r w:rsidRPr="006472B5">
        <w:rPr>
          <w:color w:val="222222"/>
          <w:sz w:val="22"/>
          <w:szCs w:val="22"/>
        </w:rPr>
        <w:t xml:space="preserve"> (10 rows) export views.</w:t>
      </w:r>
    </w:p>
    <w:p w14:paraId="6A7D225A" w14:textId="77777777" w:rsidR="00DD2ACB" w:rsidRPr="006472B5" w:rsidRDefault="00000000" w:rsidP="006472B5">
      <w:pPr>
        <w:pStyle w:val="ListParagraph"/>
        <w:numPr>
          <w:ilvl w:val="0"/>
          <w:numId w:val="2"/>
        </w:numPr>
        <w:spacing w:after="80" w:line="264" w:lineRule="auto"/>
        <w:jc w:val="both"/>
        <w:rPr>
          <w:sz w:val="22"/>
          <w:szCs w:val="22"/>
        </w:rPr>
      </w:pPr>
      <w:r w:rsidRPr="006472B5">
        <w:rPr>
          <w:color w:val="222222"/>
          <w:sz w:val="22"/>
          <w:szCs w:val="22"/>
        </w:rPr>
        <w:t>Phase 3 (Tableau): KAFCO Inventory Cycle &amp; Reorder Analytics — published interactive dashboard (4 linked worksheets: Velocity Breakdown, Turnover by Category, Reorder Timeline, Slow-Moving Risk).</w:t>
      </w:r>
    </w:p>
    <w:p w14:paraId="5D9BD2ED" w14:textId="282836D1" w:rsidR="00DD2ACB" w:rsidRPr="006472B5" w:rsidRDefault="00000000" w:rsidP="006472B5">
      <w:pPr>
        <w:pStyle w:val="ListParagraph"/>
        <w:numPr>
          <w:ilvl w:val="0"/>
          <w:numId w:val="2"/>
        </w:numPr>
        <w:spacing w:after="80" w:line="264" w:lineRule="auto"/>
        <w:jc w:val="both"/>
        <w:rPr>
          <w:sz w:val="22"/>
          <w:szCs w:val="22"/>
        </w:rPr>
      </w:pPr>
      <w:r w:rsidRPr="006472B5">
        <w:rPr>
          <w:color w:val="222222"/>
          <w:sz w:val="22"/>
          <w:szCs w:val="22"/>
        </w:rPr>
        <w:t>Phase 4 (GitHub): Version-controlled repository with /data /</w:t>
      </w:r>
      <w:r w:rsidR="006472B5">
        <w:rPr>
          <w:color w:val="222222"/>
          <w:sz w:val="22"/>
          <w:szCs w:val="22"/>
        </w:rPr>
        <w:t>SQL</w:t>
      </w:r>
      <w:r w:rsidRPr="006472B5">
        <w:rPr>
          <w:color w:val="222222"/>
          <w:sz w:val="22"/>
          <w:szCs w:val="22"/>
        </w:rPr>
        <w:t xml:space="preserve"> folders and README documenting methodology, assumptions and findings.</w:t>
      </w:r>
    </w:p>
    <w:p w14:paraId="3DF7AE15" w14:textId="77777777" w:rsidR="00DD2ACB" w:rsidRPr="006472B5" w:rsidRDefault="00000000" w:rsidP="006472B5">
      <w:pPr>
        <w:pStyle w:val="ListParagraph"/>
        <w:numPr>
          <w:ilvl w:val="0"/>
          <w:numId w:val="2"/>
        </w:numPr>
        <w:spacing w:after="80" w:line="264" w:lineRule="auto"/>
        <w:jc w:val="both"/>
        <w:rPr>
          <w:sz w:val="22"/>
          <w:szCs w:val="22"/>
        </w:rPr>
      </w:pPr>
      <w:r w:rsidRPr="006472B5">
        <w:rPr>
          <w:color w:val="222222"/>
          <w:sz w:val="22"/>
          <w:szCs w:val="22"/>
        </w:rPr>
        <w:t>Baseline comparison workbook: KAFCO_Baseline_Comparison.xlsx — live-formula worksheet reproducing every figure in Section 5, for verification or re-use with real data.</w:t>
      </w:r>
    </w:p>
    <w:sectPr w:rsidR="00DD2ACB" w:rsidRPr="006472B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4034" w14:textId="77777777" w:rsidR="007835B3" w:rsidRDefault="007835B3">
      <w:r>
        <w:separator/>
      </w:r>
    </w:p>
  </w:endnote>
  <w:endnote w:type="continuationSeparator" w:id="0">
    <w:p w14:paraId="227F8105" w14:textId="77777777" w:rsidR="007835B3" w:rsidRDefault="00783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6EFB" w14:textId="77777777" w:rsidR="00DD2ACB"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B6DCF">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B6DCF">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46FA7" w14:textId="77777777" w:rsidR="007835B3" w:rsidRDefault="007835B3">
      <w:r>
        <w:separator/>
      </w:r>
    </w:p>
  </w:footnote>
  <w:footnote w:type="continuationSeparator" w:id="0">
    <w:p w14:paraId="79B2B09B" w14:textId="77777777" w:rsidR="007835B3" w:rsidRDefault="00783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27EC7" w14:textId="77777777" w:rsidR="00DD2ACB" w:rsidRDefault="00000000">
    <w:pPr>
      <w:pBdr>
        <w:bottom w:val="single" w:sz="4" w:space="4" w:color="BFBFBF"/>
      </w:pBdr>
    </w:pPr>
    <w:r>
      <w:rPr>
        <w:color w:val="595959"/>
        <w:sz w:val="16"/>
        <w:szCs w:val="16"/>
      </w:rPr>
      <w:t>KAFCO Inventory Analytics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52A88"/>
    <w:multiLevelType w:val="hybridMultilevel"/>
    <w:tmpl w:val="51D845AE"/>
    <w:lvl w:ilvl="0" w:tplc="4F54D392">
      <w:start w:val="1"/>
      <w:numFmt w:val="bullet"/>
      <w:lvlText w:val="•"/>
      <w:lvlJc w:val="left"/>
      <w:pPr>
        <w:ind w:left="360" w:hanging="260"/>
      </w:pPr>
    </w:lvl>
    <w:lvl w:ilvl="1" w:tplc="2C0C35AE">
      <w:start w:val="1"/>
      <w:numFmt w:val="bullet"/>
      <w:lvlText w:val="–"/>
      <w:lvlJc w:val="left"/>
      <w:pPr>
        <w:ind w:left="720" w:hanging="260"/>
      </w:pPr>
    </w:lvl>
    <w:lvl w:ilvl="2" w:tplc="A2BE0420">
      <w:numFmt w:val="decimal"/>
      <w:lvlText w:val=""/>
      <w:lvlJc w:val="left"/>
    </w:lvl>
    <w:lvl w:ilvl="3" w:tplc="A83ED7BA">
      <w:numFmt w:val="decimal"/>
      <w:lvlText w:val=""/>
      <w:lvlJc w:val="left"/>
    </w:lvl>
    <w:lvl w:ilvl="4" w:tplc="9438B592">
      <w:numFmt w:val="decimal"/>
      <w:lvlText w:val=""/>
      <w:lvlJc w:val="left"/>
    </w:lvl>
    <w:lvl w:ilvl="5" w:tplc="30127258">
      <w:numFmt w:val="decimal"/>
      <w:lvlText w:val=""/>
      <w:lvlJc w:val="left"/>
    </w:lvl>
    <w:lvl w:ilvl="6" w:tplc="FCBC7B0C">
      <w:numFmt w:val="decimal"/>
      <w:lvlText w:val=""/>
      <w:lvlJc w:val="left"/>
    </w:lvl>
    <w:lvl w:ilvl="7" w:tplc="15DABCAE">
      <w:numFmt w:val="decimal"/>
      <w:lvlText w:val=""/>
      <w:lvlJc w:val="left"/>
    </w:lvl>
    <w:lvl w:ilvl="8" w:tplc="F5F0B0CA">
      <w:numFmt w:val="decimal"/>
      <w:lvlText w:val=""/>
      <w:lvlJc w:val="left"/>
    </w:lvl>
  </w:abstractNum>
  <w:abstractNum w:abstractNumId="1" w15:restartNumberingAfterBreak="0">
    <w:nsid w:val="61C46B11"/>
    <w:multiLevelType w:val="hybridMultilevel"/>
    <w:tmpl w:val="8B6E9338"/>
    <w:lvl w:ilvl="0" w:tplc="523C5560">
      <w:start w:val="1"/>
      <w:numFmt w:val="bullet"/>
      <w:lvlText w:val="●"/>
      <w:lvlJc w:val="left"/>
      <w:pPr>
        <w:ind w:left="720" w:hanging="360"/>
      </w:pPr>
    </w:lvl>
    <w:lvl w:ilvl="1" w:tplc="A0847FF6">
      <w:start w:val="1"/>
      <w:numFmt w:val="bullet"/>
      <w:lvlText w:val="○"/>
      <w:lvlJc w:val="left"/>
      <w:pPr>
        <w:ind w:left="1440" w:hanging="360"/>
      </w:pPr>
    </w:lvl>
    <w:lvl w:ilvl="2" w:tplc="929003D0">
      <w:start w:val="1"/>
      <w:numFmt w:val="bullet"/>
      <w:lvlText w:val="■"/>
      <w:lvlJc w:val="left"/>
      <w:pPr>
        <w:ind w:left="2160" w:hanging="360"/>
      </w:pPr>
    </w:lvl>
    <w:lvl w:ilvl="3" w:tplc="967CAF0E">
      <w:start w:val="1"/>
      <w:numFmt w:val="bullet"/>
      <w:lvlText w:val="●"/>
      <w:lvlJc w:val="left"/>
      <w:pPr>
        <w:ind w:left="2880" w:hanging="360"/>
      </w:pPr>
    </w:lvl>
    <w:lvl w:ilvl="4" w:tplc="2132BCF4">
      <w:start w:val="1"/>
      <w:numFmt w:val="bullet"/>
      <w:lvlText w:val="○"/>
      <w:lvlJc w:val="left"/>
      <w:pPr>
        <w:ind w:left="3600" w:hanging="360"/>
      </w:pPr>
    </w:lvl>
    <w:lvl w:ilvl="5" w:tplc="6E9E2C82">
      <w:start w:val="1"/>
      <w:numFmt w:val="bullet"/>
      <w:lvlText w:val="■"/>
      <w:lvlJc w:val="left"/>
      <w:pPr>
        <w:ind w:left="4320" w:hanging="360"/>
      </w:pPr>
    </w:lvl>
    <w:lvl w:ilvl="6" w:tplc="E9FA98C0">
      <w:start w:val="1"/>
      <w:numFmt w:val="bullet"/>
      <w:lvlText w:val="●"/>
      <w:lvlJc w:val="left"/>
      <w:pPr>
        <w:ind w:left="5040" w:hanging="360"/>
      </w:pPr>
    </w:lvl>
    <w:lvl w:ilvl="7" w:tplc="6340019E">
      <w:start w:val="1"/>
      <w:numFmt w:val="bullet"/>
      <w:lvlText w:val="●"/>
      <w:lvlJc w:val="left"/>
      <w:pPr>
        <w:ind w:left="5760" w:hanging="360"/>
      </w:pPr>
    </w:lvl>
    <w:lvl w:ilvl="8" w:tplc="7024910E">
      <w:start w:val="1"/>
      <w:numFmt w:val="bullet"/>
      <w:lvlText w:val="●"/>
      <w:lvlJc w:val="left"/>
      <w:pPr>
        <w:ind w:left="6480" w:hanging="360"/>
      </w:pPr>
    </w:lvl>
  </w:abstractNum>
  <w:num w:numId="1" w16cid:durableId="1555577442">
    <w:abstractNumId w:val="1"/>
    <w:lvlOverride w:ilvl="0">
      <w:startOverride w:val="1"/>
    </w:lvlOverride>
  </w:num>
  <w:num w:numId="2" w16cid:durableId="1141995958">
    <w:abstractNumId w:val="0"/>
  </w:num>
  <w:num w:numId="3" w16cid:durableId="908999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ACB"/>
    <w:rsid w:val="00026F04"/>
    <w:rsid w:val="00132CBA"/>
    <w:rsid w:val="00330571"/>
    <w:rsid w:val="00574877"/>
    <w:rsid w:val="006472B5"/>
    <w:rsid w:val="006B6DCF"/>
    <w:rsid w:val="007835B3"/>
    <w:rsid w:val="009C7FEB"/>
    <w:rsid w:val="00B42571"/>
    <w:rsid w:val="00DD2ACB"/>
    <w:rsid w:val="00E65A69"/>
    <w:rsid w:val="00FD5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11809"/>
  <w15:docId w15:val="{153FBBD2-A857-4D9D-8C93-2E097ABD1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2499</Words>
  <Characters>14247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Musaddek Fahim</cp:lastModifiedBy>
  <cp:revision>2</cp:revision>
  <dcterms:created xsi:type="dcterms:W3CDTF">2026-07-17T12:03:00Z</dcterms:created>
  <dcterms:modified xsi:type="dcterms:W3CDTF">2026-07-17T12:03:00Z</dcterms:modified>
</cp:coreProperties>
</file>