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" w:line="240" w:lineRule="auto"/>
        <w:jc w:val="center"/>
      </w:pPr>
      <w:r>
        <w:rPr>
          <w:rFonts w:ascii="Calibri" w:hAnsi="Calibri"/>
          <w:b/>
          <w:i w:val="0"/>
          <w:caps/>
          <w:color w:val="4B2D8F"/>
          <w:sz w:val="72"/>
        </w:rPr>
        <w:t>HEXAWARE</w:t>
      </w:r>
    </w:p>
    <w:p>
      <w:pPr>
        <w:spacing w:before="0" w:after="16" w:line="240" w:lineRule="auto"/>
        <w:jc w:val="center"/>
      </w:pPr>
      <w:r>
        <w:rPr>
          <w:rFonts w:ascii="Calibri" w:hAnsi="Calibri"/>
          <w:b w:val="0"/>
          <w:i w:val="0"/>
          <w:color w:val="6C3FCF"/>
          <w:sz w:val="48"/>
        </w:rPr>
        <w:t>Agentic Claims Solution</w:t>
      </w:r>
    </w:p>
    <w:p>
      <w:pPr>
        <w:spacing w:before="0" w:after="16" w:line="240" w:lineRule="auto"/>
        <w:jc w:val="center"/>
      </w:pPr>
      <w:r>
        <w:rPr>
          <w:rFonts w:ascii="Calibri" w:hAnsi="Calibri"/>
          <w:b w:val="0"/>
          <w:i w:val="0"/>
          <w:color w:val="4B2D8F"/>
          <w:sz w:val="24"/>
        </w:rPr>
        <w:t>──────────────────────────────────────────</w:t>
      </w:r>
    </w:p>
    <w:p>
      <w:pPr>
        <w:spacing w:before="0" w:after="6" w:line="240" w:lineRule="auto"/>
        <w:jc w:val="center"/>
      </w:pPr>
      <w:r>
        <w:rPr>
          <w:rFonts w:ascii="Calibri" w:hAnsi="Calibri"/>
          <w:b w:val="0"/>
          <w:i/>
          <w:color w:val="4A4A6A"/>
          <w:sz w:val="36"/>
        </w:rPr>
        <w:t>Executive Solution Overview</w:t>
      </w:r>
    </w:p>
    <w:p>
      <w:pPr>
        <w:spacing w:before="0" w:after="32" w:line="240" w:lineRule="auto"/>
        <w:jc w:val="center"/>
      </w:pPr>
      <w:r>
        <w:rPr>
          <w:rFonts w:ascii="Calibri" w:hAnsi="Calibri"/>
          <w:b w:val="0"/>
          <w:i w:val="0"/>
          <w:color w:val="4A4A6A"/>
          <w:sz w:val="26"/>
        </w:rPr>
        <w:t>Powered by Small Language Model (SLM) Intelligence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</w:pPr>
      <w:r>
        <w:rPr>
          <w:rFonts w:ascii="Calibri" w:hAnsi="Calibri"/>
          <w:b w:val="0"/>
          <w:i w:val="0"/>
          <w:caps/>
          <w:color w:val="AAAAAA"/>
          <w:sz w:val="18"/>
        </w:rPr>
        <w:t>CONFIDENTIAL  |  September 2026</w:t>
      </w:r>
    </w:p>
    <w:p>
      <w:r>
        <w:br w:type="page"/>
      </w:r>
    </w:p>
    <w:p>
      <w:pPr>
        <w:spacing w:before="16" w:after="6" w:line="240" w:lineRule="auto"/>
        <w:pBdr>
          <w:bottom w:val="single" w:sz="12" w:space="4" w:color="4B2D8F"/>
        </w:pBdr>
      </w:pPr>
      <w:r>
        <w:rPr>
          <w:rFonts w:ascii="Calibri" w:hAnsi="Calibri"/>
          <w:b/>
          <w:i w:val="0"/>
          <w:color w:val="4B2D8F"/>
          <w:sz w:val="40"/>
        </w:rPr>
        <w:t>What Is This Solution?</w:t>
      </w:r>
    </w:p>
    <w:p>
      <w:pPr>
        <w:spacing w:before="2" w:after="4" w:line="240" w:lineRule="auto"/>
      </w:pPr>
      <w:r>
        <w:rPr>
          <w:rFonts w:ascii="Calibri" w:hAnsi="Calibri"/>
          <w:b w:val="0"/>
          <w:i w:val="0"/>
          <w:color w:val="4A4A6A"/>
          <w:sz w:val="22"/>
        </w:rPr>
        <w:t>The Hexaware Agentic Claims Solution is an AI-powered platform that digitizes and accelerates the end-to-end insurance claims process — from a policyholder's first report of a loss through to an adjuster's final triage decision. At its core is a Small Language Model (SLM) that reads claim documents, analyzes evidence, and produces structured recommendations without manual review.</w:t>
      </w:r>
    </w:p>
    <w:p>
      <w:pPr>
        <w:spacing w:before="0" w:after="4" w:line="240" w:lineRule="auto"/>
      </w:pPr>
    </w:p>
    <w:p>
      <w:pPr>
        <w:spacing w:before="2" w:after="4" w:line="240" w:lineRule="auto"/>
      </w:pPr>
      <w:r>
        <w:rPr>
          <w:rFonts w:ascii="Calibri" w:hAnsi="Calibri"/>
          <w:b/>
          <w:i w:val="0"/>
          <w:color w:val="1A1A2E"/>
          <w:sz w:val="22"/>
        </w:rPr>
        <w:t>The solution serves two distinct users:</w:t>
      </w:r>
    </w:p>
    <w:p>
      <w:pPr>
        <w:pStyle w:val="ListBullet"/>
        <w:spacing w:before="2" w:after="2" w:line="240" w:lineRule="auto"/>
      </w:pPr>
      <w:r>
        <w:rPr>
          <w:rFonts w:ascii="Calibri" w:hAnsi="Calibri"/>
          <w:b/>
          <w:i w:val="0"/>
          <w:color w:val="1A1A2E"/>
          <w:sz w:val="22"/>
        </w:rPr>
        <w:t xml:space="preserve">Policyholders  </w:t>
      </w:r>
      <w:r>
        <w:rPr>
          <w:rFonts w:ascii="Calibri" w:hAnsi="Calibri"/>
          <w:b w:val="0"/>
          <w:i w:val="0"/>
          <w:color w:val="4A4A6A"/>
          <w:sz w:val="22"/>
        </w:rPr>
        <w:t>– file claims using voice or text, guided through a structured 6-step process.</w:t>
      </w:r>
    </w:p>
    <w:p>
      <w:pPr>
        <w:pStyle w:val="ListBullet"/>
        <w:spacing w:before="2" w:after="2" w:line="240" w:lineRule="auto"/>
      </w:pPr>
      <w:r>
        <w:rPr>
          <w:rFonts w:ascii="Calibri" w:hAnsi="Calibri"/>
          <w:b/>
          <w:i w:val="0"/>
          <w:color w:val="1A1A2E"/>
          <w:sz w:val="22"/>
        </w:rPr>
        <w:t xml:space="preserve">Adjusters  </w:t>
      </w:r>
      <w:r>
        <w:rPr>
          <w:rFonts w:ascii="Calibri" w:hAnsi="Calibri"/>
          <w:b w:val="0"/>
          <w:i w:val="0"/>
          <w:color w:val="4A4A6A"/>
          <w:sz w:val="22"/>
        </w:rPr>
        <w:t>– review, validate, and triage claims using a 4-stage AI pipeline.</w:t>
      </w:r>
    </w:p>
    <w:p>
      <w:pPr>
        <w:pBdr>
          <w:bottom w:val="single" w:sz="4" w:space="4" w:color="D8D8E8"/>
        </w:pBdr>
        <w:spacing w:before="10" w:after="10" w:line="240" w:lineRule="auto"/>
      </w:pPr>
    </w:p>
    <w:p>
      <w:pPr>
        <w:spacing w:before="16" w:after="6" w:line="240" w:lineRule="auto"/>
        <w:pBdr>
          <w:bottom w:val="single" w:sz="12" w:space="4" w:color="4B2D8F"/>
        </w:pBdr>
      </w:pPr>
      <w:r>
        <w:rPr>
          <w:rFonts w:ascii="Calibri" w:hAnsi="Calibri"/>
          <w:b/>
          <w:i w:val="0"/>
          <w:color w:val="4B2D8F"/>
          <w:sz w:val="40"/>
        </w:rPr>
        <w:t>Business Value at a Glance</w:t>
      </w:r>
    </w:p>
    <w:p>
      <w:pPr>
        <w:spacing w:before="0" w:after="4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w="2150" w:type="dxa"/>
            <w:shd w:val="clear" w:color="auto" w:fill="4B2D8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Faster FNOL</w:t>
            </w:r>
          </w:p>
          <w:p>
            <w:pPr>
              <w:spacing w:before="0" w:after="4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D8D8F8"/>
                <w:sz w:val="18"/>
              </w:rPr>
              <w:t>Voice/text loss reporting replaces manual intake forms, cutting submission time significantly.</w:t>
            </w:r>
          </w:p>
        </w:tc>
        <w:tc>
          <w:tcPr>
            <w:tcW w:w="2150" w:type="dxa"/>
            <w:shd w:val="clear" w:color="auto" w:fill="6C3FCF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AI-Driven Triage</w:t>
            </w:r>
          </w:p>
          <w:p>
            <w:pPr>
              <w:spacing w:before="0" w:after="4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D8D8F8"/>
                <w:sz w:val="18"/>
              </w:rPr>
              <w:t>Documents, damage images, and policy data are analyzed automatically — no manual review required.</w:t>
            </w:r>
          </w:p>
        </w:tc>
        <w:tc>
          <w:tcPr>
            <w:tcW w:w="2150" w:type="dxa"/>
            <w:shd w:val="clear" w:color="auto" w:fill="3A207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Reduced Leakage</w:t>
            </w:r>
          </w:p>
          <w:p>
            <w:pPr>
              <w:spacing w:before="0" w:after="4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D8D8F8"/>
                <w:sz w:val="18"/>
              </w:rPr>
              <w:t>Corroboration checks cross-validate all submitted documents, flagging inconsistencies before payment.</w:t>
            </w:r>
          </w:p>
        </w:tc>
        <w:tc>
          <w:tcPr>
            <w:tcW w:w="2150" w:type="dxa"/>
            <w:shd w:val="clear" w:color="auto" w:fill="2A1555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Adjuster Efficiency</w:t>
            </w:r>
          </w:p>
          <w:p>
            <w:pPr>
              <w:spacing w:before="0" w:after="4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D8D8F8"/>
                <w:sz w:val="18"/>
              </w:rPr>
              <w:t>Adjusters receive a pre-processed structured summary — enabling faster, more consistent decisions.</w:t>
            </w:r>
          </w:p>
        </w:tc>
      </w:tr>
    </w:tbl>
    <w:p>
      <w:pPr>
        <w:pBdr>
          <w:bottom w:val="single" w:sz="4" w:space="4" w:color="D8D8E8"/>
        </w:pBdr>
        <w:spacing w:before="10" w:after="10" w:line="240" w:lineRule="auto"/>
      </w:pPr>
    </w:p>
    <w:p>
      <w:pPr>
        <w:spacing w:before="16" w:after="6" w:line="240" w:lineRule="auto"/>
        <w:pBdr>
          <w:bottom w:val="single" w:sz="12" w:space="4" w:color="4B2D8F"/>
        </w:pBdr>
      </w:pPr>
      <w:r>
        <w:rPr>
          <w:rFonts w:ascii="Calibri" w:hAnsi="Calibri"/>
          <w:b/>
          <w:i w:val="0"/>
          <w:color w:val="4B2D8F"/>
          <w:sz w:val="40"/>
        </w:rPr>
        <w:t>Policyholder Journey</w:t>
      </w:r>
    </w:p>
    <w:p>
      <w:pPr>
        <w:spacing w:before="2" w:after="4" w:line="240" w:lineRule="auto"/>
      </w:pPr>
      <w:r>
        <w:rPr>
          <w:rFonts w:ascii="Calibri" w:hAnsi="Calibri"/>
          <w:b w:val="0"/>
          <w:i w:val="0"/>
          <w:color w:val="4A4A6A"/>
          <w:sz w:val="22"/>
        </w:rPr>
        <w:t>The policyholder interacts with the Policyholder Portal to file a new claim. The process is guided, AI-assisted, and requires no prior knowledge of insurance terminology.</w:t>
      </w:r>
    </w:p>
    <w:p>
      <w:pPr>
        <w:spacing w:before="0" w:after="6" w:line="240" w:lineRule="auto"/>
      </w:pPr>
    </w:p>
    <w:p>
      <w:pPr>
        <w:spacing w:before="14" w:after="4" w:line="240" w:lineRule="auto"/>
      </w:pPr>
      <w:r>
        <w:rPr>
          <w:rFonts w:ascii="Calibri" w:hAnsi="Calibri"/>
          <w:b/>
          <w:i w:val="0"/>
          <w:color w:val="4B2D8F"/>
          <w:sz w:val="30"/>
        </w:rPr>
        <w:t>6-Step Claim Submission Flow</w:t>
      </w:r>
    </w:p>
    <w:p>
      <w:pPr>
        <w:spacing w:before="0" w:after="4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440" w:type="dxa"/>
            <w:shd w:val="clear" w:color="auto" w:fill="4B2D8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2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1</w:t>
            </w:r>
          </w:p>
          <w:p>
            <w:pPr>
              <w:spacing w:before="0" w:after="2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Describe Loss</w:t>
            </w:r>
          </w:p>
          <w:p>
            <w:pPr>
              <w:spacing w:before="0" w:after="4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CCBBEE"/>
                <w:sz w:val="16"/>
              </w:rPr>
              <w:t>Speak or type the incident</w:t>
            </w:r>
          </w:p>
        </w:tc>
        <w:tc>
          <w:tcPr>
            <w:tcW w:w="1440" w:type="dxa"/>
            <w:shd w:val="clear" w:color="auto" w:fill="4B2D8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2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2</w:t>
            </w:r>
          </w:p>
          <w:p>
            <w:pPr>
              <w:spacing w:before="0" w:after="2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Verify Policy</w:t>
            </w:r>
          </w:p>
          <w:p>
            <w:pPr>
              <w:spacing w:before="0" w:after="4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CCBBEE"/>
                <w:sz w:val="16"/>
              </w:rPr>
              <w:t>AI confirms policy &amp; claim type</w:t>
            </w:r>
          </w:p>
        </w:tc>
        <w:tc>
          <w:tcPr>
            <w:tcW w:w="1440" w:type="dxa"/>
            <w:shd w:val="clear" w:color="auto" w:fill="4B2D8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2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3</w:t>
            </w:r>
          </w:p>
          <w:p>
            <w:pPr>
              <w:spacing w:before="0" w:after="2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 Questions</w:t>
            </w:r>
          </w:p>
          <w:p>
            <w:pPr>
              <w:spacing w:before="0" w:after="4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CCBBEE"/>
                <w:sz w:val="16"/>
              </w:rPr>
              <w:t>Targeted follow-up prompts</w:t>
            </w:r>
          </w:p>
        </w:tc>
        <w:tc>
          <w:tcPr>
            <w:tcW w:w="1440" w:type="dxa"/>
            <w:shd w:val="clear" w:color="auto" w:fill="4B2D8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2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4</w:t>
            </w:r>
          </w:p>
          <w:p>
            <w:pPr>
              <w:spacing w:before="0" w:after="2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Add Evidence</w:t>
            </w:r>
          </w:p>
          <w:p>
            <w:pPr>
              <w:spacing w:before="0" w:after="4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CCBBEE"/>
                <w:sz w:val="16"/>
              </w:rPr>
              <w:t>Upload photos &amp; documents</w:t>
            </w:r>
          </w:p>
        </w:tc>
        <w:tc>
          <w:tcPr>
            <w:tcW w:w="1440" w:type="dxa"/>
            <w:shd w:val="clear" w:color="auto" w:fill="4B2D8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2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5</w:t>
            </w:r>
          </w:p>
          <w:p>
            <w:pPr>
              <w:spacing w:before="0" w:after="2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Review Form</w:t>
            </w:r>
          </w:p>
          <w:p>
            <w:pPr>
              <w:spacing w:before="0" w:after="4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CCBBEE"/>
                <w:sz w:val="16"/>
              </w:rPr>
              <w:t>Confirm AI-populated fields</w:t>
            </w:r>
          </w:p>
        </w:tc>
        <w:tc>
          <w:tcPr>
            <w:tcW w:w="1440" w:type="dxa"/>
            <w:shd w:val="clear" w:color="auto" w:fill="4B2D8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2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6</w:t>
            </w:r>
          </w:p>
          <w:p>
            <w:pPr>
              <w:spacing w:before="0" w:after="2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Confirm &amp; Submit</w:t>
            </w:r>
          </w:p>
          <w:p>
            <w:pPr>
              <w:spacing w:before="0" w:after="4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CCBBEE"/>
                <w:sz w:val="16"/>
              </w:rPr>
              <w:t>Claim number is generated</w:t>
            </w:r>
          </w:p>
        </w:tc>
      </w:tr>
    </w:tbl>
    <w:p>
      <w:pPr>
        <w:spacing w:before="0" w:after="10" w:line="240" w:lineRule="auto"/>
      </w:pPr>
    </w:p>
    <w:p>
      <w:pPr>
        <w:spacing w:before="14" w:after="4" w:line="240" w:lineRule="auto"/>
      </w:pPr>
      <w:r>
        <w:rPr>
          <w:rFonts w:ascii="Calibri" w:hAnsi="Calibri"/>
          <w:b/>
          <w:i w:val="0"/>
          <w:color w:val="4B2D8F"/>
          <w:sz w:val="30"/>
        </w:rPr>
        <w:t>What Happens at Each Step</w:t>
      </w:r>
    </w:p>
    <w:p>
      <w:pPr>
        <w:pStyle w:val="ListBullet"/>
        <w:spacing w:before="2" w:after="2" w:line="240" w:lineRule="auto"/>
      </w:pPr>
      <w:r>
        <w:rPr>
          <w:rFonts w:ascii="Calibri" w:hAnsi="Calibri"/>
          <w:b/>
          <w:i w:val="0"/>
          <w:color w:val="1A1A2E"/>
          <w:sz w:val="22"/>
        </w:rPr>
        <w:t xml:space="preserve">Step 1 — Describe Loss  </w:t>
      </w:r>
      <w:r>
        <w:rPr>
          <w:rFonts w:ascii="Calibri" w:hAnsi="Calibri"/>
          <w:b w:val="0"/>
          <w:i w:val="0"/>
          <w:color w:val="4A4A6A"/>
          <w:sz w:val="22"/>
        </w:rPr>
        <w:t>The policyholder clicks the microphone and speaks a natural description of the incident, or types it. No form-filling at this stage.</w:t>
      </w:r>
    </w:p>
    <w:p>
      <w:pPr>
        <w:spacing w:before="0" w:after="2" w:line="240" w:lineRule="auto"/>
      </w:pPr>
    </w:p>
    <w:p>
      <w:pPr>
        <w:pStyle w:val="ListBullet"/>
        <w:spacing w:before="2" w:after="2" w:line="240" w:lineRule="auto"/>
      </w:pPr>
      <w:r>
        <w:rPr>
          <w:rFonts w:ascii="Calibri" w:hAnsi="Calibri"/>
          <w:b/>
          <w:i w:val="0"/>
          <w:color w:val="1A1A2E"/>
          <w:sz w:val="22"/>
        </w:rPr>
        <w:t xml:space="preserve">Step 2 — Verify Policy  </w:t>
      </w:r>
      <w:r>
        <w:rPr>
          <w:rFonts w:ascii="Calibri" w:hAnsi="Calibri"/>
          <w:b w:val="0"/>
          <w:i w:val="0"/>
          <w:color w:val="4A4A6A"/>
          <w:sz w:val="22"/>
        </w:rPr>
        <w:t>The AI transcribes the narration and extracts structured data: loss type, probable cause, area of damage, and date — each with a confidence score. It then detects the claim type (e.g., Motor) and suggests the appropriate dedicated form.</w:t>
      </w:r>
    </w:p>
    <w:p>
      <w:pPr>
        <w:spacing w:before="0" w:after="2" w:line="240" w:lineRule="auto"/>
      </w:pPr>
    </w:p>
    <w:p>
      <w:pPr>
        <w:pStyle w:val="ListBullet"/>
        <w:spacing w:before="2" w:after="2" w:line="240" w:lineRule="auto"/>
      </w:pPr>
      <w:r>
        <w:rPr>
          <w:rFonts w:ascii="Calibri" w:hAnsi="Calibri"/>
          <w:b/>
          <w:i w:val="0"/>
          <w:color w:val="1A1A2E"/>
          <w:sz w:val="22"/>
        </w:rPr>
        <w:t xml:space="preserve">Step 3 — Answer Questions  </w:t>
      </w:r>
      <w:r>
        <w:rPr>
          <w:rFonts w:ascii="Calibri" w:hAnsi="Calibri"/>
          <w:b w:val="0"/>
          <w:i w:val="0"/>
          <w:color w:val="4A4A6A"/>
          <w:sz w:val="22"/>
        </w:rPr>
        <w:t>Targeted follow-up questions are presented based on the claim type, gathering only the details relevant to that specific loss.</w:t>
      </w:r>
    </w:p>
    <w:p>
      <w:pPr>
        <w:spacing w:before="0" w:after="2" w:line="240" w:lineRule="auto"/>
      </w:pPr>
    </w:p>
    <w:p>
      <w:pPr>
        <w:pStyle w:val="ListBullet"/>
        <w:spacing w:before="2" w:after="2" w:line="240" w:lineRule="auto"/>
      </w:pPr>
      <w:r>
        <w:rPr>
          <w:rFonts w:ascii="Calibri" w:hAnsi="Calibri"/>
          <w:b/>
          <w:i w:val="0"/>
          <w:color w:val="1A1A2E"/>
          <w:sz w:val="22"/>
        </w:rPr>
        <w:t xml:space="preserve">Step 4 — Add Evidence  </w:t>
      </w:r>
      <w:r>
        <w:rPr>
          <w:rFonts w:ascii="Calibri" w:hAnsi="Calibri"/>
          <w:b w:val="0"/>
          <w:i w:val="0"/>
          <w:color w:val="4A4A6A"/>
          <w:sz w:val="22"/>
        </w:rPr>
        <w:t>The policyholder uploads evidence — photos of damage, repair estimates, FNOL documents, driver statements. The AI pre-fills a short description from the earlier narration. Estimated cost is entered here.</w:t>
      </w:r>
    </w:p>
    <w:p>
      <w:pPr>
        <w:spacing w:before="0" w:after="2" w:line="240" w:lineRule="auto"/>
      </w:pPr>
    </w:p>
    <w:p>
      <w:pPr>
        <w:pStyle w:val="ListBullet"/>
        <w:spacing w:before="2" w:after="2" w:line="240" w:lineRule="auto"/>
      </w:pPr>
      <w:r>
        <w:rPr>
          <w:rFonts w:ascii="Calibri" w:hAnsi="Calibri"/>
          <w:b/>
          <w:i w:val="0"/>
          <w:color w:val="1A1A2E"/>
          <w:sz w:val="22"/>
        </w:rPr>
        <w:t xml:space="preserve">Step 5 — Review Form  </w:t>
      </w:r>
      <w:r>
        <w:rPr>
          <w:rFonts w:ascii="Calibri" w:hAnsi="Calibri"/>
          <w:b w:val="0"/>
          <w:i w:val="0"/>
          <w:color w:val="4A4A6A"/>
          <w:sz w:val="22"/>
        </w:rPr>
        <w:t>All AI-inferred and customer-provided fields are displayed side by side for confirmation before submission.</w:t>
      </w:r>
    </w:p>
    <w:p>
      <w:pPr>
        <w:spacing w:before="0" w:after="2" w:line="240" w:lineRule="auto"/>
      </w:pPr>
    </w:p>
    <w:p>
      <w:pPr>
        <w:pStyle w:val="ListBullet"/>
        <w:spacing w:before="2" w:after="2" w:line="240" w:lineRule="auto"/>
      </w:pPr>
      <w:r>
        <w:rPr>
          <w:rFonts w:ascii="Calibri" w:hAnsi="Calibri"/>
          <w:b/>
          <w:i w:val="0"/>
          <w:color w:val="1A1A2E"/>
          <w:sz w:val="22"/>
        </w:rPr>
        <w:t xml:space="preserve">Step 6 — Confirm &amp; Submit  </w:t>
      </w:r>
      <w:r>
        <w:rPr>
          <w:rFonts w:ascii="Calibri" w:hAnsi="Calibri"/>
          <w:b w:val="0"/>
          <w:i w:val="0"/>
          <w:color w:val="4A4A6A"/>
          <w:sz w:val="22"/>
        </w:rPr>
        <w:t>A unique claim number is generated and the claim is routed to the adjuster queue for triage.</w:t>
      </w:r>
    </w:p>
    <w:p>
      <w:pPr>
        <w:spacing w:before="0" w:after="2" w:line="240" w:lineRule="auto"/>
      </w:pPr>
    </w:p>
    <w:p>
      <w:pPr>
        <w:pBdr>
          <w:bottom w:val="single" w:sz="4" w:space="4" w:color="D8D8E8"/>
        </w:pBdr>
        <w:spacing w:before="10" w:after="10" w:line="240" w:lineRule="auto"/>
      </w:pPr>
    </w:p>
    <w:p>
      <w:pPr>
        <w:spacing w:before="16" w:after="6" w:line="240" w:lineRule="auto"/>
        <w:pBdr>
          <w:bottom w:val="single" w:sz="12" w:space="4" w:color="4B2D8F"/>
        </w:pBdr>
      </w:pPr>
      <w:r>
        <w:rPr>
          <w:rFonts w:ascii="Calibri" w:hAnsi="Calibri"/>
          <w:b/>
          <w:i w:val="0"/>
          <w:color w:val="4B2D8F"/>
          <w:sz w:val="40"/>
        </w:rPr>
        <w:t>Adjuster Journey</w:t>
      </w:r>
    </w:p>
    <w:p>
      <w:pPr>
        <w:spacing w:before="2" w:after="4" w:line="240" w:lineRule="auto"/>
      </w:pPr>
      <w:r>
        <w:rPr>
          <w:rFonts w:ascii="Calibri" w:hAnsi="Calibri"/>
          <w:b w:val="0"/>
          <w:i w:val="0"/>
          <w:color w:val="4A4A6A"/>
          <w:sz w:val="22"/>
        </w:rPr>
        <w:t>The adjuster interacts with the Adjuster Portal to validate and triage claims. The AI does the heavy lifting — the adjuster reviews structured, AI-generated results and makes the final decision.</w:t>
      </w:r>
    </w:p>
    <w:p>
      <w:pPr>
        <w:spacing w:before="0" w:after="6" w:line="240" w:lineRule="auto"/>
      </w:pPr>
    </w:p>
    <w:p>
      <w:pPr>
        <w:spacing w:before="14" w:after="4" w:line="240" w:lineRule="auto"/>
      </w:pPr>
      <w:r>
        <w:rPr>
          <w:rFonts w:ascii="Calibri" w:hAnsi="Calibri"/>
          <w:b/>
          <w:i w:val="0"/>
          <w:color w:val="4B2D8F"/>
          <w:sz w:val="30"/>
        </w:rPr>
        <w:t>Adjuster Portal Navigation</w:t>
      </w:r>
    </w:p>
    <w:p>
      <w:pPr>
        <w:spacing w:before="0" w:after="4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single" w:sz="4" w:color="D8D8E8"/>
          <w:insideV w:val="nil"/>
        </w:tblBorders>
      </w:tblPr>
      <w:tblGrid>
        <w:gridCol w:w="4680"/>
        <w:gridCol w:w="4680"/>
      </w:tblGrid>
      <w:tr>
        <w:tc>
          <w:tcPr>
            <w:tcW w:w="24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Loss Dashboard</w:t>
            </w:r>
          </w:p>
        </w:tc>
        <w:tc>
          <w:tcPr>
            <w:tcW w:w="56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Birds-eye view of all active claims — counts, statuses, and trends at a glance.</w:t>
            </w:r>
          </w:p>
        </w:tc>
      </w:tr>
      <w:tr>
        <w:tc>
          <w:tcPr>
            <w:tcW w:w="24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Claim Validation / Triage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The primary workspace for reviewing and triaging individual claims via the SLM pipeline.</w:t>
            </w:r>
          </w:p>
        </w:tc>
      </w:tr>
      <w:tr>
        <w:tc>
          <w:tcPr>
            <w:tcW w:w="24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Parametric Claims</w:t>
            </w:r>
          </w:p>
        </w:tc>
        <w:tc>
          <w:tcPr>
            <w:tcW w:w="56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Handling of rule-based automatic claims (separate workflow, not SLM-driven).</w:t>
            </w:r>
          </w:p>
        </w:tc>
      </w:tr>
      <w:tr>
        <w:tc>
          <w:tcPr>
            <w:tcW w:w="24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Claims Cockpit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Consolidated claim management view across all lines of business.</w:t>
            </w:r>
          </w:p>
        </w:tc>
      </w:tr>
      <w:tr>
        <w:tc>
          <w:tcPr>
            <w:tcW w:w="24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Follow My Claims</w:t>
            </w:r>
          </w:p>
        </w:tc>
        <w:tc>
          <w:tcPr>
            <w:tcW w:w="56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Lifecycle tracking across all claims from FNOL through closure.</w:t>
            </w:r>
          </w:p>
        </w:tc>
      </w:tr>
      <w:tr>
        <w:tc>
          <w:tcPr>
            <w:tcW w:w="24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Document Hub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Central repository of all uploaded documents and evidence files.</w:t>
            </w:r>
          </w:p>
        </w:tc>
      </w:tr>
    </w:tbl>
    <w:p>
      <w:pPr>
        <w:spacing w:before="0" w:after="10" w:line="240" w:lineRule="auto"/>
      </w:pPr>
    </w:p>
    <w:p>
      <w:pPr>
        <w:spacing w:before="14" w:after="4" w:line="240" w:lineRule="auto"/>
      </w:pPr>
      <w:r>
        <w:rPr>
          <w:rFonts w:ascii="Calibri" w:hAnsi="Calibri"/>
          <w:b/>
          <w:i w:val="0"/>
          <w:color w:val="4B2D8F"/>
          <w:sz w:val="30"/>
        </w:rPr>
        <w:t>Claim Triage — The SLM Pipeline</w:t>
      </w:r>
    </w:p>
    <w:p>
      <w:pPr>
        <w:spacing w:before="2" w:after="4" w:line="240" w:lineRule="auto"/>
      </w:pPr>
      <w:r>
        <w:rPr>
          <w:rFonts w:ascii="Calibri" w:hAnsi="Calibri"/>
          <w:b w:val="0"/>
          <w:i w:val="0"/>
          <w:color w:val="4A4A6A"/>
          <w:sz w:val="22"/>
        </w:rPr>
        <w:t>The adjuster enters a claim number, loads the associated documents, and clicks Triage. The SLM model runs four sequential stages across all submitted evidence:</w:t>
      </w:r>
    </w:p>
    <w:p>
      <w:pPr>
        <w:spacing w:before="0" w:after="4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single" w:sz="4" w:color="D8D8E8"/>
          <w:insideV w:val="nil"/>
        </w:tblBorders>
      </w:tblPr>
      <w:tblGrid>
        <w:gridCol w:w="4680"/>
        <w:gridCol w:w="4680"/>
      </w:tblGrid>
      <w:tr>
        <w:tc>
          <w:tcPr>
            <w:tcW w:w="2000" w:type="dxa"/>
            <w:shd w:val="clear" w:color="auto" w:fill="F0ECF9"/>
            <w:tcMar>
              <w:top w:w="120" w:type="dxa"/>
              <w:bottom w:w="120" w:type="dxa"/>
              <w:left w:w="16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2" w:line="240" w:lineRule="auto"/>
            </w:pPr>
            <w:r>
              <w:rPr>
                <w:rFonts w:ascii="Calibri" w:hAnsi="Calibri"/>
                <w:b/>
                <w:i w:val="0"/>
                <w:color w:val="6C3FCF"/>
                <w:sz w:val="36"/>
              </w:rPr>
              <w:t>01</w:t>
            </w:r>
          </w:p>
          <w:p>
            <w:pPr>
              <w:spacing w:before="0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Document Analyzer</w:t>
            </w:r>
          </w:p>
        </w:tc>
        <w:tc>
          <w:tcPr>
            <w:tcW w:w="6000" w:type="dxa"/>
            <w:shd w:val="clear" w:color="auto" w:fill="FFFFFF"/>
            <w:tcMar>
              <w:top w:w="120" w:type="dxa"/>
              <w:bottom w:w="12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Classifies every uploaded document (Driver Statement, Repair Estimate, FNOL, Policy Coverage) and extracts structured fields — names, dates, amounts, vehicle details, and more.</w:t>
            </w:r>
          </w:p>
        </w:tc>
      </w:tr>
      <w:tr>
        <w:tc>
          <w:tcPr>
            <w:tcW w:w="2000" w:type="dxa"/>
            <w:shd w:val="clear" w:color="auto" w:fill="F0ECF9"/>
            <w:tcMar>
              <w:top w:w="120" w:type="dxa"/>
              <w:bottom w:w="120" w:type="dxa"/>
              <w:left w:w="16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2" w:line="240" w:lineRule="auto"/>
            </w:pPr>
            <w:r>
              <w:rPr>
                <w:rFonts w:ascii="Calibri" w:hAnsi="Calibri"/>
                <w:b/>
                <w:i w:val="0"/>
                <w:color w:val="6C3FCF"/>
                <w:sz w:val="36"/>
              </w:rPr>
              <w:t>02</w:t>
            </w:r>
          </w:p>
          <w:p>
            <w:pPr>
              <w:spacing w:before="0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Damage Analyzer</w:t>
            </w:r>
          </w:p>
        </w:tc>
        <w:tc>
          <w:tcPr>
            <w:tcW w:w="6000" w:type="dxa"/>
            <w:shd w:val="clear" w:color="auto" w:fill="FFFFFF"/>
            <w:tcMar>
              <w:top w:w="120" w:type="dxa"/>
              <w:bottom w:w="12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Processes evidence photos to identify visible damage — type, severity, and affected areas of the vehicle or property.</w:t>
            </w:r>
          </w:p>
        </w:tc>
      </w:tr>
      <w:tr>
        <w:tc>
          <w:tcPr>
            <w:tcW w:w="2000" w:type="dxa"/>
            <w:shd w:val="clear" w:color="auto" w:fill="F0ECF9"/>
            <w:tcMar>
              <w:top w:w="120" w:type="dxa"/>
              <w:bottom w:w="120" w:type="dxa"/>
              <w:left w:w="16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2" w:line="240" w:lineRule="auto"/>
            </w:pPr>
            <w:r>
              <w:rPr>
                <w:rFonts w:ascii="Calibri" w:hAnsi="Calibri"/>
                <w:b/>
                <w:i w:val="0"/>
                <w:color w:val="6C3FCF"/>
                <w:sz w:val="36"/>
              </w:rPr>
              <w:t>03</w:t>
            </w:r>
          </w:p>
          <w:p>
            <w:pPr>
              <w:spacing w:before="0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Corroboration</w:t>
            </w:r>
          </w:p>
        </w:tc>
        <w:tc>
          <w:tcPr>
            <w:tcW w:w="6000" w:type="dxa"/>
            <w:shd w:val="clear" w:color="auto" w:fill="FFFFFF"/>
            <w:tcMar>
              <w:top w:w="120" w:type="dxa"/>
              <w:bottom w:w="12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Cross-validates data across all submitted documents and images to surface inconsistencies, mismatches, or missing information that may indicate fraud or error.</w:t>
            </w:r>
          </w:p>
        </w:tc>
      </w:tr>
      <w:tr>
        <w:tc>
          <w:tcPr>
            <w:tcW w:w="2000" w:type="dxa"/>
            <w:shd w:val="clear" w:color="auto" w:fill="F0ECF9"/>
            <w:tcMar>
              <w:top w:w="120" w:type="dxa"/>
              <w:bottom w:w="120" w:type="dxa"/>
              <w:left w:w="16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2" w:line="240" w:lineRule="auto"/>
            </w:pPr>
            <w:r>
              <w:rPr>
                <w:rFonts w:ascii="Calibri" w:hAnsi="Calibri"/>
                <w:b/>
                <w:i w:val="0"/>
                <w:color w:val="6C3FCF"/>
                <w:sz w:val="36"/>
              </w:rPr>
              <w:t>04</w:t>
            </w:r>
          </w:p>
          <w:p>
            <w:pPr>
              <w:spacing w:before="0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2"/>
              </w:rPr>
              <w:t>Triage Decision</w:t>
            </w:r>
          </w:p>
        </w:tc>
        <w:tc>
          <w:tcPr>
            <w:tcW w:w="6000" w:type="dxa"/>
            <w:shd w:val="clear" w:color="auto" w:fill="FFFFFF"/>
            <w:tcMar>
              <w:top w:w="120" w:type="dxa"/>
              <w:bottom w:w="12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Synthesizes the above three outputs into a final structured recommendation — approve, investigate, escalate, or reject — with supporting rationale.</w:t>
            </w:r>
          </w:p>
        </w:tc>
      </w:tr>
    </w:tbl>
    <w:p>
      <w:pPr>
        <w:spacing w:before="0" w:after="6" w:line="240" w:lineRule="auto"/>
      </w:pPr>
    </w:p>
    <w:p>
      <w:pPr>
        <w:spacing w:before="2" w:after="4" w:line="240" w:lineRule="auto"/>
      </w:pPr>
      <w:r>
        <w:rPr>
          <w:rFonts w:ascii="Calibri" w:hAnsi="Calibri"/>
          <w:b w:val="0"/>
          <w:i w:val="0"/>
          <w:color w:val="4A4A6A"/>
          <w:sz w:val="22"/>
        </w:rPr>
        <w:t>After triage completes, each stage shows a "Done" status and results are immediately available for review. The adjuster can re-run triage at any time with updated documents.</w:t>
      </w:r>
    </w:p>
    <w:p>
      <w:pPr>
        <w:pBdr>
          <w:bottom w:val="single" w:sz="4" w:space="4" w:color="D8D8E8"/>
        </w:pBdr>
        <w:spacing w:before="10" w:after="10" w:line="240" w:lineRule="auto"/>
      </w:pPr>
    </w:p>
    <w:p>
      <w:pPr>
        <w:spacing w:before="16" w:after="6" w:line="240" w:lineRule="auto"/>
        <w:pBdr>
          <w:bottom w:val="single" w:sz="12" w:space="4" w:color="4B2D8F"/>
        </w:pBdr>
      </w:pPr>
      <w:r>
        <w:rPr>
          <w:rFonts w:ascii="Calibri" w:hAnsi="Calibri"/>
          <w:b/>
          <w:i w:val="0"/>
          <w:color w:val="4B2D8F"/>
          <w:sz w:val="40"/>
        </w:rPr>
        <w:t>End-to-End Flow — One Claim</w:t>
      </w:r>
    </w:p>
    <w:p>
      <w:pPr>
        <w:spacing w:before="0" w:after="6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single" w:sz="4" w:color="D8D8E8"/>
          <w:insideV w:val="nil"/>
        </w:tblBorders>
      </w:tblPr>
      <w:tblGrid>
        <w:gridCol w:w="4680"/>
        <w:gridCol w:w="4680"/>
      </w:tblGrid>
      <w:tr>
        <w:tc>
          <w:tcPr>
            <w:tcW w:w="1600" w:type="dxa"/>
            <w:shd w:val="clear" w:color="auto" w:fill="4B2D8F"/>
            <w:tcMar>
              <w:top w:w="80" w:type="dxa"/>
              <w:bottom w:w="80" w:type="dxa"/>
              <w:left w:w="10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WHO</w:t>
            </w:r>
          </w:p>
        </w:tc>
        <w:tc>
          <w:tcPr>
            <w:tcW w:w="6400" w:type="dxa"/>
            <w:shd w:val="clear" w:color="auto" w:fill="4B2D8F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HAPPENS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bottom w:w="80" w:type="dxa"/>
              <w:left w:w="10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Policyholder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Opens Policyholder Portal. Navigates to Smart Loss Reporting.</w:t>
            </w:r>
          </w:p>
        </w:tc>
      </w:tr>
      <w:tr>
        <w:tc>
          <w:tcPr>
            <w:tcW w:w="1600" w:type="dxa"/>
            <w:shd w:val="clear" w:color="auto" w:fill="F0ECF9"/>
            <w:tcMar>
              <w:top w:w="80" w:type="dxa"/>
              <w:bottom w:w="80" w:type="dxa"/>
              <w:left w:w="10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Policyholder</w:t>
            </w:r>
          </w:p>
        </w:tc>
        <w:tc>
          <w:tcPr>
            <w:tcW w:w="64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Speaks or types a natural description of the loss event.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bottom w:w="80" w:type="dxa"/>
              <w:left w:w="10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6C3FCF"/>
                <w:sz w:val="20"/>
              </w:rPr>
              <w:t>AI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Transcribes voice input. Extracts loss type, cause, area damaged, and date with confidence scores.</w:t>
            </w:r>
          </w:p>
        </w:tc>
      </w:tr>
      <w:tr>
        <w:tc>
          <w:tcPr>
            <w:tcW w:w="1600" w:type="dxa"/>
            <w:shd w:val="clear" w:color="auto" w:fill="F0ECF9"/>
            <w:tcMar>
              <w:top w:w="80" w:type="dxa"/>
              <w:bottom w:w="80" w:type="dxa"/>
              <w:left w:w="10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6C3FCF"/>
                <w:sz w:val="20"/>
              </w:rPr>
              <w:t>AI</w:t>
            </w:r>
          </w:p>
        </w:tc>
        <w:tc>
          <w:tcPr>
            <w:tcW w:w="64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Detects claim type (e.g., Motor) and recommends the appropriate dedicated claim form.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bottom w:w="80" w:type="dxa"/>
              <w:left w:w="10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Policyholder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Completes 6-step guided form — confirms AI-extracted fields, uploads evidence, enters estimated cost.</w:t>
            </w:r>
          </w:p>
        </w:tc>
      </w:tr>
      <w:tr>
        <w:tc>
          <w:tcPr>
            <w:tcW w:w="1600" w:type="dxa"/>
            <w:shd w:val="clear" w:color="auto" w:fill="F0ECF9"/>
            <w:tcMar>
              <w:top w:w="80" w:type="dxa"/>
              <w:bottom w:w="80" w:type="dxa"/>
              <w:left w:w="10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System</w:t>
            </w:r>
          </w:p>
        </w:tc>
        <w:tc>
          <w:tcPr>
            <w:tcW w:w="64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Generates unique claim number. Routes claim to the adjuster queue.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bottom w:w="80" w:type="dxa"/>
              <w:left w:w="10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Adjuster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Opens Loss Dashboard for queue overview. Navigates to Claim Validation / Triage.</w:t>
            </w:r>
          </w:p>
        </w:tc>
      </w:tr>
      <w:tr>
        <w:tc>
          <w:tcPr>
            <w:tcW w:w="1600" w:type="dxa"/>
            <w:shd w:val="clear" w:color="auto" w:fill="F0ECF9"/>
            <w:tcMar>
              <w:top w:w="80" w:type="dxa"/>
              <w:bottom w:w="80" w:type="dxa"/>
              <w:left w:w="10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Adjuster</w:t>
            </w:r>
          </w:p>
        </w:tc>
        <w:tc>
          <w:tcPr>
            <w:tcW w:w="64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Enters claim number. Loads all associated documents and evidence files.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bottom w:w="80" w:type="dxa"/>
              <w:left w:w="10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6C3FCF"/>
                <w:sz w:val="20"/>
              </w:rPr>
              <w:t>SLM Model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Runs 4-stage triage pipeline: Document Analysis → Damage Analysis → Corroboration → Triage Decision.</w:t>
            </w:r>
          </w:p>
        </w:tc>
      </w:tr>
      <w:tr>
        <w:tc>
          <w:tcPr>
            <w:tcW w:w="1600" w:type="dxa"/>
            <w:shd w:val="clear" w:color="auto" w:fill="F0ECF9"/>
            <w:tcMar>
              <w:top w:w="80" w:type="dxa"/>
              <w:bottom w:w="80" w:type="dxa"/>
              <w:left w:w="10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Adjuster</w:t>
            </w:r>
          </w:p>
        </w:tc>
        <w:tc>
          <w:tcPr>
            <w:tcW w:w="6400" w:type="dxa"/>
            <w:shd w:val="clear" w:color="auto" w:fill="F0ECF9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Reviews structured AI output. Makes final claim decision based on recommendation.</w:t>
            </w:r>
          </w:p>
        </w:tc>
      </w:tr>
    </w:tbl>
    <w:p>
      <w:pPr>
        <w:pBdr>
          <w:bottom w:val="single" w:sz="4" w:space="4" w:color="D8D8E8"/>
        </w:pBdr>
        <w:spacing w:before="10" w:after="10" w:line="240" w:lineRule="auto"/>
      </w:pPr>
    </w:p>
    <w:p>
      <w:pPr>
        <w:spacing w:before="16" w:after="6" w:line="240" w:lineRule="auto"/>
        <w:pBdr>
          <w:bottom w:val="single" w:sz="12" w:space="4" w:color="4B2D8F"/>
        </w:pBdr>
      </w:pPr>
      <w:r>
        <w:rPr>
          <w:rFonts w:ascii="Calibri" w:hAnsi="Calibri"/>
          <w:b/>
          <w:i w:val="0"/>
          <w:color w:val="4B2D8F"/>
          <w:sz w:val="40"/>
        </w:rPr>
        <w:t>Key Capabilities Summary</w:t>
      </w:r>
    </w:p>
    <w:p>
      <w:pPr>
        <w:spacing w:before="0" w:after="6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single" w:sz="4" w:color="D8D8E8"/>
          <w:insideV w:val="single" w:sz="4" w:color="D8D8E8"/>
        </w:tblBorders>
      </w:tblPr>
      <w:tblGrid>
        <w:gridCol w:w="4680"/>
        <w:gridCol w:w="4680"/>
      </w:tblGrid>
      <w:tr>
        <w:tc>
          <w:tcPr>
            <w:tcW w:w="4150" w:type="dxa"/>
            <w:shd w:val="clear" w:color="auto" w:fill="F0EC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6" w:line="240" w:lineRule="auto"/>
            </w:pPr>
            <w:r>
              <w:rPr>
                <w:rFonts w:ascii="Calibri" w:hAnsi="Calibri"/>
                <w:b/>
                <w:i w:val="0"/>
                <w:color w:val="4B2D8F"/>
                <w:sz w:val="24"/>
              </w:rPr>
              <w:t>Intelligent FNOL</w:t>
            </w:r>
          </w:p>
          <w:p>
            <w:pPr>
              <w:spacing w:before="0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Voice or text-based claim initiation. AI extracts structured data from natural language — no forms to fill manually.</w:t>
            </w:r>
          </w:p>
        </w:tc>
        <w:tc>
          <w:tcPr>
            <w:tcW w:w="4150" w:type="dxa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6" w:line="240" w:lineRule="auto"/>
            </w:pPr>
            <w:r>
              <w:rPr>
                <w:rFonts w:ascii="Calibri" w:hAnsi="Calibri"/>
                <w:b/>
                <w:i w:val="0"/>
                <w:color w:val="4B2D8F"/>
                <w:sz w:val="24"/>
              </w:rPr>
              <w:t>Smart Claim Type Detection</w:t>
            </w:r>
          </w:p>
          <w:p>
            <w:pPr>
              <w:spacing w:before="0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AI identifies the line of business (Motor, Property, etc.) from the narrative and routes the claimant to the correct dedicated form.</w:t>
            </w:r>
          </w:p>
        </w:tc>
      </w:tr>
      <w:tr>
        <w:tc>
          <w:tcPr>
            <w:tcW w:w="4150" w:type="dxa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6" w:line="240" w:lineRule="auto"/>
            </w:pPr>
            <w:r>
              <w:rPr>
                <w:rFonts w:ascii="Calibri" w:hAnsi="Calibri"/>
                <w:b/>
                <w:i w:val="0"/>
                <w:color w:val="4B2D8F"/>
                <w:sz w:val="24"/>
              </w:rPr>
              <w:t>SLM-Powered Triage Pipeline</w:t>
            </w:r>
          </w:p>
          <w:p>
            <w:pPr>
              <w:spacing w:before="0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Four sequential AI stages process every claim — document classification, damage analysis, corroboration, and a final decision recommendation.</w:t>
            </w:r>
          </w:p>
        </w:tc>
        <w:tc>
          <w:tcPr>
            <w:tcW w:w="4150" w:type="dxa"/>
            <w:shd w:val="clear" w:color="auto" w:fill="F0ECF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before="4" w:after="6" w:line="240" w:lineRule="auto"/>
            </w:pPr>
            <w:r>
              <w:rPr>
                <w:rFonts w:ascii="Calibri" w:hAnsi="Calibri"/>
                <w:b/>
                <w:i w:val="0"/>
                <w:color w:val="4B2D8F"/>
                <w:sz w:val="24"/>
              </w:rPr>
              <w:t>Confidence-Scored Extraction</w:t>
            </w:r>
          </w:p>
          <w:p>
            <w:pPr>
              <w:spacing w:before="0" w:after="4" w:line="240" w:lineRule="auto"/>
            </w:pPr>
            <w:r>
              <w:rPr>
                <w:rFonts w:ascii="Calibri" w:hAnsi="Calibri"/>
                <w:b w:val="0"/>
                <w:i w:val="0"/>
                <w:color w:val="4A4A6A"/>
                <w:sz w:val="20"/>
              </w:rPr>
              <w:t>Every AI-extracted value carries a confidence percentage — clearly distinguishing what the model is certain about versus what requires human confirmation.</w:t>
            </w:r>
          </w:p>
        </w:tc>
      </w:tr>
    </w:tbl>
    <w:p>
      <w:pPr>
        <w:spacing w:before="0" w:after="16" w:line="240" w:lineRule="auto"/>
      </w:pPr>
    </w:p>
    <w:p>
      <w:pPr>
        <w:jc w:val="center"/>
        <w:pBdr>
          <w:bottom w:val="single" w:sz="4" w:space="4" w:color="D8D8E8"/>
        </w:pBdr>
      </w:pPr>
      <w:r>
        <w:rPr>
          <w:rFonts w:ascii="Calibri" w:hAnsi="Calibri"/>
          <w:b w:val="0"/>
          <w:i/>
          <w:color w:val="AAAAAA"/>
          <w:sz w:val="16"/>
        </w:rPr>
        <w:t>Hexaware Technologies  |  Agentic Claims Solution  |  Confidential  |  September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