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SIMATS ENGINEERING</w:t>
      </w:r>
    </w:p>
    <w:p>
      <w:pPr>
        <w:spacing w:after="200"/>
        <w:jc w:val="center"/>
      </w:pPr>
      <w:r>
        <w:rPr>
          <w:rFonts w:ascii="Calibri" w:cs="Calibri" w:eastAsia="Calibri" w:hAnsi="Calibri"/>
          <w:i/>
          <w:iCs/>
          <w:color w:val="595959"/>
          <w:sz w:val="20"/>
          <w:szCs w:val="20"/>
        </w:rPr>
        <w:t xml:space="preserve">Saveetha Institute of Medical and Technical Sciences</w:t>
      </w:r>
    </w:p>
    <w:p>
      <w:pPr>
        <w:pBdr>
          <w:bottom w:val="single" w:color="1F3864" w:sz="12" w:space="4"/>
        </w:pBdr>
        <w:shd w:fill="1F3864" w:val="clear"/>
        <w:spacing w:after="200" w:before="0"/>
        <w:jc w:val="center"/>
      </w:pPr>
      <w:r>
        <w:rPr>
          <w:b/>
          <w:bCs/>
          <w:color w:val="FFFFFF"/>
          <w:sz w:val="28"/>
          <w:szCs w:val="28"/>
        </w:rPr>
        <w:t xml:space="preserve">ASSIGNMENT - 4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shd w:fill="DCE6F1" w:val="clear"/>
            <w:tcMar>
              <w:top w:type="dxa" w:w="80"/>
              <w:left w:type="dxa" w:w="120"/>
              <w:bottom w:type="dxa" w:w="80"/>
              <w:right w:type="dxa" w:w="120"/>
            </w:tcMar>
            <w:vAlign w:val="center"/>
          </w:tcPr>
          <w:p>
            <w:r>
              <w:rPr>
                <w:b/>
                <w:bCs/>
                <w:color w:val="1F3864"/>
                <w:sz w:val="20"/>
                <w:szCs w:val="20"/>
              </w:rPr>
              <w:t xml:space="preserve">Student Name</w:t>
            </w:r>
          </w:p>
        </w:tc>
        <w:tc>
          <w:tcPr>
            <w:tcW w:type="pct" w:w="70%"/>
            <w:tcMar>
              <w:top w:type="dxa" w:w="80"/>
              <w:left w:type="dxa" w:w="120"/>
              <w:bottom w:type="dxa" w:w="80"/>
              <w:right w:type="dxa" w:w="120"/>
            </w:tcMar>
            <w:vAlign w:val="center"/>
          </w:tcPr>
          <w:p>
            <w:r>
              <w:rPr>
                <w:sz w:val="20"/>
                <w:szCs w:val="20"/>
              </w:rPr>
              <w:t xml:space="preserve">Musahith Arafath S</w:t>
            </w:r>
          </w:p>
        </w:tc>
      </w:tr>
      <w:tr>
        <w:tc>
          <w:tcPr>
            <w:tcW w:type="pct" w:w="30%"/>
            <w:shd w:fill="DCE6F1" w:val="clear"/>
            <w:tcMar>
              <w:top w:type="dxa" w:w="80"/>
              <w:left w:type="dxa" w:w="120"/>
              <w:bottom w:type="dxa" w:w="80"/>
              <w:right w:type="dxa" w:w="120"/>
            </w:tcMar>
            <w:vAlign w:val="center"/>
          </w:tcPr>
          <w:p>
            <w:r>
              <w:rPr>
                <w:b/>
                <w:bCs/>
                <w:color w:val="1F3864"/>
                <w:sz w:val="20"/>
                <w:szCs w:val="20"/>
              </w:rPr>
              <w:t xml:space="preserve">Register Number</w:t>
            </w:r>
          </w:p>
        </w:tc>
        <w:tc>
          <w:tcPr>
            <w:tcW w:type="pct" w:w="70%"/>
            <w:tcMar>
              <w:top w:type="dxa" w:w="80"/>
              <w:left w:type="dxa" w:w="120"/>
              <w:bottom w:type="dxa" w:w="80"/>
              <w:right w:type="dxa" w:w="120"/>
            </w:tcMar>
            <w:vAlign w:val="center"/>
          </w:tcPr>
          <w:p>
            <w:r>
              <w:rPr>
                <w:sz w:val="20"/>
                <w:szCs w:val="20"/>
              </w:rPr>
              <w:t xml:space="preserve">192524400</w:t>
            </w:r>
          </w:p>
        </w:tc>
      </w:tr>
      <w:tr>
        <w:tc>
          <w:tcPr>
            <w:tcW w:type="pct" w:w="30%"/>
            <w:shd w:fill="DCE6F1" w:val="clear"/>
            <w:tcMar>
              <w:top w:type="dxa" w:w="80"/>
              <w:left w:type="dxa" w:w="120"/>
              <w:bottom w:type="dxa" w:w="80"/>
              <w:right w:type="dxa" w:w="120"/>
            </w:tcMar>
            <w:vAlign w:val="center"/>
          </w:tcPr>
          <w:p>
            <w:r>
              <w:rPr>
                <w:b/>
                <w:bCs/>
                <w:color w:val="1F3864"/>
                <w:sz w:val="20"/>
                <w:szCs w:val="20"/>
              </w:rPr>
              <w:t xml:space="preserve">Subject Code</w:t>
            </w:r>
          </w:p>
        </w:tc>
        <w:tc>
          <w:tcPr>
            <w:tcW w:type="pct" w:w="70%"/>
            <w:tcMar>
              <w:top w:type="dxa" w:w="80"/>
              <w:left w:type="dxa" w:w="120"/>
              <w:bottom w:type="dxa" w:w="80"/>
              <w:right w:type="dxa" w:w="120"/>
            </w:tcMar>
            <w:vAlign w:val="center"/>
          </w:tcPr>
          <w:p>
            <w:r>
              <w:rPr>
                <w:sz w:val="20"/>
                <w:szCs w:val="20"/>
              </w:rPr>
              <w:t xml:space="preserve">CSA10</w:t>
            </w:r>
          </w:p>
        </w:tc>
      </w:tr>
      <w:tr>
        <w:tc>
          <w:tcPr>
            <w:tcW w:type="pct" w:w="30%"/>
            <w:shd w:fill="DCE6F1" w:val="clear"/>
            <w:tcMar>
              <w:top w:type="dxa" w:w="80"/>
              <w:left w:type="dxa" w:w="120"/>
              <w:bottom w:type="dxa" w:w="80"/>
              <w:right w:type="dxa" w:w="120"/>
            </w:tcMar>
            <w:vAlign w:val="center"/>
          </w:tcPr>
          <w:p>
            <w:r>
              <w:rPr>
                <w:b/>
                <w:bCs/>
                <w:color w:val="1F3864"/>
                <w:sz w:val="20"/>
                <w:szCs w:val="20"/>
              </w:rPr>
              <w:t xml:space="preserve">Subject Name</w:t>
            </w:r>
          </w:p>
        </w:tc>
        <w:tc>
          <w:tcPr>
            <w:tcW w:type="pct" w:w="70%"/>
            <w:tcMar>
              <w:top w:type="dxa" w:w="80"/>
              <w:left w:type="dxa" w:w="120"/>
              <w:bottom w:type="dxa" w:w="80"/>
              <w:right w:type="dxa" w:w="120"/>
            </w:tcMar>
            <w:vAlign w:val="center"/>
          </w:tcPr>
          <w:p>
            <w:r>
              <w:rPr>
                <w:sz w:val="20"/>
                <w:szCs w:val="20"/>
              </w:rPr>
              <w:t xml:space="preserve">Software Engineering</w:t>
            </w:r>
          </w:p>
        </w:tc>
      </w:tr>
      <w:tr>
        <w:tc>
          <w:tcPr>
            <w:tcW w:type="pct" w:w="30%"/>
            <w:shd w:fill="DCE6F1" w:val="clear"/>
            <w:tcMar>
              <w:top w:type="dxa" w:w="80"/>
              <w:left w:type="dxa" w:w="120"/>
              <w:bottom w:type="dxa" w:w="80"/>
              <w:right w:type="dxa" w:w="120"/>
            </w:tcMar>
            <w:vAlign w:val="center"/>
          </w:tcPr>
          <w:p>
            <w:r>
              <w:rPr>
                <w:b/>
                <w:bCs/>
                <w:color w:val="1F3864"/>
                <w:sz w:val="20"/>
                <w:szCs w:val="20"/>
              </w:rPr>
              <w:t xml:space="preserve">Assignment No.</w:t>
            </w:r>
          </w:p>
        </w:tc>
        <w:tc>
          <w:tcPr>
            <w:tcW w:type="pct" w:w="70%"/>
            <w:tcMar>
              <w:top w:type="dxa" w:w="80"/>
              <w:left w:type="dxa" w:w="120"/>
              <w:bottom w:type="dxa" w:w="80"/>
              <w:right w:type="dxa" w:w="120"/>
            </w:tcMar>
            <w:vAlign w:val="center"/>
          </w:tcPr>
          <w:p>
            <w:r>
              <w:rPr>
                <w:sz w:val="20"/>
                <w:szCs w:val="20"/>
              </w:rPr>
              <w:t xml:space="preserve">4</w:t>
            </w:r>
          </w:p>
        </w:tc>
      </w:tr>
      <w:tr>
        <w:tc>
          <w:tcPr>
            <w:tcW w:type="pct" w:w="30%"/>
            <w:shd w:fill="DCE6F1" w:val="clear"/>
            <w:tcMar>
              <w:top w:type="dxa" w:w="80"/>
              <w:left w:type="dxa" w:w="120"/>
              <w:bottom w:type="dxa" w:w="80"/>
              <w:right w:type="dxa" w:w="120"/>
            </w:tcMar>
            <w:vAlign w:val="center"/>
          </w:tcPr>
          <w:p>
            <w:r>
              <w:rPr>
                <w:b/>
                <w:bCs/>
                <w:color w:val="1F3864"/>
                <w:sz w:val="20"/>
                <w:szCs w:val="20"/>
              </w:rPr>
              <w:t xml:space="preserve">Faculty Guide</w:t>
            </w:r>
          </w:p>
        </w:tc>
        <w:tc>
          <w:tcPr>
            <w:tcW w:type="pct" w:w="70%"/>
            <w:tcMar>
              <w:top w:type="dxa" w:w="80"/>
              <w:left w:type="dxa" w:w="120"/>
              <w:bottom w:type="dxa" w:w="80"/>
              <w:right w:type="dxa" w:w="120"/>
            </w:tcMar>
            <w:vAlign w:val="center"/>
          </w:tcPr>
          <w:p>
            <w:r>
              <w:rPr>
                <w:sz w:val="20"/>
                <w:szCs w:val="20"/>
              </w:rPr>
              <w:t xml:space="preserve">Dr. Ro.Mu. Jauhar</w:t>
            </w:r>
          </w:p>
        </w:tc>
      </w:tr>
    </w:tbl>
    <w:p>
      <w:pPr>
        <w:spacing w:after="3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500"/>
        <w:gridCol w:w="1500"/>
      </w:tblGrid>
      <w:tr>
        <w:tc>
          <w:tcPr>
            <w:tcW w:type="dxa" w:w="8500"/>
            <w:shd w:fill="1F3864" w:val="clear"/>
            <w:tcMar>
              <w:top w:type="dxa" w:w="100"/>
              <w:left w:type="dxa" w:w="150"/>
              <w:bottom w:type="dxa" w:w="100"/>
              <w:right w:type="dxa" w:w="150"/>
            </w:tcMar>
            <w:vAlign w:val="center"/>
          </w:tcPr>
          <w:p>
            <w:r>
              <w:rPr>
                <w:b/>
                <w:bCs/>
                <w:color w:val="FFFFFF"/>
                <w:sz w:val="22"/>
                <w:szCs w:val="22"/>
              </w:rPr>
              <w:t xml:space="preserve">Question 1: Mutation Testing and Fuzz Testing</w:t>
            </w:r>
          </w:p>
        </w:tc>
        <w:tc>
          <w:tcPr>
            <w:tcW w:type="dxa" w:w="1500"/>
            <w:shd w:fill="2E5C8A" w:val="clear"/>
            <w:tcMar>
              <w:top w:type="dxa" w:w="100"/>
              <w:left w:type="dxa" w:w="100"/>
              <w:bottom w:type="dxa" w:w="100"/>
              <w:right w:type="dxa" w:w="100"/>
            </w:tcMar>
            <w:vAlign w:val="center"/>
          </w:tcPr>
          <w:p>
            <w:pPr>
              <w:jc w:val="center"/>
            </w:pPr>
            <w:r>
              <w:rPr>
                <w:b/>
                <w:bCs/>
                <w:color w:val="FFFFFF"/>
                <w:sz w:val="18"/>
                <w:szCs w:val="18"/>
              </w:rPr>
              <w:t xml:space="preserve">7 M | CO4</w:t>
            </w:r>
          </w:p>
        </w:tc>
      </w:tr>
    </w:tbl>
    <w:p>
      <w:pPr>
        <w:spacing w:after="150"/>
      </w:pPr>
    </w:p>
    <w:p>
      <w:pPr>
        <w:pStyle w:val="Heading2"/>
        <w:spacing w:after="100" w:before="220"/>
      </w:pPr>
      <w:r>
        <w:rPr>
          <w:b/>
          <w:bCs/>
          <w:color w:val="2E5C8A"/>
          <w:sz w:val="23"/>
          <w:szCs w:val="23"/>
        </w:rPr>
        <w:t xml:space="preserve">1.1 Mutation Testing</w:t>
      </w:r>
    </w:p>
    <w:p>
      <w:pPr>
        <w:spacing w:after="120" w:line="300"/>
        <w:jc w:val="both"/>
      </w:pPr>
      <w:r>
        <w:rPr>
          <w:sz w:val="22"/>
          <w:szCs w:val="22"/>
        </w:rPr>
        <w:t xml:space="preserve">Mutation testing is a white-box, fault-based software testing technique used to evaluate the quality and effectiveness of an existing test suite rather than the software itself. It works by deliberately introducing small, syntactically valid changes called mutations into the source code to produce multiple modified versions of the program known as mutants. Each mutant behaves almost identically to the original program except for the single injected fault.</w:t>
      </w:r>
    </w:p>
    <w:p>
      <w:pPr>
        <w:spacing w:after="120" w:line="300"/>
        <w:jc w:val="both"/>
      </w:pPr>
      <w:r>
        <w:rPr>
          <w:sz w:val="22"/>
          <w:szCs w:val="22"/>
        </w:rPr>
        <w:t xml:space="preserve">The existing test suite is then executed against every mutant. If a test case fails on a mutant, the mutant is said to be killed, indicating that the test suite is capable of detecting that specific type of fault. If all test cases pass despite the mutation, the mutant survives, revealing a gap in the test suite's ability to catch that class of defect.</w:t>
      </w:r>
    </w:p>
    <w:p>
      <w:pPr>
        <w:pStyle w:val="Heading2"/>
        <w:spacing w:after="100" w:before="220"/>
      </w:pPr>
      <w:r>
        <w:rPr>
          <w:b/>
          <w:bCs/>
          <w:color w:val="2E5C8A"/>
          <w:sz w:val="23"/>
          <w:szCs w:val="23"/>
        </w:rPr>
        <w:t xml:space="preserve">Common Mutation Operators</w:t>
      </w:r>
    </w:p>
    <w:p>
      <w:pPr>
        <w:pStyle w:val="ListParagraph"/>
        <w:numPr>
          <w:ilvl w:val="0"/>
          <w:numId w:val="2"/>
        </w:numPr>
        <w:spacing w:after="80" w:line="280"/>
      </w:pPr>
      <w:r>
        <w:rPr>
          <w:sz w:val="22"/>
          <w:szCs w:val="22"/>
        </w:rPr>
        <w:t xml:space="preserve">Arithmetic Operator Replacement: changing + to −, or * to /</w:t>
      </w:r>
    </w:p>
    <w:p>
      <w:pPr>
        <w:pStyle w:val="ListParagraph"/>
        <w:numPr>
          <w:ilvl w:val="0"/>
          <w:numId w:val="2"/>
        </w:numPr>
        <w:spacing w:after="80" w:line="280"/>
      </w:pPr>
      <w:r>
        <w:rPr>
          <w:sz w:val="22"/>
          <w:szCs w:val="22"/>
        </w:rPr>
        <w:t xml:space="preserve">Relational Operator Replacement: changing &lt; to &lt;=, or == to !=</w:t>
      </w:r>
    </w:p>
    <w:p>
      <w:pPr>
        <w:pStyle w:val="ListParagraph"/>
        <w:numPr>
          <w:ilvl w:val="0"/>
          <w:numId w:val="2"/>
        </w:numPr>
        <w:spacing w:after="80" w:line="280"/>
      </w:pPr>
      <w:r>
        <w:rPr>
          <w:sz w:val="22"/>
          <w:szCs w:val="22"/>
        </w:rPr>
        <w:t xml:space="preserve">Logical Operator Replacement: changing &amp;&amp; to ||</w:t>
      </w:r>
    </w:p>
    <w:p>
      <w:pPr>
        <w:pStyle w:val="ListParagraph"/>
        <w:numPr>
          <w:ilvl w:val="0"/>
          <w:numId w:val="2"/>
        </w:numPr>
        <w:spacing w:after="80" w:line="280"/>
      </w:pPr>
      <w:r>
        <w:rPr>
          <w:sz w:val="22"/>
          <w:szCs w:val="22"/>
        </w:rPr>
        <w:t xml:space="preserve">Statement Deletion: removing a line such as a method call</w:t>
      </w:r>
    </w:p>
    <w:p>
      <w:pPr>
        <w:pStyle w:val="ListParagraph"/>
        <w:numPr>
          <w:ilvl w:val="0"/>
          <w:numId w:val="2"/>
        </w:numPr>
        <w:spacing w:after="80" w:line="280"/>
      </w:pPr>
      <w:r>
        <w:rPr>
          <w:sz w:val="22"/>
          <w:szCs w:val="22"/>
        </w:rPr>
        <w:t xml:space="preserve">Constant Replacement: changing a literal value, e.g. 0 to 1</w:t>
      </w:r>
    </w:p>
    <w:p>
      <w:pPr>
        <w:pStyle w:val="Heading2"/>
        <w:spacing w:after="100" w:before="220"/>
      </w:pPr>
      <w:r>
        <w:rPr>
          <w:b/>
          <w:bCs/>
          <w:color w:val="2E5C8A"/>
          <w:sz w:val="23"/>
          <w:szCs w:val="23"/>
        </w:rPr>
        <w:t xml:space="preserve">Mutation Score</w:t>
      </w:r>
    </w:p>
    <w:p>
      <w:pPr>
        <w:spacing w:after="120" w:line="300"/>
        <w:jc w:val="both"/>
      </w:pPr>
      <w:r>
        <w:rPr>
          <w:sz w:val="22"/>
          <w:szCs w:val="22"/>
        </w:rPr>
        <w:t xml:space="preserve">The effectiveness of a test suite is quantified using the Mutation Score, calculated as:</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1F1F1F"/>
          <w:sz w:val="18"/>
          <w:szCs w:val="18"/>
        </w:rPr>
        <w:t xml:space="preserve">Mutation Score = (Number of Killed Mutants / Total Number of Non-Equivalent Mutants) x 100%</w:t>
      </w:r>
    </w:p>
    <w:p>
      <w:pPr>
        <w:spacing w:after="120" w:line="300"/>
        <w:jc w:val="both"/>
      </w:pPr>
      <w:r>
        <w:rPr>
          <w:sz w:val="22"/>
          <w:szCs w:val="22"/>
        </w:rPr>
        <w:t xml:space="preserve">A higher mutation score indicates a more robust and thorough test suite, since it means the tests are sensitive enough to detect small, deliberately injected defects.</w:t>
      </w:r>
    </w:p>
    <w:p>
      <w:pPr>
        <w:pStyle w:val="Heading2"/>
        <w:spacing w:after="100" w:before="220"/>
      </w:pPr>
      <w:r>
        <w:rPr>
          <w:b/>
          <w:bCs/>
          <w:color w:val="2E5C8A"/>
          <w:sz w:val="23"/>
          <w:szCs w:val="23"/>
        </w:rPr>
        <w:t xml:space="preserve">How Mutation Testing Enhances Reliability and Security</w:t>
      </w:r>
    </w:p>
    <w:p>
      <w:pPr>
        <w:pStyle w:val="ListParagraph"/>
        <w:numPr>
          <w:ilvl w:val="0"/>
          <w:numId w:val="2"/>
        </w:numPr>
        <w:spacing w:after="80" w:line="280"/>
      </w:pPr>
      <w:r>
        <w:rPr>
          <w:sz w:val="22"/>
          <w:szCs w:val="22"/>
        </w:rPr>
        <w:t xml:space="preserve">Exposes weak or redundant test cases that achieve high code coverage but fail to actually verify correct behaviour.</w:t>
      </w:r>
    </w:p>
    <w:p>
      <w:pPr>
        <w:pStyle w:val="ListParagraph"/>
        <w:numPr>
          <w:ilvl w:val="0"/>
          <w:numId w:val="2"/>
        </w:numPr>
        <w:spacing w:after="80" w:line="280"/>
      </w:pPr>
      <w:r>
        <w:rPr>
          <w:sz w:val="22"/>
          <w:szCs w:val="22"/>
        </w:rPr>
        <w:t xml:space="preserve">Forces developers to write more precise assertions rather than superficial checks, directly improving defect-detection capability.</w:t>
      </w:r>
    </w:p>
    <w:p>
      <w:pPr>
        <w:pStyle w:val="ListParagraph"/>
        <w:numPr>
          <w:ilvl w:val="0"/>
          <w:numId w:val="2"/>
        </w:numPr>
        <w:spacing w:after="80" w:line="280"/>
      </w:pPr>
      <w:r>
        <w:rPr>
          <w:sz w:val="22"/>
          <w:szCs w:val="22"/>
        </w:rPr>
        <w:t xml:space="preserve">Simulates the effect of subtle real-world coding errors (off-by-one errors, wrong comparison operators) that often slip past manual review.</w:t>
      </w:r>
    </w:p>
    <w:p>
      <w:pPr>
        <w:pStyle w:val="ListParagraph"/>
        <w:numPr>
          <w:ilvl w:val="0"/>
          <w:numId w:val="2"/>
        </w:numPr>
        <w:spacing w:after="80" w:line="280"/>
      </w:pPr>
      <w:r>
        <w:rPr>
          <w:sz w:val="22"/>
          <w:szCs w:val="22"/>
        </w:rPr>
        <w:t xml:space="preserve">Strengthens security-critical logic such as authentication and authorization checks, where a single flipped operator (== vs !=) can create a serious vulnerability.</w:t>
      </w:r>
    </w:p>
    <w:p>
      <w:pPr>
        <w:pStyle w:val="ListParagraph"/>
        <w:numPr>
          <w:ilvl w:val="0"/>
          <w:numId w:val="2"/>
        </w:numPr>
        <w:spacing w:after="80" w:line="280"/>
      </w:pPr>
      <w:r>
        <w:rPr>
          <w:sz w:val="22"/>
          <w:szCs w:val="22"/>
        </w:rPr>
        <w:t xml:space="preserve">Provides measurable, objective confidence in test suite quality, which is far more reliable than raw statement or branch coverage percentages.</w:t>
      </w:r>
    </w:p>
    <w:p>
      <w:pPr>
        <w:spacing w:after="100"/>
      </w:pPr>
    </w:p>
    <w:p>
      <w:pPr>
        <w:pStyle w:val="Heading2"/>
        <w:spacing w:after="100" w:before="220"/>
      </w:pPr>
      <w:r>
        <w:rPr>
          <w:b/>
          <w:bCs/>
          <w:color w:val="2E5C8A"/>
          <w:sz w:val="23"/>
          <w:szCs w:val="23"/>
        </w:rPr>
        <w:t xml:space="preserve">1.2 Fuzz Testing</w:t>
      </w:r>
    </w:p>
    <w:p>
      <w:pPr>
        <w:spacing w:after="120" w:line="300"/>
        <w:jc w:val="both"/>
      </w:pPr>
      <w:r>
        <w:rPr>
          <w:sz w:val="22"/>
          <w:szCs w:val="22"/>
        </w:rPr>
        <w:t xml:space="preserve">Fuzz testing (or fuzzing) is a dynamic, black-box testing technique that feeds a program with large volumes of random, malformed, unexpected, or boundary-value inputs in order to uncover crashes, memory leaks, unhandled exceptions, and security vulnerabilities. Unlike mutation testing, which mutates the source code, fuzz testing mutates or generates the input data supplied to the running application.</w:t>
      </w:r>
    </w:p>
    <w:p>
      <w:pPr>
        <w:pStyle w:val="Heading2"/>
        <w:spacing w:after="100" w:before="220"/>
      </w:pPr>
      <w:r>
        <w:rPr>
          <w:b/>
          <w:bCs/>
          <w:color w:val="2E5C8A"/>
          <w:sz w:val="23"/>
          <w:szCs w:val="23"/>
        </w:rPr>
        <w:t xml:space="preserve">Types of Fuzzers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pPr>
              <w:jc w:val="center"/>
            </w:pPr>
            <w:r>
              <w:rPr>
                <w:b/>
                <w:bCs/>
                <w:color w:val="FFFFFF"/>
                <w:sz w:val="20"/>
                <w:szCs w:val="20"/>
              </w:rPr>
              <w:t xml:space="preserve">Type</w:t>
            </w:r>
          </w:p>
        </w:tc>
        <w:tc>
          <w:tcPr>
            <w:tcW w:type="dxa" w:w="6300"/>
            <w:shd w:fill="1F3864"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3000"/>
            <w:shd w:fill="FFFFFF" w:val="clear"/>
            <w:tcMar>
              <w:top w:type="dxa" w:w="80"/>
              <w:left w:type="dxa" w:w="100"/>
              <w:bottom w:type="dxa" w:w="80"/>
              <w:right w:type="dxa" w:w="100"/>
            </w:tcMar>
          </w:tcPr>
          <w:p>
            <w:r>
              <w:rPr>
                <w:sz w:val="20"/>
                <w:szCs w:val="20"/>
              </w:rPr>
              <w:t xml:space="preserve">Mutation-based fuzzer</w:t>
            </w:r>
          </w:p>
        </w:tc>
        <w:tc>
          <w:tcPr>
            <w:tcW w:type="dxa" w:w="6300"/>
            <w:shd w:fill="FFFFFF" w:val="clear"/>
            <w:tcMar>
              <w:top w:type="dxa" w:w="80"/>
              <w:left w:type="dxa" w:w="100"/>
              <w:bottom w:type="dxa" w:w="80"/>
              <w:right w:type="dxa" w:w="100"/>
            </w:tcMar>
          </w:tcPr>
          <w:p>
            <w:r>
              <w:rPr>
                <w:sz w:val="20"/>
                <w:szCs w:val="20"/>
              </w:rPr>
              <w:t xml:space="preserve">Takes valid seed inputs and randomly mutates bytes/fields to create new test inputs.</w:t>
            </w:r>
          </w:p>
        </w:tc>
      </w:tr>
      <w:tr>
        <w:tc>
          <w:tcPr>
            <w:tcW w:type="dxa" w:w="3000"/>
            <w:shd w:fill="F2F6FA" w:val="clear"/>
            <w:tcMar>
              <w:top w:type="dxa" w:w="80"/>
              <w:left w:type="dxa" w:w="100"/>
              <w:bottom w:type="dxa" w:w="80"/>
              <w:right w:type="dxa" w:w="100"/>
            </w:tcMar>
          </w:tcPr>
          <w:p>
            <w:r>
              <w:rPr>
                <w:sz w:val="20"/>
                <w:szCs w:val="20"/>
              </w:rPr>
              <w:t xml:space="preserve">Generation-based fuzzer</w:t>
            </w:r>
          </w:p>
        </w:tc>
        <w:tc>
          <w:tcPr>
            <w:tcW w:type="dxa" w:w="6300"/>
            <w:shd w:fill="F2F6FA" w:val="clear"/>
            <w:tcMar>
              <w:top w:type="dxa" w:w="80"/>
              <w:left w:type="dxa" w:w="100"/>
              <w:bottom w:type="dxa" w:w="80"/>
              <w:right w:type="dxa" w:w="100"/>
            </w:tcMar>
          </w:tcPr>
          <w:p>
            <w:r>
              <w:rPr>
                <w:sz w:val="20"/>
                <w:szCs w:val="20"/>
              </w:rPr>
              <w:t xml:space="preserve">Builds inputs from scratch using a defined grammar or protocol specification.</w:t>
            </w:r>
          </w:p>
        </w:tc>
      </w:tr>
      <w:tr>
        <w:tc>
          <w:tcPr>
            <w:tcW w:type="dxa" w:w="3000"/>
            <w:shd w:fill="FFFFFF" w:val="clear"/>
            <w:tcMar>
              <w:top w:type="dxa" w:w="80"/>
              <w:left w:type="dxa" w:w="100"/>
              <w:bottom w:type="dxa" w:w="80"/>
              <w:right w:type="dxa" w:w="100"/>
            </w:tcMar>
          </w:tcPr>
          <w:p>
            <w:r>
              <w:rPr>
                <w:sz w:val="20"/>
                <w:szCs w:val="20"/>
              </w:rPr>
              <w:t xml:space="preserve">Coverage-guided fuzzer</w:t>
            </w:r>
          </w:p>
        </w:tc>
        <w:tc>
          <w:tcPr>
            <w:tcW w:type="dxa" w:w="6300"/>
            <w:shd w:fill="FFFFFF" w:val="clear"/>
            <w:tcMar>
              <w:top w:type="dxa" w:w="80"/>
              <w:left w:type="dxa" w:w="100"/>
              <w:bottom w:type="dxa" w:w="80"/>
              <w:right w:type="dxa" w:w="100"/>
            </w:tcMar>
          </w:tcPr>
          <w:p>
            <w:r>
              <w:rPr>
                <w:sz w:val="20"/>
                <w:szCs w:val="20"/>
              </w:rPr>
              <w:t xml:space="preserve">Uses code-coverage feedback (e.g. AFL, libFuzzer) to intelligently steer input generation toward unexplored code paths.</w:t>
            </w:r>
          </w:p>
        </w:tc>
      </w:tr>
      <w:tr>
        <w:tc>
          <w:tcPr>
            <w:tcW w:type="dxa" w:w="3000"/>
            <w:shd w:fill="F2F6FA" w:val="clear"/>
            <w:tcMar>
              <w:top w:type="dxa" w:w="80"/>
              <w:left w:type="dxa" w:w="100"/>
              <w:bottom w:type="dxa" w:w="80"/>
              <w:right w:type="dxa" w:w="100"/>
            </w:tcMar>
          </w:tcPr>
          <w:p>
            <w:r>
              <w:rPr>
                <w:sz w:val="20"/>
                <w:szCs w:val="20"/>
              </w:rPr>
              <w:t xml:space="preserve">Protocol/API fuzzer</w:t>
            </w:r>
          </w:p>
        </w:tc>
        <w:tc>
          <w:tcPr>
            <w:tcW w:type="dxa" w:w="6300"/>
            <w:shd w:fill="F2F6FA" w:val="clear"/>
            <w:tcMar>
              <w:top w:type="dxa" w:w="80"/>
              <w:left w:type="dxa" w:w="100"/>
              <w:bottom w:type="dxa" w:w="80"/>
              <w:right w:type="dxa" w:w="100"/>
            </w:tcMar>
          </w:tcPr>
          <w:p>
            <w:r>
              <w:rPr>
                <w:sz w:val="20"/>
                <w:szCs w:val="20"/>
              </w:rPr>
              <w:t xml:space="preserve">Targets network protocols or REST/GraphQL APIs with malformed requests to find parsing and validation flaws.</w:t>
            </w:r>
          </w:p>
        </w:tc>
      </w:tr>
    </w:tbl>
    <w:p>
      <w:pPr>
        <w:spacing w:after="150"/>
      </w:pPr>
    </w:p>
    <w:p>
      <w:pPr>
        <w:pStyle w:val="Heading2"/>
        <w:spacing w:after="100" w:before="220"/>
      </w:pPr>
      <w:r>
        <w:rPr>
          <w:b/>
          <w:bCs/>
          <w:color w:val="2E5C8A"/>
          <w:sz w:val="23"/>
          <w:szCs w:val="23"/>
        </w:rPr>
        <w:t xml:space="preserve">How Fuzz Testing Enhances Reliability and Security</w:t>
      </w:r>
    </w:p>
    <w:p>
      <w:pPr>
        <w:pStyle w:val="ListParagraph"/>
        <w:numPr>
          <w:ilvl w:val="0"/>
          <w:numId w:val="2"/>
        </w:numPr>
        <w:spacing w:after="80" w:line="280"/>
      </w:pPr>
      <w:r>
        <w:rPr>
          <w:sz w:val="22"/>
          <w:szCs w:val="22"/>
        </w:rPr>
        <w:t xml:space="preserve">Uncovers crash-inducing inputs such as buffer overflows, null-pointer dereferences, and integer overflows before attackers can exploit them.</w:t>
      </w:r>
    </w:p>
    <w:p>
      <w:pPr>
        <w:pStyle w:val="ListParagraph"/>
        <w:numPr>
          <w:ilvl w:val="0"/>
          <w:numId w:val="2"/>
        </w:numPr>
        <w:spacing w:after="80" w:line="280"/>
      </w:pPr>
      <w:r>
        <w:rPr>
          <w:sz w:val="22"/>
          <w:szCs w:val="22"/>
        </w:rPr>
        <w:t xml:space="preserve">Reveals unvalidated or improperly sanitized input handling, which is the root cause of injection attacks such as SQL injection and XSS.</w:t>
      </w:r>
    </w:p>
    <w:p>
      <w:pPr>
        <w:pStyle w:val="ListParagraph"/>
        <w:numPr>
          <w:ilvl w:val="0"/>
          <w:numId w:val="2"/>
        </w:numPr>
        <w:spacing w:after="80" w:line="280"/>
      </w:pPr>
      <w:r>
        <w:rPr>
          <w:sz w:val="22"/>
          <w:szCs w:val="22"/>
        </w:rPr>
        <w:t xml:space="preserve">Runs continuously and autonomously, achieving far broader input-space coverage than manually written test cases ever could.</w:t>
      </w:r>
    </w:p>
    <w:p>
      <w:pPr>
        <w:pStyle w:val="ListParagraph"/>
        <w:numPr>
          <w:ilvl w:val="0"/>
          <w:numId w:val="2"/>
        </w:numPr>
        <w:spacing w:after="80" w:line="280"/>
      </w:pPr>
      <w:r>
        <w:rPr>
          <w:sz w:val="22"/>
          <w:szCs w:val="22"/>
        </w:rPr>
        <w:t xml:space="preserve">Coverage-guided fuzzers (e.g. AFL++, libFuzzer, OSS-Fuzz) systematically explore rarely executed branches, exposing hidden edge-case bugs.</w:t>
      </w:r>
    </w:p>
    <w:p>
      <w:pPr>
        <w:pStyle w:val="ListParagraph"/>
        <w:numPr>
          <w:ilvl w:val="0"/>
          <w:numId w:val="2"/>
        </w:numPr>
        <w:spacing w:after="80" w:line="280"/>
      </w:pPr>
      <w:r>
        <w:rPr>
          <w:sz w:val="22"/>
          <w:szCs w:val="22"/>
        </w:rPr>
        <w:t xml:space="preserve">Widely adopted in DevSecOps pipelines to shift security testing left, catching vulnerabilities early in development rather than in production.</w:t>
      </w:r>
    </w:p>
    <w:p>
      <w:pPr>
        <w:pStyle w:val="Heading2"/>
        <w:spacing w:after="100" w:before="220"/>
      </w:pPr>
      <w:r>
        <w:rPr>
          <w:b/>
          <w:bCs/>
          <w:color w:val="2E5C8A"/>
          <w:sz w:val="23"/>
          <w:szCs w:val="23"/>
        </w:rPr>
        <w:t xml:space="preserve">Comparative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Aspect</w:t>
            </w:r>
          </w:p>
        </w:tc>
        <w:tc>
          <w:tcPr>
            <w:tcW w:type="dxa" w:w="3450"/>
            <w:shd w:fill="1F3864" w:val="clear"/>
            <w:tcMar>
              <w:top w:type="dxa" w:w="80"/>
              <w:left w:type="dxa" w:w="100"/>
              <w:bottom w:type="dxa" w:w="80"/>
              <w:right w:type="dxa" w:w="100"/>
            </w:tcMar>
            <w:vAlign w:val="center"/>
          </w:tcPr>
          <w:p>
            <w:pPr>
              <w:jc w:val="center"/>
            </w:pPr>
            <w:r>
              <w:rPr>
                <w:b/>
                <w:bCs/>
                <w:color w:val="FFFFFF"/>
                <w:sz w:val="20"/>
                <w:szCs w:val="20"/>
              </w:rPr>
              <w:t xml:space="preserve">Mutation Testing</w:t>
            </w:r>
          </w:p>
        </w:tc>
        <w:tc>
          <w:tcPr>
            <w:tcW w:type="dxa" w:w="3450"/>
            <w:shd w:fill="1F3864" w:val="clear"/>
            <w:tcMar>
              <w:top w:type="dxa" w:w="80"/>
              <w:left w:type="dxa" w:w="100"/>
              <w:bottom w:type="dxa" w:w="80"/>
              <w:right w:type="dxa" w:w="100"/>
            </w:tcMar>
            <w:vAlign w:val="center"/>
          </w:tcPr>
          <w:p>
            <w:pPr>
              <w:jc w:val="center"/>
            </w:pPr>
            <w:r>
              <w:rPr>
                <w:b/>
                <w:bCs/>
                <w:color w:val="FFFFFF"/>
                <w:sz w:val="20"/>
                <w:szCs w:val="20"/>
              </w:rPr>
              <w:t xml:space="preserve">Fuzz Testing</w:t>
            </w:r>
          </w:p>
        </w:tc>
      </w:tr>
      <w:tr>
        <w:tc>
          <w:tcPr>
            <w:tcW w:type="dxa" w:w="2400"/>
            <w:shd w:fill="FFFFFF" w:val="clear"/>
            <w:tcMar>
              <w:top w:type="dxa" w:w="80"/>
              <w:left w:type="dxa" w:w="100"/>
              <w:bottom w:type="dxa" w:w="80"/>
              <w:right w:type="dxa" w:w="100"/>
            </w:tcMar>
          </w:tcPr>
          <w:p>
            <w:r>
              <w:rPr>
                <w:sz w:val="20"/>
                <w:szCs w:val="20"/>
              </w:rPr>
              <w:t xml:space="preserve">Target</w:t>
            </w:r>
          </w:p>
        </w:tc>
        <w:tc>
          <w:tcPr>
            <w:tcW w:type="dxa" w:w="3450"/>
            <w:shd w:fill="FFFFFF" w:val="clear"/>
            <w:tcMar>
              <w:top w:type="dxa" w:w="80"/>
              <w:left w:type="dxa" w:w="100"/>
              <w:bottom w:type="dxa" w:w="80"/>
              <w:right w:type="dxa" w:w="100"/>
            </w:tcMar>
          </w:tcPr>
          <w:p>
            <w:r>
              <w:rPr>
                <w:sz w:val="20"/>
                <w:szCs w:val="20"/>
              </w:rPr>
              <w:t xml:space="preserve">Quality of the test suite</w:t>
            </w:r>
          </w:p>
        </w:tc>
        <w:tc>
          <w:tcPr>
            <w:tcW w:type="dxa" w:w="3450"/>
            <w:shd w:fill="FFFFFF" w:val="clear"/>
            <w:tcMar>
              <w:top w:type="dxa" w:w="80"/>
              <w:left w:type="dxa" w:w="100"/>
              <w:bottom w:type="dxa" w:w="80"/>
              <w:right w:type="dxa" w:w="100"/>
            </w:tcMar>
          </w:tcPr>
          <w:p>
            <w:r>
              <w:rPr>
                <w:sz w:val="20"/>
                <w:szCs w:val="20"/>
              </w:rPr>
              <w:t xml:space="preserve">Robustness of the running application</w:t>
            </w:r>
          </w:p>
        </w:tc>
      </w:tr>
      <w:tr>
        <w:tc>
          <w:tcPr>
            <w:tcW w:type="dxa" w:w="2400"/>
            <w:shd w:fill="F2F6FA" w:val="clear"/>
            <w:tcMar>
              <w:top w:type="dxa" w:w="80"/>
              <w:left w:type="dxa" w:w="100"/>
              <w:bottom w:type="dxa" w:w="80"/>
              <w:right w:type="dxa" w:w="100"/>
            </w:tcMar>
          </w:tcPr>
          <w:p>
            <w:r>
              <w:rPr>
                <w:sz w:val="20"/>
                <w:szCs w:val="20"/>
              </w:rPr>
              <w:t xml:space="preserve">Approach</w:t>
            </w:r>
          </w:p>
        </w:tc>
        <w:tc>
          <w:tcPr>
            <w:tcW w:type="dxa" w:w="3450"/>
            <w:shd w:fill="F2F6FA" w:val="clear"/>
            <w:tcMar>
              <w:top w:type="dxa" w:w="80"/>
              <w:left w:type="dxa" w:w="100"/>
              <w:bottom w:type="dxa" w:w="80"/>
              <w:right w:type="dxa" w:w="100"/>
            </w:tcMar>
          </w:tcPr>
          <w:p>
            <w:r>
              <w:rPr>
                <w:sz w:val="20"/>
                <w:szCs w:val="20"/>
              </w:rPr>
              <w:t xml:space="preserve">Modifies source code (white-box)</w:t>
            </w:r>
          </w:p>
        </w:tc>
        <w:tc>
          <w:tcPr>
            <w:tcW w:type="dxa" w:w="3450"/>
            <w:shd w:fill="F2F6FA" w:val="clear"/>
            <w:tcMar>
              <w:top w:type="dxa" w:w="80"/>
              <w:left w:type="dxa" w:w="100"/>
              <w:bottom w:type="dxa" w:w="80"/>
              <w:right w:type="dxa" w:w="100"/>
            </w:tcMar>
          </w:tcPr>
          <w:p>
            <w:r>
              <w:rPr>
                <w:sz w:val="20"/>
                <w:szCs w:val="20"/>
              </w:rPr>
              <w:t xml:space="preserve">Modifies/generates input data (black-box)</w:t>
            </w:r>
          </w:p>
        </w:tc>
      </w:tr>
      <w:tr>
        <w:tc>
          <w:tcPr>
            <w:tcW w:type="dxa" w:w="2400"/>
            <w:shd w:fill="FFFFFF" w:val="clear"/>
            <w:tcMar>
              <w:top w:type="dxa" w:w="80"/>
              <w:left w:type="dxa" w:w="100"/>
              <w:bottom w:type="dxa" w:w="80"/>
              <w:right w:type="dxa" w:w="100"/>
            </w:tcMar>
          </w:tcPr>
          <w:p>
            <w:r>
              <w:rPr>
                <w:sz w:val="20"/>
                <w:szCs w:val="20"/>
              </w:rPr>
              <w:t xml:space="preserve">Primary Goal</w:t>
            </w:r>
          </w:p>
        </w:tc>
        <w:tc>
          <w:tcPr>
            <w:tcW w:type="dxa" w:w="3450"/>
            <w:shd w:fill="FFFFFF" w:val="clear"/>
            <w:tcMar>
              <w:top w:type="dxa" w:w="80"/>
              <w:left w:type="dxa" w:w="100"/>
              <w:bottom w:type="dxa" w:w="80"/>
              <w:right w:type="dxa" w:w="100"/>
            </w:tcMar>
          </w:tcPr>
          <w:p>
            <w:r>
              <w:rPr>
                <w:sz w:val="20"/>
                <w:szCs w:val="20"/>
              </w:rPr>
              <w:t xml:space="preserve">Detect weak/insufficient test cases</w:t>
            </w:r>
          </w:p>
        </w:tc>
        <w:tc>
          <w:tcPr>
            <w:tcW w:type="dxa" w:w="3450"/>
            <w:shd w:fill="FFFFFF" w:val="clear"/>
            <w:tcMar>
              <w:top w:type="dxa" w:w="80"/>
              <w:left w:type="dxa" w:w="100"/>
              <w:bottom w:type="dxa" w:w="80"/>
              <w:right w:type="dxa" w:w="100"/>
            </w:tcMar>
          </w:tcPr>
          <w:p>
            <w:r>
              <w:rPr>
                <w:sz w:val="20"/>
                <w:szCs w:val="20"/>
              </w:rPr>
              <w:t xml:space="preserve">Detect crashes and security vulnerabilities</w:t>
            </w:r>
          </w:p>
        </w:tc>
      </w:tr>
      <w:tr>
        <w:tc>
          <w:tcPr>
            <w:tcW w:type="dxa" w:w="2400"/>
            <w:shd w:fill="F2F6FA" w:val="clear"/>
            <w:tcMar>
              <w:top w:type="dxa" w:w="80"/>
              <w:left w:type="dxa" w:w="100"/>
              <w:bottom w:type="dxa" w:w="80"/>
              <w:right w:type="dxa" w:w="100"/>
            </w:tcMar>
          </w:tcPr>
          <w:p>
            <w:r>
              <w:rPr>
                <w:sz w:val="20"/>
                <w:szCs w:val="20"/>
              </w:rPr>
              <w:t xml:space="preserve">Typical Output</w:t>
            </w:r>
          </w:p>
        </w:tc>
        <w:tc>
          <w:tcPr>
            <w:tcW w:type="dxa" w:w="3450"/>
            <w:shd w:fill="F2F6FA" w:val="clear"/>
            <w:tcMar>
              <w:top w:type="dxa" w:w="80"/>
              <w:left w:type="dxa" w:w="100"/>
              <w:bottom w:type="dxa" w:w="80"/>
              <w:right w:type="dxa" w:w="100"/>
            </w:tcMar>
          </w:tcPr>
          <w:p>
            <w:r>
              <w:rPr>
                <w:sz w:val="20"/>
                <w:szCs w:val="20"/>
              </w:rPr>
              <w:t xml:space="preserve">Mutation score (%)</w:t>
            </w:r>
          </w:p>
        </w:tc>
        <w:tc>
          <w:tcPr>
            <w:tcW w:type="dxa" w:w="3450"/>
            <w:shd w:fill="F2F6FA" w:val="clear"/>
            <w:tcMar>
              <w:top w:type="dxa" w:w="80"/>
              <w:left w:type="dxa" w:w="100"/>
              <w:bottom w:type="dxa" w:w="80"/>
              <w:right w:type="dxa" w:w="100"/>
            </w:tcMar>
          </w:tcPr>
          <w:p>
            <w:r>
              <w:rPr>
                <w:sz w:val="20"/>
                <w:szCs w:val="20"/>
              </w:rPr>
              <w:t xml:space="preserve">Crash reports, stack traces, vulnerability logs</w:t>
            </w:r>
          </w:p>
        </w:tc>
      </w:tr>
      <w:tr>
        <w:tc>
          <w:tcPr>
            <w:tcW w:type="dxa" w:w="2400"/>
            <w:shd w:fill="FFFFFF" w:val="clear"/>
            <w:tcMar>
              <w:top w:type="dxa" w:w="80"/>
              <w:left w:type="dxa" w:w="100"/>
              <w:bottom w:type="dxa" w:w="80"/>
              <w:right w:type="dxa" w:w="100"/>
            </w:tcMar>
          </w:tcPr>
          <w:p>
            <w:r>
              <w:rPr>
                <w:sz w:val="20"/>
                <w:szCs w:val="20"/>
              </w:rPr>
              <w:t xml:space="preserve">Example Tools</w:t>
            </w:r>
          </w:p>
        </w:tc>
        <w:tc>
          <w:tcPr>
            <w:tcW w:type="dxa" w:w="3450"/>
            <w:shd w:fill="FFFFFF" w:val="clear"/>
            <w:tcMar>
              <w:top w:type="dxa" w:w="80"/>
              <w:left w:type="dxa" w:w="100"/>
              <w:bottom w:type="dxa" w:w="80"/>
              <w:right w:type="dxa" w:w="100"/>
            </w:tcMar>
          </w:tcPr>
          <w:p>
            <w:r>
              <w:rPr>
                <w:sz w:val="20"/>
                <w:szCs w:val="20"/>
              </w:rPr>
              <w:t xml:space="preserve">PIT (Java), Stryker (JS/.NET), MutPy (Python)</w:t>
            </w:r>
          </w:p>
        </w:tc>
        <w:tc>
          <w:tcPr>
            <w:tcW w:type="dxa" w:w="3450"/>
            <w:shd w:fill="FFFFFF" w:val="clear"/>
            <w:tcMar>
              <w:top w:type="dxa" w:w="80"/>
              <w:left w:type="dxa" w:w="100"/>
              <w:bottom w:type="dxa" w:w="80"/>
              <w:right w:type="dxa" w:w="100"/>
            </w:tcMar>
          </w:tcPr>
          <w:p>
            <w:r>
              <w:rPr>
                <w:sz w:val="20"/>
                <w:szCs w:val="20"/>
              </w:rPr>
              <w:t xml:space="preserve">AFL++, libFuzzer, OWASP ZAP, Peach Fuzzer</w:t>
            </w:r>
          </w:p>
        </w:tc>
      </w:tr>
    </w:tbl>
    <w:p>
      <w:pPr>
        <w:spacing w:after="100"/>
      </w:pPr>
    </w:p>
    <w:p>
      <w:pPr>
        <w:spacing w:after="120" w:line="300"/>
        <w:jc w:val="both"/>
      </w:pPr>
      <w:r>
        <w:rPr>
          <w:sz w:val="22"/>
          <w:szCs w:val="22"/>
        </w:rPr>
        <w:t xml:space="preserve">Together, mutation testing and fuzz testing complement each other along the software quality pipeline: mutation testing ensures that the test suite itself is trustworthy, while fuzz testing ensures that the deployed application can withstand unexpected and malicious inputs. Used together, they significantly raise both the functional reliability and the security posture of software systems.</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500"/>
        <w:gridCol w:w="1500"/>
      </w:tblGrid>
      <w:tr>
        <w:tc>
          <w:tcPr>
            <w:tcW w:type="dxa" w:w="8500"/>
            <w:shd w:fill="1F3864" w:val="clear"/>
            <w:tcMar>
              <w:top w:type="dxa" w:w="100"/>
              <w:left w:type="dxa" w:w="150"/>
              <w:bottom w:type="dxa" w:w="100"/>
              <w:right w:type="dxa" w:w="150"/>
            </w:tcMar>
            <w:vAlign w:val="center"/>
          </w:tcPr>
          <w:p>
            <w:r>
              <w:rPr>
                <w:b/>
                <w:bCs/>
                <w:color w:val="FFFFFF"/>
                <w:sz w:val="22"/>
                <w:szCs w:val="22"/>
              </w:rPr>
              <w:t xml:space="preserve">Question 2: CI/CD Pipeline Stages and Docker-based Continuous Delivery</w:t>
            </w:r>
          </w:p>
        </w:tc>
        <w:tc>
          <w:tcPr>
            <w:tcW w:type="dxa" w:w="1500"/>
            <w:shd w:fill="2E5C8A" w:val="clear"/>
            <w:tcMar>
              <w:top w:type="dxa" w:w="100"/>
              <w:left w:type="dxa" w:w="100"/>
              <w:bottom w:type="dxa" w:w="100"/>
              <w:right w:type="dxa" w:w="100"/>
            </w:tcMar>
            <w:vAlign w:val="center"/>
          </w:tcPr>
          <w:p>
            <w:pPr>
              <w:jc w:val="center"/>
            </w:pPr>
            <w:r>
              <w:rPr>
                <w:b/>
                <w:bCs/>
                <w:color w:val="FFFFFF"/>
                <w:sz w:val="18"/>
                <w:szCs w:val="18"/>
              </w:rPr>
              <w:t xml:space="preserve">7 M | CO4</w:t>
            </w:r>
          </w:p>
        </w:tc>
      </w:tr>
    </w:tbl>
    <w:p>
      <w:pPr>
        <w:spacing w:after="150"/>
      </w:pPr>
    </w:p>
    <w:p>
      <w:pPr>
        <w:pStyle w:val="Heading2"/>
        <w:spacing w:after="100" w:before="220"/>
      </w:pPr>
      <w:r>
        <w:rPr>
          <w:b/>
          <w:bCs/>
          <w:color w:val="2E5C8A"/>
          <w:sz w:val="23"/>
          <w:szCs w:val="23"/>
        </w:rPr>
        <w:t xml:space="preserve">2.1 Key Stages of a CI/CD Pipeline</w:t>
      </w:r>
    </w:p>
    <w:p>
      <w:pPr>
        <w:spacing w:after="120" w:line="300"/>
        <w:jc w:val="both"/>
      </w:pPr>
      <w:r>
        <w:rPr>
          <w:sz w:val="22"/>
          <w:szCs w:val="22"/>
        </w:rPr>
        <w:t xml:space="preserve">A CI/CD (Continuous Integration / Continuous Delivery) pipeline automates the journey of source code from a developer's commit to a running production deployment. Tools such as Jenkins and GitHub Actions orchestrate this journey as a sequence of well-defined stages, each of which must succeed before the next begins.</w:t>
      </w:r>
    </w:p>
    <w:p>
      <w:pPr>
        <w:pStyle w:val="Heading2"/>
        <w:spacing w:after="100" w:before="220"/>
      </w:pPr>
      <w:r>
        <w:rPr>
          <w:b/>
          <w:bCs/>
          <w:color w:val="2E5C8A"/>
          <w:sz w:val="23"/>
          <w:szCs w:val="23"/>
        </w:rPr>
        <w:t xml:space="preserve">Stage 1: Source / Trigger</w:t>
      </w:r>
    </w:p>
    <w:p>
      <w:pPr>
        <w:spacing w:after="120" w:line="300"/>
        <w:jc w:val="both"/>
      </w:pPr>
      <w:r>
        <w:rPr>
          <w:sz w:val="22"/>
          <w:szCs w:val="22"/>
        </w:rPr>
        <w:t xml:space="preserve">The pipeline is triggered automatically whenever a developer pushes code to a version control repository (e.g. Git) or raises a pull request. Jenkins uses webhooks or polling (SCM polling) to detect changes; GitHub Actions triggers natively on events defined under the 'on:' key such as push, pull_request, or a scheduled cron.</w:t>
      </w:r>
    </w:p>
    <w:p>
      <w:pPr>
        <w:pStyle w:val="Heading2"/>
        <w:spacing w:after="100" w:before="220"/>
      </w:pPr>
      <w:r>
        <w:rPr>
          <w:b/>
          <w:bCs/>
          <w:color w:val="2E5C8A"/>
          <w:sz w:val="23"/>
          <w:szCs w:val="23"/>
        </w:rPr>
        <w:t xml:space="preserve">Stage 2: Build</w:t>
      </w:r>
    </w:p>
    <w:p>
      <w:pPr>
        <w:spacing w:after="120" w:line="300"/>
        <w:jc w:val="both"/>
      </w:pPr>
      <w:r>
        <w:rPr>
          <w:sz w:val="22"/>
          <w:szCs w:val="22"/>
        </w:rPr>
        <w:t xml:space="preserve">The source code is compiled and dependencies are resolved (e.g. Maven/Gradle for Java, npm install for Node.js). This stage validates that the codebase compiles cleanly before any further processing occurs.</w:t>
      </w:r>
    </w:p>
    <w:p>
      <w:pPr>
        <w:pStyle w:val="Heading2"/>
        <w:spacing w:after="100" w:before="220"/>
      </w:pPr>
      <w:r>
        <w:rPr>
          <w:b/>
          <w:bCs/>
          <w:color w:val="2E5C8A"/>
          <w:sz w:val="23"/>
          <w:szCs w:val="23"/>
        </w:rPr>
        <w:t xml:space="preserve">Stage 3: Static Code Analysis &amp; Unit Testing</w:t>
      </w:r>
    </w:p>
    <w:p>
      <w:pPr>
        <w:pStyle w:val="ListParagraph"/>
        <w:numPr>
          <w:ilvl w:val="0"/>
          <w:numId w:val="2"/>
        </w:numPr>
        <w:spacing w:after="80" w:line="280"/>
      </w:pPr>
      <w:r>
        <w:rPr>
          <w:sz w:val="22"/>
          <w:szCs w:val="22"/>
        </w:rPr>
        <w:t xml:space="preserve">Static analysis tools (SonarQube, ESLint, Checkstyle) scan for code smells, style violations, and potential bugs.</w:t>
      </w:r>
    </w:p>
    <w:p>
      <w:pPr>
        <w:pStyle w:val="ListParagraph"/>
        <w:numPr>
          <w:ilvl w:val="0"/>
          <w:numId w:val="2"/>
        </w:numPr>
        <w:spacing w:after="80" w:line="280"/>
      </w:pPr>
      <w:r>
        <w:rPr>
          <w:sz w:val="22"/>
          <w:szCs w:val="22"/>
        </w:rPr>
        <w:t xml:space="preserve">Unit tests are executed automatically; the build fails fast if any test fails, preventing defective code from progressing further.</w:t>
      </w:r>
    </w:p>
    <w:p>
      <w:pPr>
        <w:pStyle w:val="ListParagraph"/>
        <w:numPr>
          <w:ilvl w:val="0"/>
          <w:numId w:val="2"/>
        </w:numPr>
        <w:spacing w:after="80" w:line="280"/>
      </w:pPr>
      <w:r>
        <w:rPr>
          <w:sz w:val="22"/>
          <w:szCs w:val="22"/>
        </w:rPr>
        <w:t xml:space="preserve">Code coverage reports are generated and can be used as a quality gate.</w:t>
      </w:r>
    </w:p>
    <w:p>
      <w:pPr>
        <w:pStyle w:val="Heading2"/>
        <w:spacing w:after="100" w:before="220"/>
      </w:pPr>
      <w:r>
        <w:rPr>
          <w:b/>
          <w:bCs/>
          <w:color w:val="2E5C8A"/>
          <w:sz w:val="23"/>
          <w:szCs w:val="23"/>
        </w:rPr>
        <w:t xml:space="preserve">Stage 4: Package / Containerize</w:t>
      </w:r>
    </w:p>
    <w:p>
      <w:pPr>
        <w:spacing w:after="120" w:line="300"/>
        <w:jc w:val="both"/>
      </w:pPr>
      <w:r>
        <w:rPr>
          <w:sz w:val="22"/>
          <w:szCs w:val="22"/>
        </w:rPr>
        <w:t xml:space="preserve">The application artifact is packaged — typically as a JAR/WAR, a compiled binary, or, in modern pipelines, as a Docker image built from a Dockerfile. The image is tagged (often with the Git commit SHA or build number) and pushed to a container registry such as Docker Hub, Amazon ECR, or GitHub Container Registry.</w:t>
      </w:r>
    </w:p>
    <w:p>
      <w:pPr>
        <w:pStyle w:val="Heading2"/>
        <w:spacing w:after="100" w:before="220"/>
      </w:pPr>
      <w:r>
        <w:rPr>
          <w:b/>
          <w:bCs/>
          <w:color w:val="2E5C8A"/>
          <w:sz w:val="23"/>
          <w:szCs w:val="23"/>
        </w:rPr>
        <w:t xml:space="preserve">Stage 5: Integration &amp; Automated Testing</w:t>
      </w:r>
    </w:p>
    <w:p>
      <w:pPr>
        <w:spacing w:after="120" w:line="300"/>
        <w:jc w:val="both"/>
      </w:pPr>
      <w:r>
        <w:rPr>
          <w:sz w:val="22"/>
          <w:szCs w:val="22"/>
        </w:rPr>
        <w:t xml:space="preserve">The packaged artifact/container is deployed to a temporary staging or test environment where integration tests, API tests, and sometimes end-to-end UI tests (Selenium, Cypress) are run against it to validate that all components work together correctly.</w:t>
      </w:r>
    </w:p>
    <w:p>
      <w:pPr>
        <w:pStyle w:val="Heading2"/>
        <w:spacing w:after="100" w:before="220"/>
      </w:pPr>
      <w:r>
        <w:rPr>
          <w:b/>
          <w:bCs/>
          <w:color w:val="2E5C8A"/>
          <w:sz w:val="23"/>
          <w:szCs w:val="23"/>
        </w:rPr>
        <w:t xml:space="preserve">Stage 6: Deploy to Staging</w:t>
      </w:r>
    </w:p>
    <w:p>
      <w:pPr>
        <w:spacing w:after="120" w:line="300"/>
        <w:jc w:val="both"/>
      </w:pPr>
      <w:r>
        <w:rPr>
          <w:sz w:val="22"/>
          <w:szCs w:val="22"/>
        </w:rPr>
        <w:t xml:space="preserve">Once tests pass, the build is automatically deployed to a staging environment that closely mirrors production, allowing manual QA sign-off, performance testing, or security scanning before release.</w:t>
      </w:r>
    </w:p>
    <w:p>
      <w:pPr>
        <w:pStyle w:val="Heading2"/>
        <w:spacing w:after="100" w:before="220"/>
      </w:pPr>
      <w:r>
        <w:rPr>
          <w:b/>
          <w:bCs/>
          <w:color w:val="2E5C8A"/>
          <w:sz w:val="23"/>
          <w:szCs w:val="23"/>
        </w:rPr>
        <w:t xml:space="preserve">Stage 7: Release / Deploy to Production (Continuous Delivery/Deployment)</w:t>
      </w:r>
    </w:p>
    <w:p>
      <w:pPr>
        <w:spacing w:after="120" w:line="300"/>
        <w:jc w:val="both"/>
      </w:pPr>
      <w:r>
        <w:rPr>
          <w:sz w:val="22"/>
          <w:szCs w:val="22"/>
        </w:rPr>
        <w:t xml:space="preserve">In Continuous Delivery, the release to production requires a manual approval gate; in Continuous Deployment, it happens fully automatically once all prior stages succeed. Deployment strategies commonly used at this stage include rolling updates, blue-green deployment, and canary releases to minimise downtime and risk.</w:t>
      </w:r>
    </w:p>
    <w:p>
      <w:pPr>
        <w:pStyle w:val="Heading2"/>
        <w:spacing w:after="100" w:before="220"/>
      </w:pPr>
      <w:r>
        <w:rPr>
          <w:b/>
          <w:bCs/>
          <w:color w:val="2E5C8A"/>
          <w:sz w:val="23"/>
          <w:szCs w:val="23"/>
        </w:rPr>
        <w:t xml:space="preserve">Stage 8: Monitor &amp; Feedback</w:t>
      </w:r>
    </w:p>
    <w:p>
      <w:pPr>
        <w:spacing w:after="120" w:line="300"/>
        <w:jc w:val="both"/>
      </w:pPr>
      <w:r>
        <w:rPr>
          <w:sz w:val="22"/>
          <w:szCs w:val="22"/>
        </w:rPr>
        <w:t xml:space="preserve">Post-deployment, monitoring and alerting tools track application health, and results are fed back to the development team, closing the loop for continuous improvement.</w:t>
      </w:r>
    </w:p>
    <w:p>
      <w:pPr>
        <w:pStyle w:val="Heading2"/>
        <w:spacing w:after="100" w:before="220"/>
      </w:pPr>
      <w:r>
        <w:rPr>
          <w:b/>
          <w:bCs/>
          <w:color w:val="2E5C8A"/>
          <w:sz w:val="23"/>
          <w:szCs w:val="23"/>
        </w:rPr>
        <w:t xml:space="preserve">Sample Jenkins Declarative Pipeline</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1F1F1F"/>
          <w:sz w:val="18"/>
          <w:szCs w:val="18"/>
        </w:rPr>
        <w:t xml:space="preserve">pipeline {</w:t>
      </w:r>
      <w:r>
        <w:rPr>
          <w:rFonts w:ascii="Consolas" w:cs="Consolas" w:eastAsia="Consolas" w:hAnsi="Consolas"/>
          <w:color w:val="1F1F1F"/>
          <w:sz w:val="18"/>
          <w:szCs w:val="18"/>
        </w:rPr>
        <w:br/>
        <w:t xml:space="preserve">  agent any</w:t>
      </w:r>
      <w:r>
        <w:rPr>
          <w:rFonts w:ascii="Consolas" w:cs="Consolas" w:eastAsia="Consolas" w:hAnsi="Consolas"/>
          <w:color w:val="1F1F1F"/>
          <w:sz w:val="18"/>
          <w:szCs w:val="18"/>
        </w:rPr>
        <w:br/>
        <w:t xml:space="preserve">  stages {</w:t>
      </w:r>
      <w:r>
        <w:rPr>
          <w:rFonts w:ascii="Consolas" w:cs="Consolas" w:eastAsia="Consolas" w:hAnsi="Consolas"/>
          <w:color w:val="1F1F1F"/>
          <w:sz w:val="18"/>
          <w:szCs w:val="18"/>
        </w:rPr>
        <w:br/>
        <w:t xml:space="preserve">    stage('Checkout') { steps { git 'https://github.com/org/repo.git' } }</w:t>
      </w:r>
      <w:r>
        <w:rPr>
          <w:rFonts w:ascii="Consolas" w:cs="Consolas" w:eastAsia="Consolas" w:hAnsi="Consolas"/>
          <w:color w:val="1F1F1F"/>
          <w:sz w:val="18"/>
          <w:szCs w:val="18"/>
        </w:rPr>
        <w:br/>
        <w:t xml:space="preserve">    stage('Build')    { steps { sh 'mvn clean package' } }</w:t>
      </w:r>
      <w:r>
        <w:rPr>
          <w:rFonts w:ascii="Consolas" w:cs="Consolas" w:eastAsia="Consolas" w:hAnsi="Consolas"/>
          <w:color w:val="1F1F1F"/>
          <w:sz w:val="18"/>
          <w:szCs w:val="18"/>
        </w:rPr>
        <w:br/>
        <w:t xml:space="preserve">    stage('Test')     { steps { sh 'mvn test' } }</w:t>
      </w:r>
      <w:r>
        <w:rPr>
          <w:rFonts w:ascii="Consolas" w:cs="Consolas" w:eastAsia="Consolas" w:hAnsi="Consolas"/>
          <w:color w:val="1F1F1F"/>
          <w:sz w:val="18"/>
          <w:szCs w:val="18"/>
        </w:rPr>
        <w:br/>
        <w:t xml:space="preserve">    stage('Docker Build') { steps { sh 'docker build -t myapp:${BUILD_NUMBER} .' } }</w:t>
      </w:r>
      <w:r>
        <w:rPr>
          <w:rFonts w:ascii="Consolas" w:cs="Consolas" w:eastAsia="Consolas" w:hAnsi="Consolas"/>
          <w:color w:val="1F1F1F"/>
          <w:sz w:val="18"/>
          <w:szCs w:val="18"/>
        </w:rPr>
        <w:br/>
        <w:t xml:space="preserve">    stage('Push Image')   { steps { sh 'docker push myrepo/myapp:${BUILD_NUMBER}' } }</w:t>
      </w:r>
      <w:r>
        <w:rPr>
          <w:rFonts w:ascii="Consolas" w:cs="Consolas" w:eastAsia="Consolas" w:hAnsi="Consolas"/>
          <w:color w:val="1F1F1F"/>
          <w:sz w:val="18"/>
          <w:szCs w:val="18"/>
        </w:rPr>
        <w:br/>
        <w:t xml:space="preserve">    stage('Deploy')   { steps { sh 'kubectl rollout restart deployment/myapp' } }</w:t>
      </w:r>
      <w:r>
        <w:rPr>
          <w:rFonts w:ascii="Consolas" w:cs="Consolas" w:eastAsia="Consolas" w:hAnsi="Consolas"/>
          <w:color w:val="1F1F1F"/>
          <w:sz w:val="18"/>
          <w:szCs w:val="18"/>
        </w:rPr>
        <w:br/>
        <w:t xml:space="preserve">  }</w:t>
      </w:r>
      <w:r>
        <w:rPr>
          <w:rFonts w:ascii="Consolas" w:cs="Consolas" w:eastAsia="Consolas" w:hAnsi="Consolas"/>
          <w:color w:val="1F1F1F"/>
          <w:sz w:val="18"/>
          <w:szCs w:val="18"/>
        </w:rPr>
        <w:br/>
        <w:t xml:space="preserve">}</w:t>
      </w:r>
    </w:p>
    <w:p>
      <w:pPr>
        <w:pStyle w:val="Heading2"/>
        <w:spacing w:after="100" w:before="220"/>
      </w:pPr>
      <w:r>
        <w:rPr>
          <w:b/>
          <w:bCs/>
          <w:color w:val="2E5C8A"/>
          <w:sz w:val="23"/>
          <w:szCs w:val="23"/>
        </w:rPr>
        <w:t xml:space="preserve">Sample GitHub Actions Workflow (YAML)</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color w:val="1F1F1F"/>
          <w:sz w:val="18"/>
          <w:szCs w:val="18"/>
        </w:rPr>
        <w:t xml:space="preserve">name: CI-CD</w:t>
      </w:r>
      <w:r>
        <w:rPr>
          <w:rFonts w:ascii="Consolas" w:cs="Consolas" w:eastAsia="Consolas" w:hAnsi="Consolas"/>
          <w:color w:val="1F1F1F"/>
          <w:sz w:val="18"/>
          <w:szCs w:val="18"/>
        </w:rPr>
        <w:br/>
        <w:t xml:space="preserve">on: [push]</w:t>
      </w:r>
      <w:r>
        <w:rPr>
          <w:rFonts w:ascii="Consolas" w:cs="Consolas" w:eastAsia="Consolas" w:hAnsi="Consolas"/>
          <w:color w:val="1F1F1F"/>
          <w:sz w:val="18"/>
          <w:szCs w:val="18"/>
        </w:rPr>
        <w:br/>
        <w:t xml:space="preserve">jobs:</w:t>
      </w:r>
      <w:r>
        <w:rPr>
          <w:rFonts w:ascii="Consolas" w:cs="Consolas" w:eastAsia="Consolas" w:hAnsi="Consolas"/>
          <w:color w:val="1F1F1F"/>
          <w:sz w:val="18"/>
          <w:szCs w:val="18"/>
        </w:rPr>
        <w:br/>
        <w:t xml:space="preserve">  build-test-deploy:</w:t>
      </w:r>
      <w:r>
        <w:rPr>
          <w:rFonts w:ascii="Consolas" w:cs="Consolas" w:eastAsia="Consolas" w:hAnsi="Consolas"/>
          <w:color w:val="1F1F1F"/>
          <w:sz w:val="18"/>
          <w:szCs w:val="18"/>
        </w:rPr>
        <w:br/>
        <w:t xml:space="preserve">    runs-on: ubuntu-latest</w:t>
      </w:r>
      <w:r>
        <w:rPr>
          <w:rFonts w:ascii="Consolas" w:cs="Consolas" w:eastAsia="Consolas" w:hAnsi="Consolas"/>
          <w:color w:val="1F1F1F"/>
          <w:sz w:val="18"/>
          <w:szCs w:val="18"/>
        </w:rPr>
        <w:br/>
        <w:t xml:space="preserve">    steps:</w:t>
      </w:r>
      <w:r>
        <w:rPr>
          <w:rFonts w:ascii="Consolas" w:cs="Consolas" w:eastAsia="Consolas" w:hAnsi="Consolas"/>
          <w:color w:val="1F1F1F"/>
          <w:sz w:val="18"/>
          <w:szCs w:val="18"/>
        </w:rPr>
        <w:br/>
        <w:t xml:space="preserve">      - uses: actions/checkout@v4</w:t>
      </w:r>
      <w:r>
        <w:rPr>
          <w:rFonts w:ascii="Consolas" w:cs="Consolas" w:eastAsia="Consolas" w:hAnsi="Consolas"/>
          <w:color w:val="1F1F1F"/>
          <w:sz w:val="18"/>
          <w:szCs w:val="18"/>
        </w:rPr>
        <w:br/>
        <w:t xml:space="preserve">      - name: Build</w:t>
      </w:r>
      <w:r>
        <w:rPr>
          <w:rFonts w:ascii="Consolas" w:cs="Consolas" w:eastAsia="Consolas" w:hAnsi="Consolas"/>
          <w:color w:val="1F1F1F"/>
          <w:sz w:val="18"/>
          <w:szCs w:val="18"/>
        </w:rPr>
        <w:br/>
        <w:t xml:space="preserve">        run: mvn clean package</w:t>
      </w:r>
      <w:r>
        <w:rPr>
          <w:rFonts w:ascii="Consolas" w:cs="Consolas" w:eastAsia="Consolas" w:hAnsi="Consolas"/>
          <w:color w:val="1F1F1F"/>
          <w:sz w:val="18"/>
          <w:szCs w:val="18"/>
        </w:rPr>
        <w:br/>
        <w:t xml:space="preserve">      - name: Run Tests</w:t>
      </w:r>
      <w:r>
        <w:rPr>
          <w:rFonts w:ascii="Consolas" w:cs="Consolas" w:eastAsia="Consolas" w:hAnsi="Consolas"/>
          <w:color w:val="1F1F1F"/>
          <w:sz w:val="18"/>
          <w:szCs w:val="18"/>
        </w:rPr>
        <w:br/>
        <w:t xml:space="preserve">        run: mvn test</w:t>
      </w:r>
      <w:r>
        <w:rPr>
          <w:rFonts w:ascii="Consolas" w:cs="Consolas" w:eastAsia="Consolas" w:hAnsi="Consolas"/>
          <w:color w:val="1F1F1F"/>
          <w:sz w:val="18"/>
          <w:szCs w:val="18"/>
        </w:rPr>
        <w:br/>
        <w:t xml:space="preserve">      - name: Build Docker Image</w:t>
      </w:r>
      <w:r>
        <w:rPr>
          <w:rFonts w:ascii="Consolas" w:cs="Consolas" w:eastAsia="Consolas" w:hAnsi="Consolas"/>
          <w:color w:val="1F1F1F"/>
          <w:sz w:val="18"/>
          <w:szCs w:val="18"/>
        </w:rPr>
        <w:br/>
        <w:t xml:space="preserve">        run: docker build -t myapp:${{ github.sha }} .</w:t>
      </w:r>
      <w:r>
        <w:rPr>
          <w:rFonts w:ascii="Consolas" w:cs="Consolas" w:eastAsia="Consolas" w:hAnsi="Consolas"/>
          <w:color w:val="1F1F1F"/>
          <w:sz w:val="18"/>
          <w:szCs w:val="18"/>
        </w:rPr>
        <w:br/>
        <w:t xml:space="preserve">      - name: Push to Registry</w:t>
      </w:r>
      <w:r>
        <w:rPr>
          <w:rFonts w:ascii="Consolas" w:cs="Consolas" w:eastAsia="Consolas" w:hAnsi="Consolas"/>
          <w:color w:val="1F1F1F"/>
          <w:sz w:val="18"/>
          <w:szCs w:val="18"/>
        </w:rPr>
        <w:br/>
        <w:t xml:space="preserve">        run: docker push myrepo/myapp:${{ github.sha }}</w:t>
      </w:r>
      <w:r>
        <w:rPr>
          <w:rFonts w:ascii="Consolas" w:cs="Consolas" w:eastAsia="Consolas" w:hAnsi="Consolas"/>
          <w:color w:val="1F1F1F"/>
          <w:sz w:val="18"/>
          <w:szCs w:val="18"/>
        </w:rPr>
        <w:br/>
        <w:t xml:space="preserve">      - name: Deploy</w:t>
      </w:r>
      <w:r>
        <w:rPr>
          <w:rFonts w:ascii="Consolas" w:cs="Consolas" w:eastAsia="Consolas" w:hAnsi="Consolas"/>
          <w:color w:val="1F1F1F"/>
          <w:sz w:val="18"/>
          <w:szCs w:val="18"/>
        </w:rPr>
        <w:br/>
        <w:t xml:space="preserve">        run: kubectl apply -f k8s/deployment.yaml</w:t>
      </w:r>
    </w:p>
    <w:p>
      <w:pPr>
        <w:spacing w:after="100"/>
      </w:pPr>
    </w:p>
    <w:p>
      <w:pPr>
        <w:pStyle w:val="Heading2"/>
        <w:spacing w:after="100" w:before="220"/>
      </w:pPr>
      <w:r>
        <w:rPr>
          <w:b/>
          <w:bCs/>
          <w:color w:val="2E5C8A"/>
          <w:sz w:val="23"/>
          <w:szCs w:val="23"/>
        </w:rPr>
        <w:t xml:space="preserve">2.2 How Docker Containerization Supports Continuous Delivery</w:t>
      </w:r>
    </w:p>
    <w:p>
      <w:pPr>
        <w:spacing w:after="120" w:line="300"/>
        <w:jc w:val="both"/>
      </w:pPr>
      <w:r>
        <w:rPr>
          <w:sz w:val="22"/>
          <w:szCs w:val="22"/>
        </w:rPr>
        <w:t xml:space="preserve">Docker packages an application together with its runtime, libraries, and configuration into a single, portable image. This directly strengthens several stages of the CI/CD pipeline:</w:t>
      </w:r>
    </w:p>
    <w:p>
      <w:pPr>
        <w:spacing w:after="100" w:line="280"/>
        <w:jc w:val="both"/>
      </w:pPr>
      <w:r>
        <w:rPr>
          <w:b/>
          <w:bCs/>
          <w:color w:val="2E5C8A"/>
          <w:sz w:val="22"/>
          <w:szCs w:val="22"/>
        </w:rPr>
        <w:t xml:space="preserve">Environment Consistency: </w:t>
      </w:r>
      <w:r>
        <w:rPr>
          <w:sz w:val="22"/>
          <w:szCs w:val="22"/>
        </w:rPr>
        <w:t xml:space="preserve">A Docker image behaves identically whether it runs on a developer's laptop, the CI server, staging, or production, eliminating the classic 'it works on my machine' failure mode.</w:t>
      </w:r>
    </w:p>
    <w:p>
      <w:pPr>
        <w:spacing w:after="100" w:line="280"/>
        <w:jc w:val="both"/>
      </w:pPr>
      <w:r>
        <w:rPr>
          <w:b/>
          <w:bCs/>
          <w:color w:val="2E5C8A"/>
          <w:sz w:val="22"/>
          <w:szCs w:val="22"/>
        </w:rPr>
        <w:t xml:space="preserve">Fast, Reproducible Builds: </w:t>
      </w:r>
      <w:r>
        <w:rPr>
          <w:sz w:val="22"/>
          <w:szCs w:val="22"/>
        </w:rPr>
        <w:t xml:space="preserve">Layered image caching means only changed layers are rebuilt, dramatically speeding up repeated CI builds.</w:t>
      </w:r>
    </w:p>
    <w:p>
      <w:pPr>
        <w:spacing w:after="100" w:line="280"/>
        <w:jc w:val="both"/>
      </w:pPr>
      <w:r>
        <w:rPr>
          <w:b/>
          <w:bCs/>
          <w:color w:val="2E5C8A"/>
          <w:sz w:val="22"/>
          <w:szCs w:val="22"/>
        </w:rPr>
        <w:t xml:space="preserve">Isolation: </w:t>
      </w:r>
      <w:r>
        <w:rPr>
          <w:sz w:val="22"/>
          <w:szCs w:val="22"/>
        </w:rPr>
        <w:t xml:space="preserve">Each build/test run executes inside its own container, preventing dependency conflicts between concurrent pipeline jobs on shared CI infrastructure.</w:t>
      </w:r>
    </w:p>
    <w:p>
      <w:pPr>
        <w:spacing w:after="100" w:line="280"/>
        <w:jc w:val="both"/>
      </w:pPr>
      <w:r>
        <w:rPr>
          <w:b/>
          <w:bCs/>
          <w:color w:val="2E5C8A"/>
          <w:sz w:val="22"/>
          <w:szCs w:val="22"/>
        </w:rPr>
        <w:t xml:space="preserve">Immutable Artifacts: </w:t>
      </w:r>
      <w:r>
        <w:rPr>
          <w:sz w:val="22"/>
          <w:szCs w:val="22"/>
        </w:rPr>
        <w:t xml:space="preserve">The exact image tested in the integration stage is the same image promoted to staging and production, removing configuration drift between environments.</w:t>
      </w:r>
    </w:p>
    <w:p>
      <w:pPr>
        <w:spacing w:after="100" w:line="280"/>
        <w:jc w:val="both"/>
      </w:pPr>
      <w:r>
        <w:rPr>
          <w:b/>
          <w:bCs/>
          <w:color w:val="2E5C8A"/>
          <w:sz w:val="22"/>
          <w:szCs w:val="22"/>
        </w:rPr>
        <w:t xml:space="preserve">Simplified Rollback: </w:t>
      </w:r>
      <w:r>
        <w:rPr>
          <w:sz w:val="22"/>
          <w:szCs w:val="22"/>
        </w:rPr>
        <w:t xml:space="preserve">Because every release is a versioned, immutable image, reverting to a previous stable version is as simple as redeploying the prior image tag.</w:t>
      </w:r>
    </w:p>
    <w:p>
      <w:pPr>
        <w:spacing w:after="100" w:line="280"/>
        <w:jc w:val="both"/>
      </w:pPr>
      <w:r>
        <w:rPr>
          <w:b/>
          <w:bCs/>
          <w:color w:val="2E5C8A"/>
          <w:sz w:val="22"/>
          <w:szCs w:val="22"/>
        </w:rPr>
        <w:t xml:space="preserve">Scalability with Orchestration: </w:t>
      </w:r>
      <w:r>
        <w:rPr>
          <w:sz w:val="22"/>
          <w:szCs w:val="22"/>
        </w:rPr>
        <w:t xml:space="preserve">Containers integrate seamlessly with orchestrators such as Kubernetes or Docker Swarm, enabling automated rolling updates, blue-green, and canary deployments with minimal downtime.</w:t>
      </w:r>
    </w:p>
    <w:p>
      <w:pPr>
        <w:spacing w:after="100" w:line="280"/>
        <w:jc w:val="both"/>
      </w:pPr>
      <w:r>
        <w:rPr>
          <w:b/>
          <w:bCs/>
          <w:color w:val="2E5C8A"/>
          <w:sz w:val="22"/>
          <w:szCs w:val="22"/>
        </w:rPr>
        <w:t xml:space="preserve">Microservices Enablement: </w:t>
      </w:r>
      <w:r>
        <w:rPr>
          <w:sz w:val="22"/>
          <w:szCs w:val="22"/>
        </w:rPr>
        <w:t xml:space="preserve">Each microservice can be built, tested, versioned, and deployed independently as its own container, allowing independent release cycles within the same overall CI/CD pipeline.</w:t>
      </w:r>
    </w:p>
    <w:p>
      <w:pPr>
        <w:spacing w:after="120" w:line="300"/>
        <w:jc w:val="both"/>
      </w:pPr>
      <w:r>
        <w:rPr>
          <w:sz w:val="22"/>
          <w:szCs w:val="22"/>
        </w:rPr>
        <w:t xml:space="preserve">In summary, Docker acts as the delivery unit that flows through every stage of the pipeline — built once during CI, validated during automated testing, and promoted unchanged through staging into production — making Continuous Delivery fast, predictable, and low-risk.</w:t>
      </w:r>
    </w:p>
    <w:p>
      <w:r>
        <w:br w:type="pag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500"/>
        <w:gridCol w:w="1500"/>
      </w:tblGrid>
      <w:tr>
        <w:tc>
          <w:tcPr>
            <w:tcW w:type="dxa" w:w="8500"/>
            <w:shd w:fill="1F3864" w:val="clear"/>
            <w:tcMar>
              <w:top w:type="dxa" w:w="100"/>
              <w:left w:type="dxa" w:w="150"/>
              <w:bottom w:type="dxa" w:w="100"/>
              <w:right w:type="dxa" w:w="150"/>
            </w:tcMar>
            <w:vAlign w:val="center"/>
          </w:tcPr>
          <w:p>
            <w:r>
              <w:rPr>
                <w:b/>
                <w:bCs/>
                <w:color w:val="FFFFFF"/>
                <w:sz w:val="22"/>
                <w:szCs w:val="22"/>
              </w:rPr>
              <w:t xml:space="preserve">Question 3: Case Study – Intermittent Slowdowns in a Large SaaS Application</w:t>
            </w:r>
          </w:p>
        </w:tc>
        <w:tc>
          <w:tcPr>
            <w:tcW w:type="dxa" w:w="1500"/>
            <w:shd w:fill="2E5C8A" w:val="clear"/>
            <w:tcMar>
              <w:top w:type="dxa" w:w="100"/>
              <w:left w:type="dxa" w:w="100"/>
              <w:bottom w:type="dxa" w:w="100"/>
              <w:right w:type="dxa" w:w="100"/>
            </w:tcMar>
            <w:vAlign w:val="center"/>
          </w:tcPr>
          <w:p>
            <w:pPr>
              <w:jc w:val="center"/>
            </w:pPr>
            <w:r>
              <w:rPr>
                <w:b/>
                <w:bCs/>
                <w:color w:val="FFFFFF"/>
                <w:sz w:val="18"/>
                <w:szCs w:val="18"/>
              </w:rPr>
              <w:t xml:space="preserve">6 M | CO4</w:t>
            </w:r>
          </w:p>
        </w:tc>
      </w:tr>
    </w:tbl>
    <w:p>
      <w:pPr>
        <w:spacing w:after="150"/>
      </w:pPr>
    </w:p>
    <w:p>
      <w:pPr>
        <w:pStyle w:val="Heading2"/>
        <w:spacing w:after="100" w:before="220"/>
      </w:pPr>
      <w:r>
        <w:rPr>
          <w:b/>
          <w:bCs/>
          <w:color w:val="2E5C8A"/>
          <w:sz w:val="23"/>
          <w:szCs w:val="23"/>
        </w:rPr>
        <w:t xml:space="preserve">3.1 Problem Context</w:t>
      </w:r>
    </w:p>
    <w:p>
      <w:pPr>
        <w:spacing w:after="120" w:line="300"/>
        <w:jc w:val="both"/>
      </w:pPr>
      <w:r>
        <w:rPr>
          <w:sz w:val="22"/>
          <w:szCs w:val="22"/>
        </w:rPr>
        <w:t xml:space="preserve">A large SaaS application serving many concurrent tenants is experiencing intermittent slowdowns — periods where response times spike unpredictably without any obvious pattern, making the issue difficult to reproduce and diagnose using traditional debugging alone. In such distributed, high-scale systems, observability tools are essential to detect, diagnose, and resolve the underlying cause efficiently.</w:t>
      </w:r>
    </w:p>
    <w:p>
      <w:pPr>
        <w:pStyle w:val="Heading2"/>
        <w:spacing w:after="100" w:before="220"/>
      </w:pPr>
      <w:r>
        <w:rPr>
          <w:b/>
          <w:bCs/>
          <w:color w:val="2E5C8A"/>
          <w:sz w:val="23"/>
          <w:szCs w:val="23"/>
        </w:rPr>
        <w:t xml:space="preserve">3.2 Role of Prometheus (Metrics &amp; Detection)</w:t>
      </w:r>
    </w:p>
    <w:p>
      <w:pPr>
        <w:spacing w:after="120" w:line="300"/>
        <w:jc w:val="both"/>
      </w:pPr>
      <w:r>
        <w:rPr>
          <w:sz w:val="22"/>
          <w:szCs w:val="22"/>
        </w:rPr>
        <w:t xml:space="preserve">Prometheus is an open-source, time-series metrics monitoring system that periodically scrapes numerical metrics (CPU usage, memory, request latency, error rate, queue length, database connection pool usage) from every service instance.</w:t>
      </w:r>
    </w:p>
    <w:p>
      <w:pPr>
        <w:pStyle w:val="ListParagraph"/>
        <w:numPr>
          <w:ilvl w:val="0"/>
          <w:numId w:val="2"/>
        </w:numPr>
        <w:spacing w:after="80" w:line="280"/>
      </w:pPr>
      <w:r>
        <w:rPr>
          <w:sz w:val="22"/>
          <w:szCs w:val="22"/>
        </w:rPr>
        <w:t xml:space="preserve">Detection: Prometheus continuously records metrics such as p95/p99 request latency and can be configured with Alertmanager to trigger alerts the moment latency crosses a defined threshold — catching slowdowns as they begin rather than after users complain.</w:t>
      </w:r>
    </w:p>
    <w:p>
      <w:pPr>
        <w:pStyle w:val="ListParagraph"/>
        <w:numPr>
          <w:ilvl w:val="0"/>
          <w:numId w:val="2"/>
        </w:numPr>
        <w:spacing w:after="80" w:line="280"/>
      </w:pPr>
      <w:r>
        <w:rPr>
          <w:sz w:val="22"/>
          <w:szCs w:val="22"/>
        </w:rPr>
        <w:t xml:space="preserve">Diagnosis: Because metrics are collected per-service and per-instance, engineers can quickly correlate a latency spike with a specific microservice, container, or node, narrowing down whether the bottleneck is in the application layer, database, or infrastructure.</w:t>
      </w:r>
    </w:p>
    <w:p>
      <w:pPr>
        <w:pStyle w:val="ListParagraph"/>
        <w:numPr>
          <w:ilvl w:val="0"/>
          <w:numId w:val="2"/>
        </w:numPr>
        <w:spacing w:after="80" w:line="280"/>
      </w:pPr>
      <w:r>
        <w:rPr>
          <w:sz w:val="22"/>
          <w:szCs w:val="22"/>
        </w:rPr>
        <w:t xml:space="preserve">PromQL queries allow ad-hoc investigation, e.g. rate(http_request_duration_seconds_sum[5m]) / rate(http_request_duration_seconds_count[5m]) to isolate average latency trends over the incident window.</w:t>
      </w:r>
    </w:p>
    <w:p>
      <w:pPr>
        <w:pStyle w:val="Heading2"/>
        <w:spacing w:after="100" w:before="220"/>
      </w:pPr>
      <w:r>
        <w:rPr>
          <w:b/>
          <w:bCs/>
          <w:color w:val="2E5C8A"/>
          <w:sz w:val="23"/>
          <w:szCs w:val="23"/>
        </w:rPr>
        <w:t xml:space="preserve">3.3 Role of Grafana (Visualization &amp; Correlation)</w:t>
      </w:r>
    </w:p>
    <w:p>
      <w:pPr>
        <w:spacing w:after="120" w:line="300"/>
        <w:jc w:val="both"/>
      </w:pPr>
      <w:r>
        <w:rPr>
          <w:sz w:val="22"/>
          <w:szCs w:val="22"/>
        </w:rPr>
        <w:t xml:space="preserve">Grafana connects to Prometheus (and other data sources) to render the collected metrics as interactive, real-time dashboards.</w:t>
      </w:r>
    </w:p>
    <w:p>
      <w:pPr>
        <w:pStyle w:val="ListParagraph"/>
        <w:numPr>
          <w:ilvl w:val="0"/>
          <w:numId w:val="2"/>
        </w:numPr>
        <w:spacing w:after="80" w:line="280"/>
      </w:pPr>
      <w:r>
        <w:rPr>
          <w:sz w:val="22"/>
          <w:szCs w:val="22"/>
        </w:rPr>
        <w:t xml:space="preserve">Detection: Dashboards with threshold-coloured panels make anomalies visually obvious at a glance, and Grafana's own alerting layer can notify on-call engineers via Slack, email, or PagerDuty.</w:t>
      </w:r>
    </w:p>
    <w:p>
      <w:pPr>
        <w:pStyle w:val="ListParagraph"/>
        <w:numPr>
          <w:ilvl w:val="0"/>
          <w:numId w:val="2"/>
        </w:numPr>
        <w:spacing w:after="80" w:line="280"/>
      </w:pPr>
      <w:r>
        <w:rPr>
          <w:sz w:val="22"/>
          <w:szCs w:val="22"/>
        </w:rPr>
        <w:t xml:space="preserve">Diagnosis: Engineers can overlay multiple metrics on the same timeline — CPU, memory, DB query time, network I/O — to visually correlate the exact moment slowdowns began with a triggering event, such as a deployment, traffic spike, or a batch job.</w:t>
      </w:r>
    </w:p>
    <w:p>
      <w:pPr>
        <w:pStyle w:val="ListParagraph"/>
        <w:numPr>
          <w:ilvl w:val="0"/>
          <w:numId w:val="2"/>
        </w:numPr>
        <w:spacing w:after="80" w:line="280"/>
      </w:pPr>
      <w:r>
        <w:rPr>
          <w:sz w:val="22"/>
          <w:szCs w:val="22"/>
        </w:rPr>
        <w:t xml:space="preserve">Historical dashboards allow comparison of the current slowdown against past incidents, helping identify whether the issue is periodic (e.g. tied to a nightly cron job or backup window).</w:t>
      </w:r>
    </w:p>
    <w:p>
      <w:pPr>
        <w:pStyle w:val="Heading2"/>
        <w:spacing w:after="100" w:before="220"/>
      </w:pPr>
      <w:r>
        <w:rPr>
          <w:b/>
          <w:bCs/>
          <w:color w:val="2E5C8A"/>
          <w:sz w:val="23"/>
          <w:szCs w:val="23"/>
        </w:rPr>
        <w:t xml:space="preserve">3.4 Role of the ELK Stack (Logging &amp; Root-Cause Analysis)</w:t>
      </w:r>
    </w:p>
    <w:p>
      <w:pPr>
        <w:spacing w:after="120" w:line="300"/>
        <w:jc w:val="both"/>
      </w:pPr>
      <w:r>
        <w:rPr>
          <w:sz w:val="22"/>
          <w:szCs w:val="22"/>
        </w:rPr>
        <w:t xml:space="preserve">The ELK Stack — Elasticsearch, Logstash, and Kibana — centralizes application and infrastructure logs from every service instance into one searchable index.</w:t>
      </w:r>
    </w:p>
    <w:p>
      <w:pPr>
        <w:pStyle w:val="ListParagraph"/>
        <w:numPr>
          <w:ilvl w:val="0"/>
          <w:numId w:val="2"/>
        </w:numPr>
        <w:spacing w:after="80" w:line="280"/>
      </w:pPr>
      <w:r>
        <w:rPr>
          <w:sz w:val="22"/>
          <w:szCs w:val="22"/>
        </w:rPr>
        <w:t xml:space="preserve">Logstash (or lightweight agents like Filebeat) collects and parses logs from all application instances, normalizing them into structured JSON events.</w:t>
      </w:r>
    </w:p>
    <w:p>
      <w:pPr>
        <w:pStyle w:val="ListParagraph"/>
        <w:numPr>
          <w:ilvl w:val="0"/>
          <w:numId w:val="2"/>
        </w:numPr>
        <w:spacing w:after="80" w:line="280"/>
      </w:pPr>
      <w:r>
        <w:rPr>
          <w:sz w:val="22"/>
          <w:szCs w:val="22"/>
        </w:rPr>
        <w:t xml:space="preserve">Elasticsearch indexes these logs, allowing full-text and field-based search across billions of log lines within seconds.</w:t>
      </w:r>
    </w:p>
    <w:p>
      <w:pPr>
        <w:pStyle w:val="ListParagraph"/>
        <w:numPr>
          <w:ilvl w:val="0"/>
          <w:numId w:val="2"/>
        </w:numPr>
        <w:spacing w:after="80" w:line="280"/>
      </w:pPr>
      <w:r>
        <w:rPr>
          <w:sz w:val="22"/>
          <w:szCs w:val="22"/>
        </w:rPr>
        <w:t xml:space="preserve">Kibana provides the visualization and query interface, letting engineers filter logs to the exact timestamp window flagged by Prometheus/Grafana and trace the request path across services (especially when combined with a request/trace ID for distributed tracing).</w:t>
      </w:r>
    </w:p>
    <w:p>
      <w:pPr>
        <w:pStyle w:val="ListParagraph"/>
        <w:numPr>
          <w:ilvl w:val="0"/>
          <w:numId w:val="2"/>
        </w:numPr>
        <w:spacing w:after="80" w:line="280"/>
      </w:pPr>
      <w:r>
        <w:rPr>
          <w:sz w:val="22"/>
          <w:szCs w:val="22"/>
        </w:rPr>
        <w:t xml:space="preserve">Diagnosis: By searching logs during the slowdown window, engineers can identify recurring exceptions, slow SQL query logs, thread-pool exhaustion warnings, or garbage-collection pause logs that reveal the precise root cause — for example, a connection pool being exhausted by an inefficient query introduced in a recent release.</w:t>
      </w:r>
    </w:p>
    <w:p>
      <w:pPr>
        <w:pStyle w:val="Heading2"/>
        <w:spacing w:after="100" w:before="220"/>
      </w:pPr>
      <w:r>
        <w:rPr>
          <w:b/>
          <w:bCs/>
          <w:color w:val="2E5C8A"/>
          <w:sz w:val="23"/>
          <w:szCs w:val="23"/>
        </w:rPr>
        <w:t xml:space="preserve">3.5 Combined Workflow: Detect → Diagnose → Resolve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00"/>
      </w:tblGrid>
      <w:tr>
        <w:trPr>
          <w:tblHeader/>
        </w:trPr>
        <w:tc>
          <w:tcPr>
            <w:tcW w:type="dxa" w:w="2000"/>
            <w:shd w:fill="1F3864" w:val="clear"/>
            <w:tcMar>
              <w:top w:type="dxa" w:w="80"/>
              <w:left w:type="dxa" w:w="100"/>
              <w:bottom w:type="dxa" w:w="80"/>
              <w:right w:type="dxa" w:w="100"/>
            </w:tcMar>
            <w:vAlign w:val="center"/>
          </w:tcPr>
          <w:p>
            <w:pPr>
              <w:jc w:val="center"/>
            </w:pPr>
            <w:r>
              <w:rPr>
                <w:b/>
                <w:bCs/>
                <w:color w:val="FFFFFF"/>
                <w:sz w:val="20"/>
                <w:szCs w:val="20"/>
              </w:rPr>
              <w:t xml:space="preserve">Phase</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Primary Tool(s)</w:t>
            </w:r>
          </w:p>
        </w:tc>
        <w:tc>
          <w:tcPr>
            <w:tcW w:type="dxa" w:w="4700"/>
            <w:shd w:fill="1F3864" w:val="clear"/>
            <w:tcMar>
              <w:top w:type="dxa" w:w="80"/>
              <w:left w:type="dxa" w:w="100"/>
              <w:bottom w:type="dxa" w:w="80"/>
              <w:right w:type="dxa" w:w="100"/>
            </w:tcMar>
            <w:vAlign w:val="center"/>
          </w:tcPr>
          <w:p>
            <w:pPr>
              <w:jc w:val="center"/>
            </w:pPr>
            <w:r>
              <w:rPr>
                <w:b/>
                <w:bCs/>
                <w:color w:val="FFFFFF"/>
                <w:sz w:val="20"/>
                <w:szCs w:val="20"/>
              </w:rPr>
              <w:t xml:space="preserve">Action</w:t>
            </w:r>
          </w:p>
        </w:tc>
      </w:tr>
      <w:tr>
        <w:tc>
          <w:tcPr>
            <w:tcW w:type="dxa" w:w="2000"/>
            <w:shd w:fill="FFFFFF" w:val="clear"/>
            <w:tcMar>
              <w:top w:type="dxa" w:w="80"/>
              <w:left w:type="dxa" w:w="100"/>
              <w:bottom w:type="dxa" w:w="80"/>
              <w:right w:type="dxa" w:w="100"/>
            </w:tcMar>
          </w:tcPr>
          <w:p>
            <w:r>
              <w:rPr>
                <w:sz w:val="20"/>
                <w:szCs w:val="20"/>
              </w:rPr>
              <w:t xml:space="preserve">Detect</w:t>
            </w:r>
          </w:p>
        </w:tc>
        <w:tc>
          <w:tcPr>
            <w:tcW w:type="dxa" w:w="2600"/>
            <w:shd w:fill="FFFFFF" w:val="clear"/>
            <w:tcMar>
              <w:top w:type="dxa" w:w="80"/>
              <w:left w:type="dxa" w:w="100"/>
              <w:bottom w:type="dxa" w:w="80"/>
              <w:right w:type="dxa" w:w="100"/>
            </w:tcMar>
          </w:tcPr>
          <w:p>
            <w:r>
              <w:rPr>
                <w:sz w:val="20"/>
                <w:szCs w:val="20"/>
              </w:rPr>
              <w:t xml:space="preserve">Prometheus + Alertmanager</w:t>
            </w:r>
          </w:p>
        </w:tc>
        <w:tc>
          <w:tcPr>
            <w:tcW w:type="dxa" w:w="4700"/>
            <w:shd w:fill="FFFFFF" w:val="clear"/>
            <w:tcMar>
              <w:top w:type="dxa" w:w="80"/>
              <w:left w:type="dxa" w:w="100"/>
              <w:bottom w:type="dxa" w:w="80"/>
              <w:right w:type="dxa" w:w="100"/>
            </w:tcMar>
          </w:tcPr>
          <w:p>
            <w:r>
              <w:rPr>
                <w:sz w:val="20"/>
                <w:szCs w:val="20"/>
              </w:rPr>
              <w:t xml:space="preserve">Automated alert fires when p95 latency or error rate exceeds threshold.</w:t>
            </w:r>
          </w:p>
        </w:tc>
      </w:tr>
      <w:tr>
        <w:tc>
          <w:tcPr>
            <w:tcW w:type="dxa" w:w="2000"/>
            <w:shd w:fill="F2F6FA" w:val="clear"/>
            <w:tcMar>
              <w:top w:type="dxa" w:w="80"/>
              <w:left w:type="dxa" w:w="100"/>
              <w:bottom w:type="dxa" w:w="80"/>
              <w:right w:type="dxa" w:w="100"/>
            </w:tcMar>
          </w:tcPr>
          <w:p>
            <w:r>
              <w:rPr>
                <w:sz w:val="20"/>
                <w:szCs w:val="20"/>
              </w:rPr>
              <w:t xml:space="preserve">Diagnose (Macro)</w:t>
            </w:r>
          </w:p>
        </w:tc>
        <w:tc>
          <w:tcPr>
            <w:tcW w:type="dxa" w:w="2600"/>
            <w:shd w:fill="F2F6FA" w:val="clear"/>
            <w:tcMar>
              <w:top w:type="dxa" w:w="80"/>
              <w:left w:type="dxa" w:w="100"/>
              <w:bottom w:type="dxa" w:w="80"/>
              <w:right w:type="dxa" w:w="100"/>
            </w:tcMar>
          </w:tcPr>
          <w:p>
            <w:r>
              <w:rPr>
                <w:sz w:val="20"/>
                <w:szCs w:val="20"/>
              </w:rPr>
              <w:t xml:space="preserve">Grafana</w:t>
            </w:r>
          </w:p>
        </w:tc>
        <w:tc>
          <w:tcPr>
            <w:tcW w:type="dxa" w:w="4700"/>
            <w:shd w:fill="F2F6FA" w:val="clear"/>
            <w:tcMar>
              <w:top w:type="dxa" w:w="80"/>
              <w:left w:type="dxa" w:w="100"/>
              <w:bottom w:type="dxa" w:w="80"/>
              <w:right w:type="dxa" w:w="100"/>
            </w:tcMar>
          </w:tcPr>
          <w:p>
            <w:r>
              <w:rPr>
                <w:sz w:val="20"/>
                <w:szCs w:val="20"/>
              </w:rPr>
              <w:t xml:space="preserve">Correlate the spike across CPU, memory, DB, and network dashboards to isolate the affected service/tier.</w:t>
            </w:r>
          </w:p>
        </w:tc>
      </w:tr>
      <w:tr>
        <w:tc>
          <w:tcPr>
            <w:tcW w:type="dxa" w:w="2000"/>
            <w:shd w:fill="FFFFFF" w:val="clear"/>
            <w:tcMar>
              <w:top w:type="dxa" w:w="80"/>
              <w:left w:type="dxa" w:w="100"/>
              <w:bottom w:type="dxa" w:w="80"/>
              <w:right w:type="dxa" w:w="100"/>
            </w:tcMar>
          </w:tcPr>
          <w:p>
            <w:r>
              <w:rPr>
                <w:sz w:val="20"/>
                <w:szCs w:val="20"/>
              </w:rPr>
              <w:t xml:space="preserve">Diagnose (Micro)</w:t>
            </w:r>
          </w:p>
        </w:tc>
        <w:tc>
          <w:tcPr>
            <w:tcW w:type="dxa" w:w="2600"/>
            <w:shd w:fill="FFFFFF" w:val="clear"/>
            <w:tcMar>
              <w:top w:type="dxa" w:w="80"/>
              <w:left w:type="dxa" w:w="100"/>
              <w:bottom w:type="dxa" w:w="80"/>
              <w:right w:type="dxa" w:w="100"/>
            </w:tcMar>
          </w:tcPr>
          <w:p>
            <w:r>
              <w:rPr>
                <w:sz w:val="20"/>
                <w:szCs w:val="20"/>
              </w:rPr>
              <w:t xml:space="preserve">ELK Stack (Kibana)</w:t>
            </w:r>
          </w:p>
        </w:tc>
        <w:tc>
          <w:tcPr>
            <w:tcW w:type="dxa" w:w="4700"/>
            <w:shd w:fill="FFFFFF" w:val="clear"/>
            <w:tcMar>
              <w:top w:type="dxa" w:w="80"/>
              <w:left w:type="dxa" w:w="100"/>
              <w:bottom w:type="dxa" w:w="80"/>
              <w:right w:type="dxa" w:w="100"/>
            </w:tcMar>
          </w:tcPr>
          <w:p>
            <w:r>
              <w:rPr>
                <w:sz w:val="20"/>
                <w:szCs w:val="20"/>
              </w:rPr>
              <w:t xml:space="preserve">Drill into logs for the exact time window to find the specific error, slow query, or exception trace.</w:t>
            </w:r>
          </w:p>
        </w:tc>
      </w:tr>
      <w:tr>
        <w:tc>
          <w:tcPr>
            <w:tcW w:type="dxa" w:w="2000"/>
            <w:shd w:fill="F2F6FA" w:val="clear"/>
            <w:tcMar>
              <w:top w:type="dxa" w:w="80"/>
              <w:left w:type="dxa" w:w="100"/>
              <w:bottom w:type="dxa" w:w="80"/>
              <w:right w:type="dxa" w:w="100"/>
            </w:tcMar>
          </w:tcPr>
          <w:p>
            <w:r>
              <w:rPr>
                <w:sz w:val="20"/>
                <w:szCs w:val="20"/>
              </w:rPr>
              <w:t xml:space="preserve">Resolve</w:t>
            </w:r>
          </w:p>
        </w:tc>
        <w:tc>
          <w:tcPr>
            <w:tcW w:type="dxa" w:w="2600"/>
            <w:shd w:fill="F2F6FA" w:val="clear"/>
            <w:tcMar>
              <w:top w:type="dxa" w:w="80"/>
              <w:left w:type="dxa" w:w="100"/>
              <w:bottom w:type="dxa" w:w="80"/>
              <w:right w:type="dxa" w:w="100"/>
            </w:tcMar>
          </w:tcPr>
          <w:p>
            <w:r>
              <w:rPr>
                <w:sz w:val="20"/>
                <w:szCs w:val="20"/>
              </w:rPr>
              <w:t xml:space="preserve">Engineering team</w:t>
            </w:r>
          </w:p>
        </w:tc>
        <w:tc>
          <w:tcPr>
            <w:tcW w:type="dxa" w:w="4700"/>
            <w:shd w:fill="F2F6FA" w:val="clear"/>
            <w:tcMar>
              <w:top w:type="dxa" w:w="80"/>
              <w:left w:type="dxa" w:w="100"/>
              <w:bottom w:type="dxa" w:w="80"/>
              <w:right w:type="dxa" w:w="100"/>
            </w:tcMar>
          </w:tcPr>
          <w:p>
            <w:r>
              <w:rPr>
                <w:sz w:val="20"/>
                <w:szCs w:val="20"/>
              </w:rPr>
              <w:t xml:space="preserve">Apply fix (e.g. query optimization, connection-pool tuning, autoscaling) based on identified root cause.</w:t>
            </w:r>
          </w:p>
        </w:tc>
      </w:tr>
      <w:tr>
        <w:tc>
          <w:tcPr>
            <w:tcW w:type="dxa" w:w="2000"/>
            <w:shd w:fill="FFFFFF" w:val="clear"/>
            <w:tcMar>
              <w:top w:type="dxa" w:w="80"/>
              <w:left w:type="dxa" w:w="100"/>
              <w:bottom w:type="dxa" w:w="80"/>
              <w:right w:type="dxa" w:w="100"/>
            </w:tcMar>
          </w:tcPr>
          <w:p>
            <w:r>
              <w:rPr>
                <w:sz w:val="20"/>
                <w:szCs w:val="20"/>
              </w:rPr>
              <w:t xml:space="preserve">Verify</w:t>
            </w:r>
          </w:p>
        </w:tc>
        <w:tc>
          <w:tcPr>
            <w:tcW w:type="dxa" w:w="2600"/>
            <w:shd w:fill="FFFFFF" w:val="clear"/>
            <w:tcMar>
              <w:top w:type="dxa" w:w="80"/>
              <w:left w:type="dxa" w:w="100"/>
              <w:bottom w:type="dxa" w:w="80"/>
              <w:right w:type="dxa" w:w="100"/>
            </w:tcMar>
          </w:tcPr>
          <w:p>
            <w:r>
              <w:rPr>
                <w:sz w:val="20"/>
                <w:szCs w:val="20"/>
              </w:rPr>
              <w:t xml:space="preserve">Prometheus + Grafana</w:t>
            </w:r>
          </w:p>
        </w:tc>
        <w:tc>
          <w:tcPr>
            <w:tcW w:type="dxa" w:w="4700"/>
            <w:shd w:fill="FFFFFF" w:val="clear"/>
            <w:tcMar>
              <w:top w:type="dxa" w:w="80"/>
              <w:left w:type="dxa" w:w="100"/>
              <w:bottom w:type="dxa" w:w="80"/>
              <w:right w:type="dxa" w:w="100"/>
            </w:tcMar>
          </w:tcPr>
          <w:p>
            <w:r>
              <w:rPr>
                <w:sz w:val="20"/>
                <w:szCs w:val="20"/>
              </w:rPr>
              <w:t xml:space="preserve">Confirm latency returns to baseline post-fix via the same dashboards used for detection.</w:t>
            </w:r>
          </w:p>
        </w:tc>
      </w:tr>
    </w:tbl>
    <w:p>
      <w:pPr>
        <w:spacing w:after="150"/>
      </w:pPr>
    </w:p>
    <w:p>
      <w:pPr>
        <w:pStyle w:val="Heading2"/>
        <w:spacing w:after="100" w:before="220"/>
      </w:pPr>
      <w:r>
        <w:rPr>
          <w:b/>
          <w:bCs/>
          <w:color w:val="2E5C8A"/>
          <w:sz w:val="23"/>
          <w:szCs w:val="23"/>
        </w:rPr>
        <w:t xml:space="preserve">3.6 Conclusion</w:t>
      </w:r>
    </w:p>
    <w:p>
      <w:pPr>
        <w:spacing w:after="120" w:line="300"/>
        <w:jc w:val="both"/>
      </w:pPr>
      <w:r>
        <w:rPr>
          <w:sz w:val="22"/>
          <w:szCs w:val="22"/>
        </w:rPr>
        <w:t xml:space="preserve">For an intermittent, hard-to-reproduce performance issue in a large SaaS application, no single tool is sufficient on its own. Prometheus provides the continuous, low-overhead metric collection needed to detect anomalies as they occur; Grafana turns those metrics into visual, correlated dashboards that narrow down which component is responsible; and the ELK Stack supplies the deep, searchable log context required to pinpoint the exact root cause. Together, this monitoring and logging trio forms a complete observability pipeline that transforms an unpredictable, hard-to-catch slowdown into a systematically detectable, diagnosable, and resolvable engineering problem.</w:t>
      </w:r>
    </w:p>
    <w:p>
      <w:pPr>
        <w:spacing w:after="300"/>
      </w:pPr>
    </w:p>
    <w:p>
      <w:pPr>
        <w:pBdr>
          <w:top w:val="single" w:color="1F3864" w:sz="8" w:space="6"/>
        </w:pBdr>
        <w:spacing w:before="200"/>
        <w:jc w:val="center"/>
      </w:pPr>
      <w:r>
        <w:rPr>
          <w:i/>
          <w:iCs/>
          <w:color w:val="595959"/>
          <w:sz w:val="20"/>
          <w:szCs w:val="20"/>
        </w:rPr>
        <w:t xml:space="preserve">— End of Assignment 4 —</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Musahith Arafath S  |  Reg. No. 192524400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jc w:val="right"/>
    </w:pPr>
    <w:r>
      <w:rPr>
        <w:i/>
        <w:iCs/>
        <w:color w:val="595959"/>
        <w:sz w:val="16"/>
        <w:szCs w:val="16"/>
      </w:rPr>
      <w:t xml:space="preserve">CSA10 - Software Engineering | Assignment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2026-08-11T04:20:44.423Z</dcterms:created>
  <dcterms:modified xsi:type="dcterms:W3CDTF">2026-08-11T04:20:44.439Z</dcterms:modified>
</cp:coreProperties>
</file>

<file path=docProps/custom.xml><?xml version="1.0" encoding="utf-8"?>
<Properties xmlns="http://schemas.openxmlformats.org/officeDocument/2006/custom-properties" xmlns:vt="http://schemas.openxmlformats.org/officeDocument/2006/docPropsVTypes"/>
</file>