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D2CD4" w14:textId="2201EC7B" w:rsidR="00546C46" w:rsidRDefault="003C755E" w:rsidP="00B9444A">
      <w:pPr>
        <w:pStyle w:val="footnotedescription"/>
      </w:pPr>
      <w:bookmarkStart w:id="0" w:name="_Toc206071186"/>
      <w:r>
        <w:rPr>
          <w:noProof/>
          <w:lang w:val="ro-RO"/>
        </w:rPr>
        <w:drawing>
          <wp:anchor distT="0" distB="0" distL="114300" distR="114300" simplePos="0" relativeHeight="251658240" behindDoc="0" locked="0" layoutInCell="1" allowOverlap="1" wp14:anchorId="030354D5" wp14:editId="5A1A0D38">
            <wp:simplePos x="0" y="0"/>
            <wp:positionH relativeFrom="column">
              <wp:posOffset>-794385</wp:posOffset>
            </wp:positionH>
            <wp:positionV relativeFrom="paragraph">
              <wp:posOffset>-929005</wp:posOffset>
            </wp:positionV>
            <wp:extent cx="7562414" cy="4448175"/>
            <wp:effectExtent l="0" t="0" r="635" b="0"/>
            <wp:wrapNone/>
            <wp:docPr id="1862069786" name="Picture 1" descr="Small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69786" name="Picture 1862069786" descr="Small tre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70656" cy="4453023"/>
                    </a:xfrm>
                    <a:prstGeom prst="rect">
                      <a:avLst/>
                    </a:prstGeom>
                  </pic:spPr>
                </pic:pic>
              </a:graphicData>
            </a:graphic>
            <wp14:sizeRelH relativeFrom="margin">
              <wp14:pctWidth>0</wp14:pctWidth>
            </wp14:sizeRelH>
            <wp14:sizeRelV relativeFrom="margin">
              <wp14:pctHeight>0</wp14:pctHeight>
            </wp14:sizeRelV>
          </wp:anchor>
        </w:drawing>
      </w:r>
    </w:p>
    <w:p w14:paraId="322DADBD" w14:textId="51A4CD98" w:rsidR="00546C46" w:rsidRDefault="00546C46" w:rsidP="00546C46">
      <w:pPr>
        <w:spacing w:after="120" w:line="360" w:lineRule="auto"/>
        <w:jc w:val="both"/>
        <w:rPr>
          <w:lang w:val="ro-RO"/>
        </w:rPr>
      </w:pPr>
    </w:p>
    <w:p w14:paraId="1D6EF4A5" w14:textId="77777777" w:rsidR="00546C46" w:rsidRDefault="00546C46" w:rsidP="00546C46">
      <w:pPr>
        <w:spacing w:after="120" w:line="360" w:lineRule="auto"/>
        <w:jc w:val="both"/>
        <w:rPr>
          <w:lang w:val="ro-RO"/>
        </w:rPr>
      </w:pPr>
    </w:p>
    <w:p w14:paraId="44AC0E45" w14:textId="45106BBC" w:rsidR="00546C46" w:rsidRDefault="00546C46" w:rsidP="00546C46">
      <w:pPr>
        <w:spacing w:after="120" w:line="360" w:lineRule="auto"/>
        <w:jc w:val="both"/>
        <w:rPr>
          <w:lang w:val="ro-RO"/>
        </w:rPr>
      </w:pPr>
    </w:p>
    <w:p w14:paraId="17AC4CFA" w14:textId="77777777" w:rsidR="00546C46" w:rsidRDefault="00546C46" w:rsidP="00546C46">
      <w:pPr>
        <w:spacing w:after="120" w:line="360" w:lineRule="auto"/>
        <w:jc w:val="both"/>
        <w:rPr>
          <w:lang w:val="ro-RO"/>
        </w:rPr>
      </w:pPr>
    </w:p>
    <w:p w14:paraId="4811D97A" w14:textId="77777777" w:rsidR="00546C46" w:rsidRDefault="00546C46" w:rsidP="00546C46">
      <w:pPr>
        <w:spacing w:after="120" w:line="360" w:lineRule="auto"/>
        <w:jc w:val="both"/>
        <w:rPr>
          <w:lang w:val="ro-RO"/>
        </w:rPr>
      </w:pPr>
    </w:p>
    <w:p w14:paraId="6FD1022C" w14:textId="77777777" w:rsidR="00546C46" w:rsidRDefault="00546C46" w:rsidP="00546C46">
      <w:pPr>
        <w:spacing w:after="120" w:line="360" w:lineRule="auto"/>
        <w:jc w:val="both"/>
        <w:rPr>
          <w:lang w:val="ro-RO"/>
        </w:rPr>
      </w:pPr>
    </w:p>
    <w:p w14:paraId="404D3E8E" w14:textId="77777777" w:rsidR="00546C46" w:rsidRDefault="00546C46" w:rsidP="00546C46">
      <w:pPr>
        <w:spacing w:after="120" w:line="360" w:lineRule="auto"/>
        <w:jc w:val="both"/>
        <w:rPr>
          <w:lang w:val="ro-RO"/>
        </w:rPr>
      </w:pPr>
    </w:p>
    <w:p w14:paraId="6E65AF11" w14:textId="77777777" w:rsidR="00546C46" w:rsidRDefault="00546C46" w:rsidP="00546C46">
      <w:pPr>
        <w:spacing w:after="120" w:line="360" w:lineRule="auto"/>
        <w:jc w:val="both"/>
        <w:rPr>
          <w:lang w:val="ro-RO"/>
        </w:rPr>
      </w:pPr>
    </w:p>
    <w:p w14:paraId="4DFA0514" w14:textId="77777777" w:rsidR="00546C46" w:rsidRDefault="00546C46" w:rsidP="00546C46">
      <w:pPr>
        <w:spacing w:after="120" w:line="360" w:lineRule="auto"/>
        <w:jc w:val="both"/>
        <w:rPr>
          <w:lang w:val="ro-RO"/>
        </w:rPr>
      </w:pPr>
    </w:p>
    <w:p w14:paraId="0BA1AB4F" w14:textId="77777777" w:rsidR="00546C46" w:rsidRDefault="00546C46" w:rsidP="00546C46">
      <w:pPr>
        <w:spacing w:after="120" w:line="360" w:lineRule="auto"/>
        <w:jc w:val="both"/>
        <w:rPr>
          <w:lang w:val="ro-RO"/>
        </w:rPr>
      </w:pPr>
    </w:p>
    <w:p w14:paraId="54359D69" w14:textId="77777777" w:rsidR="00546C46" w:rsidRDefault="00546C46" w:rsidP="00546C46">
      <w:pPr>
        <w:spacing w:after="120" w:line="360" w:lineRule="auto"/>
        <w:jc w:val="both"/>
        <w:rPr>
          <w:lang w:val="ro-RO"/>
        </w:rPr>
      </w:pPr>
    </w:p>
    <w:bookmarkEnd w:id="0"/>
    <w:p w14:paraId="27E4A953" w14:textId="77777777" w:rsidR="00B10C6D" w:rsidRPr="00491F55" w:rsidRDefault="00B10C6D" w:rsidP="00B10C6D">
      <w:pPr>
        <w:rPr>
          <w:lang w:val="ro-RO"/>
        </w:rPr>
      </w:pPr>
    </w:p>
    <w:p w14:paraId="0A40A960" w14:textId="77777777" w:rsidR="00B10C6D" w:rsidRPr="00491F55" w:rsidRDefault="00B10C6D" w:rsidP="00B10C6D">
      <w:pPr>
        <w:rPr>
          <w:lang w:val="ro-RO"/>
        </w:rPr>
      </w:pPr>
    </w:p>
    <w:p w14:paraId="6DAE81A4" w14:textId="77777777" w:rsidR="00B10C6D" w:rsidRPr="00491F55" w:rsidRDefault="00B10C6D" w:rsidP="00B10C6D">
      <w:pPr>
        <w:rPr>
          <w:lang w:val="ro-RO"/>
        </w:rPr>
      </w:pPr>
    </w:p>
    <w:p w14:paraId="5AB07281" w14:textId="33468420" w:rsidR="002C6059" w:rsidRPr="001F6427" w:rsidRDefault="003C755E" w:rsidP="009D13A2">
      <w:pPr>
        <w:rPr>
          <w:rFonts w:ascii="Nunito" w:hAnsi="Nunito"/>
          <w:bCs/>
          <w:color w:val="00B0F0"/>
          <w:sz w:val="32"/>
          <w:szCs w:val="32"/>
          <w:lang w:val="ro-RO"/>
        </w:rPr>
      </w:pPr>
      <w:r w:rsidRPr="001F6427">
        <w:rPr>
          <w:rFonts w:ascii="Nunito" w:hAnsi="Nunito"/>
          <w:bCs/>
          <w:color w:val="00B0F0"/>
          <w:sz w:val="32"/>
          <w:szCs w:val="32"/>
          <w:lang w:val="ro-RO"/>
        </w:rPr>
        <w:t>Rezumat fără caracter tehnic</w:t>
      </w:r>
    </w:p>
    <w:p w14:paraId="3E259781" w14:textId="25C63D89" w:rsidR="00B03DEF" w:rsidRPr="009D13A2" w:rsidRDefault="00B03DEF" w:rsidP="00B03DEF">
      <w:pPr>
        <w:rPr>
          <w:color w:val="00B0F0"/>
          <w:sz w:val="28"/>
          <w:szCs w:val="28"/>
          <w:lang w:val="ro-RO"/>
        </w:rPr>
      </w:pPr>
      <w:r w:rsidRPr="009D13A2">
        <w:rPr>
          <w:color w:val="00B0F0"/>
          <w:sz w:val="28"/>
          <w:szCs w:val="28"/>
          <w:lang w:val="ro-RO"/>
        </w:rPr>
        <w:t>_____________________________________________________</w:t>
      </w:r>
    </w:p>
    <w:p w14:paraId="43320522" w14:textId="77777777" w:rsidR="009B6916" w:rsidRDefault="009B6916" w:rsidP="009B6916">
      <w:pPr>
        <w:rPr>
          <w:lang w:val="ro-RO"/>
        </w:rPr>
      </w:pPr>
    </w:p>
    <w:p w14:paraId="70FBB7F3" w14:textId="77777777" w:rsidR="009B6916" w:rsidRDefault="009B6916" w:rsidP="009B6916">
      <w:pPr>
        <w:rPr>
          <w:lang w:val="ro-RO"/>
        </w:rPr>
      </w:pPr>
    </w:p>
    <w:tbl>
      <w:tblPr>
        <w:tblW w:w="10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2"/>
        <w:gridCol w:w="782"/>
      </w:tblGrid>
      <w:tr w:rsidR="003C755E" w:rsidRPr="003C755E" w14:paraId="3F6380C5" w14:textId="77777777" w:rsidTr="009D13A2">
        <w:trPr>
          <w:trHeight w:val="595"/>
        </w:trPr>
        <w:tc>
          <w:tcPr>
            <w:tcW w:w="10514" w:type="dxa"/>
            <w:gridSpan w:val="2"/>
            <w:tcBorders>
              <w:top w:val="none" w:sz="0" w:space="0" w:color="FFFFFF"/>
              <w:left w:val="none" w:sz="0" w:space="0" w:color="FFFFFF"/>
              <w:bottom w:val="none" w:sz="0" w:space="0" w:color="FFFFFF"/>
              <w:right w:val="none" w:sz="0" w:space="0" w:color="FFFFFF"/>
            </w:tcBorders>
            <w:tcMar>
              <w:top w:w="400" w:type="dxa"/>
              <w:left w:w="400" w:type="dxa"/>
              <w:bottom w:w="400" w:type="dxa"/>
              <w:right w:w="400" w:type="dxa"/>
            </w:tcMar>
          </w:tcPr>
          <w:p w14:paraId="4029E137" w14:textId="2AC719B2" w:rsidR="003C755E" w:rsidRPr="001F6427" w:rsidRDefault="009D13A2" w:rsidP="009D13A2">
            <w:pPr>
              <w:spacing w:after="80"/>
              <w:rPr>
                <w:rFonts w:ascii="Nunito" w:hAnsi="Nunito"/>
                <w:color w:val="009DF0" w:themeColor="text2"/>
                <w:sz w:val="24"/>
                <w:szCs w:val="24"/>
              </w:rPr>
            </w:pPr>
            <w:r w:rsidRPr="001F6427">
              <w:rPr>
                <w:rFonts w:ascii="Nunito" w:eastAsia="Arial" w:hAnsi="Nunito" w:cs="Arial"/>
                <w:color w:val="009DF0" w:themeColor="text2"/>
                <w:sz w:val="24"/>
                <w:szCs w:val="24"/>
              </w:rPr>
              <w:t xml:space="preserve">Raportul de Mediu - </w:t>
            </w:r>
            <w:r w:rsidR="003C755E" w:rsidRPr="001F6427">
              <w:rPr>
                <w:rFonts w:ascii="Nunito" w:eastAsia="Arial" w:hAnsi="Nunito" w:cs="Arial"/>
                <w:color w:val="009DF0" w:themeColor="text2"/>
                <w:sz w:val="24"/>
                <w:szCs w:val="24"/>
              </w:rPr>
              <w:t>Planul Național de Gestionare a Deșeurilor (PNGD)</w:t>
            </w:r>
          </w:p>
          <w:tbl>
            <w:tblPr>
              <w:tblpPr w:leftFromText="180" w:rightFromText="180" w:vertAnchor="text" w:horzAnchor="margin" w:tblpY="701"/>
              <w:tblW w:w="9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2428"/>
              <w:gridCol w:w="2429"/>
              <w:gridCol w:w="2429"/>
            </w:tblGrid>
            <w:tr w:rsidR="009D13A2" w:rsidRPr="003C755E" w14:paraId="680704FA" w14:textId="77777777" w:rsidTr="009D13A2">
              <w:trPr>
                <w:trHeight w:val="1719"/>
              </w:trPr>
              <w:tc>
                <w:tcPr>
                  <w:tcW w:w="2428" w:type="dxa"/>
                  <w:tcBorders>
                    <w:top w:val="none" w:sz="0" w:space="0" w:color="FFFFFF"/>
                    <w:left w:val="none" w:sz="0" w:space="0" w:color="FFFFFF"/>
                    <w:bottom w:val="none" w:sz="0" w:space="0" w:color="FFFFFF"/>
                    <w:right w:val="none" w:sz="0" w:space="0" w:color="FFFFFF"/>
                  </w:tcBorders>
                  <w:shd w:val="clear" w:color="auto" w:fill="FDEDEC"/>
                  <w:tcMar>
                    <w:top w:w="120" w:type="dxa"/>
                    <w:left w:w="200" w:type="dxa"/>
                    <w:bottom w:w="120" w:type="dxa"/>
                    <w:right w:w="200" w:type="dxa"/>
                  </w:tcMar>
                  <w:vAlign w:val="center"/>
                </w:tcPr>
                <w:p w14:paraId="21C46884" w14:textId="77777777" w:rsidR="009D13A2" w:rsidRPr="00E927A3" w:rsidRDefault="009D13A2" w:rsidP="009D13A2">
                  <w:pPr>
                    <w:spacing w:after="40"/>
                    <w:jc w:val="center"/>
                    <w:rPr>
                      <w:rFonts w:ascii="Nunito" w:hAnsi="Nunito"/>
                      <w:sz w:val="24"/>
                      <w:szCs w:val="24"/>
                      <w:lang w:val="de-DE"/>
                    </w:rPr>
                  </w:pPr>
                  <w:r w:rsidRPr="00E927A3">
                    <w:rPr>
                      <w:rFonts w:ascii="Nunito" w:eastAsia="Arial" w:hAnsi="Nunito" w:cs="Arial"/>
                      <w:b/>
                      <w:bCs/>
                      <w:color w:val="1B3A5C"/>
                      <w:sz w:val="24"/>
                      <w:szCs w:val="24"/>
                      <w:lang w:val="de-DE"/>
                    </w:rPr>
                    <w:t>74%</w:t>
                  </w:r>
                </w:p>
                <w:p w14:paraId="06EA5D35" w14:textId="77777777" w:rsidR="009D13A2" w:rsidRPr="00E927A3" w:rsidRDefault="009D13A2" w:rsidP="009D13A2">
                  <w:pPr>
                    <w:jc w:val="center"/>
                    <w:rPr>
                      <w:rFonts w:ascii="Nunito" w:hAnsi="Nunito"/>
                      <w:sz w:val="24"/>
                      <w:szCs w:val="24"/>
                      <w:lang w:val="de-DE"/>
                    </w:rPr>
                  </w:pPr>
                  <w:r w:rsidRPr="00E927A3">
                    <w:rPr>
                      <w:rFonts w:ascii="Nunito" w:eastAsia="Arial" w:hAnsi="Nunito" w:cs="Arial"/>
                      <w:color w:val="595959"/>
                      <w:sz w:val="24"/>
                      <w:szCs w:val="24"/>
                      <w:lang w:val="de-DE"/>
                    </w:rPr>
                    <w:t>din deșeuri ajung la groapa de gunoi</w:t>
                  </w:r>
                </w:p>
              </w:tc>
              <w:tc>
                <w:tcPr>
                  <w:tcW w:w="2428" w:type="dxa"/>
                  <w:tcBorders>
                    <w:top w:val="none" w:sz="0" w:space="0" w:color="FFFFFF"/>
                    <w:left w:val="none" w:sz="0" w:space="0" w:color="FFFFFF"/>
                    <w:bottom w:val="none" w:sz="0" w:space="0" w:color="FFFFFF"/>
                    <w:right w:val="none" w:sz="0" w:space="0" w:color="FFFFFF"/>
                  </w:tcBorders>
                  <w:shd w:val="clear" w:color="auto" w:fill="E2F0D9"/>
                  <w:tcMar>
                    <w:top w:w="120" w:type="dxa"/>
                    <w:left w:w="200" w:type="dxa"/>
                    <w:bottom w:w="120" w:type="dxa"/>
                    <w:right w:w="200" w:type="dxa"/>
                  </w:tcMar>
                  <w:vAlign w:val="center"/>
                </w:tcPr>
                <w:p w14:paraId="68067824" w14:textId="77777777" w:rsidR="009D13A2" w:rsidRPr="003C755E" w:rsidRDefault="009D13A2" w:rsidP="009D13A2">
                  <w:pPr>
                    <w:spacing w:after="40"/>
                    <w:jc w:val="center"/>
                    <w:rPr>
                      <w:rFonts w:ascii="Nunito" w:hAnsi="Nunito"/>
                      <w:sz w:val="24"/>
                      <w:szCs w:val="24"/>
                    </w:rPr>
                  </w:pPr>
                  <w:r w:rsidRPr="003C755E">
                    <w:rPr>
                      <w:rFonts w:ascii="Nunito" w:eastAsia="Arial" w:hAnsi="Nunito" w:cs="Arial"/>
                      <w:b/>
                      <w:bCs/>
                      <w:color w:val="1B3A5C"/>
                      <w:sz w:val="24"/>
                      <w:szCs w:val="24"/>
                    </w:rPr>
                    <w:t>10%</w:t>
                  </w:r>
                </w:p>
                <w:p w14:paraId="5B3BFEA1" w14:textId="77777777" w:rsidR="009D13A2" w:rsidRPr="003C755E" w:rsidRDefault="009D13A2" w:rsidP="009D13A2">
                  <w:pPr>
                    <w:jc w:val="center"/>
                    <w:rPr>
                      <w:rFonts w:ascii="Nunito" w:hAnsi="Nunito"/>
                      <w:sz w:val="24"/>
                      <w:szCs w:val="24"/>
                    </w:rPr>
                  </w:pPr>
                  <w:r w:rsidRPr="003C755E">
                    <w:rPr>
                      <w:rFonts w:ascii="Nunito" w:eastAsia="Arial" w:hAnsi="Nunito" w:cs="Arial"/>
                      <w:color w:val="595959"/>
                      <w:sz w:val="24"/>
                      <w:szCs w:val="24"/>
                    </w:rPr>
                    <w:t>ținta de depozitare până în 2035</w:t>
                  </w:r>
                </w:p>
              </w:tc>
              <w:tc>
                <w:tcPr>
                  <w:tcW w:w="2429"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vAlign w:val="center"/>
                </w:tcPr>
                <w:p w14:paraId="27A44281" w14:textId="77777777" w:rsidR="009D13A2" w:rsidRPr="003C755E" w:rsidRDefault="009D13A2" w:rsidP="009D13A2">
                  <w:pPr>
                    <w:spacing w:after="40"/>
                    <w:jc w:val="center"/>
                    <w:rPr>
                      <w:rFonts w:ascii="Nunito" w:hAnsi="Nunito"/>
                      <w:sz w:val="24"/>
                      <w:szCs w:val="24"/>
                    </w:rPr>
                  </w:pPr>
                  <w:r w:rsidRPr="003C755E">
                    <w:rPr>
                      <w:rFonts w:ascii="Nunito" w:eastAsia="Arial" w:hAnsi="Nunito" w:cs="Arial"/>
                      <w:b/>
                      <w:bCs/>
                      <w:color w:val="1B3A5C"/>
                      <w:sz w:val="24"/>
                      <w:szCs w:val="24"/>
                    </w:rPr>
                    <w:t>65%</w:t>
                  </w:r>
                </w:p>
                <w:p w14:paraId="6398046F" w14:textId="77777777" w:rsidR="009D13A2" w:rsidRPr="003C755E" w:rsidRDefault="009D13A2" w:rsidP="009D13A2">
                  <w:pPr>
                    <w:jc w:val="center"/>
                    <w:rPr>
                      <w:rFonts w:ascii="Nunito" w:hAnsi="Nunito"/>
                      <w:sz w:val="24"/>
                      <w:szCs w:val="24"/>
                    </w:rPr>
                  </w:pPr>
                  <w:r w:rsidRPr="003C755E">
                    <w:rPr>
                      <w:rFonts w:ascii="Nunito" w:eastAsia="Arial" w:hAnsi="Nunito" w:cs="Arial"/>
                      <w:color w:val="595959"/>
                      <w:sz w:val="24"/>
                      <w:szCs w:val="24"/>
                    </w:rPr>
                    <w:t>ținta de reciclare până în 2035</w:t>
                  </w:r>
                </w:p>
              </w:tc>
              <w:tc>
                <w:tcPr>
                  <w:tcW w:w="2429" w:type="dxa"/>
                  <w:tcBorders>
                    <w:top w:val="none" w:sz="0" w:space="0" w:color="FFFFFF"/>
                    <w:left w:val="none" w:sz="0" w:space="0" w:color="FFFFFF"/>
                    <w:bottom w:val="none" w:sz="0" w:space="0" w:color="FFFFFF"/>
                    <w:right w:val="none" w:sz="0" w:space="0" w:color="FFFFFF"/>
                  </w:tcBorders>
                  <w:shd w:val="clear" w:color="auto" w:fill="FDF0E6"/>
                  <w:tcMar>
                    <w:top w:w="120" w:type="dxa"/>
                    <w:left w:w="200" w:type="dxa"/>
                    <w:bottom w:w="120" w:type="dxa"/>
                    <w:right w:w="200" w:type="dxa"/>
                  </w:tcMar>
                  <w:vAlign w:val="center"/>
                </w:tcPr>
                <w:p w14:paraId="59EF11A8" w14:textId="77777777" w:rsidR="009D13A2" w:rsidRPr="003C755E" w:rsidRDefault="009D13A2" w:rsidP="009D13A2">
                  <w:pPr>
                    <w:spacing w:after="40"/>
                    <w:jc w:val="center"/>
                    <w:rPr>
                      <w:rFonts w:ascii="Nunito" w:hAnsi="Nunito"/>
                      <w:sz w:val="24"/>
                      <w:szCs w:val="24"/>
                    </w:rPr>
                  </w:pPr>
                  <w:r w:rsidRPr="003C755E">
                    <w:rPr>
                      <w:rFonts w:ascii="Nunito" w:eastAsia="Arial" w:hAnsi="Nunito" w:cs="Arial"/>
                      <w:b/>
                      <w:bCs/>
                      <w:color w:val="1B3A5C"/>
                      <w:sz w:val="24"/>
                      <w:szCs w:val="24"/>
                    </w:rPr>
                    <w:t>2 mld €</w:t>
                  </w:r>
                </w:p>
                <w:p w14:paraId="4385331F" w14:textId="77777777" w:rsidR="009D13A2" w:rsidRPr="003C755E" w:rsidRDefault="009D13A2" w:rsidP="009D13A2">
                  <w:pPr>
                    <w:jc w:val="center"/>
                    <w:rPr>
                      <w:rFonts w:ascii="Nunito" w:hAnsi="Nunito"/>
                      <w:sz w:val="24"/>
                      <w:szCs w:val="24"/>
                    </w:rPr>
                  </w:pPr>
                  <w:r w:rsidRPr="003C755E">
                    <w:rPr>
                      <w:rFonts w:ascii="Nunito" w:eastAsia="Arial" w:hAnsi="Nunito" w:cs="Arial"/>
                      <w:color w:val="595959"/>
                      <w:sz w:val="24"/>
                      <w:szCs w:val="24"/>
                    </w:rPr>
                    <w:t>investiții prevăzute (soluția integrată)</w:t>
                  </w:r>
                </w:p>
              </w:tc>
            </w:tr>
          </w:tbl>
          <w:p w14:paraId="21B1DC77" w14:textId="77777777" w:rsidR="003C755E" w:rsidRPr="001F6427" w:rsidRDefault="003C755E" w:rsidP="009D13A2">
            <w:pPr>
              <w:spacing w:after="80"/>
              <w:rPr>
                <w:rFonts w:ascii="Nunito" w:hAnsi="Nunito"/>
                <w:color w:val="002060"/>
                <w:sz w:val="24"/>
                <w:szCs w:val="24"/>
              </w:rPr>
            </w:pPr>
            <w:r w:rsidRPr="001F6427">
              <w:rPr>
                <w:rFonts w:ascii="Nunito" w:eastAsia="Arial" w:hAnsi="Nunito" w:cs="Arial"/>
                <w:color w:val="009DF0" w:themeColor="text2"/>
                <w:sz w:val="24"/>
                <w:szCs w:val="24"/>
              </w:rPr>
              <w:t>2026 – 2035</w:t>
            </w:r>
          </w:p>
        </w:tc>
      </w:tr>
      <w:tr w:rsidR="009D13A2" w:rsidRPr="003C755E" w14:paraId="382D9A79" w14:textId="77777777" w:rsidTr="009D13A2">
        <w:trPr>
          <w:gridAfter w:val="1"/>
          <w:wAfter w:w="782" w:type="dxa"/>
          <w:trHeight w:val="808"/>
        </w:trPr>
        <w:tc>
          <w:tcPr>
            <w:tcW w:w="9732" w:type="dxa"/>
            <w:tcBorders>
              <w:top w:val="none" w:sz="0" w:space="0" w:color="FFFFFF"/>
              <w:left w:val="none" w:sz="0" w:space="0" w:color="FFFFFF"/>
              <w:bottom w:val="none" w:sz="0" w:space="0" w:color="FFFFFF"/>
              <w:right w:val="none" w:sz="0" w:space="0" w:color="FFFFFF"/>
            </w:tcBorders>
            <w:shd w:val="clear" w:color="auto" w:fill="FDF0E6"/>
            <w:tcMar>
              <w:top w:w="80" w:type="dxa"/>
              <w:left w:w="160" w:type="dxa"/>
              <w:bottom w:w="80" w:type="dxa"/>
              <w:right w:w="160" w:type="dxa"/>
            </w:tcMar>
            <w:vAlign w:val="center"/>
          </w:tcPr>
          <w:p w14:paraId="1455BC83" w14:textId="679BCCF6" w:rsidR="009D13A2" w:rsidRPr="003C755E" w:rsidRDefault="009D13A2" w:rsidP="003C755E">
            <w:pPr>
              <w:jc w:val="both"/>
              <w:rPr>
                <w:rFonts w:ascii="Nunito" w:hAnsi="Nunito"/>
                <w:sz w:val="24"/>
                <w:szCs w:val="24"/>
              </w:rPr>
            </w:pPr>
            <w:r w:rsidRPr="003C755E">
              <w:rPr>
                <w:rFonts w:ascii="Nunito" w:eastAsia="Arial" w:hAnsi="Nunito" w:cs="Arial"/>
                <w:color w:val="2D2D2D"/>
                <w:sz w:val="24"/>
                <w:szCs w:val="24"/>
              </w:rPr>
              <w:t>România trebuie să treacă de la depozitare la reciclare. Planul propune o transformare completă a sistemului de deșeuri, cu beneficii dovedite pentru mediu, sănătate și economie.</w:t>
            </w:r>
          </w:p>
        </w:tc>
      </w:tr>
    </w:tbl>
    <w:p w14:paraId="63E8EFBF" w14:textId="77777777" w:rsidR="009B6916" w:rsidRDefault="009B6916" w:rsidP="009B6916">
      <w:pPr>
        <w:rPr>
          <w:lang w:val="ro-RO"/>
        </w:rPr>
      </w:pPr>
    </w:p>
    <w:p w14:paraId="7A425524" w14:textId="1669660C" w:rsidR="009D13A2" w:rsidRDefault="009D13A2">
      <w:pPr>
        <w:rPr>
          <w:lang w:val="ro-RO"/>
        </w:rPr>
      </w:pPr>
      <w:r>
        <w:rPr>
          <w:lang w:val="ro-RO"/>
        </w:rPr>
        <w:br w:type="page"/>
      </w:r>
    </w:p>
    <w:p w14:paraId="647C9061" w14:textId="77777777" w:rsidR="009B6916" w:rsidRDefault="009B6916" w:rsidP="009B6916">
      <w:pPr>
        <w:rPr>
          <w:lang w:val="ro-RO"/>
        </w:rPr>
      </w:pPr>
    </w:p>
    <w:p w14:paraId="06FCD12C" w14:textId="77777777" w:rsidR="003C755E" w:rsidRDefault="003C755E" w:rsidP="003C755E">
      <w:pPr>
        <w:spacing w:before="100"/>
      </w:pPr>
    </w:p>
    <w:p w14:paraId="2E4C3CA8" w14:textId="3FCD3C2E" w:rsidR="003C755E" w:rsidRPr="003C755E" w:rsidRDefault="003C755E" w:rsidP="003C755E">
      <w:pPr>
        <w:pStyle w:val="ListParagraph"/>
        <w:numPr>
          <w:ilvl w:val="0"/>
          <w:numId w:val="363"/>
        </w:numPr>
        <w:spacing w:after="160"/>
        <w:ind w:left="284" w:hanging="284"/>
        <w:rPr>
          <w:rFonts w:ascii="Nunito" w:eastAsia="Arial" w:hAnsi="Nunito" w:cs="Arial"/>
          <w:b/>
          <w:bCs/>
          <w:color w:val="00B0F0"/>
          <w:sz w:val="20"/>
          <w:szCs w:val="20"/>
        </w:rPr>
      </w:pPr>
      <w:r w:rsidRPr="003C755E">
        <w:rPr>
          <w:rFonts w:ascii="Nunito" w:eastAsia="Arial" w:hAnsi="Nunito" w:cs="Arial"/>
          <w:b/>
          <w:bCs/>
          <w:color w:val="00B0F0"/>
          <w:sz w:val="20"/>
          <w:szCs w:val="20"/>
        </w:rPr>
        <w:t>Ce este Raportul de Mediu?</w:t>
      </w:r>
    </w:p>
    <w:p w14:paraId="01F395E1" w14:textId="77777777" w:rsidR="00897F6B" w:rsidRPr="00897F6B" w:rsidRDefault="00897F6B" w:rsidP="001F6427">
      <w:pPr>
        <w:spacing w:after="160"/>
        <w:jc w:val="both"/>
        <w:rPr>
          <w:rFonts w:ascii="Nunito" w:hAnsi="Nunito"/>
        </w:rPr>
      </w:pPr>
      <w:r w:rsidRPr="00897F6B">
        <w:rPr>
          <w:rFonts w:ascii="Nunito" w:eastAsia="Arial" w:hAnsi="Nunito" w:cs="Arial"/>
          <w:color w:val="2D2D2D"/>
        </w:rPr>
        <w:t>Raportul de Mediu este elaborat în cadrul procedurii de Evaluare Strategică de Mediu (SEA) pentru Planul Național de Gestionare a Deșeurilor (PNGD 2026–2035). Raportul este o analiză obligatorie, cerută de legislația europeană (Directiva 2001/42/CE, transpusă în România prin HG 1076/2004), care verifică dacă un plan de amploare națională – cum este PNGD – protejează mediul înconjurător sau, dimpotrivă, ar putea produce efecte negative asupra apei, aerului, solului, sănătății oamenilor, naturii sau climei.</w:t>
      </w:r>
    </w:p>
    <w:p w14:paraId="676E07A5" w14:textId="77777777" w:rsidR="00897F6B" w:rsidRPr="00897F6B" w:rsidRDefault="00897F6B" w:rsidP="001F6427">
      <w:pPr>
        <w:spacing w:after="160"/>
        <w:jc w:val="both"/>
        <w:rPr>
          <w:rFonts w:ascii="Nunito" w:hAnsi="Nunito"/>
        </w:rPr>
      </w:pPr>
      <w:r w:rsidRPr="00897F6B">
        <w:rPr>
          <w:rFonts w:ascii="Nunito" w:eastAsia="Arial" w:hAnsi="Nunito" w:cs="Arial"/>
          <w:color w:val="2D2D2D"/>
        </w:rPr>
        <w:t>Raportul de Mediu descrie cum arată mediul acum (starea apelor, solului, aerului, biodiversității etc.) și identifică problemele existente legate de deșeuri. Apoi stabilește 17 obiective de protecție a mediului și verifică dacă măsurile din plan sunt compatibile cu ele. Evaluează toate acțiunile propuse în plan, pe fiecare obiectiv de mediu, clasificând efectele de la „pozitiv semnificativ” la „negativ semnificativ”. Compară alternativele de implementare (fără plan, modulară, integrată) din punct de vedere al impactului asupra mediului. Propune măsuri concrete de prevenire și reducere a efectelor negative și stabilește 90 de indicatori de monitorizare. Verifică și dacă planul ar putea afecta mediul din țările vecine.</w:t>
      </w:r>
    </w:p>
    <w:p w14:paraId="36AD1F42" w14:textId="77777777" w:rsidR="00897F6B" w:rsidRPr="00897F6B" w:rsidRDefault="00897F6B" w:rsidP="001F6427">
      <w:pPr>
        <w:spacing w:after="160"/>
        <w:jc w:val="both"/>
        <w:rPr>
          <w:rFonts w:ascii="Nunito" w:hAnsi="Nunito"/>
        </w:rPr>
      </w:pPr>
      <w:r w:rsidRPr="00897F6B">
        <w:rPr>
          <w:rFonts w:ascii="Nunito" w:eastAsia="Arial" w:hAnsi="Nunito" w:cs="Arial"/>
          <w:color w:val="2D2D2D"/>
        </w:rPr>
        <w:t>Raportul a fost elaborat de Ramboll South East Europe SRL, companie atestată pentru studii de mediu, și este un document public, parte din procesul de consultare și adoptare a PNGD. Fără acest raport, planul nu poate fi aprobat legal.</w:t>
      </w:r>
    </w:p>
    <w:p w14:paraId="38DDC68D" w14:textId="77777777" w:rsidR="00897F6B" w:rsidRPr="00897F6B" w:rsidRDefault="00897F6B" w:rsidP="00897F6B">
      <w:pPr>
        <w:spacing w:after="160"/>
        <w:rPr>
          <w:rFonts w:ascii="Nunito" w:eastAsia="Arial" w:hAnsi="Nunito" w:cs="Arial"/>
          <w:b/>
          <w:bCs/>
          <w:color w:val="00B0F0"/>
          <w:sz w:val="20"/>
          <w:szCs w:val="20"/>
        </w:rPr>
      </w:pPr>
      <w:r w:rsidRPr="00897F6B">
        <w:rPr>
          <w:rFonts w:ascii="Nunito" w:eastAsia="Arial" w:hAnsi="Nunito" w:cs="Arial"/>
          <w:b/>
          <w:bCs/>
          <w:color w:val="00B0F0"/>
          <w:sz w:val="20"/>
          <w:szCs w:val="20"/>
        </w:rPr>
        <w:t>1.1 De ce sunt importante evaluarea strategică de mediu (SEA) și raportul de mediu?</w:t>
      </w:r>
    </w:p>
    <w:p w14:paraId="0736D040" w14:textId="05CAE615" w:rsidR="00897F6B" w:rsidRPr="00897F6B" w:rsidRDefault="00897F6B" w:rsidP="00897F6B">
      <w:pPr>
        <w:pBdr>
          <w:bottom w:val="single" w:sz="3" w:space="2" w:color="D6E8F7"/>
        </w:pBdr>
        <w:spacing w:before="200" w:after="100"/>
        <w:jc w:val="both"/>
        <w:rPr>
          <w:rFonts w:ascii="Nunito" w:hAnsi="Nunito"/>
        </w:rPr>
      </w:pPr>
      <w:r w:rsidRPr="00897F6B">
        <w:rPr>
          <w:rFonts w:ascii="Nunito" w:eastAsia="Arial" w:hAnsi="Nunito" w:cs="Arial"/>
          <w:color w:val="2D2D2D"/>
        </w:rPr>
        <w:t>Evaluarea strategică de mediu (SEA) este o procedură prin care se analizează, încă din faza de planificare, ce efecte ar putea avea un plan sau un program asupra mediului, înainte ca deciziile să fie luate și investițiile să fie făcute. Spre deosebire de evaluarea de impact care se face pentru un proiect individual (de exemplu, o fabrică sau un drum), SEA se aplică la nivel strategic – adică analizează efectele întregului plan, cu toate măsurile și investițiile sale privite în ansamblu</w:t>
      </w:r>
    </w:p>
    <w:p w14:paraId="5CDFCC6A" w14:textId="77777777" w:rsidR="00897F6B" w:rsidRPr="00897F6B" w:rsidRDefault="00897F6B" w:rsidP="00897F6B">
      <w:pPr>
        <w:spacing w:after="160"/>
        <w:jc w:val="both"/>
        <w:rPr>
          <w:rFonts w:ascii="Nunito" w:hAnsi="Nunito"/>
        </w:rPr>
      </w:pPr>
      <w:r w:rsidRPr="00897F6B">
        <w:rPr>
          <w:rFonts w:ascii="Nunito" w:eastAsia="Arial" w:hAnsi="Nunito" w:cs="Arial"/>
          <w:b/>
          <w:bCs/>
          <w:color w:val="2D2D2D"/>
        </w:rPr>
        <w:t>De ce contează această procedură?</w:t>
      </w:r>
    </w:p>
    <w:p w14:paraId="10B1DBF2" w14:textId="77777777" w:rsidR="00897F6B" w:rsidRPr="00897F6B" w:rsidRDefault="00897F6B" w:rsidP="00897F6B">
      <w:pPr>
        <w:pStyle w:val="ListParagraph"/>
        <w:numPr>
          <w:ilvl w:val="0"/>
          <w:numId w:val="365"/>
        </w:numPr>
        <w:pBdr>
          <w:bottom w:val="single" w:sz="3" w:space="2" w:color="D6E8F7"/>
        </w:pBdr>
        <w:spacing w:before="200" w:after="100"/>
        <w:ind w:left="284" w:hanging="437"/>
        <w:jc w:val="both"/>
        <w:rPr>
          <w:rFonts w:ascii="Nunito" w:eastAsia="Arial" w:hAnsi="Nunito" w:cs="Arial"/>
          <w:color w:val="2D2D2D"/>
        </w:rPr>
      </w:pPr>
      <w:r w:rsidRPr="00897F6B">
        <w:rPr>
          <w:rFonts w:ascii="Nunito" w:eastAsia="Arial" w:hAnsi="Nunito" w:cs="Arial"/>
          <w:color w:val="2D2D2D"/>
        </w:rPr>
        <w:t>Previne problemele, nu doar le constată. SEA obligă autoritățile să se gândească la consecințele asupra mediului înainte de a aproba planul, nu după ce pagubele sunt deja produse. Este mult mai ieftin și mai eficient să previi un efect negativ decât să-l repari ulterior.</w:t>
      </w:r>
    </w:p>
    <w:p w14:paraId="124F99CD" w14:textId="77777777" w:rsidR="00897F6B" w:rsidRPr="00897F6B" w:rsidRDefault="00897F6B" w:rsidP="00897F6B">
      <w:pPr>
        <w:pStyle w:val="ListParagraph"/>
        <w:numPr>
          <w:ilvl w:val="0"/>
          <w:numId w:val="365"/>
        </w:numPr>
        <w:pBdr>
          <w:bottom w:val="single" w:sz="3" w:space="2" w:color="D6E8F7"/>
        </w:pBdr>
        <w:spacing w:before="200" w:after="100"/>
        <w:ind w:left="284" w:hanging="437"/>
        <w:jc w:val="both"/>
        <w:rPr>
          <w:rFonts w:ascii="Nunito" w:eastAsia="Arial" w:hAnsi="Nunito" w:cs="Arial"/>
          <w:color w:val="2D2D2D"/>
        </w:rPr>
      </w:pPr>
      <w:r w:rsidRPr="00897F6B">
        <w:rPr>
          <w:rFonts w:ascii="Nunito" w:eastAsia="Arial" w:hAnsi="Nunito" w:cs="Arial"/>
          <w:color w:val="2D2D2D"/>
        </w:rPr>
        <w:t>Compară alternative. Procedura impune analizarea mai multor variante de implementare (inclusiv scenariul „fără plan”) și alegerea celei care protejează cel mai bine mediul. În cazul PNGD, compararea a trei alternative a arătat că soluția integrată (IITD) este de două ori mai performantă din punct de vedere al mediului decât varianta modulară.</w:t>
      </w:r>
    </w:p>
    <w:p w14:paraId="12CBFA82" w14:textId="77777777" w:rsidR="00897F6B" w:rsidRPr="00897F6B" w:rsidRDefault="00897F6B" w:rsidP="00897F6B">
      <w:pPr>
        <w:pStyle w:val="ListParagraph"/>
        <w:numPr>
          <w:ilvl w:val="0"/>
          <w:numId w:val="365"/>
        </w:numPr>
        <w:pBdr>
          <w:bottom w:val="single" w:sz="3" w:space="2" w:color="D6E8F7"/>
        </w:pBdr>
        <w:spacing w:before="200" w:after="100"/>
        <w:ind w:left="284" w:hanging="437"/>
        <w:jc w:val="both"/>
        <w:rPr>
          <w:rFonts w:ascii="Nunito" w:eastAsia="Arial" w:hAnsi="Nunito" w:cs="Arial"/>
          <w:color w:val="2D2D2D"/>
        </w:rPr>
      </w:pPr>
      <w:r w:rsidRPr="00897F6B">
        <w:rPr>
          <w:rFonts w:ascii="Nunito" w:eastAsia="Arial" w:hAnsi="Nunito" w:cs="Arial"/>
          <w:color w:val="2D2D2D"/>
        </w:rPr>
        <w:t>Identifică ce trebuie protejat. Raportul de mediu stabilește obiective clare pentru apă, aer, sol, climă, sănătate, biodiversitate și peisaj, și verifică dacă planul le respectă. Această verificare sistematică (136 de acțiuni evaluate pe 17 obiective) asigură că niciun aspect important nu este trecut cu vederea.</w:t>
      </w:r>
    </w:p>
    <w:p w14:paraId="36560712" w14:textId="77777777" w:rsidR="00897F6B" w:rsidRPr="00897F6B" w:rsidRDefault="00897F6B" w:rsidP="00897F6B">
      <w:pPr>
        <w:pStyle w:val="ListParagraph"/>
        <w:numPr>
          <w:ilvl w:val="0"/>
          <w:numId w:val="365"/>
        </w:numPr>
        <w:pBdr>
          <w:bottom w:val="single" w:sz="3" w:space="2" w:color="D6E8F7"/>
        </w:pBdr>
        <w:spacing w:before="200" w:after="100"/>
        <w:ind w:left="284" w:hanging="437"/>
        <w:jc w:val="both"/>
        <w:rPr>
          <w:rFonts w:ascii="Nunito" w:eastAsia="Arial" w:hAnsi="Nunito" w:cs="Arial"/>
          <w:color w:val="2D2D2D"/>
        </w:rPr>
      </w:pPr>
      <w:r w:rsidRPr="00897F6B">
        <w:rPr>
          <w:rFonts w:ascii="Nunito" w:eastAsia="Arial" w:hAnsi="Nunito" w:cs="Arial"/>
          <w:color w:val="2D2D2D"/>
        </w:rPr>
        <w:t>Propune măsuri concrete de protecție. Acolo unde se identifică riscuri, raportul propune măsuri obligatorii și bune practici – de la standarde de emisii și zone tampon sanitare până la garanții financiare și compensații ecologice. Aceste măsuri devin condiții pentru autorizarea viitoarelor investiții.</w:t>
      </w:r>
    </w:p>
    <w:p w14:paraId="1D5A2012" w14:textId="77777777" w:rsidR="00897F6B" w:rsidRPr="00897F6B" w:rsidRDefault="00897F6B" w:rsidP="00897F6B">
      <w:pPr>
        <w:pStyle w:val="ListParagraph"/>
        <w:numPr>
          <w:ilvl w:val="0"/>
          <w:numId w:val="365"/>
        </w:numPr>
        <w:pBdr>
          <w:bottom w:val="single" w:sz="3" w:space="2" w:color="D6E8F7"/>
        </w:pBdr>
        <w:spacing w:before="200" w:after="100"/>
        <w:ind w:left="284" w:hanging="437"/>
        <w:jc w:val="both"/>
        <w:rPr>
          <w:rFonts w:ascii="Nunito" w:eastAsia="Arial" w:hAnsi="Nunito" w:cs="Arial"/>
          <w:color w:val="2D2D2D"/>
        </w:rPr>
      </w:pPr>
      <w:r w:rsidRPr="00897F6B">
        <w:rPr>
          <w:rFonts w:ascii="Nunito" w:eastAsia="Arial" w:hAnsi="Nunito" w:cs="Arial"/>
          <w:color w:val="2D2D2D"/>
        </w:rPr>
        <w:t>Asigură transparența și participarea publicului. Raportul de mediu este un document public, iar cetățenii, organizațiile neguvernamentale și autoritățile au dreptul să îl consulte și să formuleze observații înainte de adoptarea planului. Această consultare publică este o garanție democratică că interesele comunităților sunt luate în considerare.</w:t>
      </w:r>
    </w:p>
    <w:p w14:paraId="258D26E9" w14:textId="77777777" w:rsidR="00897F6B" w:rsidRPr="00897F6B" w:rsidRDefault="00897F6B" w:rsidP="00897F6B">
      <w:pPr>
        <w:pStyle w:val="ListParagraph"/>
        <w:numPr>
          <w:ilvl w:val="0"/>
          <w:numId w:val="365"/>
        </w:numPr>
        <w:pBdr>
          <w:bottom w:val="single" w:sz="3" w:space="2" w:color="D6E8F7"/>
        </w:pBdr>
        <w:spacing w:before="200" w:after="100"/>
        <w:ind w:left="284" w:hanging="437"/>
        <w:jc w:val="both"/>
        <w:rPr>
          <w:rFonts w:ascii="Nunito" w:eastAsia="Arial" w:hAnsi="Nunito" w:cs="Arial"/>
          <w:color w:val="2D2D2D"/>
        </w:rPr>
      </w:pPr>
      <w:r w:rsidRPr="00897F6B">
        <w:rPr>
          <w:rFonts w:ascii="Nunito" w:eastAsia="Arial" w:hAnsi="Nunito" w:cs="Arial"/>
          <w:color w:val="2D2D2D"/>
        </w:rPr>
        <w:t>Monitorizează efectele pe termen lung. Raportul stabilește 90 de indicatori de monitorizare care permit verificarea, pe parcursul implementării, dacă planul își atinge obiectivele de mediu. Dacă apar probleme neprevăzute, planul poate fi ajustat.</w:t>
      </w:r>
    </w:p>
    <w:p w14:paraId="331A805A" w14:textId="77777777" w:rsidR="00897F6B" w:rsidRPr="00897F6B" w:rsidRDefault="00897F6B" w:rsidP="00897F6B">
      <w:pPr>
        <w:pStyle w:val="ListParagraph"/>
        <w:numPr>
          <w:ilvl w:val="0"/>
          <w:numId w:val="365"/>
        </w:numPr>
        <w:pBdr>
          <w:bottom w:val="single" w:sz="3" w:space="2" w:color="D6E8F7"/>
        </w:pBdr>
        <w:spacing w:before="200" w:after="100"/>
        <w:ind w:left="284" w:hanging="437"/>
        <w:jc w:val="both"/>
        <w:rPr>
          <w:rFonts w:ascii="Nunito" w:eastAsia="Arial" w:hAnsi="Nunito" w:cs="Arial"/>
          <w:color w:val="2D2D2D"/>
        </w:rPr>
      </w:pPr>
      <w:r w:rsidRPr="00897F6B">
        <w:rPr>
          <w:rFonts w:ascii="Nunito" w:eastAsia="Arial" w:hAnsi="Nunito" w:cs="Arial"/>
          <w:color w:val="2D2D2D"/>
        </w:rPr>
        <w:t>Este o obligație legală. Fără parcurgerea completă a procedurii SEA și fără raportul de mediu, PNGD nu poate fi adoptat legal. Această cerință, stabilită de Directiva europeană 2001/42/CE, asigură că protecția mediului nu este opțională, ci o condiție prealabilă a oricărei planificări strategice.</w:t>
      </w:r>
    </w:p>
    <w:p w14:paraId="1ABAD005" w14:textId="77777777" w:rsidR="00897F6B" w:rsidRPr="00897F6B" w:rsidRDefault="00897F6B" w:rsidP="00897F6B">
      <w:pPr>
        <w:spacing w:before="60"/>
        <w:jc w:val="both"/>
        <w:rPr>
          <w:rFonts w:ascii="Nunito" w:hAnsi="Nunito"/>
        </w:rPr>
      </w:pPr>
    </w:p>
    <w:p w14:paraId="0BCB02B2" w14:textId="77777777" w:rsidR="00897F6B" w:rsidRPr="00897F6B" w:rsidRDefault="00897F6B" w:rsidP="00897F6B">
      <w:pPr>
        <w:spacing w:after="160"/>
        <w:jc w:val="both"/>
        <w:rPr>
          <w:rFonts w:ascii="Nunito" w:hAnsi="Nunito"/>
        </w:rPr>
      </w:pPr>
      <w:r w:rsidRPr="00897F6B">
        <w:rPr>
          <w:rFonts w:ascii="Nunito" w:eastAsia="Arial" w:hAnsi="Nunito" w:cs="Arial"/>
          <w:color w:val="2D2D2D"/>
        </w:rPr>
        <w:lastRenderedPageBreak/>
        <w:t>Pe scurt, SEA și raportul de mediu sunt „filtrele” prin care trece planul înainte de a fi pus în practică, asigurându-se că tranziția României către un sistem modern de gestionare a deșeurilor se face protejând, nu sacrificând, mediul înconjurător.</w:t>
      </w:r>
    </w:p>
    <w:p w14:paraId="030BF71F" w14:textId="53E97258" w:rsidR="003C755E" w:rsidRPr="003C755E" w:rsidRDefault="003C755E" w:rsidP="003C755E">
      <w:pPr>
        <w:pStyle w:val="ListParagraph"/>
        <w:numPr>
          <w:ilvl w:val="0"/>
          <w:numId w:val="363"/>
        </w:numPr>
        <w:spacing w:after="160"/>
        <w:ind w:left="284" w:hanging="284"/>
        <w:rPr>
          <w:rFonts w:ascii="Nunito" w:eastAsia="Arial" w:hAnsi="Nunito" w:cs="Arial"/>
          <w:b/>
          <w:bCs/>
          <w:color w:val="00B0F0"/>
          <w:sz w:val="20"/>
          <w:szCs w:val="20"/>
        </w:rPr>
      </w:pPr>
      <w:r w:rsidRPr="003C755E">
        <w:rPr>
          <w:rFonts w:ascii="Nunito" w:eastAsia="Arial" w:hAnsi="Nunito" w:cs="Arial"/>
          <w:b/>
          <w:bCs/>
          <w:color w:val="00B0F0"/>
          <w:sz w:val="20"/>
          <w:szCs w:val="20"/>
        </w:rPr>
        <w:t>Despre acest rezumat</w:t>
      </w:r>
    </w:p>
    <w:p w14:paraId="7E2E3B9B" w14:textId="77777777" w:rsidR="003C755E" w:rsidRDefault="003C755E" w:rsidP="003C755E">
      <w:pPr>
        <w:pStyle w:val="ListParagraph"/>
        <w:spacing w:before="100"/>
      </w:pPr>
    </w:p>
    <w:p w14:paraId="78438948" w14:textId="77777777" w:rsidR="003C755E" w:rsidRPr="003C755E" w:rsidRDefault="003C755E" w:rsidP="003C755E">
      <w:pPr>
        <w:spacing w:after="160"/>
        <w:rPr>
          <w:rFonts w:ascii="Nunito" w:eastAsia="Arial" w:hAnsi="Nunito" w:cs="Arial"/>
          <w:color w:val="2D2D2D"/>
        </w:rPr>
      </w:pPr>
      <w:r w:rsidRPr="003C755E">
        <w:rPr>
          <w:rFonts w:ascii="Nunito" w:eastAsia="Arial" w:hAnsi="Nunito" w:cs="Arial"/>
          <w:color w:val="2D2D2D"/>
        </w:rPr>
        <w:t>Prezentul rezumat descrie, pe scurt și într-un limbaj accesibil, conținutul Raportului de Mediu elaborat pentru Planul Național de Gestionare a Deșeurilor (PNGD).</w:t>
      </w:r>
    </w:p>
    <w:p w14:paraId="2DC30FDD" w14:textId="77777777" w:rsidR="003C755E" w:rsidRPr="003C755E" w:rsidRDefault="003C755E" w:rsidP="003C755E">
      <w:pPr>
        <w:spacing w:after="160"/>
        <w:rPr>
          <w:rFonts w:ascii="Nunito" w:eastAsia="Arial" w:hAnsi="Nunito" w:cs="Arial"/>
          <w:color w:val="2D2D2D"/>
        </w:rPr>
      </w:pPr>
      <w:r w:rsidRPr="003C755E">
        <w:rPr>
          <w:rFonts w:ascii="Nunito" w:eastAsia="Arial" w:hAnsi="Nunito" w:cs="Arial"/>
          <w:color w:val="2D2D2D"/>
        </w:rPr>
        <w:t>Raportul de Mediu analizează efectele pe care le-ar putea avea acest plan asupra mediului înconjurător – apa, aerul, solul, sănătatea oamenilor, natura și peisajul – și propune soluții pentru a preveni sau reduce orice consecințe negative.</w:t>
      </w:r>
    </w:p>
    <w:p w14:paraId="69F4B42A" w14:textId="77777777" w:rsidR="003C755E" w:rsidRDefault="003C755E" w:rsidP="003C755E">
      <w:pPr>
        <w:spacing w:after="160"/>
        <w:rPr>
          <w:rFonts w:ascii="Nunito" w:eastAsia="Arial" w:hAnsi="Nunito" w:cs="Arial"/>
          <w:color w:val="2D2D2D"/>
        </w:rPr>
      </w:pPr>
      <w:r w:rsidRPr="003C755E">
        <w:rPr>
          <w:rFonts w:ascii="Nunito" w:eastAsia="Arial" w:hAnsi="Nunito" w:cs="Arial"/>
          <w:color w:val="2D2D2D"/>
        </w:rPr>
        <w:t>PNGD este planul prin care România își stabilește strategia de gestionare a deșeurilor pentru următorii zece ani (2026–2035). Scopul său principal este trecerea de la un sistem bazat în mare măsură pe depozitarea deșeurilor la groapa de gunoi, la un sistem modern, în care deșeurile sunt colectate separat, reciclate, transformate în compost sau energie, iar cantitatea care ajunge la depozit să scadă drastic.</w:t>
      </w:r>
    </w:p>
    <w:p w14:paraId="65DB1BD6" w14:textId="77777777" w:rsidR="00897F6B" w:rsidRPr="00897F6B" w:rsidRDefault="00897F6B" w:rsidP="00897F6B">
      <w:pPr>
        <w:pBdr>
          <w:bottom w:val="single" w:sz="3" w:space="2" w:color="D6E8F7"/>
        </w:pBdr>
        <w:spacing w:before="200" w:after="100"/>
        <w:rPr>
          <w:rFonts w:ascii="Nunito" w:hAnsi="Nunito"/>
          <w:color w:val="00B0F0"/>
        </w:rPr>
      </w:pPr>
      <w:r w:rsidRPr="00897F6B">
        <w:rPr>
          <w:rFonts w:ascii="Nunito" w:eastAsia="Arial" w:hAnsi="Nunito" w:cs="Arial"/>
          <w:b/>
          <w:bCs/>
          <w:color w:val="00B0F0"/>
        </w:rPr>
        <w:t>De ce este necesar PNGD?</w:t>
      </w:r>
    </w:p>
    <w:p w14:paraId="21C7D003" w14:textId="55EA987C" w:rsidR="00897F6B" w:rsidRDefault="00897F6B" w:rsidP="00897F6B">
      <w:pPr>
        <w:spacing w:after="160"/>
        <w:jc w:val="both"/>
        <w:rPr>
          <w:rFonts w:ascii="Nunito" w:eastAsia="Arial" w:hAnsi="Nunito" w:cs="Arial"/>
          <w:color w:val="2D2D2D"/>
        </w:rPr>
      </w:pPr>
      <w:r w:rsidRPr="00897F6B">
        <w:rPr>
          <w:rFonts w:ascii="Nunito" w:eastAsia="Arial" w:hAnsi="Nunito" w:cs="Arial"/>
          <w:color w:val="2D2D2D"/>
        </w:rPr>
        <w:t>România se află într-o situație critică în domeniul deșeurilor. În prezent, aproximativ 74% din deșeurile municipale ajung la groapa de gunoi (față de sub 25% media europeană), rata de reciclare este de doar 10–15% (față de 55% obligatoriu din 2025), iar 9 depozite municipale neconforme funcționează încă, încălcând legislația europeană. Milioane de cetățeni din mediul rural nu au acces la servicii de colectare a deșeurilor, ceea ce duce la arderea necontrolată și abandonul deșeurilor în natură. Fără un plan național coerent, România riscă penalități europene de sute de mii de euro pe zi și pierderea finanțărilor.</w:t>
      </w:r>
    </w:p>
    <w:p w14:paraId="7C676576" w14:textId="296C95BE" w:rsidR="001F6427" w:rsidRPr="00897F6B" w:rsidRDefault="001F6427" w:rsidP="00897F6B">
      <w:pPr>
        <w:spacing w:after="160"/>
        <w:jc w:val="both"/>
        <w:rPr>
          <w:rFonts w:ascii="Nunito" w:hAnsi="Nunito"/>
        </w:rPr>
      </w:pPr>
      <w:r>
        <w:rPr>
          <w:rFonts w:ascii="Nunito" w:eastAsia="Arial" w:hAnsi="Nunito" w:cs="Arial"/>
          <w:color w:val="2D2D2D"/>
        </w:rPr>
        <w:t>Planul acoperă întreg teritoriul național.</w:t>
      </w:r>
    </w:p>
    <w:p w14:paraId="213B5998" w14:textId="77777777" w:rsidR="00897F6B" w:rsidRPr="00897F6B" w:rsidRDefault="00897F6B" w:rsidP="00897F6B">
      <w:pPr>
        <w:pBdr>
          <w:bottom w:val="single" w:sz="3" w:space="2" w:color="D6E8F7"/>
        </w:pBdr>
        <w:spacing w:before="200" w:after="100"/>
        <w:rPr>
          <w:rFonts w:ascii="Nunito" w:hAnsi="Nunito"/>
          <w:color w:val="00B0F0"/>
        </w:rPr>
      </w:pPr>
      <w:r w:rsidRPr="00897F6B">
        <w:rPr>
          <w:rFonts w:ascii="Nunito" w:eastAsia="Arial" w:hAnsi="Nunito" w:cs="Arial"/>
          <w:b/>
          <w:bCs/>
          <w:color w:val="00B0F0"/>
        </w:rPr>
        <w:t>Ce face concret PNGD?</w:t>
      </w:r>
    </w:p>
    <w:p w14:paraId="7CE8E280" w14:textId="77777777" w:rsidR="00897F6B" w:rsidRPr="00897F6B" w:rsidRDefault="00897F6B" w:rsidP="00897F6B">
      <w:pPr>
        <w:spacing w:after="160"/>
        <w:rPr>
          <w:rFonts w:ascii="Nunito" w:hAnsi="Nunito"/>
        </w:rPr>
      </w:pPr>
      <w:r w:rsidRPr="00897F6B">
        <w:rPr>
          <w:rFonts w:ascii="Nunito" w:eastAsia="Arial" w:hAnsi="Nunito" w:cs="Arial"/>
          <w:color w:val="2D2D2D"/>
        </w:rPr>
        <w:t>Planul propune 136 de acțiuni concrete, organizate pe 17 fluxuri de deșeuri, care vizează:</w:t>
      </w:r>
    </w:p>
    <w:p w14:paraId="0D4630E1" w14:textId="77777777" w:rsidR="00897F6B" w:rsidRPr="00897F6B" w:rsidRDefault="00897F6B" w:rsidP="00897F6B">
      <w:pPr>
        <w:pStyle w:val="ListParagraph"/>
        <w:numPr>
          <w:ilvl w:val="0"/>
          <w:numId w:val="364"/>
        </w:numPr>
        <w:spacing w:after="80" w:line="240" w:lineRule="auto"/>
        <w:contextualSpacing w:val="0"/>
        <w:rPr>
          <w:rFonts w:ascii="Nunito" w:hAnsi="Nunito"/>
        </w:rPr>
      </w:pPr>
      <w:r w:rsidRPr="00897F6B">
        <w:rPr>
          <w:rFonts w:ascii="Nunito" w:eastAsia="Arial" w:hAnsi="Nunito" w:cs="Arial"/>
          <w:color w:val="2D2D2D"/>
        </w:rPr>
        <w:t>Extinderea colectării separate la toate localitățile din țară – hârtie, plastic, metal, sticlă, biodeșeuri, textile și deșeuri voluminoase vor fi colectate separat, casă de casă sau la puncte de colectare.</w:t>
      </w:r>
    </w:p>
    <w:p w14:paraId="58CDDC43" w14:textId="77777777" w:rsidR="00897F6B" w:rsidRPr="00897F6B" w:rsidRDefault="00897F6B" w:rsidP="00897F6B">
      <w:pPr>
        <w:pStyle w:val="ListParagraph"/>
        <w:numPr>
          <w:ilvl w:val="0"/>
          <w:numId w:val="364"/>
        </w:numPr>
        <w:spacing w:after="80" w:line="240" w:lineRule="auto"/>
        <w:contextualSpacing w:val="0"/>
        <w:rPr>
          <w:rFonts w:ascii="Nunito" w:hAnsi="Nunito"/>
        </w:rPr>
      </w:pPr>
      <w:r w:rsidRPr="00897F6B">
        <w:rPr>
          <w:rFonts w:ascii="Nunito" w:eastAsia="Arial" w:hAnsi="Nunito" w:cs="Arial"/>
          <w:color w:val="2D2D2D"/>
        </w:rPr>
        <w:t>Construirea de instalații moderne de tratare – stații de sortare, instalații de compostare și digestie anaerobă (care transformă biodeșeurile în compost și energie), instalații integrate de tratare a deșeurilor (IITD).</w:t>
      </w:r>
    </w:p>
    <w:p w14:paraId="6C87DCD7" w14:textId="77777777" w:rsidR="00897F6B" w:rsidRPr="00897F6B" w:rsidRDefault="00897F6B" w:rsidP="00897F6B">
      <w:pPr>
        <w:pStyle w:val="ListParagraph"/>
        <w:numPr>
          <w:ilvl w:val="0"/>
          <w:numId w:val="364"/>
        </w:numPr>
        <w:spacing w:after="80" w:line="240" w:lineRule="auto"/>
        <w:contextualSpacing w:val="0"/>
        <w:rPr>
          <w:rFonts w:ascii="Nunito" w:hAnsi="Nunito"/>
        </w:rPr>
      </w:pPr>
      <w:r w:rsidRPr="00897F6B">
        <w:rPr>
          <w:rFonts w:ascii="Nunito" w:eastAsia="Arial" w:hAnsi="Nunito" w:cs="Arial"/>
          <w:color w:val="2D2D2D"/>
        </w:rPr>
        <w:t>Închiderea celor 9 depozite neconforme – care polueză activ apa, solul și aerul, și care fac obiectul unei proceduri de infringement la Curtea de Justiție a UE.</w:t>
      </w:r>
    </w:p>
    <w:p w14:paraId="33301087" w14:textId="77777777" w:rsidR="00897F6B" w:rsidRPr="00897F6B" w:rsidRDefault="00897F6B" w:rsidP="00897F6B">
      <w:pPr>
        <w:pStyle w:val="ListParagraph"/>
        <w:numPr>
          <w:ilvl w:val="0"/>
          <w:numId w:val="364"/>
        </w:numPr>
        <w:spacing w:after="80" w:line="240" w:lineRule="auto"/>
        <w:contextualSpacing w:val="0"/>
        <w:rPr>
          <w:rFonts w:ascii="Nunito" w:hAnsi="Nunito"/>
        </w:rPr>
      </w:pPr>
      <w:r w:rsidRPr="00897F6B">
        <w:rPr>
          <w:rFonts w:ascii="Nunito" w:eastAsia="Arial" w:hAnsi="Nunito" w:cs="Arial"/>
          <w:color w:val="2D2D2D"/>
        </w:rPr>
        <w:t>Reducerea depozitării de la 74% la maximum 10% până în 2035 – prin reciclare, compostare și valorificare energetică a deșeurilor nereciclabile.</w:t>
      </w:r>
    </w:p>
    <w:p w14:paraId="55F6DE96" w14:textId="77777777" w:rsidR="00897F6B" w:rsidRPr="00897F6B" w:rsidRDefault="00897F6B" w:rsidP="00897F6B">
      <w:pPr>
        <w:pStyle w:val="ListParagraph"/>
        <w:numPr>
          <w:ilvl w:val="0"/>
          <w:numId w:val="364"/>
        </w:numPr>
        <w:spacing w:after="80" w:line="240" w:lineRule="auto"/>
        <w:contextualSpacing w:val="0"/>
        <w:rPr>
          <w:rFonts w:ascii="Nunito" w:hAnsi="Nunito"/>
        </w:rPr>
      </w:pPr>
      <w:r w:rsidRPr="00897F6B">
        <w:rPr>
          <w:rFonts w:ascii="Nunito" w:eastAsia="Arial" w:hAnsi="Nunito" w:cs="Arial"/>
          <w:color w:val="2D2D2D"/>
        </w:rPr>
        <w:t>Valorificarea energetică a deșeurilor – elaborarea unei strategii naționale până în 2028, cu implementare până în 2034, pentru a recupera energia din fracțiile nereciclabile.</w:t>
      </w:r>
    </w:p>
    <w:p w14:paraId="7AC60EA2" w14:textId="77777777" w:rsidR="00897F6B" w:rsidRPr="00897F6B" w:rsidRDefault="00897F6B" w:rsidP="00897F6B">
      <w:pPr>
        <w:pStyle w:val="ListParagraph"/>
        <w:numPr>
          <w:ilvl w:val="0"/>
          <w:numId w:val="364"/>
        </w:numPr>
        <w:spacing w:after="80" w:line="240" w:lineRule="auto"/>
        <w:contextualSpacing w:val="0"/>
        <w:rPr>
          <w:rFonts w:ascii="Nunito" w:hAnsi="Nunito"/>
        </w:rPr>
      </w:pPr>
      <w:r w:rsidRPr="00897F6B">
        <w:rPr>
          <w:rFonts w:ascii="Nunito" w:eastAsia="Arial" w:hAnsi="Nunito" w:cs="Arial"/>
          <w:color w:val="2D2D2D"/>
        </w:rPr>
        <w:t>Reducerea risipei alimentare – cu 30% până în 2025 și cu 50% până în 2030, prin măsuri în producție, comerț și gospodării.</w:t>
      </w:r>
    </w:p>
    <w:p w14:paraId="1B2C5D82" w14:textId="77777777" w:rsidR="00897F6B" w:rsidRPr="00897F6B" w:rsidRDefault="00897F6B" w:rsidP="00897F6B">
      <w:pPr>
        <w:pStyle w:val="ListParagraph"/>
        <w:numPr>
          <w:ilvl w:val="0"/>
          <w:numId w:val="364"/>
        </w:numPr>
        <w:spacing w:after="80" w:line="240" w:lineRule="auto"/>
        <w:contextualSpacing w:val="0"/>
        <w:rPr>
          <w:rFonts w:ascii="Nunito" w:hAnsi="Nunito"/>
        </w:rPr>
      </w:pPr>
      <w:r w:rsidRPr="00897F6B">
        <w:rPr>
          <w:rFonts w:ascii="Nunito" w:eastAsia="Arial" w:hAnsi="Nunito" w:cs="Arial"/>
          <w:color w:val="2D2D2D"/>
        </w:rPr>
        <w:t>Gestionarea fluxurilor speciale – baterii, echipamente electronice, vehicule scoase din uz, anvelope, uleiuri, deșeuri din construcții, nămoluri de epurare, deșeuri periculoase (azbest, PCB), deșeuri sanitare și veterinare.</w:t>
      </w:r>
    </w:p>
    <w:p w14:paraId="100BF30F" w14:textId="77777777" w:rsidR="00897F6B" w:rsidRPr="00897F6B" w:rsidRDefault="00897F6B" w:rsidP="00897F6B">
      <w:pPr>
        <w:pStyle w:val="ListParagraph"/>
        <w:numPr>
          <w:ilvl w:val="0"/>
          <w:numId w:val="364"/>
        </w:numPr>
        <w:spacing w:after="80" w:line="240" w:lineRule="auto"/>
        <w:contextualSpacing w:val="0"/>
        <w:rPr>
          <w:rFonts w:ascii="Nunito" w:hAnsi="Nunito"/>
        </w:rPr>
      </w:pPr>
      <w:r w:rsidRPr="00897F6B">
        <w:rPr>
          <w:rFonts w:ascii="Nunito" w:eastAsia="Arial" w:hAnsi="Nunito" w:cs="Arial"/>
          <w:color w:val="2D2D2D"/>
        </w:rPr>
        <w:t>Reforma instrumentelor economice – creșterea taxei de depozitare (de la ~16 €/t la 80 €/t până în 2035), aplicarea principiului „plătește pentru cât arunci”, consolidarea răspunderii extinse a producătorilor (REP).</w:t>
      </w:r>
    </w:p>
    <w:p w14:paraId="35784E15" w14:textId="77777777" w:rsidR="00897F6B" w:rsidRPr="00897F6B" w:rsidRDefault="00897F6B" w:rsidP="00897F6B">
      <w:pPr>
        <w:pStyle w:val="ListParagraph"/>
        <w:numPr>
          <w:ilvl w:val="0"/>
          <w:numId w:val="364"/>
        </w:numPr>
        <w:spacing w:after="80" w:line="240" w:lineRule="auto"/>
        <w:contextualSpacing w:val="0"/>
        <w:rPr>
          <w:rFonts w:ascii="Nunito" w:hAnsi="Nunito"/>
        </w:rPr>
      </w:pPr>
      <w:r w:rsidRPr="00897F6B">
        <w:rPr>
          <w:rFonts w:ascii="Nunito" w:eastAsia="Arial" w:hAnsi="Nunito" w:cs="Arial"/>
          <w:color w:val="2D2D2D"/>
        </w:rPr>
        <w:t>Digitalizarea și trasabilitatea – sisteme informatice pentru urmărirea deșeurilor de la generare la tratare, raportare electronică, monitorizare în timp real.</w:t>
      </w:r>
    </w:p>
    <w:p w14:paraId="635847FB" w14:textId="77777777" w:rsidR="00897F6B" w:rsidRPr="00897F6B" w:rsidRDefault="00897F6B" w:rsidP="00897F6B">
      <w:pPr>
        <w:pStyle w:val="ListParagraph"/>
        <w:numPr>
          <w:ilvl w:val="0"/>
          <w:numId w:val="364"/>
        </w:numPr>
        <w:spacing w:after="80" w:line="240" w:lineRule="auto"/>
        <w:contextualSpacing w:val="0"/>
        <w:rPr>
          <w:rFonts w:ascii="Nunito" w:hAnsi="Nunito"/>
        </w:rPr>
      </w:pPr>
      <w:r w:rsidRPr="00897F6B">
        <w:rPr>
          <w:rFonts w:ascii="Nunito" w:eastAsia="Arial" w:hAnsi="Nunito" w:cs="Arial"/>
          <w:color w:val="2D2D2D"/>
        </w:rPr>
        <w:t>Consolidarea cadrului legislativ – modificarea a peste 10 acte normative pentru alinierea la cerințele europene și eliminarea blocajelor din sistem.</w:t>
      </w:r>
    </w:p>
    <w:p w14:paraId="4CCE458B" w14:textId="77777777" w:rsidR="00897F6B" w:rsidRPr="00897F6B" w:rsidRDefault="00897F6B" w:rsidP="00897F6B">
      <w:pPr>
        <w:pStyle w:val="ListParagraph"/>
        <w:numPr>
          <w:ilvl w:val="0"/>
          <w:numId w:val="364"/>
        </w:numPr>
        <w:spacing w:after="80" w:line="240" w:lineRule="auto"/>
        <w:contextualSpacing w:val="0"/>
        <w:rPr>
          <w:rFonts w:ascii="Nunito" w:hAnsi="Nunito"/>
        </w:rPr>
      </w:pPr>
      <w:r w:rsidRPr="00897F6B">
        <w:rPr>
          <w:rFonts w:ascii="Nunito" w:eastAsia="Arial" w:hAnsi="Nunito" w:cs="Arial"/>
          <w:color w:val="2D2D2D"/>
        </w:rPr>
        <w:t>Prevenirea generării de deșeuri – prin Programul Național de Prevenire (PNPGD), cu campanii de conștientizare, promovarea reparării și reutilizării, achiziții publice verzi.</w:t>
      </w:r>
    </w:p>
    <w:p w14:paraId="204ECBC7" w14:textId="77777777" w:rsidR="00897F6B" w:rsidRPr="00897F6B" w:rsidRDefault="00897F6B" w:rsidP="00897F6B">
      <w:pPr>
        <w:spacing w:before="60"/>
        <w:rPr>
          <w:rFonts w:ascii="Nunito" w:hAnsi="Nunito"/>
        </w:rPr>
      </w:pPr>
    </w:p>
    <w:p w14:paraId="09EC4273" w14:textId="77777777" w:rsidR="00897F6B" w:rsidRPr="00897F6B" w:rsidRDefault="00897F6B" w:rsidP="00897F6B">
      <w:pPr>
        <w:spacing w:after="160"/>
        <w:rPr>
          <w:rFonts w:ascii="Nunito" w:hAnsi="Nunito"/>
        </w:rPr>
      </w:pPr>
      <w:r w:rsidRPr="00897F6B">
        <w:rPr>
          <w:rFonts w:ascii="Nunito" w:eastAsia="Arial" w:hAnsi="Nunito" w:cs="Arial"/>
          <w:color w:val="2D2D2D"/>
        </w:rPr>
        <w:t>Investiția totală estimată este de aproximativ 2 miliarde euro (varianta integrată recomandată), finanțată din fonduri europene (PNRR, Fondul de Coeziune), Administrația Fondului pentru Mediu și contribuții ale operatorilor economici. Planul este însoțit de un mecanism de monitorizare anuală și se revizuiește cel puțin o dată la 6 ani.</w:t>
      </w:r>
    </w:p>
    <w:p w14:paraId="730A1BD8" w14:textId="77777777" w:rsidR="00897F6B" w:rsidRPr="003C755E" w:rsidRDefault="00897F6B" w:rsidP="003C755E">
      <w:pPr>
        <w:spacing w:after="160"/>
        <w:rPr>
          <w:rFonts w:ascii="Nunito" w:eastAsia="Arial" w:hAnsi="Nunito" w:cs="Arial"/>
          <w:color w:val="2D2D2D"/>
        </w:rPr>
      </w:pPr>
    </w:p>
    <w:p w14:paraId="6BB0983B" w14:textId="1C9445DD" w:rsidR="003C755E" w:rsidRPr="003C755E" w:rsidRDefault="003C755E" w:rsidP="003C755E">
      <w:pPr>
        <w:pStyle w:val="ListParagraph"/>
        <w:numPr>
          <w:ilvl w:val="0"/>
          <w:numId w:val="363"/>
        </w:numPr>
        <w:spacing w:after="160"/>
        <w:ind w:left="284" w:hanging="284"/>
        <w:rPr>
          <w:rFonts w:ascii="Nunito" w:eastAsia="Arial" w:hAnsi="Nunito" w:cs="Arial"/>
          <w:b/>
          <w:bCs/>
          <w:color w:val="00B0F0"/>
          <w:sz w:val="20"/>
          <w:szCs w:val="20"/>
        </w:rPr>
      </w:pPr>
      <w:r w:rsidRPr="003C755E">
        <w:rPr>
          <w:rFonts w:ascii="Nunito" w:eastAsia="Arial" w:hAnsi="Nunito" w:cs="Arial"/>
          <w:b/>
          <w:bCs/>
          <w:color w:val="00B0F0"/>
          <w:sz w:val="20"/>
          <w:szCs w:val="20"/>
        </w:rPr>
        <w:t xml:space="preserve">Prezentarea </w:t>
      </w:r>
      <w:r w:rsidR="00897F6B">
        <w:rPr>
          <w:rFonts w:ascii="Nunito" w:eastAsia="Arial" w:hAnsi="Nunito" w:cs="Arial"/>
          <w:b/>
          <w:bCs/>
          <w:color w:val="00B0F0"/>
          <w:sz w:val="20"/>
          <w:szCs w:val="20"/>
        </w:rPr>
        <w:t>P</w:t>
      </w:r>
      <w:r w:rsidRPr="003C755E">
        <w:rPr>
          <w:rFonts w:ascii="Nunito" w:eastAsia="Arial" w:hAnsi="Nunito" w:cs="Arial"/>
          <w:b/>
          <w:bCs/>
          <w:color w:val="00B0F0"/>
          <w:sz w:val="20"/>
          <w:szCs w:val="20"/>
        </w:rPr>
        <w:t xml:space="preserve">anului </w:t>
      </w:r>
      <w:r w:rsidR="00897F6B">
        <w:rPr>
          <w:rFonts w:ascii="Nunito" w:eastAsia="Arial" w:hAnsi="Nunito" w:cs="Arial"/>
          <w:b/>
          <w:bCs/>
          <w:color w:val="00B0F0"/>
          <w:sz w:val="20"/>
          <w:szCs w:val="20"/>
        </w:rPr>
        <w:t>N</w:t>
      </w:r>
      <w:r w:rsidRPr="003C755E">
        <w:rPr>
          <w:rFonts w:ascii="Nunito" w:eastAsia="Arial" w:hAnsi="Nunito" w:cs="Arial"/>
          <w:b/>
          <w:bCs/>
          <w:color w:val="00B0F0"/>
          <w:sz w:val="20"/>
          <w:szCs w:val="20"/>
        </w:rPr>
        <w:t xml:space="preserve">ațional de </w:t>
      </w:r>
      <w:r w:rsidR="00897F6B">
        <w:rPr>
          <w:rFonts w:ascii="Nunito" w:eastAsia="Arial" w:hAnsi="Nunito" w:cs="Arial"/>
          <w:b/>
          <w:bCs/>
          <w:color w:val="00B0F0"/>
          <w:sz w:val="20"/>
          <w:szCs w:val="20"/>
        </w:rPr>
        <w:t>G</w:t>
      </w:r>
      <w:r w:rsidRPr="003C755E">
        <w:rPr>
          <w:rFonts w:ascii="Nunito" w:eastAsia="Arial" w:hAnsi="Nunito" w:cs="Arial"/>
          <w:b/>
          <w:bCs/>
          <w:color w:val="00B0F0"/>
          <w:sz w:val="20"/>
          <w:szCs w:val="20"/>
        </w:rPr>
        <w:t xml:space="preserve">estiune a </w:t>
      </w:r>
      <w:r w:rsidR="00897F6B">
        <w:rPr>
          <w:rFonts w:ascii="Nunito" w:eastAsia="Arial" w:hAnsi="Nunito" w:cs="Arial"/>
          <w:b/>
          <w:bCs/>
          <w:color w:val="00B0F0"/>
          <w:sz w:val="20"/>
          <w:szCs w:val="20"/>
        </w:rPr>
        <w:t>D</w:t>
      </w:r>
      <w:r w:rsidRPr="003C755E">
        <w:rPr>
          <w:rFonts w:ascii="Nunito" w:eastAsia="Arial" w:hAnsi="Nunito" w:cs="Arial"/>
          <w:b/>
          <w:bCs/>
          <w:color w:val="00B0F0"/>
          <w:sz w:val="20"/>
          <w:szCs w:val="20"/>
        </w:rPr>
        <w:t>eșeurilor</w:t>
      </w:r>
    </w:p>
    <w:p w14:paraId="2FC51543" w14:textId="0189738B" w:rsidR="001F6427" w:rsidRPr="003C755E" w:rsidRDefault="003C755E" w:rsidP="003C755E">
      <w:pPr>
        <w:spacing w:after="160"/>
        <w:jc w:val="both"/>
        <w:rPr>
          <w:rFonts w:ascii="Nunito" w:eastAsia="Arial" w:hAnsi="Nunito" w:cs="Arial"/>
          <w:color w:val="2D2D2D"/>
        </w:rPr>
      </w:pPr>
      <w:r w:rsidRPr="003C755E">
        <w:rPr>
          <w:rFonts w:ascii="Nunito" w:eastAsia="Arial" w:hAnsi="Nunito" w:cs="Arial"/>
          <w:color w:val="2D2D2D"/>
        </w:rPr>
        <w:t xml:space="preserve">Planul Național de Gestionare a Deșeurilor (PNGD) </w:t>
      </w:r>
      <w:r w:rsidR="00897F6B">
        <w:rPr>
          <w:rFonts w:ascii="Nunito" w:eastAsia="Arial" w:hAnsi="Nunito" w:cs="Arial"/>
          <w:color w:val="2D2D2D"/>
        </w:rPr>
        <w:t>reprezintă</w:t>
      </w:r>
      <w:r w:rsidRPr="003C755E">
        <w:rPr>
          <w:rFonts w:ascii="Nunito" w:eastAsia="Arial" w:hAnsi="Nunito" w:cs="Arial"/>
          <w:color w:val="2D2D2D"/>
        </w:rPr>
        <w:t xml:space="preserve"> strategia României pentru următorii 10 ani în domeniul deșeurilor. </w:t>
      </w:r>
      <w:r w:rsidR="001F6427" w:rsidRPr="001F6427">
        <w:rPr>
          <w:rFonts w:ascii="Nunito" w:eastAsia="Arial" w:hAnsi="Nunito" w:cs="Arial"/>
          <w:color w:val="2D2D2D"/>
        </w:rPr>
        <w:t>Planul Național de Gestionare a Deșeurilor (PNGD) este coordonat de Ministerul Mediului, Apelor și Pădurilor și se aplică pe întreg teritoriul țării. Structura sa este concepută etapizat: pornește de la analiza situației existente, stabilește obiective și ținte, formulează măsuri concrete pe fiecare categorie de deșeuri și instituie mecanisme de monitorizare. Pentru deșeurile municipale, planul include prognoze detaliate ale cantităților generate, analiza alternativelor de infrastructură și evaluarea suportabilității costurilor pentru populație</w:t>
      </w:r>
    </w:p>
    <w:p w14:paraId="285138E5" w14:textId="77777777" w:rsidR="003C755E" w:rsidRPr="00284CF4" w:rsidRDefault="003C755E" w:rsidP="003C755E">
      <w:pPr>
        <w:spacing w:before="60"/>
        <w:jc w:val="both"/>
        <w:rPr>
          <w:rFonts w:ascii="Nunito" w:hAnsi="Nunito"/>
        </w:rPr>
      </w:pPr>
    </w:p>
    <w:tbl>
      <w:tblPr>
        <w:tblW w:w="9026" w:type="dxa"/>
        <w:tblBorders>
          <w:top w:val="single" w:sz="2" w:space="0" w:color="CCCCCC"/>
          <w:bottom w:val="single" w:sz="2" w:space="0" w:color="CCCCCC"/>
          <w:insideH w:val="single" w:sz="2" w:space="0" w:color="CCCCCC"/>
        </w:tblBorders>
        <w:tblCellMar>
          <w:left w:w="10" w:type="dxa"/>
          <w:right w:w="10" w:type="dxa"/>
        </w:tblCellMar>
        <w:tblLook w:val="04A0" w:firstRow="1" w:lastRow="0" w:firstColumn="1" w:lastColumn="0" w:noHBand="0" w:noVBand="1"/>
      </w:tblPr>
      <w:tblGrid>
        <w:gridCol w:w="3000"/>
        <w:gridCol w:w="6026"/>
      </w:tblGrid>
      <w:tr w:rsidR="003C755E" w:rsidRPr="00284CF4" w14:paraId="3ED50BB7" w14:textId="77777777" w:rsidTr="003C755E">
        <w:tc>
          <w:tcPr>
            <w:tcW w:w="3000" w:type="dxa"/>
            <w:shd w:val="clear" w:color="auto" w:fill="EBF3FA"/>
            <w:tcMar>
              <w:top w:w="80" w:type="dxa"/>
              <w:left w:w="160" w:type="dxa"/>
              <w:bottom w:w="80" w:type="dxa"/>
              <w:right w:w="160" w:type="dxa"/>
            </w:tcMar>
            <w:vAlign w:val="center"/>
          </w:tcPr>
          <w:p w14:paraId="4F0079BD" w14:textId="77777777" w:rsidR="003C755E" w:rsidRPr="003C755E" w:rsidRDefault="003C755E" w:rsidP="009B4490">
            <w:pPr>
              <w:jc w:val="both"/>
              <w:rPr>
                <w:rFonts w:ascii="Nunito" w:hAnsi="Nunito"/>
              </w:rPr>
            </w:pPr>
            <w:r w:rsidRPr="003C755E">
              <w:rPr>
                <w:rFonts w:ascii="Nunito" w:eastAsia="Arial" w:hAnsi="Nunito" w:cs="Arial"/>
                <w:b/>
                <w:bCs/>
                <w:color w:val="1B3A5C"/>
              </w:rPr>
              <w:t>Perioadă de planificare</w:t>
            </w:r>
          </w:p>
        </w:tc>
        <w:tc>
          <w:tcPr>
            <w:tcW w:w="6026" w:type="dxa"/>
            <w:shd w:val="clear" w:color="auto" w:fill="EBF3FA"/>
            <w:tcMar>
              <w:top w:w="80" w:type="dxa"/>
              <w:left w:w="160" w:type="dxa"/>
              <w:bottom w:w="80" w:type="dxa"/>
              <w:right w:w="160" w:type="dxa"/>
            </w:tcMar>
            <w:vAlign w:val="center"/>
          </w:tcPr>
          <w:p w14:paraId="604B2B9D" w14:textId="77777777" w:rsidR="003C755E" w:rsidRPr="003C755E" w:rsidRDefault="003C755E" w:rsidP="009B4490">
            <w:pPr>
              <w:jc w:val="both"/>
              <w:rPr>
                <w:rFonts w:ascii="Nunito" w:hAnsi="Nunito"/>
              </w:rPr>
            </w:pPr>
            <w:r w:rsidRPr="003C755E">
              <w:rPr>
                <w:rFonts w:ascii="Nunito" w:eastAsia="Arial" w:hAnsi="Nunito" w:cs="Arial"/>
                <w:color w:val="2D2D2D"/>
              </w:rPr>
              <w:t>2026 – 2035 (10 ani)</w:t>
            </w:r>
          </w:p>
        </w:tc>
      </w:tr>
      <w:tr w:rsidR="003C755E" w:rsidRPr="00284CF4" w14:paraId="66F6BB03" w14:textId="77777777" w:rsidTr="003C755E">
        <w:tc>
          <w:tcPr>
            <w:tcW w:w="3000" w:type="dxa"/>
            <w:shd w:val="clear" w:color="auto" w:fill="FFFFFF"/>
            <w:tcMar>
              <w:top w:w="80" w:type="dxa"/>
              <w:left w:w="160" w:type="dxa"/>
              <w:bottom w:w="80" w:type="dxa"/>
              <w:right w:w="160" w:type="dxa"/>
            </w:tcMar>
            <w:vAlign w:val="center"/>
          </w:tcPr>
          <w:p w14:paraId="0E2F319E" w14:textId="77777777" w:rsidR="003C755E" w:rsidRPr="003C755E" w:rsidRDefault="003C755E" w:rsidP="009B4490">
            <w:pPr>
              <w:jc w:val="both"/>
              <w:rPr>
                <w:rFonts w:ascii="Nunito" w:hAnsi="Nunito"/>
              </w:rPr>
            </w:pPr>
            <w:r w:rsidRPr="003C755E">
              <w:rPr>
                <w:rFonts w:ascii="Nunito" w:eastAsia="Arial" w:hAnsi="Nunito" w:cs="Arial"/>
                <w:b/>
                <w:bCs/>
                <w:color w:val="1B3A5C"/>
              </w:rPr>
              <w:t>An de referință</w:t>
            </w:r>
          </w:p>
        </w:tc>
        <w:tc>
          <w:tcPr>
            <w:tcW w:w="6026" w:type="dxa"/>
            <w:shd w:val="clear" w:color="auto" w:fill="FFFFFF"/>
            <w:tcMar>
              <w:top w:w="80" w:type="dxa"/>
              <w:left w:w="160" w:type="dxa"/>
              <w:bottom w:w="80" w:type="dxa"/>
              <w:right w:w="160" w:type="dxa"/>
            </w:tcMar>
            <w:vAlign w:val="center"/>
          </w:tcPr>
          <w:p w14:paraId="438F2E79" w14:textId="77777777" w:rsidR="003C755E" w:rsidRPr="003C755E" w:rsidRDefault="003C755E" w:rsidP="009B4490">
            <w:pPr>
              <w:jc w:val="both"/>
              <w:rPr>
                <w:rFonts w:ascii="Nunito" w:hAnsi="Nunito"/>
              </w:rPr>
            </w:pPr>
            <w:r w:rsidRPr="003C755E">
              <w:rPr>
                <w:rFonts w:ascii="Nunito" w:eastAsia="Arial" w:hAnsi="Nunito" w:cs="Arial"/>
                <w:color w:val="2D2D2D"/>
              </w:rPr>
              <w:t>2022 (pentru cantitățile de deșeuri)</w:t>
            </w:r>
          </w:p>
        </w:tc>
      </w:tr>
      <w:tr w:rsidR="003C755E" w:rsidRPr="00284CF4" w14:paraId="44B49D86" w14:textId="77777777" w:rsidTr="003C755E">
        <w:tc>
          <w:tcPr>
            <w:tcW w:w="3000" w:type="dxa"/>
            <w:shd w:val="clear" w:color="auto" w:fill="EBF3FA"/>
            <w:tcMar>
              <w:top w:w="80" w:type="dxa"/>
              <w:left w:w="160" w:type="dxa"/>
              <w:bottom w:w="80" w:type="dxa"/>
              <w:right w:w="160" w:type="dxa"/>
            </w:tcMar>
            <w:vAlign w:val="center"/>
          </w:tcPr>
          <w:p w14:paraId="227140E0" w14:textId="77777777" w:rsidR="003C755E" w:rsidRPr="003C755E" w:rsidRDefault="003C755E" w:rsidP="009B4490">
            <w:pPr>
              <w:jc w:val="both"/>
              <w:rPr>
                <w:rFonts w:ascii="Nunito" w:hAnsi="Nunito"/>
              </w:rPr>
            </w:pPr>
            <w:r w:rsidRPr="003C755E">
              <w:rPr>
                <w:rFonts w:ascii="Nunito" w:eastAsia="Arial" w:hAnsi="Nunito" w:cs="Arial"/>
                <w:b/>
                <w:bCs/>
                <w:color w:val="1B3A5C"/>
              </w:rPr>
              <w:t>Coordonator</w:t>
            </w:r>
          </w:p>
        </w:tc>
        <w:tc>
          <w:tcPr>
            <w:tcW w:w="6026" w:type="dxa"/>
            <w:shd w:val="clear" w:color="auto" w:fill="EBF3FA"/>
            <w:tcMar>
              <w:top w:w="80" w:type="dxa"/>
              <w:left w:w="160" w:type="dxa"/>
              <w:bottom w:w="80" w:type="dxa"/>
              <w:right w:w="160" w:type="dxa"/>
            </w:tcMar>
            <w:vAlign w:val="center"/>
          </w:tcPr>
          <w:p w14:paraId="6DD2A298" w14:textId="77777777" w:rsidR="003C755E" w:rsidRPr="003C755E" w:rsidRDefault="003C755E" w:rsidP="009B4490">
            <w:pPr>
              <w:jc w:val="both"/>
              <w:rPr>
                <w:rFonts w:ascii="Nunito" w:hAnsi="Nunito"/>
              </w:rPr>
            </w:pPr>
            <w:r w:rsidRPr="003C755E">
              <w:rPr>
                <w:rFonts w:ascii="Nunito" w:eastAsia="Arial" w:hAnsi="Nunito" w:cs="Arial"/>
                <w:color w:val="2D2D2D"/>
              </w:rPr>
              <w:t>Ministerul Mediului, Apelor și Pădurilor (MMAP)</w:t>
            </w:r>
          </w:p>
        </w:tc>
      </w:tr>
      <w:tr w:rsidR="003C755E" w:rsidRPr="00284CF4" w14:paraId="2A9AE20F" w14:textId="77777777" w:rsidTr="003C755E">
        <w:tc>
          <w:tcPr>
            <w:tcW w:w="3000" w:type="dxa"/>
            <w:shd w:val="clear" w:color="auto" w:fill="FFFFFF"/>
            <w:tcMar>
              <w:top w:w="80" w:type="dxa"/>
              <w:left w:w="160" w:type="dxa"/>
              <w:bottom w:w="80" w:type="dxa"/>
              <w:right w:w="160" w:type="dxa"/>
            </w:tcMar>
            <w:vAlign w:val="center"/>
          </w:tcPr>
          <w:p w14:paraId="600C04B4" w14:textId="77777777" w:rsidR="003C755E" w:rsidRPr="003C755E" w:rsidRDefault="003C755E" w:rsidP="009B4490">
            <w:pPr>
              <w:jc w:val="both"/>
              <w:rPr>
                <w:rFonts w:ascii="Nunito" w:hAnsi="Nunito"/>
              </w:rPr>
            </w:pPr>
            <w:r w:rsidRPr="003C755E">
              <w:rPr>
                <w:rFonts w:ascii="Nunito" w:eastAsia="Arial" w:hAnsi="Nunito" w:cs="Arial"/>
                <w:b/>
                <w:bCs/>
                <w:color w:val="1B3A5C"/>
              </w:rPr>
              <w:t>Arie de acoperire</w:t>
            </w:r>
          </w:p>
        </w:tc>
        <w:tc>
          <w:tcPr>
            <w:tcW w:w="6026" w:type="dxa"/>
            <w:shd w:val="clear" w:color="auto" w:fill="FFFFFF"/>
            <w:tcMar>
              <w:top w:w="80" w:type="dxa"/>
              <w:left w:w="160" w:type="dxa"/>
              <w:bottom w:w="80" w:type="dxa"/>
              <w:right w:w="160" w:type="dxa"/>
            </w:tcMar>
            <w:vAlign w:val="center"/>
          </w:tcPr>
          <w:p w14:paraId="481D643A" w14:textId="77777777" w:rsidR="003C755E" w:rsidRPr="003C755E" w:rsidRDefault="003C755E" w:rsidP="009B4490">
            <w:pPr>
              <w:jc w:val="both"/>
              <w:rPr>
                <w:rFonts w:ascii="Nunito" w:hAnsi="Nunito"/>
              </w:rPr>
            </w:pPr>
            <w:r w:rsidRPr="003C755E">
              <w:rPr>
                <w:rFonts w:ascii="Nunito" w:eastAsia="Arial" w:hAnsi="Nunito" w:cs="Arial"/>
                <w:color w:val="2D2D2D"/>
              </w:rPr>
              <w:t>Întreg teritoriul României – toate UAT-urile</w:t>
            </w:r>
          </w:p>
        </w:tc>
      </w:tr>
      <w:tr w:rsidR="003C755E" w:rsidRPr="00284CF4" w14:paraId="59E9C6AA" w14:textId="77777777" w:rsidTr="003C755E">
        <w:tc>
          <w:tcPr>
            <w:tcW w:w="3000" w:type="dxa"/>
            <w:shd w:val="clear" w:color="auto" w:fill="EBF3FA"/>
            <w:tcMar>
              <w:top w:w="80" w:type="dxa"/>
              <w:left w:w="160" w:type="dxa"/>
              <w:bottom w:w="80" w:type="dxa"/>
              <w:right w:w="160" w:type="dxa"/>
            </w:tcMar>
            <w:vAlign w:val="center"/>
          </w:tcPr>
          <w:p w14:paraId="12DF1CE3" w14:textId="77777777" w:rsidR="003C755E" w:rsidRPr="003C755E" w:rsidRDefault="003C755E" w:rsidP="009B4490">
            <w:pPr>
              <w:jc w:val="both"/>
              <w:rPr>
                <w:rFonts w:ascii="Nunito" w:hAnsi="Nunito"/>
              </w:rPr>
            </w:pPr>
            <w:r w:rsidRPr="003C755E">
              <w:rPr>
                <w:rFonts w:ascii="Nunito" w:eastAsia="Arial" w:hAnsi="Nunito" w:cs="Arial"/>
                <w:b/>
                <w:bCs/>
                <w:color w:val="1B3A5C"/>
              </w:rPr>
              <w:t>Raport de Mediu elaborat de</w:t>
            </w:r>
          </w:p>
        </w:tc>
        <w:tc>
          <w:tcPr>
            <w:tcW w:w="6026" w:type="dxa"/>
            <w:shd w:val="clear" w:color="auto" w:fill="EBF3FA"/>
            <w:tcMar>
              <w:top w:w="80" w:type="dxa"/>
              <w:left w:w="160" w:type="dxa"/>
              <w:bottom w:w="80" w:type="dxa"/>
              <w:right w:w="160" w:type="dxa"/>
            </w:tcMar>
            <w:vAlign w:val="center"/>
          </w:tcPr>
          <w:p w14:paraId="1463F63A" w14:textId="77777777" w:rsidR="003C755E" w:rsidRPr="003C755E" w:rsidRDefault="003C755E" w:rsidP="009B4490">
            <w:pPr>
              <w:jc w:val="both"/>
              <w:rPr>
                <w:rFonts w:ascii="Nunito" w:hAnsi="Nunito"/>
              </w:rPr>
            </w:pPr>
            <w:r w:rsidRPr="003C755E">
              <w:rPr>
                <w:rFonts w:ascii="Nunito" w:eastAsia="Arial" w:hAnsi="Nunito" w:cs="Arial"/>
                <w:color w:val="2D2D2D"/>
              </w:rPr>
              <w:t>Ramboll South East Europe SRL</w:t>
            </w:r>
          </w:p>
        </w:tc>
      </w:tr>
      <w:tr w:rsidR="003C755E" w:rsidRPr="00284CF4" w14:paraId="5684A37C" w14:textId="77777777" w:rsidTr="003C755E">
        <w:tc>
          <w:tcPr>
            <w:tcW w:w="3000" w:type="dxa"/>
            <w:shd w:val="clear" w:color="auto" w:fill="FFFFFF"/>
            <w:tcMar>
              <w:top w:w="80" w:type="dxa"/>
              <w:left w:w="160" w:type="dxa"/>
              <w:bottom w:w="80" w:type="dxa"/>
              <w:right w:w="160" w:type="dxa"/>
            </w:tcMar>
            <w:vAlign w:val="center"/>
          </w:tcPr>
          <w:p w14:paraId="78775F6A" w14:textId="77777777" w:rsidR="003C755E" w:rsidRPr="003C755E" w:rsidRDefault="003C755E" w:rsidP="009B4490">
            <w:pPr>
              <w:jc w:val="both"/>
              <w:rPr>
                <w:rFonts w:ascii="Nunito" w:hAnsi="Nunito"/>
              </w:rPr>
            </w:pPr>
            <w:r w:rsidRPr="003C755E">
              <w:rPr>
                <w:rFonts w:ascii="Nunito" w:eastAsia="Arial" w:hAnsi="Nunito" w:cs="Arial"/>
                <w:b/>
                <w:bCs/>
                <w:color w:val="1B3A5C"/>
              </w:rPr>
              <w:t>Cadru legal</w:t>
            </w:r>
          </w:p>
        </w:tc>
        <w:tc>
          <w:tcPr>
            <w:tcW w:w="6026" w:type="dxa"/>
            <w:shd w:val="clear" w:color="auto" w:fill="FFFFFF"/>
            <w:tcMar>
              <w:top w:w="80" w:type="dxa"/>
              <w:left w:w="160" w:type="dxa"/>
              <w:bottom w:w="80" w:type="dxa"/>
              <w:right w:w="160" w:type="dxa"/>
            </w:tcMar>
            <w:vAlign w:val="center"/>
          </w:tcPr>
          <w:p w14:paraId="169468C9" w14:textId="77777777" w:rsidR="003C755E" w:rsidRPr="003C755E" w:rsidRDefault="003C755E" w:rsidP="009B4490">
            <w:pPr>
              <w:jc w:val="both"/>
              <w:rPr>
                <w:rFonts w:ascii="Nunito" w:hAnsi="Nunito"/>
              </w:rPr>
            </w:pPr>
            <w:r w:rsidRPr="003C755E">
              <w:rPr>
                <w:rFonts w:ascii="Nunito" w:eastAsia="Arial" w:hAnsi="Nunito" w:cs="Arial"/>
                <w:color w:val="2D2D2D"/>
              </w:rPr>
              <w:t>HG 1076/2004 (transpunere Directiva SEA 2001/42/CE)</w:t>
            </w:r>
          </w:p>
        </w:tc>
      </w:tr>
    </w:tbl>
    <w:p w14:paraId="355D6C82" w14:textId="77777777" w:rsidR="003C755E" w:rsidRDefault="003C755E" w:rsidP="003C755E">
      <w:pPr>
        <w:spacing w:before="100"/>
        <w:jc w:val="both"/>
        <w:rPr>
          <w:rFonts w:ascii="Nunito" w:hAnsi="Nunito"/>
        </w:rPr>
      </w:pPr>
    </w:p>
    <w:p w14:paraId="242E03AB" w14:textId="77777777" w:rsidR="001F6427" w:rsidRPr="001F6427" w:rsidRDefault="001F6427" w:rsidP="001F6427">
      <w:pPr>
        <w:pBdr>
          <w:bottom w:val="single" w:sz="3" w:space="2" w:color="D6E8F7"/>
        </w:pBdr>
        <w:spacing w:before="200" w:after="100"/>
        <w:jc w:val="both"/>
        <w:rPr>
          <w:rFonts w:ascii="Nunito" w:hAnsi="Nunito"/>
        </w:rPr>
      </w:pPr>
      <w:r w:rsidRPr="001F6427">
        <w:rPr>
          <w:rFonts w:ascii="Nunito" w:eastAsia="Arial" w:hAnsi="Nunito" w:cs="Arial"/>
          <w:b/>
          <w:bCs/>
          <w:color w:val="2E75B6"/>
        </w:rPr>
        <w:t>Contextul socio-demografic</w:t>
      </w:r>
    </w:p>
    <w:p w14:paraId="144F6DE6"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Contextul socio-demografic influențează direct generarea și compoziția deșeurilor. Tendințele recente arată o scădere a populației rezidente, o concentrare majoritară a populației în mediul urban și o accentuare a îmbătrânirii demografice. Prognoza indică o scădere a cantității de deșeuri menajere de la 303 kg/locuitor/an în 2022 la 281 kg/locuitor/an în 2035, ca efect al măsurilor de prevenire. Aceste date sunt esențiale pentru dimensionarea corectă a infrastructurii: o supraestimare ar genera investiții ineficiente, iar o subestimare ar menține practicile neconforme.</w:t>
      </w:r>
    </w:p>
    <w:p w14:paraId="4637BB90" w14:textId="77777777" w:rsidR="001F6427" w:rsidRPr="001F6427" w:rsidRDefault="001F6427" w:rsidP="001F6427">
      <w:pPr>
        <w:spacing w:before="60"/>
        <w:jc w:val="both"/>
        <w:rPr>
          <w:rFonts w:ascii="Nunito" w:hAnsi="Nunito"/>
        </w:rPr>
      </w:pPr>
    </w:p>
    <w:p w14:paraId="63236731" w14:textId="77777777" w:rsidR="001F6427" w:rsidRPr="001F6427" w:rsidRDefault="001F6427" w:rsidP="001F6427">
      <w:pPr>
        <w:pBdr>
          <w:bottom w:val="single" w:sz="3" w:space="2" w:color="D6E8F7"/>
        </w:pBdr>
        <w:spacing w:before="200" w:after="100"/>
        <w:jc w:val="both"/>
        <w:rPr>
          <w:rFonts w:ascii="Nunito" w:hAnsi="Nunito"/>
        </w:rPr>
      </w:pPr>
      <w:r w:rsidRPr="001F6427">
        <w:rPr>
          <w:rFonts w:ascii="Nunito" w:eastAsia="Arial" w:hAnsi="Nunito" w:cs="Arial"/>
          <w:b/>
          <w:bCs/>
          <w:color w:val="2E75B6"/>
        </w:rPr>
        <w:t>Structura PNGD</w:t>
      </w:r>
    </w:p>
    <w:p w14:paraId="603AA182"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Planul este organizat în mai multe componente integrate: un cadru general strategic și metodologic (care definește scopul, principiile și metodologia), o fundamentare socio-economică (evoluție demografică, niveluri de venit, capacitate de plată), capitole de planificare operațională pe fiecare categorie de deșeuri (situația existentă, deficiențe, obiective, măsuri), un capitol dedicat transferului de deșeuri (import, export, tranzit, trasabilitate), Programul Național de Prevenire a Generării Deșeurilor (PNPGD), instrumente de politică (economice, administrative, legislative) și un plan de monitorizare cu indicatori de performanță pe fiecare flux.</w:t>
      </w:r>
    </w:p>
    <w:p w14:paraId="4452E8D8" w14:textId="77777777" w:rsidR="001F6427" w:rsidRPr="001F6427" w:rsidRDefault="001F6427" w:rsidP="001F6427">
      <w:pPr>
        <w:spacing w:before="60"/>
        <w:jc w:val="both"/>
        <w:rPr>
          <w:rFonts w:ascii="Nunito" w:hAnsi="Nunito"/>
        </w:rPr>
      </w:pPr>
    </w:p>
    <w:p w14:paraId="3BBB8088" w14:textId="77777777" w:rsidR="001F6427" w:rsidRPr="001F6427" w:rsidRDefault="001F6427" w:rsidP="001F6427">
      <w:pPr>
        <w:pBdr>
          <w:bottom w:val="single" w:sz="3" w:space="2" w:color="D6E8F7"/>
        </w:pBdr>
        <w:spacing w:before="200" w:after="100"/>
        <w:jc w:val="both"/>
        <w:rPr>
          <w:rFonts w:ascii="Nunito" w:hAnsi="Nunito"/>
        </w:rPr>
      </w:pPr>
      <w:r w:rsidRPr="001F6427">
        <w:rPr>
          <w:rFonts w:ascii="Nunito" w:eastAsia="Arial" w:hAnsi="Nunito" w:cs="Arial"/>
          <w:b/>
          <w:bCs/>
          <w:color w:val="2E75B6"/>
        </w:rPr>
        <w:t>Principiile care guvernează planul</w:t>
      </w:r>
    </w:p>
    <w:p w14:paraId="233EC7FC"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PNGD se bazează pe principii fundamentale recunoscute la nivel european: ierarhia deșeurilor (prevenire, pregătire pentru reutilizare, reciclare, valorificare, eliminare), răspunderea extinsă a producătorului (producătorii suportă costurile gestionării deșeurilor generate de produsele lor), principiul „poluatorul plătește” (costurile poluării sunt suportate de cel care le generează), principiul proximității (deșeurile sunt tratate cât mai aproape de locul de generare) și principiul autosuficienței (România trebuie să aibă capacitatea de a-și gestiona propriile deșeuri).</w:t>
      </w:r>
    </w:p>
    <w:p w14:paraId="3A8ADB93" w14:textId="77777777" w:rsidR="001F6427" w:rsidRPr="001F6427" w:rsidRDefault="001F6427" w:rsidP="001F6427">
      <w:pPr>
        <w:spacing w:before="60"/>
        <w:jc w:val="both"/>
        <w:rPr>
          <w:rFonts w:ascii="Nunito" w:hAnsi="Nunito"/>
        </w:rPr>
      </w:pPr>
    </w:p>
    <w:p w14:paraId="7C1665C0" w14:textId="77777777" w:rsidR="001F6427" w:rsidRPr="001F6427" w:rsidRDefault="001F6427" w:rsidP="001F6427">
      <w:pPr>
        <w:pBdr>
          <w:bottom w:val="single" w:sz="3" w:space="2" w:color="D6E8F7"/>
        </w:pBdr>
        <w:spacing w:before="200" w:after="100"/>
        <w:jc w:val="both"/>
        <w:rPr>
          <w:rFonts w:ascii="Nunito" w:hAnsi="Nunito"/>
        </w:rPr>
      </w:pPr>
      <w:r w:rsidRPr="001F6427">
        <w:rPr>
          <w:rFonts w:ascii="Nunito" w:eastAsia="Arial" w:hAnsi="Nunito" w:cs="Arial"/>
          <w:b/>
          <w:bCs/>
          <w:color w:val="2E75B6"/>
        </w:rPr>
        <w:t>Programul Național de Prevenire (PNPGD)</w:t>
      </w:r>
    </w:p>
    <w:p w14:paraId="024A5E4E"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Integrat în PNGD, acest program urmărește reducerea cantității și periculozității deșeurilor generate, prin cinci direcții principale: decuplarea creșterii economice de generarea deșeurilor, reducerea risipei alimentare, extinderea duratei de viață a produselor (prin reparare, reutilizare și recondiționare), reducerea substanțelor periculoase din produse și promovarea consumului responsabil și a achizițiilor publice verzi. Programul include indicatori specifici, termene și responsabilități instituționale clare.</w:t>
      </w:r>
    </w:p>
    <w:p w14:paraId="7A108B02" w14:textId="77777777" w:rsidR="001F6427" w:rsidRPr="001F6427" w:rsidRDefault="001F6427" w:rsidP="001F6427">
      <w:pPr>
        <w:spacing w:before="60"/>
        <w:jc w:val="both"/>
        <w:rPr>
          <w:rFonts w:ascii="Nunito" w:hAnsi="Nunito"/>
        </w:rPr>
      </w:pPr>
    </w:p>
    <w:p w14:paraId="67B1C02A" w14:textId="77777777" w:rsidR="001F6427" w:rsidRPr="001F6427" w:rsidRDefault="001F6427" w:rsidP="001F6427">
      <w:pPr>
        <w:pBdr>
          <w:bottom w:val="single" w:sz="3" w:space="2" w:color="D6E8F7"/>
        </w:pBdr>
        <w:spacing w:before="200" w:after="100"/>
        <w:jc w:val="both"/>
        <w:rPr>
          <w:rFonts w:ascii="Nunito" w:hAnsi="Nunito"/>
        </w:rPr>
      </w:pPr>
      <w:r w:rsidRPr="001F6427">
        <w:rPr>
          <w:rFonts w:ascii="Nunito" w:eastAsia="Arial" w:hAnsi="Nunito" w:cs="Arial"/>
          <w:b/>
          <w:bCs/>
          <w:color w:val="2E75B6"/>
        </w:rPr>
        <w:t>Implementarea – cine face ce?</w:t>
      </w:r>
    </w:p>
    <w:p w14:paraId="29260684"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Implementarea se sprijină pe structurile existente: unitățile administrativ-teritoriale (UAT) organizează serviciile de colectare, județele coordonează investițiile și infrastructura de tratare, iar asociațiile de dezvoltare intercomunitară (ADI) operează sistemele integrate. PNGD ține cont de diferențele teritoriale majore dintre urban și rural, dintre județe cu proiecte integrate finalizate și cele în tranziție, asigurând că măsurile pot fi transpuse diferențiat în funcție de realitățile locale.</w:t>
      </w:r>
    </w:p>
    <w:p w14:paraId="32D4C813" w14:textId="77777777" w:rsidR="001F6427" w:rsidRPr="001F6427" w:rsidRDefault="001F6427" w:rsidP="001F6427">
      <w:pPr>
        <w:spacing w:before="60"/>
        <w:jc w:val="both"/>
        <w:rPr>
          <w:rFonts w:ascii="Nunito" w:hAnsi="Nunito"/>
        </w:rPr>
      </w:pPr>
    </w:p>
    <w:p w14:paraId="280C5DBE" w14:textId="77777777" w:rsidR="001F6427" w:rsidRPr="001F6427" w:rsidRDefault="001F6427" w:rsidP="001F6427">
      <w:pPr>
        <w:pBdr>
          <w:bottom w:val="single" w:sz="3" w:space="2" w:color="D6E8F7"/>
        </w:pBdr>
        <w:spacing w:before="200" w:after="100"/>
        <w:jc w:val="both"/>
        <w:rPr>
          <w:rFonts w:ascii="Nunito" w:hAnsi="Nunito"/>
        </w:rPr>
      </w:pPr>
      <w:r w:rsidRPr="001F6427">
        <w:rPr>
          <w:rFonts w:ascii="Nunito" w:eastAsia="Arial" w:hAnsi="Nunito" w:cs="Arial"/>
          <w:b/>
          <w:bCs/>
          <w:color w:val="2E75B6"/>
        </w:rPr>
        <w:t>Ce categorii de deșeuri acoperă planul?</w:t>
      </w:r>
    </w:p>
    <w:p w14:paraId="7D74F785"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PNGD acoperă toate tipurile de deșeuri reglementate în România: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F6427" w:rsidRPr="001F6427" w14:paraId="2DF37C9E" w14:textId="77777777" w:rsidTr="009B4490">
        <w:tc>
          <w:tcPr>
            <w:tcW w:w="4513"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tcPr>
          <w:p w14:paraId="0B489DAF"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Deșeuri municipale (menajere)</w:t>
            </w:r>
          </w:p>
          <w:p w14:paraId="7BD5F97E"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Deșeuri de ambalaje</w:t>
            </w:r>
          </w:p>
          <w:p w14:paraId="5AD15C72"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Echipamente electrice vechi (DEEE)</w:t>
            </w:r>
          </w:p>
          <w:p w14:paraId="2CD45D0E"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Baterii și acumulatori</w:t>
            </w:r>
          </w:p>
          <w:p w14:paraId="6A029B2E"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Vehicule scoase din uz (VSU)</w:t>
            </w:r>
          </w:p>
          <w:p w14:paraId="01081D4A"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Anvelope uzate</w:t>
            </w:r>
          </w:p>
          <w:p w14:paraId="2F5850BD"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Uleiuri uzate</w:t>
            </w:r>
          </w:p>
        </w:tc>
        <w:tc>
          <w:tcPr>
            <w:tcW w:w="4513" w:type="dxa"/>
            <w:tcBorders>
              <w:top w:val="none" w:sz="0" w:space="0" w:color="FFFFFF"/>
              <w:left w:val="none" w:sz="0" w:space="0" w:color="FFFFFF"/>
              <w:bottom w:val="none" w:sz="0" w:space="0" w:color="FFFFFF"/>
              <w:right w:val="none" w:sz="0" w:space="0" w:color="FFFFFF"/>
            </w:tcBorders>
            <w:shd w:val="clear" w:color="auto" w:fill="EBF3FA"/>
            <w:tcMar>
              <w:top w:w="120" w:type="dxa"/>
              <w:left w:w="200" w:type="dxa"/>
              <w:bottom w:w="120" w:type="dxa"/>
              <w:right w:w="200" w:type="dxa"/>
            </w:tcMar>
          </w:tcPr>
          <w:p w14:paraId="6A1E269E"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Deșeuri din construcții (DCD)</w:t>
            </w:r>
          </w:p>
          <w:p w14:paraId="21BC7D70"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Nămoluri de epurare</w:t>
            </w:r>
          </w:p>
          <w:p w14:paraId="57250169"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Deșeuri cu PCB / azbest</w:t>
            </w:r>
          </w:p>
          <w:p w14:paraId="41B3FD2D"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Deșeuri sanitare și veterinare</w:t>
            </w:r>
          </w:p>
          <w:p w14:paraId="31046DA2"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Deșeuri din agricultură</w:t>
            </w:r>
          </w:p>
          <w:p w14:paraId="11EEA1DE"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Deșeuri industriale</w:t>
            </w:r>
          </w:p>
          <w:p w14:paraId="0AC4761A" w14:textId="77777777" w:rsidR="001F6427" w:rsidRPr="001F6427" w:rsidRDefault="001F6427" w:rsidP="001F6427">
            <w:pPr>
              <w:spacing w:after="40"/>
              <w:jc w:val="both"/>
              <w:rPr>
                <w:rFonts w:ascii="Nunito" w:hAnsi="Nunito"/>
              </w:rPr>
            </w:pPr>
            <w:r w:rsidRPr="001F6427">
              <w:rPr>
                <w:rFonts w:ascii="Nunito" w:eastAsia="Arial" w:hAnsi="Nunito" w:cs="Arial"/>
                <w:color w:val="1B3A5C"/>
              </w:rPr>
              <w:t>• Risipa alimentară</w:t>
            </w:r>
          </w:p>
        </w:tc>
      </w:tr>
    </w:tbl>
    <w:p w14:paraId="71008393" w14:textId="77777777" w:rsidR="001F6427" w:rsidRPr="001F6427" w:rsidRDefault="001F6427" w:rsidP="001F6427">
      <w:pPr>
        <w:spacing w:before="60"/>
        <w:jc w:val="both"/>
        <w:rPr>
          <w:rFonts w:ascii="Nunito" w:hAnsi="Nunito"/>
        </w:rPr>
      </w:pPr>
    </w:p>
    <w:p w14:paraId="3BC497DD" w14:textId="77777777" w:rsidR="001F6427" w:rsidRDefault="001F6427" w:rsidP="001F6427">
      <w:pPr>
        <w:spacing w:after="160"/>
        <w:jc w:val="both"/>
      </w:pPr>
      <w:r w:rsidRPr="001F6427">
        <w:rPr>
          <w:rFonts w:ascii="Nunito" w:eastAsia="Arial" w:hAnsi="Nunito" w:cs="Arial"/>
          <w:color w:val="2D2D2D"/>
        </w:rPr>
        <w:t>Pentru fiecare flux sunt analizate: cadrul legislativ aplicabil, situația actuală privind generarea și gestionarea, infrastructura existentă, performanțele în raport cu țintele europene și naționale, deficiențele identificate, precum și măsurile propuse pe termen scurt, mediu și lung. Abordarea diferențiată permite evaluarea riscurilor pentru mediu și sănătate, a potențialului de reciclare și valorificare, a constrângerilor tehnice și economice și a gradului de responsabilizare a operatorilor economici prin schemele de răspundere extinsă a producătorului (REP).</w:t>
      </w:r>
    </w:p>
    <w:p w14:paraId="0434294A" w14:textId="77777777" w:rsidR="001F6427" w:rsidRPr="001F6427" w:rsidRDefault="001F6427" w:rsidP="001F6427">
      <w:pPr>
        <w:pBdr>
          <w:bottom w:val="single" w:sz="3" w:space="2" w:color="D6E8F7"/>
        </w:pBdr>
        <w:spacing w:before="200" w:after="100"/>
        <w:jc w:val="both"/>
        <w:rPr>
          <w:rFonts w:ascii="Nunito" w:eastAsia="Arial" w:hAnsi="Nunito" w:cs="Arial"/>
          <w:b/>
          <w:bCs/>
          <w:color w:val="2E75B6"/>
        </w:rPr>
      </w:pPr>
      <w:r w:rsidRPr="001F6427">
        <w:rPr>
          <w:rFonts w:ascii="Nunito" w:eastAsia="Arial" w:hAnsi="Nunito" w:cs="Arial"/>
          <w:b/>
          <w:bCs/>
          <w:color w:val="2E75B6"/>
        </w:rPr>
        <w:t>Ținte obligatorii asumate de România</w:t>
      </w:r>
    </w:p>
    <w:tbl>
      <w:tblPr>
        <w:tblStyle w:val="Ramboll-Table"/>
        <w:tblW w:w="9026" w:type="dxa"/>
        <w:tblLook w:val="04A0" w:firstRow="1" w:lastRow="0" w:firstColumn="1" w:lastColumn="0" w:noHBand="0" w:noVBand="1"/>
      </w:tblPr>
      <w:tblGrid>
        <w:gridCol w:w="3000"/>
        <w:gridCol w:w="6026"/>
      </w:tblGrid>
      <w:tr w:rsidR="001F6427" w:rsidRPr="001F6427" w14:paraId="53F6A467" w14:textId="77777777" w:rsidTr="001F6427">
        <w:trPr>
          <w:cnfStyle w:val="100000000000" w:firstRow="1" w:lastRow="0" w:firstColumn="0" w:lastColumn="0" w:oddVBand="0" w:evenVBand="0" w:oddHBand="0" w:evenHBand="0" w:firstRowFirstColumn="0" w:firstRowLastColumn="0" w:lastRowFirstColumn="0" w:lastRowLastColumn="0"/>
        </w:trPr>
        <w:tc>
          <w:tcPr>
            <w:tcW w:w="3000" w:type="dxa"/>
          </w:tcPr>
          <w:p w14:paraId="6020A445"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Reciclare deșeuri municipale</w:t>
            </w:r>
          </w:p>
        </w:tc>
        <w:tc>
          <w:tcPr>
            <w:tcW w:w="6026" w:type="dxa"/>
          </w:tcPr>
          <w:p w14:paraId="5F4ACF11"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 xml:space="preserve">55% (2025) </w:t>
            </w:r>
            <w:r w:rsidRPr="001F6427">
              <w:rPr>
                <w:rFonts w:ascii="Times New Roman" w:eastAsia="Arial" w:hAnsi="Times New Roman" w:cs="Times New Roman"/>
                <w:color w:val="1B3A5C"/>
                <w:sz w:val="18"/>
              </w:rPr>
              <w:t>→</w:t>
            </w:r>
            <w:r w:rsidRPr="001F6427">
              <w:rPr>
                <w:rFonts w:ascii="Nunito" w:eastAsia="Arial" w:hAnsi="Nunito" w:cs="Arial"/>
                <w:color w:val="1B3A5C"/>
                <w:sz w:val="18"/>
              </w:rPr>
              <w:t xml:space="preserve"> 60% (2030) </w:t>
            </w:r>
            <w:r w:rsidRPr="001F6427">
              <w:rPr>
                <w:rFonts w:ascii="Times New Roman" w:eastAsia="Arial" w:hAnsi="Times New Roman" w:cs="Times New Roman"/>
                <w:color w:val="1B3A5C"/>
                <w:sz w:val="18"/>
              </w:rPr>
              <w:t>→</w:t>
            </w:r>
            <w:r w:rsidRPr="001F6427">
              <w:rPr>
                <w:rFonts w:ascii="Nunito" w:eastAsia="Arial" w:hAnsi="Nunito" w:cs="Arial"/>
                <w:color w:val="1B3A5C"/>
                <w:sz w:val="18"/>
              </w:rPr>
              <w:t xml:space="preserve"> 65% (2035)</w:t>
            </w:r>
          </w:p>
        </w:tc>
      </w:tr>
      <w:tr w:rsidR="001F6427" w:rsidRPr="001F6427" w14:paraId="6524F77F" w14:textId="77777777" w:rsidTr="001F6427">
        <w:tc>
          <w:tcPr>
            <w:tcW w:w="3000" w:type="dxa"/>
          </w:tcPr>
          <w:p w14:paraId="380DEC78"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Depozitare maximă</w:t>
            </w:r>
          </w:p>
        </w:tc>
        <w:tc>
          <w:tcPr>
            <w:tcW w:w="6026" w:type="dxa"/>
          </w:tcPr>
          <w:p w14:paraId="09358466"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Maximum 10% din deșeuri la groapă până în 2035</w:t>
            </w:r>
          </w:p>
        </w:tc>
      </w:tr>
      <w:tr w:rsidR="001F6427" w:rsidRPr="001F6427" w14:paraId="7EA1511C" w14:textId="77777777" w:rsidTr="001F6427">
        <w:tc>
          <w:tcPr>
            <w:tcW w:w="3000" w:type="dxa"/>
          </w:tcPr>
          <w:p w14:paraId="5637B70D"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Reciclare ambalaje</w:t>
            </w:r>
          </w:p>
        </w:tc>
        <w:tc>
          <w:tcPr>
            <w:tcW w:w="6026" w:type="dxa"/>
          </w:tcPr>
          <w:p w14:paraId="3276477D"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 xml:space="preserve">65% (2025) </w:t>
            </w:r>
            <w:r w:rsidRPr="001F6427">
              <w:rPr>
                <w:rFonts w:ascii="Times New Roman" w:eastAsia="Arial" w:hAnsi="Times New Roman" w:cs="Times New Roman"/>
                <w:color w:val="1B3A5C"/>
                <w:sz w:val="18"/>
              </w:rPr>
              <w:t>→</w:t>
            </w:r>
            <w:r w:rsidRPr="001F6427">
              <w:rPr>
                <w:rFonts w:ascii="Nunito" w:eastAsia="Arial" w:hAnsi="Nunito" w:cs="Arial"/>
                <w:color w:val="1B3A5C"/>
                <w:sz w:val="18"/>
              </w:rPr>
              <w:t xml:space="preserve"> 70% (2030)</w:t>
            </w:r>
          </w:p>
        </w:tc>
      </w:tr>
      <w:tr w:rsidR="001F6427" w:rsidRPr="001F6427" w14:paraId="1D0ED3E5" w14:textId="77777777" w:rsidTr="001F6427">
        <w:tc>
          <w:tcPr>
            <w:tcW w:w="3000" w:type="dxa"/>
          </w:tcPr>
          <w:p w14:paraId="0DB1A30D"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Risipă alimentară</w:t>
            </w:r>
          </w:p>
        </w:tc>
        <w:tc>
          <w:tcPr>
            <w:tcW w:w="6026" w:type="dxa"/>
          </w:tcPr>
          <w:p w14:paraId="72C8D135"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 xml:space="preserve">−30% până în 2025 </w:t>
            </w:r>
            <w:r w:rsidRPr="001F6427">
              <w:rPr>
                <w:rFonts w:ascii="Times New Roman" w:eastAsia="Arial" w:hAnsi="Times New Roman" w:cs="Times New Roman"/>
                <w:color w:val="1B3A5C"/>
                <w:sz w:val="18"/>
              </w:rPr>
              <w:t>→</w:t>
            </w:r>
            <w:r w:rsidRPr="001F6427">
              <w:rPr>
                <w:rFonts w:ascii="Nunito" w:eastAsia="Arial" w:hAnsi="Nunito" w:cs="Arial"/>
                <w:color w:val="1B3A5C"/>
                <w:sz w:val="18"/>
              </w:rPr>
              <w:t xml:space="preserve"> </w:t>
            </w:r>
            <w:r w:rsidRPr="001F6427">
              <w:rPr>
                <w:rFonts w:ascii="Nunito" w:eastAsia="Arial" w:hAnsi="Nunito" w:cs="Nunito"/>
                <w:color w:val="1B3A5C"/>
                <w:sz w:val="18"/>
              </w:rPr>
              <w:t>−</w:t>
            </w:r>
            <w:r w:rsidRPr="001F6427">
              <w:rPr>
                <w:rFonts w:ascii="Nunito" w:eastAsia="Arial" w:hAnsi="Nunito" w:cs="Arial"/>
                <w:color w:val="1B3A5C"/>
                <w:sz w:val="18"/>
              </w:rPr>
              <w:t>50% p</w:t>
            </w:r>
            <w:r w:rsidRPr="001F6427">
              <w:rPr>
                <w:rFonts w:ascii="Nunito" w:eastAsia="Arial" w:hAnsi="Nunito" w:cs="Nunito"/>
                <w:color w:val="1B3A5C"/>
                <w:sz w:val="18"/>
              </w:rPr>
              <w:t>â</w:t>
            </w:r>
            <w:r w:rsidRPr="001F6427">
              <w:rPr>
                <w:rFonts w:ascii="Nunito" w:eastAsia="Arial" w:hAnsi="Nunito" w:cs="Arial"/>
                <w:color w:val="1B3A5C"/>
                <w:sz w:val="18"/>
              </w:rPr>
              <w:t>n</w:t>
            </w:r>
            <w:r w:rsidRPr="001F6427">
              <w:rPr>
                <w:rFonts w:ascii="Nunito" w:eastAsia="Arial" w:hAnsi="Nunito" w:cs="Nunito"/>
                <w:color w:val="1B3A5C"/>
                <w:sz w:val="18"/>
              </w:rPr>
              <w:t>ă</w:t>
            </w:r>
            <w:r w:rsidRPr="001F6427">
              <w:rPr>
                <w:rFonts w:ascii="Nunito" w:eastAsia="Arial" w:hAnsi="Nunito" w:cs="Arial"/>
                <w:color w:val="1B3A5C"/>
                <w:sz w:val="18"/>
              </w:rPr>
              <w:t xml:space="preserve"> </w:t>
            </w:r>
            <w:r w:rsidRPr="001F6427">
              <w:rPr>
                <w:rFonts w:ascii="Nunito" w:eastAsia="Arial" w:hAnsi="Nunito" w:cs="Nunito"/>
                <w:color w:val="1B3A5C"/>
                <w:sz w:val="18"/>
              </w:rPr>
              <w:t>î</w:t>
            </w:r>
            <w:r w:rsidRPr="001F6427">
              <w:rPr>
                <w:rFonts w:ascii="Nunito" w:eastAsia="Arial" w:hAnsi="Nunito" w:cs="Arial"/>
                <w:color w:val="1B3A5C"/>
                <w:sz w:val="18"/>
              </w:rPr>
              <w:t>n 2030</w:t>
            </w:r>
          </w:p>
        </w:tc>
      </w:tr>
      <w:tr w:rsidR="001F6427" w:rsidRPr="001F6427" w14:paraId="6736A313" w14:textId="77777777" w:rsidTr="001F6427">
        <w:tc>
          <w:tcPr>
            <w:tcW w:w="3000" w:type="dxa"/>
          </w:tcPr>
          <w:p w14:paraId="5CE3B28F"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Deșeuri biodegradabile</w:t>
            </w:r>
          </w:p>
        </w:tc>
        <w:tc>
          <w:tcPr>
            <w:tcW w:w="6026" w:type="dxa"/>
          </w:tcPr>
          <w:p w14:paraId="264604E6"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Max. 35% din cantitatea din 1995 la depozitare</w:t>
            </w:r>
          </w:p>
        </w:tc>
      </w:tr>
      <w:tr w:rsidR="001F6427" w:rsidRPr="001F6427" w14:paraId="2C2D81B5" w14:textId="77777777" w:rsidTr="001F6427">
        <w:tc>
          <w:tcPr>
            <w:tcW w:w="3000" w:type="dxa"/>
          </w:tcPr>
          <w:p w14:paraId="361B0098"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Colectare DEEE</w:t>
            </w:r>
          </w:p>
        </w:tc>
        <w:tc>
          <w:tcPr>
            <w:tcW w:w="6026" w:type="dxa"/>
          </w:tcPr>
          <w:p w14:paraId="44F2A840"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65% din media pusă pe piață</w:t>
            </w:r>
          </w:p>
        </w:tc>
      </w:tr>
      <w:tr w:rsidR="001F6427" w:rsidRPr="001F6427" w14:paraId="16E7985F" w14:textId="77777777" w:rsidTr="001F6427">
        <w:tc>
          <w:tcPr>
            <w:tcW w:w="3000" w:type="dxa"/>
          </w:tcPr>
          <w:p w14:paraId="68D5CA27"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Deșeuri construcții</w:t>
            </w:r>
          </w:p>
        </w:tc>
        <w:tc>
          <w:tcPr>
            <w:tcW w:w="6026" w:type="dxa"/>
          </w:tcPr>
          <w:p w14:paraId="6CB92C5B"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Minimum 70% valorificare materială</w:t>
            </w:r>
          </w:p>
        </w:tc>
      </w:tr>
      <w:tr w:rsidR="001F6427" w:rsidRPr="001F6427" w14:paraId="64324725" w14:textId="77777777" w:rsidTr="001F6427">
        <w:tc>
          <w:tcPr>
            <w:tcW w:w="3000" w:type="dxa"/>
          </w:tcPr>
          <w:p w14:paraId="4DCD2AFC"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Colectare separată textile</w:t>
            </w:r>
          </w:p>
        </w:tc>
        <w:tc>
          <w:tcPr>
            <w:tcW w:w="6026" w:type="dxa"/>
          </w:tcPr>
          <w:p w14:paraId="52F6E168"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Obligatorie din 2025</w:t>
            </w:r>
          </w:p>
        </w:tc>
      </w:tr>
      <w:tr w:rsidR="001F6427" w:rsidRPr="001F6427" w14:paraId="48983A8F" w14:textId="77777777" w:rsidTr="001F6427">
        <w:tc>
          <w:tcPr>
            <w:tcW w:w="3000" w:type="dxa"/>
          </w:tcPr>
          <w:p w14:paraId="77E033A6"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Anvelope uzate</w:t>
            </w:r>
          </w:p>
        </w:tc>
        <w:tc>
          <w:tcPr>
            <w:tcW w:w="6026" w:type="dxa"/>
          </w:tcPr>
          <w:p w14:paraId="6F2A6602"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80% grad de colectare pe perioada 2026–2035</w:t>
            </w:r>
          </w:p>
        </w:tc>
      </w:tr>
      <w:tr w:rsidR="001F6427" w:rsidRPr="001F6427" w14:paraId="3FDA048B" w14:textId="77777777" w:rsidTr="001F6427">
        <w:tc>
          <w:tcPr>
            <w:tcW w:w="3000" w:type="dxa"/>
          </w:tcPr>
          <w:p w14:paraId="130B6614"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Deșeuri din agricultură</w:t>
            </w:r>
          </w:p>
        </w:tc>
        <w:tc>
          <w:tcPr>
            <w:tcW w:w="6026" w:type="dxa"/>
          </w:tcPr>
          <w:p w14:paraId="3757D6D9"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Reducere cu 10% până în 2035</w:t>
            </w:r>
          </w:p>
        </w:tc>
      </w:tr>
      <w:tr w:rsidR="001F6427" w:rsidRPr="001F6427" w14:paraId="079D49AC" w14:textId="77777777" w:rsidTr="001F6427">
        <w:tc>
          <w:tcPr>
            <w:tcW w:w="3000" w:type="dxa"/>
          </w:tcPr>
          <w:p w14:paraId="29ED2DCD"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Nămoluri de epurare</w:t>
            </w:r>
          </w:p>
        </w:tc>
        <w:tc>
          <w:tcPr>
            <w:tcW w:w="6026" w:type="dxa"/>
          </w:tcPr>
          <w:p w14:paraId="0B02DB21" w14:textId="77777777" w:rsidR="001F6427" w:rsidRPr="001F6427" w:rsidRDefault="001F6427" w:rsidP="001F6427">
            <w:pPr>
              <w:spacing w:after="40"/>
              <w:jc w:val="both"/>
              <w:rPr>
                <w:rFonts w:ascii="Nunito" w:eastAsia="Arial" w:hAnsi="Nunito" w:cs="Arial"/>
                <w:color w:val="1B3A5C"/>
              </w:rPr>
            </w:pPr>
            <w:r w:rsidRPr="001F6427">
              <w:rPr>
                <w:rFonts w:ascii="Nunito" w:eastAsia="Arial" w:hAnsi="Nunito" w:cs="Arial"/>
                <w:color w:val="1B3A5C"/>
                <w:sz w:val="18"/>
              </w:rPr>
              <w:t>Strategie națională adoptată până în 2026</w:t>
            </w:r>
          </w:p>
        </w:tc>
      </w:tr>
    </w:tbl>
    <w:p w14:paraId="3820064E" w14:textId="77777777" w:rsidR="001F6427" w:rsidRPr="001F6427" w:rsidRDefault="001F6427" w:rsidP="001F6427">
      <w:pPr>
        <w:spacing w:after="40"/>
        <w:jc w:val="both"/>
        <w:rPr>
          <w:rFonts w:ascii="Nunito" w:eastAsia="Arial" w:hAnsi="Nunito" w:cs="Arial"/>
          <w:color w:val="1B3A5C"/>
        </w:rPr>
      </w:pPr>
    </w:p>
    <w:p w14:paraId="3F9EA85E" w14:textId="77777777" w:rsidR="001F6427" w:rsidRPr="001F6427" w:rsidRDefault="001F6427" w:rsidP="001F6427">
      <w:pPr>
        <w:pBdr>
          <w:bottom w:val="single" w:sz="3" w:space="2" w:color="D6E8F7"/>
        </w:pBdr>
        <w:spacing w:before="200" w:after="100"/>
        <w:jc w:val="both"/>
        <w:rPr>
          <w:rFonts w:ascii="Nunito" w:hAnsi="Nunito"/>
        </w:rPr>
      </w:pPr>
      <w:r w:rsidRPr="001F6427">
        <w:rPr>
          <w:rFonts w:ascii="Nunito" w:eastAsia="Arial" w:hAnsi="Nunito" w:cs="Arial"/>
          <w:b/>
          <w:bCs/>
          <w:color w:val="2E75B6"/>
        </w:rPr>
        <w:t>Elementul de noutate: Sistemul de Garanție–Returnare (SGR)</w:t>
      </w:r>
    </w:p>
    <w:p w14:paraId="44ADE34F"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Un succes deja demonstrat: sistemul RetuRO a colectat 7,5 miliarde ambalaje în primii doi ani, cu o rată de returnare de 94% pentru sticle de plastic, doze de aluminiu și recipiente de sticlă. Acest model arată că instrumentele economice bine concepute pot produce rezultate rapide și trebuie replicat pentru alte fluxuri de deșeuri. În paralel, funcționează mecanismele de răspundere extinsă a producătorului pentru ambalaje și alte fluxuri, precum și cerințe de trasabilitate prin sisteme informatice dedicate.</w:t>
      </w:r>
    </w:p>
    <w:p w14:paraId="455AE1B2" w14:textId="77777777" w:rsidR="001F6427" w:rsidRPr="001F6427" w:rsidRDefault="001F6427" w:rsidP="001F6427">
      <w:pPr>
        <w:pBdr>
          <w:bottom w:val="single" w:sz="3" w:space="2" w:color="D6E8F7"/>
        </w:pBdr>
        <w:spacing w:before="200" w:after="100"/>
        <w:jc w:val="both"/>
        <w:rPr>
          <w:rFonts w:ascii="Nunito" w:hAnsi="Nunito"/>
        </w:rPr>
      </w:pPr>
      <w:r w:rsidRPr="001F6427">
        <w:rPr>
          <w:rFonts w:ascii="Nunito" w:eastAsia="Arial" w:hAnsi="Nunito" w:cs="Arial"/>
          <w:b/>
          <w:bCs/>
          <w:color w:val="2E75B6"/>
        </w:rPr>
        <w:t>Monitorizarea și revizuirea</w:t>
      </w:r>
    </w:p>
    <w:p w14:paraId="4A914394"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PNGD este însoțit de un plan de monitorizare care definește indicatori de performanță pentru fiecare flux de deșeuri. Monitorizarea se realizează anual și permite evaluarea progresului, identificarea devierilor și fundamentarea ajustărilor. Planul se evaluează cel puțin o dată la 6 ani și se revizuiește, după caz, pe baza raportului de monitorizare. Acest caracter adaptativ asigură că planul rămâne relevant și că autoritățile pot reacționa la schimbări sau riscuri emergente.</w:t>
      </w:r>
    </w:p>
    <w:tbl>
      <w:tblPr>
        <w:tblW w:w="9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2"/>
      </w:tblGrid>
      <w:tr w:rsidR="001F6427" w14:paraId="42562975" w14:textId="77777777" w:rsidTr="001F6427">
        <w:trPr>
          <w:trHeight w:val="346"/>
        </w:trPr>
        <w:tc>
          <w:tcPr>
            <w:tcW w:w="9522" w:type="dxa"/>
            <w:tcBorders>
              <w:top w:val="none" w:sz="0" w:space="0" w:color="FFFFFF"/>
              <w:left w:val="none" w:sz="0" w:space="0" w:color="FFFFFF"/>
              <w:bottom w:val="none" w:sz="0" w:space="0" w:color="FFFFFF"/>
              <w:right w:val="none" w:sz="0" w:space="0" w:color="FFFFFF"/>
            </w:tcBorders>
            <w:shd w:val="clear" w:color="auto" w:fill="FDF0E6"/>
            <w:tcMar>
              <w:top w:w="80" w:type="dxa"/>
              <w:left w:w="160" w:type="dxa"/>
              <w:bottom w:w="80" w:type="dxa"/>
              <w:right w:w="160" w:type="dxa"/>
            </w:tcMar>
            <w:vAlign w:val="center"/>
          </w:tcPr>
          <w:p w14:paraId="7A5FA552" w14:textId="77777777" w:rsidR="001F6427" w:rsidRPr="001F6427" w:rsidRDefault="001F6427" w:rsidP="009B4490">
            <w:pPr>
              <w:rPr>
                <w:rFonts w:ascii="Nunito" w:hAnsi="Nunito"/>
              </w:rPr>
            </w:pPr>
            <w:r w:rsidRPr="001F6427">
              <w:rPr>
                <w:rFonts w:ascii="Nunito" w:eastAsia="Arial" w:hAnsi="Nunito" w:cs="Arial"/>
                <w:color w:val="2D2D2D"/>
              </w:rPr>
              <w:t>MESAJ CHEIE: Fără acest plan, România riscă penalități europene de 200.000–800.000 €/zi și pierderea finanțărilor PNRR – Componenta 3 (deșeuri).</w:t>
            </w:r>
          </w:p>
        </w:tc>
      </w:tr>
    </w:tbl>
    <w:p w14:paraId="0D5C2CC4" w14:textId="77777777" w:rsidR="001F6427" w:rsidRPr="00897F6B" w:rsidRDefault="001F6427" w:rsidP="003C755E">
      <w:pPr>
        <w:spacing w:before="100"/>
        <w:jc w:val="both"/>
        <w:rPr>
          <w:rFonts w:ascii="Nunito" w:hAnsi="Nunito"/>
        </w:rPr>
      </w:pPr>
    </w:p>
    <w:p w14:paraId="47513AFD" w14:textId="48DC231F" w:rsidR="00897F6B" w:rsidRPr="00897F6B" w:rsidRDefault="00897F6B" w:rsidP="00897F6B">
      <w:pPr>
        <w:pStyle w:val="ListParagraph"/>
        <w:numPr>
          <w:ilvl w:val="0"/>
          <w:numId w:val="363"/>
        </w:numPr>
        <w:spacing w:after="160"/>
        <w:ind w:left="567" w:hanging="425"/>
        <w:rPr>
          <w:rFonts w:ascii="Nunito" w:eastAsia="Arial" w:hAnsi="Nunito" w:cs="Arial"/>
          <w:b/>
          <w:bCs/>
          <w:color w:val="00B0F0"/>
          <w:sz w:val="20"/>
          <w:szCs w:val="20"/>
        </w:rPr>
      </w:pPr>
      <w:r w:rsidRPr="00897F6B">
        <w:rPr>
          <w:rFonts w:ascii="Nunito" w:eastAsia="Arial" w:hAnsi="Nunito" w:cs="Arial"/>
          <w:b/>
          <w:bCs/>
          <w:color w:val="00B0F0"/>
          <w:sz w:val="20"/>
          <w:szCs w:val="20"/>
        </w:rPr>
        <w:t>Starea actuală a mediului – de unde pornim</w:t>
      </w:r>
    </w:p>
    <w:p w14:paraId="5C188CB8" w14:textId="77777777" w:rsidR="003C755E" w:rsidRPr="00284CF4" w:rsidRDefault="003C755E" w:rsidP="003C755E">
      <w:pPr>
        <w:spacing w:after="160"/>
        <w:jc w:val="both"/>
        <w:rPr>
          <w:rFonts w:ascii="Nunito" w:hAnsi="Nunito"/>
        </w:rPr>
      </w:pPr>
      <w:r w:rsidRPr="00897F6B">
        <w:rPr>
          <w:rFonts w:ascii="Nunito" w:eastAsia="Arial" w:hAnsi="Nunito" w:cs="Arial"/>
          <w:color w:val="2D2D2D"/>
        </w:rPr>
        <w:t>Acest capitol prezintă „fotografia” mediului înconjurător din România – starea apelor, solului, aerului, climei și naturii – și arată cum gestionarea deficitară a deșeurilor contribuie la problemele existente</w:t>
      </w:r>
      <w:r w:rsidRPr="00284CF4">
        <w:rPr>
          <w:rFonts w:ascii="Nunito" w:eastAsia="Arial" w:hAnsi="Nunito" w:cs="Arial"/>
          <w:color w:val="2D2D2D"/>
          <w:sz w:val="21"/>
          <w:szCs w:val="21"/>
        </w:rPr>
        <w:t>.</w:t>
      </w:r>
    </w:p>
    <w:p w14:paraId="34DB5259" w14:textId="77777777" w:rsidR="003C755E" w:rsidRPr="00284CF4" w:rsidRDefault="003C755E" w:rsidP="003C755E">
      <w:pPr>
        <w:spacing w:before="60"/>
        <w:jc w:val="both"/>
        <w:rPr>
          <w:rFonts w:ascii="Nunito" w:hAnsi="Nunito"/>
        </w:rPr>
      </w:pP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3"/>
        <w:gridCol w:w="3204"/>
        <w:gridCol w:w="3204"/>
      </w:tblGrid>
      <w:tr w:rsidR="003C755E" w:rsidRPr="00897F6B" w14:paraId="7E5401EE" w14:textId="77777777" w:rsidTr="009D13A2">
        <w:trPr>
          <w:trHeight w:val="938"/>
        </w:trPr>
        <w:tc>
          <w:tcPr>
            <w:tcW w:w="3203" w:type="dxa"/>
            <w:tcBorders>
              <w:top w:val="none" w:sz="0" w:space="0" w:color="FFFFFF"/>
              <w:left w:val="none" w:sz="0" w:space="0" w:color="FFFFFF"/>
              <w:bottom w:val="none" w:sz="0" w:space="0" w:color="FFFFFF"/>
              <w:right w:val="none" w:sz="0" w:space="0" w:color="FFFFFF"/>
            </w:tcBorders>
            <w:shd w:val="clear" w:color="auto" w:fill="CBD9E1" w:themeFill="background2" w:themeFillTint="33"/>
            <w:tcMar>
              <w:top w:w="120" w:type="dxa"/>
              <w:left w:w="200" w:type="dxa"/>
              <w:bottom w:w="120" w:type="dxa"/>
              <w:right w:w="200" w:type="dxa"/>
            </w:tcMar>
            <w:vAlign w:val="center"/>
          </w:tcPr>
          <w:p w14:paraId="5CF30290" w14:textId="77777777" w:rsidR="003C755E" w:rsidRPr="00897F6B" w:rsidRDefault="003C755E" w:rsidP="009D13A2">
            <w:pPr>
              <w:shd w:val="clear" w:color="auto" w:fill="CBD9E1" w:themeFill="background2" w:themeFillTint="33"/>
              <w:spacing w:after="40"/>
              <w:jc w:val="both"/>
              <w:rPr>
                <w:rFonts w:ascii="Nunito" w:hAnsi="Nunito"/>
                <w:sz w:val="20"/>
                <w:szCs w:val="20"/>
              </w:rPr>
            </w:pPr>
            <w:r w:rsidRPr="00897F6B">
              <w:rPr>
                <w:rFonts w:ascii="Nunito" w:eastAsia="Arial" w:hAnsi="Nunito" w:cs="Arial"/>
                <w:b/>
                <w:bCs/>
                <w:color w:val="1B3A5C"/>
                <w:sz w:val="20"/>
                <w:szCs w:val="20"/>
              </w:rPr>
              <w:t>68%</w:t>
            </w:r>
          </w:p>
          <w:p w14:paraId="71B62D2B" w14:textId="77777777" w:rsidR="003C755E" w:rsidRPr="00897F6B" w:rsidRDefault="003C755E" w:rsidP="009D13A2">
            <w:pPr>
              <w:shd w:val="clear" w:color="auto" w:fill="CBD9E1" w:themeFill="background2" w:themeFillTint="33"/>
              <w:jc w:val="both"/>
              <w:rPr>
                <w:rFonts w:ascii="Nunito" w:hAnsi="Nunito"/>
                <w:sz w:val="20"/>
                <w:szCs w:val="20"/>
              </w:rPr>
            </w:pPr>
            <w:r w:rsidRPr="00897F6B">
              <w:rPr>
                <w:rFonts w:ascii="Nunito" w:eastAsia="Arial" w:hAnsi="Nunito" w:cs="Arial"/>
                <w:color w:val="595959"/>
                <w:sz w:val="20"/>
                <w:szCs w:val="20"/>
              </w:rPr>
              <w:t>din râuri și lacuri NU ating calitatea bună</w:t>
            </w:r>
          </w:p>
        </w:tc>
        <w:tc>
          <w:tcPr>
            <w:tcW w:w="3204" w:type="dxa"/>
            <w:tcBorders>
              <w:top w:val="none" w:sz="0" w:space="0" w:color="FFFFFF"/>
              <w:left w:val="none" w:sz="0" w:space="0" w:color="FFFFFF"/>
              <w:bottom w:val="none" w:sz="0" w:space="0" w:color="FFFFFF"/>
              <w:right w:val="none" w:sz="0" w:space="0" w:color="FFFFFF"/>
            </w:tcBorders>
            <w:shd w:val="clear" w:color="auto" w:fill="CBD9E1" w:themeFill="background2" w:themeFillTint="33"/>
            <w:tcMar>
              <w:top w:w="120" w:type="dxa"/>
              <w:left w:w="200" w:type="dxa"/>
              <w:bottom w:w="120" w:type="dxa"/>
              <w:right w:w="200" w:type="dxa"/>
            </w:tcMar>
            <w:vAlign w:val="center"/>
          </w:tcPr>
          <w:p w14:paraId="74EFC92C" w14:textId="77777777" w:rsidR="003C755E" w:rsidRPr="00897F6B" w:rsidRDefault="003C755E" w:rsidP="009D13A2">
            <w:pPr>
              <w:shd w:val="clear" w:color="auto" w:fill="CBD9E1" w:themeFill="background2" w:themeFillTint="33"/>
              <w:spacing w:after="40"/>
              <w:jc w:val="both"/>
              <w:rPr>
                <w:rFonts w:ascii="Nunito" w:hAnsi="Nunito"/>
                <w:sz w:val="20"/>
                <w:szCs w:val="20"/>
              </w:rPr>
            </w:pPr>
            <w:r w:rsidRPr="00897F6B">
              <w:rPr>
                <w:rFonts w:ascii="Nunito" w:eastAsia="Arial" w:hAnsi="Nunito" w:cs="Arial"/>
                <w:b/>
                <w:bCs/>
                <w:color w:val="1B3A5C"/>
                <w:sz w:val="20"/>
                <w:szCs w:val="20"/>
              </w:rPr>
              <w:t>60%</w:t>
            </w:r>
          </w:p>
          <w:p w14:paraId="2E05953F" w14:textId="77777777" w:rsidR="003C755E" w:rsidRPr="00897F6B" w:rsidRDefault="003C755E" w:rsidP="009D13A2">
            <w:pPr>
              <w:shd w:val="clear" w:color="auto" w:fill="CBD9E1" w:themeFill="background2" w:themeFillTint="33"/>
              <w:jc w:val="both"/>
              <w:rPr>
                <w:rFonts w:ascii="Nunito" w:hAnsi="Nunito"/>
                <w:sz w:val="20"/>
                <w:szCs w:val="20"/>
              </w:rPr>
            </w:pPr>
            <w:r w:rsidRPr="00897F6B">
              <w:rPr>
                <w:rFonts w:ascii="Nunito" w:eastAsia="Arial" w:hAnsi="Nunito" w:cs="Arial"/>
                <w:color w:val="595959"/>
                <w:sz w:val="20"/>
                <w:szCs w:val="20"/>
              </w:rPr>
              <w:t>din soluri sunt „nesănătoase”</w:t>
            </w:r>
          </w:p>
        </w:tc>
        <w:tc>
          <w:tcPr>
            <w:tcW w:w="3204" w:type="dxa"/>
            <w:tcBorders>
              <w:top w:val="none" w:sz="0" w:space="0" w:color="FFFFFF"/>
              <w:left w:val="none" w:sz="0" w:space="0" w:color="FFFFFF"/>
              <w:bottom w:val="none" w:sz="0" w:space="0" w:color="FFFFFF"/>
              <w:right w:val="none" w:sz="0" w:space="0" w:color="FFFFFF"/>
            </w:tcBorders>
            <w:shd w:val="clear" w:color="auto" w:fill="CBD9E1" w:themeFill="background2" w:themeFillTint="33"/>
            <w:tcMar>
              <w:top w:w="120" w:type="dxa"/>
              <w:left w:w="200" w:type="dxa"/>
              <w:bottom w:w="120" w:type="dxa"/>
              <w:right w:w="200" w:type="dxa"/>
            </w:tcMar>
            <w:vAlign w:val="center"/>
          </w:tcPr>
          <w:p w14:paraId="273B59E5" w14:textId="77777777" w:rsidR="003C755E" w:rsidRPr="00897F6B" w:rsidRDefault="003C755E" w:rsidP="009D13A2">
            <w:pPr>
              <w:shd w:val="clear" w:color="auto" w:fill="CBD9E1" w:themeFill="background2" w:themeFillTint="33"/>
              <w:spacing w:after="40"/>
              <w:jc w:val="both"/>
              <w:rPr>
                <w:rFonts w:ascii="Nunito" w:hAnsi="Nunito"/>
                <w:sz w:val="20"/>
                <w:szCs w:val="20"/>
              </w:rPr>
            </w:pPr>
            <w:r w:rsidRPr="00897F6B">
              <w:rPr>
                <w:rFonts w:ascii="Nunito" w:eastAsia="Arial" w:hAnsi="Nunito" w:cs="Arial"/>
                <w:b/>
                <w:bCs/>
                <w:color w:val="1B3A5C"/>
                <w:sz w:val="20"/>
                <w:szCs w:val="20"/>
              </w:rPr>
              <w:t>34.700</w:t>
            </w:r>
          </w:p>
          <w:p w14:paraId="2AF46F06" w14:textId="77777777" w:rsidR="003C755E" w:rsidRPr="00897F6B" w:rsidRDefault="003C755E" w:rsidP="009D13A2">
            <w:pPr>
              <w:shd w:val="clear" w:color="auto" w:fill="CBD9E1" w:themeFill="background2" w:themeFillTint="33"/>
              <w:jc w:val="both"/>
              <w:rPr>
                <w:rFonts w:ascii="Nunito" w:hAnsi="Nunito"/>
                <w:sz w:val="20"/>
                <w:szCs w:val="20"/>
              </w:rPr>
            </w:pPr>
            <w:r w:rsidRPr="00897F6B">
              <w:rPr>
                <w:rFonts w:ascii="Nunito" w:eastAsia="Arial" w:hAnsi="Nunito" w:cs="Arial"/>
                <w:color w:val="595959"/>
                <w:sz w:val="20"/>
                <w:szCs w:val="20"/>
              </w:rPr>
              <w:t>decese premature/an din poluarea mediului</w:t>
            </w:r>
          </w:p>
        </w:tc>
      </w:tr>
    </w:tbl>
    <w:p w14:paraId="77DB15F9" w14:textId="77777777" w:rsidR="003C755E" w:rsidRPr="00897F6B" w:rsidRDefault="003C755E" w:rsidP="009D13A2">
      <w:pPr>
        <w:spacing w:before="60"/>
        <w:jc w:val="both"/>
        <w:rPr>
          <w:rFonts w:ascii="Nunito" w:hAnsi="Nunito"/>
          <w:sz w:val="20"/>
          <w:szCs w:val="20"/>
        </w:rPr>
      </w:pPr>
    </w:p>
    <w:tbl>
      <w:tblPr>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8"/>
        <w:gridCol w:w="3219"/>
        <w:gridCol w:w="3219"/>
      </w:tblGrid>
      <w:tr w:rsidR="003C755E" w:rsidRPr="00897F6B" w14:paraId="1B1FAC4A" w14:textId="77777777" w:rsidTr="009D13A2">
        <w:trPr>
          <w:trHeight w:val="855"/>
        </w:trPr>
        <w:tc>
          <w:tcPr>
            <w:tcW w:w="3218" w:type="dxa"/>
            <w:tcBorders>
              <w:top w:val="none" w:sz="0" w:space="0" w:color="FFFFFF"/>
              <w:left w:val="none" w:sz="0" w:space="0" w:color="FFFFFF"/>
              <w:bottom w:val="none" w:sz="0" w:space="0" w:color="FFFFFF"/>
              <w:right w:val="none" w:sz="0" w:space="0" w:color="FFFFFF"/>
            </w:tcBorders>
            <w:shd w:val="clear" w:color="auto" w:fill="CBD9E1" w:themeFill="background2" w:themeFillTint="33"/>
            <w:tcMar>
              <w:top w:w="120" w:type="dxa"/>
              <w:left w:w="200" w:type="dxa"/>
              <w:bottom w:w="120" w:type="dxa"/>
              <w:right w:w="200" w:type="dxa"/>
            </w:tcMar>
            <w:vAlign w:val="center"/>
          </w:tcPr>
          <w:p w14:paraId="2AE6DDE1" w14:textId="77777777" w:rsidR="003C755E" w:rsidRPr="00897F6B" w:rsidRDefault="003C755E" w:rsidP="009D13A2">
            <w:pPr>
              <w:shd w:val="clear" w:color="auto" w:fill="CBD9E1" w:themeFill="background2" w:themeFillTint="33"/>
              <w:spacing w:after="40"/>
              <w:jc w:val="both"/>
              <w:rPr>
                <w:rFonts w:ascii="Nunito" w:hAnsi="Nunito"/>
                <w:sz w:val="20"/>
                <w:szCs w:val="20"/>
              </w:rPr>
            </w:pPr>
            <w:r w:rsidRPr="00897F6B">
              <w:rPr>
                <w:rFonts w:ascii="Nunito" w:eastAsia="Arial" w:hAnsi="Nunito" w:cs="Arial"/>
                <w:b/>
                <w:bCs/>
                <w:color w:val="1B3A5C"/>
                <w:sz w:val="20"/>
                <w:szCs w:val="20"/>
              </w:rPr>
              <w:t>+10%</w:t>
            </w:r>
          </w:p>
          <w:p w14:paraId="75DAD448" w14:textId="77777777" w:rsidR="003C755E" w:rsidRPr="00897F6B" w:rsidRDefault="003C755E" w:rsidP="009D13A2">
            <w:pPr>
              <w:shd w:val="clear" w:color="auto" w:fill="CBD9E1" w:themeFill="background2" w:themeFillTint="33"/>
              <w:jc w:val="both"/>
              <w:rPr>
                <w:rFonts w:ascii="Nunito" w:hAnsi="Nunito"/>
                <w:sz w:val="20"/>
                <w:szCs w:val="20"/>
              </w:rPr>
            </w:pPr>
            <w:r w:rsidRPr="00897F6B">
              <w:rPr>
                <w:rFonts w:ascii="Nunito" w:eastAsia="Arial" w:hAnsi="Nunito" w:cs="Arial"/>
                <w:color w:val="595959"/>
                <w:sz w:val="20"/>
                <w:szCs w:val="20"/>
              </w:rPr>
              <w:t>creștere emisii GES din sectorul deșeuri</w:t>
            </w:r>
          </w:p>
        </w:tc>
        <w:tc>
          <w:tcPr>
            <w:tcW w:w="3219" w:type="dxa"/>
            <w:tcBorders>
              <w:top w:val="none" w:sz="0" w:space="0" w:color="FFFFFF"/>
              <w:left w:val="none" w:sz="0" w:space="0" w:color="FFFFFF"/>
              <w:bottom w:val="none" w:sz="0" w:space="0" w:color="FFFFFF"/>
              <w:right w:val="none" w:sz="0" w:space="0" w:color="FFFFFF"/>
            </w:tcBorders>
            <w:shd w:val="clear" w:color="auto" w:fill="CBD9E1" w:themeFill="background2" w:themeFillTint="33"/>
            <w:tcMar>
              <w:top w:w="120" w:type="dxa"/>
              <w:left w:w="200" w:type="dxa"/>
              <w:bottom w:w="120" w:type="dxa"/>
              <w:right w:w="200" w:type="dxa"/>
            </w:tcMar>
            <w:vAlign w:val="center"/>
          </w:tcPr>
          <w:p w14:paraId="670EBC4C" w14:textId="77777777" w:rsidR="003C755E" w:rsidRPr="00897F6B" w:rsidRDefault="003C755E" w:rsidP="009D13A2">
            <w:pPr>
              <w:shd w:val="clear" w:color="auto" w:fill="CBD9E1" w:themeFill="background2" w:themeFillTint="33"/>
              <w:spacing w:after="40"/>
              <w:jc w:val="both"/>
              <w:rPr>
                <w:rFonts w:ascii="Nunito" w:hAnsi="Nunito"/>
                <w:sz w:val="20"/>
                <w:szCs w:val="20"/>
              </w:rPr>
            </w:pPr>
            <w:r w:rsidRPr="00897F6B">
              <w:rPr>
                <w:rFonts w:ascii="Nunito" w:eastAsia="Arial" w:hAnsi="Nunito" w:cs="Arial"/>
                <w:b/>
                <w:bCs/>
                <w:color w:val="1B3A5C"/>
                <w:sz w:val="20"/>
                <w:szCs w:val="20"/>
              </w:rPr>
              <w:t>2.524</w:t>
            </w:r>
          </w:p>
          <w:p w14:paraId="3B5AB069" w14:textId="77777777" w:rsidR="003C755E" w:rsidRPr="00897F6B" w:rsidRDefault="003C755E" w:rsidP="009D13A2">
            <w:pPr>
              <w:shd w:val="clear" w:color="auto" w:fill="CBD9E1" w:themeFill="background2" w:themeFillTint="33"/>
              <w:jc w:val="both"/>
              <w:rPr>
                <w:rFonts w:ascii="Nunito" w:hAnsi="Nunito"/>
                <w:sz w:val="20"/>
                <w:szCs w:val="20"/>
              </w:rPr>
            </w:pPr>
            <w:r w:rsidRPr="00897F6B">
              <w:rPr>
                <w:rFonts w:ascii="Nunito" w:eastAsia="Arial" w:hAnsi="Nunito" w:cs="Arial"/>
                <w:color w:val="595959"/>
                <w:sz w:val="20"/>
                <w:szCs w:val="20"/>
              </w:rPr>
              <w:t>situri contaminate în România</w:t>
            </w:r>
          </w:p>
        </w:tc>
        <w:tc>
          <w:tcPr>
            <w:tcW w:w="3219" w:type="dxa"/>
            <w:tcBorders>
              <w:top w:val="none" w:sz="0" w:space="0" w:color="FFFFFF"/>
              <w:left w:val="none" w:sz="0" w:space="0" w:color="FFFFFF"/>
              <w:bottom w:val="none" w:sz="0" w:space="0" w:color="FFFFFF"/>
              <w:right w:val="none" w:sz="0" w:space="0" w:color="FFFFFF"/>
            </w:tcBorders>
            <w:shd w:val="clear" w:color="auto" w:fill="CBD9E1" w:themeFill="background2" w:themeFillTint="33"/>
            <w:tcMar>
              <w:top w:w="120" w:type="dxa"/>
              <w:left w:w="200" w:type="dxa"/>
              <w:bottom w:w="120" w:type="dxa"/>
              <w:right w:w="200" w:type="dxa"/>
            </w:tcMar>
            <w:vAlign w:val="center"/>
          </w:tcPr>
          <w:p w14:paraId="212E8F34" w14:textId="77777777" w:rsidR="003C755E" w:rsidRPr="00897F6B" w:rsidRDefault="003C755E" w:rsidP="009D13A2">
            <w:pPr>
              <w:shd w:val="clear" w:color="auto" w:fill="CBD9E1" w:themeFill="background2" w:themeFillTint="33"/>
              <w:spacing w:after="40"/>
              <w:jc w:val="both"/>
              <w:rPr>
                <w:rFonts w:ascii="Nunito" w:hAnsi="Nunito"/>
                <w:sz w:val="20"/>
                <w:szCs w:val="20"/>
              </w:rPr>
            </w:pPr>
            <w:r w:rsidRPr="00897F6B">
              <w:rPr>
                <w:rFonts w:ascii="Nunito" w:eastAsia="Arial" w:hAnsi="Nunito" w:cs="Arial"/>
                <w:b/>
                <w:bCs/>
                <w:color w:val="1B3A5C"/>
                <w:sz w:val="20"/>
                <w:szCs w:val="20"/>
              </w:rPr>
              <w:t>+154%</w:t>
            </w:r>
          </w:p>
          <w:p w14:paraId="12387651" w14:textId="77777777" w:rsidR="003C755E" w:rsidRPr="00897F6B" w:rsidRDefault="003C755E" w:rsidP="009D13A2">
            <w:pPr>
              <w:shd w:val="clear" w:color="auto" w:fill="CBD9E1" w:themeFill="background2" w:themeFillTint="33"/>
              <w:jc w:val="both"/>
              <w:rPr>
                <w:rFonts w:ascii="Nunito" w:hAnsi="Nunito"/>
                <w:sz w:val="20"/>
                <w:szCs w:val="20"/>
              </w:rPr>
            </w:pPr>
            <w:r w:rsidRPr="00897F6B">
              <w:rPr>
                <w:rFonts w:ascii="Nunito" w:eastAsia="Arial" w:hAnsi="Nunito" w:cs="Arial"/>
                <w:color w:val="595959"/>
                <w:sz w:val="20"/>
                <w:szCs w:val="20"/>
              </w:rPr>
              <w:t>creștere emisii PM2,5 din deșeuri vs 1990</w:t>
            </w:r>
          </w:p>
        </w:tc>
      </w:tr>
    </w:tbl>
    <w:p w14:paraId="7BFF8FD1" w14:textId="77777777" w:rsidR="003C755E" w:rsidRPr="00897F6B" w:rsidRDefault="003C755E" w:rsidP="003C755E">
      <w:pPr>
        <w:pBdr>
          <w:bottom w:val="single" w:sz="3" w:space="2" w:color="D6E8F7"/>
        </w:pBdr>
        <w:spacing w:before="200" w:after="100"/>
        <w:jc w:val="both"/>
        <w:rPr>
          <w:rFonts w:ascii="Nunito" w:eastAsia="Arial" w:hAnsi="Nunito" w:cs="Arial"/>
          <w:b/>
          <w:bCs/>
          <w:color w:val="2D2D2D"/>
        </w:rPr>
      </w:pPr>
      <w:r w:rsidRPr="00897F6B">
        <w:rPr>
          <w:rFonts w:ascii="Nunito" w:eastAsia="Arial" w:hAnsi="Nunito" w:cs="Arial"/>
          <w:b/>
          <w:bCs/>
          <w:color w:val="2D2D2D"/>
        </w:rPr>
        <w:t>APA – stare îngrijorătoare</w:t>
      </w:r>
    </w:p>
    <w:p w14:paraId="163D34CC" w14:textId="77777777" w:rsidR="003C755E" w:rsidRPr="00897F6B" w:rsidRDefault="003C755E" w:rsidP="003C755E">
      <w:pPr>
        <w:spacing w:after="160"/>
        <w:jc w:val="both"/>
        <w:rPr>
          <w:rFonts w:ascii="Nunito" w:eastAsia="Arial" w:hAnsi="Nunito" w:cs="Arial"/>
          <w:color w:val="2D2D2D"/>
        </w:rPr>
      </w:pPr>
      <w:r w:rsidRPr="00897F6B">
        <w:rPr>
          <w:rFonts w:ascii="Nunito" w:eastAsia="Arial" w:hAnsi="Nunito" w:cs="Arial"/>
          <w:color w:val="2D2D2D"/>
        </w:rPr>
        <w:t>Doar 32% din cele 1.037 corpuri de apă monitorizate în 2024 ating starea ecologică bună. Starea chimică este mai bună (97% corpuri în stare bună), dar există depășiri ale limitelor pentru cadmiu, nichel, plumb și mercur.</w:t>
      </w:r>
    </w:p>
    <w:p w14:paraId="451F30EE" w14:textId="77777777" w:rsidR="003C755E" w:rsidRPr="00897F6B" w:rsidRDefault="003C755E" w:rsidP="003C755E">
      <w:pPr>
        <w:spacing w:after="160"/>
        <w:jc w:val="both"/>
        <w:rPr>
          <w:rFonts w:ascii="Nunito" w:eastAsia="Arial" w:hAnsi="Nunito" w:cs="Arial"/>
          <w:color w:val="2D2D2D"/>
        </w:rPr>
      </w:pPr>
      <w:r w:rsidRPr="00897F6B">
        <w:rPr>
          <w:rFonts w:ascii="Nunito" w:eastAsia="Arial" w:hAnsi="Nunito" w:cs="Arial"/>
          <w:color w:val="2D2D2D"/>
        </w:rPr>
        <w:t>Cele mai afectate zone: bazinul Prut–Bârlad (95% din râuri sub calitate), Argeș–Vedea (80% sub calitate), bazinele Someș, Crișuri, Mureș și Siret. Apele costiere la Marea Neagră – niciun corp de apă nu atinge starea ecologică bună.</w:t>
      </w:r>
    </w:p>
    <w:p w14:paraId="58A4E47D" w14:textId="77777777" w:rsidR="003C755E" w:rsidRPr="00897F6B" w:rsidRDefault="003C755E" w:rsidP="003C755E">
      <w:pPr>
        <w:spacing w:after="160"/>
        <w:jc w:val="both"/>
        <w:rPr>
          <w:rFonts w:ascii="Nunito" w:eastAsia="Arial" w:hAnsi="Nunito" w:cs="Arial"/>
          <w:color w:val="2D2D2D"/>
        </w:rPr>
      </w:pPr>
      <w:r w:rsidRPr="00897F6B">
        <w:rPr>
          <w:rFonts w:ascii="Nunito" w:eastAsia="Arial" w:hAnsi="Nunito" w:cs="Arial"/>
          <w:color w:val="2D2D2D"/>
        </w:rPr>
        <w:t>Apele subterane: 72% în stare chimică bună, dar 18% din forajele din zone vulnerabile depășesc limita de 50 mg nitrați/litru. Sudul Câmpiei Române și Câmpia de Vest sunt cele mai afectate.</w:t>
      </w:r>
    </w:p>
    <w:p w14:paraId="48DE7AEF" w14:textId="77777777" w:rsidR="003C755E" w:rsidRPr="00897F6B" w:rsidRDefault="003C755E" w:rsidP="003C755E">
      <w:pPr>
        <w:spacing w:after="160"/>
        <w:jc w:val="both"/>
        <w:rPr>
          <w:rFonts w:ascii="Nunito" w:eastAsia="Arial" w:hAnsi="Nunito" w:cs="Arial"/>
          <w:color w:val="2D2D2D"/>
        </w:rPr>
      </w:pPr>
      <w:r w:rsidRPr="00897F6B">
        <w:rPr>
          <w:rFonts w:ascii="Nunito" w:eastAsia="Arial" w:hAnsi="Nunito" w:cs="Arial"/>
          <w:color w:val="2D2D2D"/>
        </w:rPr>
        <w:t>Cum contribuie deșeurile: levigat din depozitele neconforme care se infiltrează în sol și ape subterane; deșeuri abandonate pe malurile râurilor; scurgeri din instalații de tratare fără sisteme de epurare; nămoluri de epurare aplicate necontrolat pe terenuri.</w:t>
      </w:r>
    </w:p>
    <w:p w14:paraId="2FD30E52" w14:textId="77777777" w:rsidR="003C755E" w:rsidRPr="00897F6B" w:rsidRDefault="003C755E" w:rsidP="003C755E">
      <w:pPr>
        <w:pBdr>
          <w:bottom w:val="single" w:sz="3" w:space="2" w:color="D6E8F7"/>
        </w:pBdr>
        <w:spacing w:before="200" w:after="100"/>
        <w:jc w:val="both"/>
        <w:rPr>
          <w:rFonts w:ascii="Nunito" w:eastAsia="Arial" w:hAnsi="Nunito" w:cs="Arial"/>
          <w:b/>
          <w:bCs/>
          <w:color w:val="2D2D2D"/>
        </w:rPr>
      </w:pPr>
      <w:r w:rsidRPr="00897F6B">
        <w:rPr>
          <w:rFonts w:ascii="Nunito" w:eastAsia="Arial" w:hAnsi="Nunito" w:cs="Arial"/>
          <w:b/>
          <w:bCs/>
          <w:color w:val="2D2D2D"/>
        </w:rPr>
        <w:t>SOLUL – degradare extinsă</w:t>
      </w:r>
    </w:p>
    <w:p w14:paraId="4ED939B4" w14:textId="77777777" w:rsidR="003C755E" w:rsidRPr="00897F6B" w:rsidRDefault="003C755E" w:rsidP="003C755E">
      <w:pPr>
        <w:spacing w:after="160"/>
        <w:jc w:val="both"/>
        <w:rPr>
          <w:rFonts w:ascii="Nunito" w:eastAsia="Arial" w:hAnsi="Nunito" w:cs="Arial"/>
          <w:color w:val="2D2D2D"/>
        </w:rPr>
      </w:pPr>
      <w:r w:rsidRPr="00897F6B">
        <w:rPr>
          <w:rFonts w:ascii="Nunito" w:eastAsia="Arial" w:hAnsi="Nunito" w:cs="Arial"/>
          <w:color w:val="2D2D2D"/>
        </w:rPr>
        <w:t>Peste 12 milioane hectare sunt afectate de cel puțin un factor de degradare: secetă pedologică (7,1 mil. ha), rezervă scăzută de humus (7,5 mil. ha), compactare (6,5 mil. ha), eroziune hidrică (6,3 mil. ha), aciditate (3,4 mil. ha).</w:t>
      </w:r>
    </w:p>
    <w:p w14:paraId="7E878707" w14:textId="77777777" w:rsidR="003C755E" w:rsidRPr="00897F6B" w:rsidRDefault="003C755E" w:rsidP="003C755E">
      <w:pPr>
        <w:spacing w:after="160"/>
        <w:jc w:val="both"/>
        <w:rPr>
          <w:rFonts w:ascii="Nunito" w:eastAsia="Arial" w:hAnsi="Nunito" w:cs="Arial"/>
          <w:color w:val="2D2D2D"/>
        </w:rPr>
      </w:pPr>
      <w:r w:rsidRPr="00897F6B">
        <w:rPr>
          <w:rFonts w:ascii="Nunito" w:eastAsia="Arial" w:hAnsi="Nunito" w:cs="Arial"/>
          <w:color w:val="2D2D2D"/>
        </w:rPr>
        <w:lastRenderedPageBreak/>
        <w:t>Legătura cu deșeurile: 784 de situri contaminate (31% din cele 2.524 la nivel național) sunt legate de depozite de deșeuri și stații de epurare. 9 depozite municipale neconforme continuă să contamineze solul. 8.000–10.000 ha de teren natural sunt convertite anual în suprafețe artificiale. Costurile de remediere: estimat la câteva miliarde de euro.</w:t>
      </w:r>
    </w:p>
    <w:p w14:paraId="24707419" w14:textId="77777777" w:rsidR="003C755E" w:rsidRPr="00897F6B" w:rsidRDefault="003C755E" w:rsidP="003C755E">
      <w:pPr>
        <w:pBdr>
          <w:bottom w:val="single" w:sz="3" w:space="2" w:color="D6E8F7"/>
        </w:pBdr>
        <w:spacing w:before="200" w:after="100"/>
        <w:jc w:val="both"/>
        <w:rPr>
          <w:rFonts w:ascii="Nunito" w:eastAsia="Arial" w:hAnsi="Nunito" w:cs="Arial"/>
          <w:b/>
          <w:bCs/>
          <w:color w:val="2D2D2D"/>
        </w:rPr>
      </w:pPr>
      <w:r w:rsidRPr="00897F6B">
        <w:rPr>
          <w:rFonts w:ascii="Nunito" w:eastAsia="Arial" w:hAnsi="Nunito" w:cs="Arial"/>
          <w:b/>
          <w:bCs/>
          <w:color w:val="2D2D2D"/>
        </w:rPr>
        <w:t>AERUL – arderi necontrolate</w:t>
      </w:r>
    </w:p>
    <w:p w14:paraId="0922B941" w14:textId="77777777" w:rsidR="003C755E" w:rsidRPr="00897F6B" w:rsidRDefault="003C755E" w:rsidP="003C755E">
      <w:pPr>
        <w:spacing w:after="160"/>
        <w:jc w:val="both"/>
        <w:rPr>
          <w:rFonts w:ascii="Nunito" w:eastAsia="Arial" w:hAnsi="Nunito" w:cs="Arial"/>
          <w:color w:val="2D2D2D"/>
        </w:rPr>
      </w:pPr>
      <w:r w:rsidRPr="00897F6B">
        <w:rPr>
          <w:rFonts w:ascii="Nunito" w:eastAsia="Arial" w:hAnsi="Nunito" w:cs="Arial"/>
          <w:color w:val="2D2D2D"/>
        </w:rPr>
        <w:t>Arderea necontrolată a deșeurilor în rural (singura „opțiune” în lipsa serviciilor de colectare) generează PM2,5, benzo(a)piren, dioxine și furani – substanțe cancerigene. Emisiile de particule fine din sectorul deșeuri au crescut cu +154,5% față de 1990. Depozitele fără captare de gaz contribuie cu 24% din metanul național.</w:t>
      </w:r>
    </w:p>
    <w:p w14:paraId="1C2ED988" w14:textId="77777777" w:rsidR="003C755E" w:rsidRPr="00897F6B" w:rsidRDefault="003C755E" w:rsidP="003C755E">
      <w:pPr>
        <w:pBdr>
          <w:bottom w:val="single" w:sz="3" w:space="2" w:color="D6E8F7"/>
        </w:pBdr>
        <w:spacing w:before="200" w:after="100"/>
        <w:jc w:val="both"/>
        <w:rPr>
          <w:rFonts w:ascii="Nunito" w:eastAsia="Arial" w:hAnsi="Nunito" w:cs="Arial"/>
          <w:b/>
          <w:bCs/>
          <w:color w:val="2D2D2D"/>
        </w:rPr>
      </w:pPr>
      <w:r w:rsidRPr="00897F6B">
        <w:rPr>
          <w:rFonts w:ascii="Nunito" w:eastAsia="Arial" w:hAnsi="Nunito" w:cs="Arial"/>
          <w:b/>
          <w:bCs/>
          <w:color w:val="2D2D2D"/>
        </w:rPr>
        <w:t>SCHIMBĂRI CLIMATICE – singurul sector în creștere</w:t>
      </w:r>
    </w:p>
    <w:p w14:paraId="4C5BF246" w14:textId="77777777" w:rsidR="003C755E" w:rsidRPr="00897F6B" w:rsidRDefault="003C755E" w:rsidP="003C755E">
      <w:pPr>
        <w:spacing w:after="160"/>
        <w:jc w:val="both"/>
        <w:rPr>
          <w:rFonts w:ascii="Nunito" w:eastAsia="Arial" w:hAnsi="Nunito" w:cs="Arial"/>
          <w:color w:val="2D2D2D"/>
        </w:rPr>
      </w:pPr>
      <w:r w:rsidRPr="00897F6B">
        <w:rPr>
          <w:rFonts w:ascii="Nunito" w:eastAsia="Arial" w:hAnsi="Nunito" w:cs="Arial"/>
          <w:color w:val="2D2D2D"/>
        </w:rPr>
        <w:t>Sectorul deșeurilor este singurul sector major în care emisiile de gaze cu efect de seră au crescut față de 1989 (+10,29%), în timp ce toate celelalte au scăzut cu −66,45%. Ponderea sectorului a triplat, de la 1,85% la 6,08%. Depozitarea deșeurilor biodegradabile produce metan – un gaz de 21–28 ori mai puternic decât CO₂. Potentialul energetic pierdut: 2.360–2.940 GWh/an (echivalentul alimentării a 600.000–750.000 gospodării).</w:t>
      </w:r>
    </w:p>
    <w:p w14:paraId="4E175D13" w14:textId="77777777" w:rsidR="003C755E" w:rsidRPr="00897F6B" w:rsidRDefault="003C755E" w:rsidP="003C755E">
      <w:pPr>
        <w:pBdr>
          <w:bottom w:val="single" w:sz="3" w:space="2" w:color="D6E8F7"/>
        </w:pBdr>
        <w:spacing w:before="200" w:after="100"/>
        <w:jc w:val="both"/>
        <w:rPr>
          <w:rFonts w:ascii="Nunito" w:eastAsia="Arial" w:hAnsi="Nunito" w:cs="Arial"/>
          <w:b/>
          <w:bCs/>
          <w:color w:val="2D2D2D"/>
        </w:rPr>
      </w:pPr>
      <w:r w:rsidRPr="00897F6B">
        <w:rPr>
          <w:rFonts w:ascii="Nunito" w:eastAsia="Arial" w:hAnsi="Nunito" w:cs="Arial"/>
          <w:b/>
          <w:bCs/>
          <w:color w:val="2D2D2D"/>
        </w:rPr>
        <w:t>SĂNĂTATEA POPULAȚIEI</w:t>
      </w:r>
    </w:p>
    <w:p w14:paraId="715A73CC" w14:textId="77777777" w:rsidR="003C755E" w:rsidRPr="00897F6B" w:rsidRDefault="003C755E" w:rsidP="003C755E">
      <w:pPr>
        <w:spacing w:after="160"/>
        <w:jc w:val="both"/>
        <w:rPr>
          <w:rFonts w:ascii="Nunito" w:eastAsia="Arial" w:hAnsi="Nunito" w:cs="Arial"/>
          <w:color w:val="2D2D2D"/>
        </w:rPr>
      </w:pPr>
      <w:r w:rsidRPr="00897F6B">
        <w:rPr>
          <w:rFonts w:ascii="Nunito" w:eastAsia="Arial" w:hAnsi="Nunito" w:cs="Arial"/>
          <w:color w:val="2D2D2D"/>
        </w:rPr>
        <w:t>34.700 decese premature/an corelate cu poluarea mediului – dublu față de media UE (20% din decesele naționale). 18% din fântânile monitorizate depășesc limita de nitrați. Doar ~29% din populația rurală este conectată la rețeaua publică de apă. Studiul EUROHAZCON arată +30% anomalii congenitale în raza de 3 km de depozite periculoase.</w:t>
      </w:r>
    </w:p>
    <w:p w14:paraId="02D522A6" w14:textId="26FA7455" w:rsidR="003C755E" w:rsidRPr="00897F6B" w:rsidRDefault="003C755E" w:rsidP="003C755E">
      <w:pPr>
        <w:pBdr>
          <w:bottom w:val="single" w:sz="3" w:space="2" w:color="D6E8F7"/>
        </w:pBdr>
        <w:spacing w:before="200" w:after="100"/>
        <w:jc w:val="both"/>
        <w:rPr>
          <w:rFonts w:ascii="Nunito" w:eastAsia="Arial" w:hAnsi="Nunito" w:cs="Arial"/>
          <w:b/>
          <w:bCs/>
          <w:color w:val="2D2D2D"/>
        </w:rPr>
      </w:pPr>
      <w:r w:rsidRPr="00897F6B">
        <w:rPr>
          <w:rFonts w:ascii="Nunito" w:eastAsia="Arial" w:hAnsi="Nunito" w:cs="Arial"/>
          <w:b/>
          <w:bCs/>
          <w:color w:val="2D2D2D"/>
        </w:rPr>
        <w:t>BIODIVERSITATE, PEISAJ, PATRIMONIU</w:t>
      </w:r>
      <w:r w:rsidR="00897F6B">
        <w:rPr>
          <w:rFonts w:ascii="Nunito" w:eastAsia="Arial" w:hAnsi="Nunito" w:cs="Arial"/>
          <w:b/>
          <w:bCs/>
          <w:color w:val="2D2D2D"/>
        </w:rPr>
        <w:t xml:space="preserve"> CULTURAL</w:t>
      </w:r>
    </w:p>
    <w:p w14:paraId="459EE0D1" w14:textId="77777777" w:rsidR="003C755E" w:rsidRPr="00897F6B" w:rsidRDefault="003C755E" w:rsidP="003C755E">
      <w:pPr>
        <w:spacing w:after="160"/>
        <w:jc w:val="both"/>
        <w:rPr>
          <w:rFonts w:ascii="Nunito" w:eastAsia="Arial" w:hAnsi="Nunito" w:cs="Arial"/>
          <w:color w:val="2D2D2D"/>
        </w:rPr>
      </w:pPr>
      <w:r w:rsidRPr="00897F6B">
        <w:rPr>
          <w:rFonts w:ascii="Nunito" w:eastAsia="Arial" w:hAnsi="Nunito" w:cs="Arial"/>
          <w:color w:val="2D2D2D"/>
        </w:rPr>
        <w:t>Depozitele neconforme degradează habitatele naturale prin poluare, fragmentează coridoarele ecologice și facilitează răspândirea speciilor invazive (325 taxoni alogeni identificați). Depozitările ilegale au explodat de la 379 t (2020) la 32.122 t (2021) – creștere de 84 ori. ~20 de instalații de deșeuri se suprapun cu situri arheologice; 819 monumente în stare avansată de degradare.</w:t>
      </w:r>
    </w:p>
    <w:tbl>
      <w:tblPr>
        <w:tblW w:w="9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2"/>
      </w:tblGrid>
      <w:tr w:rsidR="009D13A2" w:rsidRPr="00284CF4" w14:paraId="09823873" w14:textId="77777777" w:rsidTr="009D13A2">
        <w:trPr>
          <w:trHeight w:val="475"/>
        </w:trPr>
        <w:tc>
          <w:tcPr>
            <w:tcW w:w="9612" w:type="dxa"/>
            <w:tcBorders>
              <w:top w:val="none" w:sz="0" w:space="0" w:color="FFFFFF"/>
              <w:left w:val="none" w:sz="0" w:space="0" w:color="FFFFFF"/>
              <w:bottom w:val="none" w:sz="0" w:space="0" w:color="FFFFFF"/>
              <w:right w:val="none" w:sz="0" w:space="0" w:color="FFFFFF"/>
            </w:tcBorders>
            <w:shd w:val="clear" w:color="auto" w:fill="FDF0E6"/>
            <w:tcMar>
              <w:top w:w="80" w:type="dxa"/>
              <w:left w:w="160" w:type="dxa"/>
              <w:bottom w:w="80" w:type="dxa"/>
              <w:right w:w="160" w:type="dxa"/>
            </w:tcMar>
            <w:vAlign w:val="center"/>
          </w:tcPr>
          <w:p w14:paraId="00C465CE" w14:textId="440BA5EB" w:rsidR="009D13A2" w:rsidRPr="00284CF4" w:rsidRDefault="009D13A2" w:rsidP="009B4490">
            <w:pPr>
              <w:jc w:val="both"/>
              <w:rPr>
                <w:rFonts w:ascii="Nunito" w:hAnsi="Nunito"/>
              </w:rPr>
            </w:pPr>
            <w:r w:rsidRPr="00284CF4">
              <w:rPr>
                <w:rFonts w:ascii="Nunito" w:eastAsia="Arial" w:hAnsi="Nunito" w:cs="Arial"/>
                <w:color w:val="2D2D2D"/>
                <w:sz w:val="21"/>
                <w:szCs w:val="21"/>
              </w:rPr>
              <w:t>Mediul suferă deja semnificativ. Depozitele neconforme, lipsa colectării separate și arderea deșeurilor în sate sunt cele trei surse principale de degradare.</w:t>
            </w:r>
          </w:p>
        </w:tc>
      </w:tr>
    </w:tbl>
    <w:p w14:paraId="63BC587C" w14:textId="0DE8FE8B" w:rsidR="003C755E" w:rsidRPr="00284CF4" w:rsidRDefault="003C755E" w:rsidP="003C755E">
      <w:pPr>
        <w:jc w:val="both"/>
        <w:rPr>
          <w:rFonts w:ascii="Nunito" w:hAnsi="Nunito"/>
        </w:rPr>
      </w:pPr>
    </w:p>
    <w:p w14:paraId="3CDF84CA" w14:textId="1657CCA6" w:rsidR="003C755E" w:rsidRPr="009D13A2" w:rsidRDefault="00897F6B" w:rsidP="00897F6B">
      <w:pPr>
        <w:pStyle w:val="ListParagraph"/>
        <w:numPr>
          <w:ilvl w:val="0"/>
          <w:numId w:val="363"/>
        </w:numPr>
        <w:spacing w:after="160"/>
        <w:ind w:left="567" w:hanging="425"/>
        <w:rPr>
          <w:rFonts w:ascii="Nunito" w:eastAsia="Arial" w:hAnsi="Nunito" w:cs="Arial"/>
          <w:b/>
          <w:bCs/>
          <w:color w:val="00B0F0"/>
          <w:sz w:val="20"/>
          <w:szCs w:val="20"/>
        </w:rPr>
      </w:pPr>
      <w:r w:rsidRPr="009D13A2">
        <w:rPr>
          <w:rFonts w:ascii="Nunito" w:eastAsia="Arial" w:hAnsi="Nunito" w:cs="Arial"/>
          <w:b/>
          <w:bCs/>
          <w:color w:val="00B0F0"/>
          <w:sz w:val="20"/>
          <w:szCs w:val="20"/>
        </w:rPr>
        <w:t>Probleme de mediu identificate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3C755E" w:rsidRPr="00284CF4" w14:paraId="6C5D5D8C" w14:textId="77777777" w:rsidTr="009D13A2">
        <w:tc>
          <w:tcPr>
            <w:tcW w:w="2256" w:type="dxa"/>
            <w:tcBorders>
              <w:top w:val="none" w:sz="0" w:space="0" w:color="FFFFFF"/>
              <w:left w:val="none" w:sz="0" w:space="0" w:color="FFFFFF"/>
              <w:bottom w:val="none" w:sz="0" w:space="0" w:color="FFFFFF"/>
              <w:right w:val="none" w:sz="0" w:space="0" w:color="FFFFFF"/>
            </w:tcBorders>
            <w:shd w:val="clear" w:color="auto" w:fill="CBD9E1" w:themeFill="background2" w:themeFillTint="33"/>
            <w:tcMar>
              <w:top w:w="120" w:type="dxa"/>
              <w:left w:w="200" w:type="dxa"/>
              <w:bottom w:w="120" w:type="dxa"/>
              <w:right w:w="200" w:type="dxa"/>
            </w:tcMar>
            <w:vAlign w:val="center"/>
          </w:tcPr>
          <w:p w14:paraId="65F602D0"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56</w:t>
            </w:r>
          </w:p>
          <w:p w14:paraId="29D6BFB4"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probleme de mediu identificate în total</w:t>
            </w:r>
          </w:p>
        </w:tc>
        <w:tc>
          <w:tcPr>
            <w:tcW w:w="2256" w:type="dxa"/>
            <w:tcBorders>
              <w:top w:val="none" w:sz="0" w:space="0" w:color="FFFFFF"/>
              <w:left w:val="none" w:sz="0" w:space="0" w:color="FFFFFF"/>
              <w:bottom w:val="none" w:sz="0" w:space="0" w:color="FFFFFF"/>
              <w:right w:val="none" w:sz="0" w:space="0" w:color="FFFFFF"/>
            </w:tcBorders>
            <w:shd w:val="clear" w:color="auto" w:fill="CBD9E1" w:themeFill="background2" w:themeFillTint="33"/>
            <w:tcMar>
              <w:top w:w="120" w:type="dxa"/>
              <w:left w:w="200" w:type="dxa"/>
              <w:bottom w:w="120" w:type="dxa"/>
              <w:right w:w="200" w:type="dxa"/>
            </w:tcMar>
            <w:vAlign w:val="center"/>
          </w:tcPr>
          <w:p w14:paraId="2E852393"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16</w:t>
            </w:r>
          </w:p>
          <w:p w14:paraId="44B2874F"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probleme GRAVE (semnificative)</w:t>
            </w:r>
          </w:p>
        </w:tc>
        <w:tc>
          <w:tcPr>
            <w:tcW w:w="2256" w:type="dxa"/>
            <w:tcBorders>
              <w:top w:val="none" w:sz="0" w:space="0" w:color="FFFFFF"/>
              <w:left w:val="none" w:sz="0" w:space="0" w:color="FFFFFF"/>
              <w:bottom w:val="none" w:sz="0" w:space="0" w:color="FFFFFF"/>
              <w:right w:val="none" w:sz="0" w:space="0" w:color="FFFFFF"/>
            </w:tcBorders>
            <w:shd w:val="clear" w:color="auto" w:fill="CBD9E1" w:themeFill="background2" w:themeFillTint="33"/>
            <w:tcMar>
              <w:top w:w="120" w:type="dxa"/>
              <w:left w:w="200" w:type="dxa"/>
              <w:bottom w:w="120" w:type="dxa"/>
              <w:right w:w="200" w:type="dxa"/>
            </w:tcMar>
            <w:vAlign w:val="center"/>
          </w:tcPr>
          <w:p w14:paraId="0FFDB16D"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38</w:t>
            </w:r>
          </w:p>
          <w:p w14:paraId="128C6044"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probleme moderate (nesemnificative)</w:t>
            </w:r>
          </w:p>
        </w:tc>
        <w:tc>
          <w:tcPr>
            <w:tcW w:w="2256" w:type="dxa"/>
            <w:tcBorders>
              <w:top w:val="none" w:sz="0" w:space="0" w:color="FFFFFF"/>
              <w:left w:val="none" w:sz="0" w:space="0" w:color="FFFFFF"/>
              <w:bottom w:val="none" w:sz="0" w:space="0" w:color="FFFFFF"/>
              <w:right w:val="none" w:sz="0" w:space="0" w:color="FFFFFF"/>
            </w:tcBorders>
            <w:shd w:val="clear" w:color="auto" w:fill="CBD9E1" w:themeFill="background2" w:themeFillTint="33"/>
            <w:tcMar>
              <w:top w:w="120" w:type="dxa"/>
              <w:left w:w="200" w:type="dxa"/>
              <w:bottom w:w="120" w:type="dxa"/>
              <w:right w:w="200" w:type="dxa"/>
            </w:tcMar>
            <w:vAlign w:val="center"/>
          </w:tcPr>
          <w:p w14:paraId="2E55D6FD"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1</w:t>
            </w:r>
          </w:p>
          <w:p w14:paraId="2E2569EC"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problemă fără impact PNGD</w:t>
            </w:r>
          </w:p>
        </w:tc>
      </w:tr>
    </w:tbl>
    <w:p w14:paraId="62BB23F2" w14:textId="77777777" w:rsidR="003C755E" w:rsidRPr="009D13A2" w:rsidRDefault="003C755E" w:rsidP="003C755E">
      <w:pPr>
        <w:pBdr>
          <w:bottom w:val="single" w:sz="3" w:space="2" w:color="D6E8F7"/>
        </w:pBdr>
        <w:spacing w:before="200" w:after="100"/>
        <w:jc w:val="both"/>
        <w:rPr>
          <w:rFonts w:ascii="Nunito" w:hAnsi="Nunito"/>
          <w:color w:val="00B0F0"/>
          <w:sz w:val="16"/>
          <w:szCs w:val="16"/>
        </w:rPr>
      </w:pPr>
      <w:r w:rsidRPr="009D13A2">
        <w:rPr>
          <w:rFonts w:ascii="Nunito" w:eastAsia="Arial" w:hAnsi="Nunito" w:cs="Arial"/>
          <w:b/>
          <w:bCs/>
          <w:color w:val="00B0F0"/>
          <w:sz w:val="16"/>
          <w:szCs w:val="16"/>
        </w:rPr>
        <w:t xml:space="preserve">Cele 3 cauze principale </w:t>
      </w:r>
    </w:p>
    <w:p w14:paraId="405ED4FA" w14:textId="77777777" w:rsidR="003C755E" w:rsidRPr="00897F6B" w:rsidRDefault="003C755E" w:rsidP="003C755E">
      <w:pPr>
        <w:spacing w:after="160"/>
        <w:jc w:val="both"/>
        <w:rPr>
          <w:rFonts w:ascii="Nunito" w:hAnsi="Nunito"/>
          <w:sz w:val="16"/>
          <w:szCs w:val="16"/>
        </w:rPr>
      </w:pPr>
      <w:r w:rsidRPr="00897F6B">
        <w:rPr>
          <w:rFonts w:ascii="Nunito" w:eastAsia="Arial" w:hAnsi="Nunito" w:cs="Arial"/>
          <w:color w:val="2D2D2D"/>
          <w:sz w:val="16"/>
          <w:szCs w:val="16"/>
        </w:rPr>
        <w:t>Aceste trei probleme generează efecte negative în cascadă asupra mai multor componente de mediu simultan:</w:t>
      </w:r>
    </w:p>
    <w:tbl>
      <w:tblPr>
        <w:tblW w:w="9026" w:type="dxa"/>
        <w:tblBorders>
          <w:top w:val="single" w:sz="2" w:space="0" w:color="D9D9D9" w:themeColor="background1" w:themeShade="D9"/>
          <w:bottom w:val="single" w:sz="2" w:space="0" w:color="D9D9D9" w:themeColor="background1" w:themeShade="D9"/>
          <w:insideH w:val="single" w:sz="2" w:space="0" w:color="D9D9D9" w:themeColor="background1" w:themeShade="D9"/>
        </w:tblBorders>
        <w:tblCellMar>
          <w:left w:w="10" w:type="dxa"/>
          <w:right w:w="10" w:type="dxa"/>
        </w:tblCellMar>
        <w:tblLook w:val="04A0" w:firstRow="1" w:lastRow="0" w:firstColumn="1" w:lastColumn="0" w:noHBand="0" w:noVBand="1"/>
      </w:tblPr>
      <w:tblGrid>
        <w:gridCol w:w="3000"/>
        <w:gridCol w:w="6026"/>
      </w:tblGrid>
      <w:tr w:rsidR="003C755E" w:rsidRPr="00897F6B" w14:paraId="1F361BFB" w14:textId="77777777" w:rsidTr="00897F6B">
        <w:tc>
          <w:tcPr>
            <w:tcW w:w="3000" w:type="dxa"/>
            <w:shd w:val="clear" w:color="auto" w:fill="EBF3FA"/>
            <w:tcMar>
              <w:top w:w="80" w:type="dxa"/>
              <w:left w:w="160" w:type="dxa"/>
              <w:bottom w:w="80" w:type="dxa"/>
              <w:right w:w="160" w:type="dxa"/>
            </w:tcMar>
            <w:vAlign w:val="center"/>
          </w:tcPr>
          <w:p w14:paraId="111D6166" w14:textId="77777777" w:rsidR="003C755E" w:rsidRPr="001F6427" w:rsidRDefault="003C755E" w:rsidP="009B4490">
            <w:pPr>
              <w:jc w:val="both"/>
              <w:rPr>
                <w:rFonts w:ascii="Nunito" w:hAnsi="Nunito"/>
                <w:color w:val="000000" w:themeColor="text1"/>
                <w:sz w:val="16"/>
                <w:szCs w:val="16"/>
              </w:rPr>
            </w:pPr>
            <w:r w:rsidRPr="001F6427">
              <w:rPr>
                <w:rFonts w:ascii="Nunito" w:eastAsia="Arial" w:hAnsi="Nunito" w:cs="Arial"/>
                <w:color w:val="000000" w:themeColor="text1"/>
                <w:sz w:val="16"/>
                <w:szCs w:val="16"/>
              </w:rPr>
              <w:t>9 depozite neconforme</w:t>
            </w:r>
          </w:p>
        </w:tc>
        <w:tc>
          <w:tcPr>
            <w:tcW w:w="6026" w:type="dxa"/>
            <w:shd w:val="clear" w:color="auto" w:fill="EBF3FA"/>
            <w:tcMar>
              <w:top w:w="80" w:type="dxa"/>
              <w:left w:w="160" w:type="dxa"/>
              <w:bottom w:w="80" w:type="dxa"/>
              <w:right w:w="160" w:type="dxa"/>
            </w:tcMar>
            <w:vAlign w:val="center"/>
          </w:tcPr>
          <w:p w14:paraId="2F2E5315" w14:textId="77777777" w:rsidR="003C755E" w:rsidRPr="00897F6B" w:rsidRDefault="003C755E" w:rsidP="009B4490">
            <w:pPr>
              <w:jc w:val="both"/>
              <w:rPr>
                <w:rFonts w:ascii="Nunito" w:hAnsi="Nunito"/>
                <w:sz w:val="16"/>
                <w:szCs w:val="16"/>
              </w:rPr>
            </w:pPr>
            <w:r w:rsidRPr="00897F6B">
              <w:rPr>
                <w:rFonts w:ascii="Nunito" w:eastAsia="Arial" w:hAnsi="Nunito" w:cs="Arial"/>
                <w:color w:val="2D2D2D"/>
                <w:sz w:val="16"/>
                <w:szCs w:val="16"/>
              </w:rPr>
              <w:t>Poluare simultană a apei, solului, aerului. Sursă de metan necontrolat. Procedură de infringement la CJUE (cauza C-2020/2276). Condiție necesară dar nu suficientă pentru îmbunătățire.</w:t>
            </w:r>
          </w:p>
        </w:tc>
      </w:tr>
      <w:tr w:rsidR="003C755E" w:rsidRPr="00897F6B" w14:paraId="4775DFA2" w14:textId="77777777" w:rsidTr="00897F6B">
        <w:tc>
          <w:tcPr>
            <w:tcW w:w="3000" w:type="dxa"/>
            <w:shd w:val="clear" w:color="auto" w:fill="FFFFFF"/>
            <w:tcMar>
              <w:top w:w="80" w:type="dxa"/>
              <w:left w:w="160" w:type="dxa"/>
              <w:bottom w:w="80" w:type="dxa"/>
              <w:right w:w="160" w:type="dxa"/>
            </w:tcMar>
            <w:vAlign w:val="center"/>
          </w:tcPr>
          <w:p w14:paraId="79DC2D5E" w14:textId="77777777" w:rsidR="003C755E" w:rsidRPr="001F6427" w:rsidRDefault="003C755E" w:rsidP="009B4490">
            <w:pPr>
              <w:jc w:val="both"/>
              <w:rPr>
                <w:rFonts w:ascii="Nunito" w:hAnsi="Nunito"/>
                <w:color w:val="000000" w:themeColor="text1"/>
                <w:sz w:val="16"/>
                <w:szCs w:val="16"/>
              </w:rPr>
            </w:pPr>
            <w:r w:rsidRPr="001F6427">
              <w:rPr>
                <w:rFonts w:ascii="Nunito" w:eastAsia="Arial" w:hAnsi="Nunito" w:cs="Arial"/>
                <w:color w:val="000000" w:themeColor="text1"/>
                <w:sz w:val="16"/>
                <w:szCs w:val="16"/>
              </w:rPr>
              <w:t>Lipsa colectării separate și a tratării biologice</w:t>
            </w:r>
          </w:p>
        </w:tc>
        <w:tc>
          <w:tcPr>
            <w:tcW w:w="6026" w:type="dxa"/>
            <w:shd w:val="clear" w:color="auto" w:fill="FFFFFF"/>
            <w:tcMar>
              <w:top w:w="80" w:type="dxa"/>
              <w:left w:w="160" w:type="dxa"/>
              <w:bottom w:w="80" w:type="dxa"/>
              <w:right w:w="160" w:type="dxa"/>
            </w:tcMar>
            <w:vAlign w:val="center"/>
          </w:tcPr>
          <w:p w14:paraId="0EC57067" w14:textId="77777777" w:rsidR="003C755E" w:rsidRPr="00897F6B" w:rsidRDefault="003C755E" w:rsidP="009B4490">
            <w:pPr>
              <w:jc w:val="both"/>
              <w:rPr>
                <w:rFonts w:ascii="Nunito" w:hAnsi="Nunito"/>
                <w:sz w:val="16"/>
                <w:szCs w:val="16"/>
              </w:rPr>
            </w:pPr>
            <w:r w:rsidRPr="00897F6B">
              <w:rPr>
                <w:rFonts w:ascii="Nunito" w:eastAsia="Arial" w:hAnsi="Nunito" w:cs="Arial"/>
                <w:color w:val="2D2D2D"/>
                <w:sz w:val="16"/>
                <w:szCs w:val="16"/>
              </w:rPr>
              <w:t>Biodeșeurile (56,6% din compoziție) ajung la groapă. Rata de capturare: doar 4,9%. Capacitate de tratare: ~27% din necesar. Cea mai „productivă” sursă de efecte negative în cascadă.</w:t>
            </w:r>
          </w:p>
        </w:tc>
      </w:tr>
      <w:tr w:rsidR="003C755E" w:rsidRPr="00897F6B" w14:paraId="07A9848C" w14:textId="77777777" w:rsidTr="00897F6B">
        <w:tc>
          <w:tcPr>
            <w:tcW w:w="3000" w:type="dxa"/>
            <w:shd w:val="clear" w:color="auto" w:fill="EBF3FA"/>
            <w:tcMar>
              <w:top w:w="80" w:type="dxa"/>
              <w:left w:w="160" w:type="dxa"/>
              <w:bottom w:w="80" w:type="dxa"/>
              <w:right w:w="160" w:type="dxa"/>
            </w:tcMar>
            <w:vAlign w:val="center"/>
          </w:tcPr>
          <w:p w14:paraId="101116E2" w14:textId="77777777" w:rsidR="003C755E" w:rsidRPr="001F6427" w:rsidRDefault="003C755E" w:rsidP="009B4490">
            <w:pPr>
              <w:jc w:val="both"/>
              <w:rPr>
                <w:rFonts w:ascii="Nunito" w:hAnsi="Nunito"/>
                <w:color w:val="000000" w:themeColor="text1"/>
                <w:sz w:val="16"/>
                <w:szCs w:val="16"/>
              </w:rPr>
            </w:pPr>
            <w:r w:rsidRPr="001F6427">
              <w:rPr>
                <w:rFonts w:ascii="Nunito" w:eastAsia="Arial" w:hAnsi="Nunito" w:cs="Arial"/>
                <w:color w:val="000000" w:themeColor="text1"/>
                <w:sz w:val="16"/>
                <w:szCs w:val="16"/>
              </w:rPr>
              <w:t>Lipsa serviciilor în mediul rural</w:t>
            </w:r>
          </w:p>
        </w:tc>
        <w:tc>
          <w:tcPr>
            <w:tcW w:w="6026" w:type="dxa"/>
            <w:shd w:val="clear" w:color="auto" w:fill="EBF3FA"/>
            <w:tcMar>
              <w:top w:w="80" w:type="dxa"/>
              <w:left w:w="160" w:type="dxa"/>
              <w:bottom w:w="80" w:type="dxa"/>
              <w:right w:w="160" w:type="dxa"/>
            </w:tcMar>
            <w:vAlign w:val="center"/>
          </w:tcPr>
          <w:p w14:paraId="7AA78516" w14:textId="77777777" w:rsidR="003C755E" w:rsidRPr="00897F6B" w:rsidRDefault="003C755E" w:rsidP="009B4490">
            <w:pPr>
              <w:jc w:val="both"/>
              <w:rPr>
                <w:rFonts w:ascii="Nunito" w:hAnsi="Nunito"/>
                <w:sz w:val="16"/>
                <w:szCs w:val="16"/>
              </w:rPr>
            </w:pPr>
            <w:r w:rsidRPr="00897F6B">
              <w:rPr>
                <w:rFonts w:ascii="Nunito" w:eastAsia="Arial" w:hAnsi="Nunito" w:cs="Arial"/>
                <w:color w:val="2D2D2D"/>
                <w:sz w:val="16"/>
                <w:szCs w:val="16"/>
              </w:rPr>
              <w:t>Fără alternative, oamenii ard sau abandonează deșeurile. Cel mai mare efect multiplicator pozitiv dacă este rezolvată.</w:t>
            </w:r>
          </w:p>
        </w:tc>
      </w:tr>
    </w:tbl>
    <w:p w14:paraId="1D0A4E0E" w14:textId="4C33C763" w:rsidR="009D13A2" w:rsidRPr="009D13A2" w:rsidRDefault="009D13A2" w:rsidP="009D13A2">
      <w:pPr>
        <w:pBdr>
          <w:bottom w:val="single" w:sz="3" w:space="2" w:color="D6E8F7"/>
        </w:pBdr>
        <w:spacing w:before="200" w:after="100"/>
        <w:rPr>
          <w:rFonts w:ascii="Nunito" w:hAnsi="Nunito"/>
          <w:color w:val="009DF0" w:themeColor="text2"/>
        </w:rPr>
      </w:pPr>
      <w:r w:rsidRPr="009D13A2">
        <w:rPr>
          <w:rFonts w:ascii="Nunito" w:eastAsia="Arial" w:hAnsi="Nunito" w:cs="Arial"/>
          <w:b/>
          <w:bCs/>
          <w:color w:val="009DF0" w:themeColor="text2"/>
        </w:rPr>
        <w:t>Detaliul problemelor pe domenii</w:t>
      </w:r>
    </w:p>
    <w:p w14:paraId="2F613140" w14:textId="77777777" w:rsidR="009D13A2" w:rsidRPr="009D13A2" w:rsidRDefault="009D13A2" w:rsidP="009D13A2">
      <w:pPr>
        <w:spacing w:after="160"/>
        <w:jc w:val="both"/>
        <w:rPr>
          <w:rFonts w:ascii="Nunito" w:eastAsia="Arial" w:hAnsi="Nunito" w:cs="Arial"/>
          <w:b/>
          <w:bCs/>
          <w:color w:val="2D2D2D"/>
        </w:rPr>
      </w:pPr>
      <w:r w:rsidRPr="009D13A2">
        <w:rPr>
          <w:rFonts w:ascii="Nunito" w:eastAsia="Arial" w:hAnsi="Nunito" w:cs="Arial"/>
          <w:b/>
          <w:bCs/>
          <w:color w:val="2D2D2D"/>
        </w:rPr>
        <w:lastRenderedPageBreak/>
        <w:t>Apă (5 probleme identificate, din care 2 grave)</w:t>
      </w:r>
    </w:p>
    <w:p w14:paraId="3EAB26A3" w14:textId="77777777" w:rsidR="009D13A2" w:rsidRPr="009D13A2" w:rsidRDefault="009D13A2" w:rsidP="009D13A2">
      <w:pPr>
        <w:spacing w:after="160"/>
        <w:jc w:val="both"/>
        <w:rPr>
          <w:rFonts w:ascii="Nunito" w:eastAsia="Arial" w:hAnsi="Nunito" w:cs="Arial"/>
          <w:color w:val="2D2D2D"/>
        </w:rPr>
      </w:pPr>
      <w:r w:rsidRPr="009D13A2">
        <w:rPr>
          <w:rFonts w:ascii="Nunito" w:eastAsia="Arial" w:hAnsi="Nunito" w:cs="Arial"/>
          <w:color w:val="2D2D2D"/>
        </w:rPr>
        <w:t>Cele 9 depozite municipale neconforme încă în funcțiune generează levigat încărcat cu metale grele, compuși organici și azot, care se infiltrează în pânzele de apă subterană și ajunge în râuri. În paralel, deșeurile abandonate pe maluri și în luncile inundabile introduc macro-deșeuri și micro-deșeuri în cursurile de apă, contribuind la eutrofizarea bazinelor Prut–Bârlad, Argeș–Vedea și Someș. Pe lângă acestea, instalațiile de tratare a deșeurilor generează scurgeri de ape uzate neepurate, nămolurile de epurare sunt aplicate necontrolat pe terenuri, iar amplasamentele unor depozite se suprapun cu corpuri de apă aflate deja în stare ecologică precară.</w:t>
      </w:r>
    </w:p>
    <w:p w14:paraId="46F61282" w14:textId="77777777" w:rsidR="009D13A2" w:rsidRPr="009D13A2" w:rsidRDefault="009D13A2" w:rsidP="009D13A2">
      <w:pPr>
        <w:spacing w:after="160"/>
        <w:jc w:val="both"/>
        <w:rPr>
          <w:rFonts w:ascii="Nunito" w:eastAsia="Arial" w:hAnsi="Nunito" w:cs="Arial"/>
          <w:b/>
          <w:bCs/>
          <w:color w:val="2D2D2D"/>
        </w:rPr>
      </w:pPr>
      <w:r w:rsidRPr="009D13A2">
        <w:rPr>
          <w:rFonts w:ascii="Nunito" w:eastAsia="Arial" w:hAnsi="Nunito" w:cs="Arial"/>
          <w:b/>
          <w:bCs/>
          <w:color w:val="2D2D2D"/>
        </w:rPr>
        <w:t>Sol (5 probleme identificate, din care 2 grave)</w:t>
      </w:r>
    </w:p>
    <w:p w14:paraId="6930D027" w14:textId="77777777" w:rsidR="009D13A2" w:rsidRPr="009D13A2" w:rsidRDefault="009D13A2" w:rsidP="009D13A2">
      <w:pPr>
        <w:spacing w:after="160"/>
        <w:jc w:val="both"/>
        <w:rPr>
          <w:rFonts w:ascii="Nunito" w:eastAsia="Arial" w:hAnsi="Nunito" w:cs="Arial"/>
          <w:color w:val="2D2D2D"/>
        </w:rPr>
      </w:pPr>
      <w:r w:rsidRPr="009D13A2">
        <w:rPr>
          <w:rFonts w:ascii="Nunito" w:eastAsia="Arial" w:hAnsi="Nunito" w:cs="Arial"/>
          <w:color w:val="2D2D2D"/>
        </w:rPr>
        <w:t>La nivel național există 784 de situri contaminate asociate depozitelor de deșeuri și stațiilor de epurare, ceea ce reprezintă 31% din totalul celor 2.524 de situri înregistrate. Cele 9 depozite neconforme active (Mediaș, Darabani, Vulcan, Lipova, Rupea și altele) continuă să infiltreze levigat în solul adiacent, inhibând activitatea biologică și reducând fertilitatea terenurilor înconjurătoare. Deoarece biodeșeurile nu sunt colectate separat și transformate în compost, România pierde anual aproximativ 291.000 de tone de amendament organic care ar putea îmbunătăți calitatea celor 7,5 milioane de hectare de teren agricol cu deficit de humus. În plus, depozitările necontrolate și dezvoltarea infrastructurii contribuie la ocuparea ireversibilă a 8.000–10.000 hectare de teren natural sau agricol în fiecare an.</w:t>
      </w:r>
    </w:p>
    <w:p w14:paraId="10AE5A96" w14:textId="77777777" w:rsidR="009D13A2" w:rsidRPr="009D13A2" w:rsidRDefault="009D13A2" w:rsidP="009D13A2">
      <w:pPr>
        <w:spacing w:after="160"/>
        <w:jc w:val="both"/>
        <w:rPr>
          <w:rFonts w:ascii="Nunito" w:eastAsia="Arial" w:hAnsi="Nunito" w:cs="Arial"/>
          <w:b/>
          <w:bCs/>
          <w:color w:val="2D2D2D"/>
        </w:rPr>
      </w:pPr>
      <w:r w:rsidRPr="009D13A2">
        <w:rPr>
          <w:rFonts w:ascii="Nunito" w:eastAsia="Arial" w:hAnsi="Nunito" w:cs="Arial"/>
          <w:b/>
          <w:bCs/>
          <w:color w:val="2D2D2D"/>
        </w:rPr>
        <w:t>Schimbări climatice (5 probleme identificate, din care 2 grave)</w:t>
      </w:r>
    </w:p>
    <w:p w14:paraId="0BD5EDFC" w14:textId="77777777" w:rsidR="009D13A2" w:rsidRPr="009D13A2" w:rsidRDefault="009D13A2" w:rsidP="009D13A2">
      <w:pPr>
        <w:spacing w:after="160"/>
        <w:jc w:val="both"/>
        <w:rPr>
          <w:rFonts w:ascii="Nunito" w:eastAsia="Arial" w:hAnsi="Nunito" w:cs="Arial"/>
          <w:color w:val="2D2D2D"/>
        </w:rPr>
      </w:pPr>
      <w:r w:rsidRPr="009D13A2">
        <w:rPr>
          <w:rFonts w:ascii="Nunito" w:eastAsia="Arial" w:hAnsi="Nunito" w:cs="Arial"/>
          <w:color w:val="2D2D2D"/>
        </w:rPr>
        <w:t>Emisiile de gaze cu efect de seră din sectorul deșeurilor sunt în creștere absolută, subsectorul depozitării înregistrând o creștere de +195,63%. Depozitele care nu dispun de sisteme de captare a gazelor emit metan necontrolat, contribuind cu 24% din totalul național de metan. Ponderea deșeurilor biodegradabile depozitate depășește limita europeană de 35% (România se situează la 39–43%), ceea ce alimentează în continuare creșterea emisiilor. Această situație generează și o pierdere energetică importantă: între 2.360 și 2.940 GWh pe an rămân nevalorificate, echivalentul a 200–280 milioane de metri cubi de gaz natural importat.</w:t>
      </w:r>
    </w:p>
    <w:p w14:paraId="29178695" w14:textId="77777777" w:rsidR="009D13A2" w:rsidRPr="009D13A2" w:rsidRDefault="009D13A2" w:rsidP="009D13A2">
      <w:pPr>
        <w:spacing w:after="160"/>
        <w:jc w:val="both"/>
        <w:rPr>
          <w:rFonts w:ascii="Nunito" w:eastAsia="Arial" w:hAnsi="Nunito" w:cs="Arial"/>
          <w:b/>
          <w:bCs/>
          <w:color w:val="2D2D2D"/>
        </w:rPr>
      </w:pPr>
      <w:r w:rsidRPr="009D13A2">
        <w:rPr>
          <w:rFonts w:ascii="Nunito" w:eastAsia="Arial" w:hAnsi="Nunito" w:cs="Arial"/>
          <w:b/>
          <w:bCs/>
          <w:color w:val="2D2D2D"/>
        </w:rPr>
        <w:t>Aer (4 probleme identificate, din care 1 gravă)</w:t>
      </w:r>
    </w:p>
    <w:p w14:paraId="0692D827" w14:textId="77777777" w:rsidR="009D13A2" w:rsidRPr="009D13A2" w:rsidRDefault="009D13A2" w:rsidP="009D13A2">
      <w:pPr>
        <w:spacing w:after="160"/>
        <w:jc w:val="both"/>
        <w:rPr>
          <w:rFonts w:ascii="Nunito" w:eastAsia="Arial" w:hAnsi="Nunito" w:cs="Arial"/>
          <w:color w:val="2D2D2D"/>
        </w:rPr>
      </w:pPr>
      <w:r w:rsidRPr="009D13A2">
        <w:rPr>
          <w:rFonts w:ascii="Nunito" w:eastAsia="Arial" w:hAnsi="Nunito" w:cs="Arial"/>
          <w:color w:val="2D2D2D"/>
        </w:rPr>
        <w:t>Principala problemă este arderea necontrolată a deșeurilor în mediul rural, care eliberează particule fine (PM2,5 – cu o creștere de +154,5% față de 1990), benzo(a)piren, dioxine și furani – substanțe clasificate drept cancerigene de către Agenția Internațională pentru Cercetarea Cancerului (IARC Grupa 1). În plus, metanul și compușii organici volatili emisi de depozitele fără sisteme de captare contribuie la formarea ozonului troposferic, iar emisiile fugitive din instalațiile de tratare neconforme și flota de vehicule de colectare învechite (standard Euro 3–5) agravează poluarea locală.</w:t>
      </w:r>
    </w:p>
    <w:p w14:paraId="4A7AF15C" w14:textId="77777777" w:rsidR="009D13A2" w:rsidRPr="009D13A2" w:rsidRDefault="009D13A2" w:rsidP="009D13A2">
      <w:pPr>
        <w:spacing w:after="160"/>
        <w:jc w:val="both"/>
        <w:rPr>
          <w:rFonts w:ascii="Nunito" w:eastAsia="Arial" w:hAnsi="Nunito" w:cs="Arial"/>
          <w:b/>
          <w:bCs/>
          <w:color w:val="2D2D2D"/>
        </w:rPr>
      </w:pPr>
      <w:r w:rsidRPr="009D13A2">
        <w:rPr>
          <w:rFonts w:ascii="Nunito" w:eastAsia="Arial" w:hAnsi="Nunito" w:cs="Arial"/>
          <w:b/>
          <w:bCs/>
          <w:color w:val="2D2D2D"/>
        </w:rPr>
        <w:t>Sănătate și mediu social (6 probleme identificate, din care 3 grave)</w:t>
      </w:r>
    </w:p>
    <w:p w14:paraId="698A422B" w14:textId="77777777" w:rsidR="009D13A2" w:rsidRPr="009D13A2" w:rsidRDefault="009D13A2" w:rsidP="009D13A2">
      <w:pPr>
        <w:spacing w:after="160"/>
        <w:jc w:val="both"/>
        <w:rPr>
          <w:rFonts w:ascii="Nunito" w:eastAsia="Arial" w:hAnsi="Nunito" w:cs="Arial"/>
          <w:color w:val="2D2D2D"/>
        </w:rPr>
      </w:pPr>
      <w:r w:rsidRPr="009D13A2">
        <w:rPr>
          <w:rFonts w:ascii="Nunito" w:eastAsia="Arial" w:hAnsi="Nunito" w:cs="Arial"/>
          <w:color w:val="2D2D2D"/>
        </w:rPr>
        <w:t>Poluarea generată de gestionarea neconformă a deșeurilor este corelată cu aproximativ 34.700 de decese premature pe an în România, un număr dublu față de media europeană. În mediul rural, sursele de apă potabilă (fântânile individuale) sunt frecvent contaminate cu nitrați proveniți din depozitele de deșeuri, în condițiile în care doar aproximativ 29% din populația rurală este conectată la rețeaua publică. Accesul la servicii conforme de salubritate rămâne profund inegal pe teritoriul țării. La acestea se adaugă riscul financiar al pierderii fondurilor PNRR – Componenta 3, dacă jaloanele de conformare nu sunt atinse.</w:t>
      </w:r>
    </w:p>
    <w:p w14:paraId="78194D1A" w14:textId="77777777" w:rsidR="009D13A2" w:rsidRPr="009D13A2" w:rsidRDefault="009D13A2" w:rsidP="009D13A2">
      <w:pPr>
        <w:spacing w:after="160"/>
        <w:jc w:val="both"/>
        <w:rPr>
          <w:rFonts w:ascii="Nunito" w:eastAsia="Arial" w:hAnsi="Nunito" w:cs="Arial"/>
          <w:b/>
          <w:bCs/>
          <w:color w:val="2D2D2D"/>
        </w:rPr>
      </w:pPr>
      <w:r w:rsidRPr="009D13A2">
        <w:rPr>
          <w:rFonts w:ascii="Nunito" w:eastAsia="Arial" w:hAnsi="Nunito" w:cs="Arial"/>
          <w:b/>
          <w:bCs/>
          <w:color w:val="2D2D2D"/>
        </w:rPr>
        <w:t>Economie circulară (6 probleme identificate, din care 3 grave)</w:t>
      </w:r>
    </w:p>
    <w:p w14:paraId="7DAFC458" w14:textId="77777777" w:rsidR="009D13A2" w:rsidRPr="009D13A2" w:rsidRDefault="009D13A2" w:rsidP="009D13A2">
      <w:pPr>
        <w:spacing w:after="160"/>
        <w:jc w:val="both"/>
        <w:rPr>
          <w:rFonts w:ascii="Nunito" w:eastAsia="Arial" w:hAnsi="Nunito" w:cs="Arial"/>
          <w:color w:val="2D2D2D"/>
        </w:rPr>
      </w:pPr>
      <w:r w:rsidRPr="009D13A2">
        <w:rPr>
          <w:rFonts w:ascii="Nunito" w:eastAsia="Arial" w:hAnsi="Nunito" w:cs="Arial"/>
          <w:color w:val="2D2D2D"/>
        </w:rPr>
        <w:t>România depozitează aproximativ 74% din deșeurile municipale, față de o medie europeană de sub 25%. Depozitarea rămâne opțiunea dominantă din cauza taxei foarte mici (circa 16 €/tonă, față de 39–46 €/tonă media UE), care nu stimulează reciclarea. Rata de utilizare a materialelor circulare (CMUR) este de doar 1,3% – ultimul loc în Uniunea Europeană, față de o medie de 11,5%. Schemele de răspundere extinsă a producătorilor (REP) nu funcționează eficient, cu excepția Sistemului de Garanție–Returnare (SGR RetuRO), care a demonstrat că instrumentele economice bine proiectate pot produce rezultate rapide, atingând o rată de returnare de 94%.</w:t>
      </w:r>
    </w:p>
    <w:p w14:paraId="5B0C655E" w14:textId="77777777" w:rsidR="009D13A2" w:rsidRPr="009D13A2" w:rsidRDefault="009D13A2" w:rsidP="009D13A2">
      <w:pPr>
        <w:spacing w:after="160"/>
        <w:jc w:val="both"/>
        <w:rPr>
          <w:rFonts w:ascii="Nunito" w:eastAsia="Arial" w:hAnsi="Nunito" w:cs="Arial"/>
          <w:b/>
          <w:bCs/>
          <w:color w:val="2D2D2D"/>
        </w:rPr>
      </w:pPr>
      <w:r w:rsidRPr="009D13A2">
        <w:rPr>
          <w:rFonts w:ascii="Nunito" w:eastAsia="Arial" w:hAnsi="Nunito" w:cs="Arial"/>
          <w:b/>
          <w:bCs/>
          <w:color w:val="2D2D2D"/>
        </w:rPr>
        <w:t>Eficiență energetică (5 probleme identificate, din care 2 grave)</w:t>
      </w:r>
    </w:p>
    <w:p w14:paraId="0599BBAA" w14:textId="77777777" w:rsidR="009D13A2" w:rsidRPr="009D13A2" w:rsidRDefault="009D13A2" w:rsidP="009D13A2">
      <w:pPr>
        <w:spacing w:after="160"/>
        <w:jc w:val="both"/>
        <w:rPr>
          <w:rFonts w:ascii="Nunito" w:eastAsia="Arial" w:hAnsi="Nunito" w:cs="Arial"/>
          <w:color w:val="2D2D2D"/>
        </w:rPr>
      </w:pPr>
      <w:r w:rsidRPr="009D13A2">
        <w:rPr>
          <w:rFonts w:ascii="Nunito" w:eastAsia="Arial" w:hAnsi="Nunito" w:cs="Arial"/>
          <w:color w:val="2D2D2D"/>
        </w:rPr>
        <w:t xml:space="preserve">Valorificarea energetică a deșeurilor municipale se situează la doar 7,4%, de 3,6 ori sub media europeană de 27%. Capacitatea de co-procesare în industria cimentului este utilizată în proporție de doar 13,1% din totalul autorizat, față </w:t>
      </w:r>
      <w:r w:rsidRPr="009D13A2">
        <w:rPr>
          <w:rFonts w:ascii="Nunito" w:eastAsia="Arial" w:hAnsi="Nunito" w:cs="Arial"/>
          <w:color w:val="2D2D2D"/>
        </w:rPr>
        <w:lastRenderedPageBreak/>
        <w:t>de 52% media UE și 85–100% potențialul tehnic. Rezultatul este o pierdere constantă de potențial energetic și o dependență sporită de importul de combustibili fosili.</w:t>
      </w:r>
    </w:p>
    <w:p w14:paraId="75C12D8A" w14:textId="77777777" w:rsidR="009D13A2" w:rsidRPr="009D13A2" w:rsidRDefault="009D13A2" w:rsidP="009D13A2">
      <w:pPr>
        <w:spacing w:after="160"/>
        <w:jc w:val="both"/>
        <w:rPr>
          <w:rFonts w:ascii="Nunito" w:eastAsia="Arial" w:hAnsi="Nunito" w:cs="Arial"/>
          <w:b/>
          <w:bCs/>
          <w:color w:val="2D2D2D"/>
        </w:rPr>
      </w:pPr>
      <w:r w:rsidRPr="009D13A2">
        <w:rPr>
          <w:rFonts w:ascii="Nunito" w:eastAsia="Arial" w:hAnsi="Nunito" w:cs="Arial"/>
          <w:b/>
          <w:bCs/>
          <w:color w:val="2D2D2D"/>
        </w:rPr>
        <w:t>Peisaj și biodiversitate (10 probleme identificate, din care 1 gravă)</w:t>
      </w:r>
    </w:p>
    <w:p w14:paraId="1A9990CE" w14:textId="6B8B7109" w:rsidR="009D13A2" w:rsidRPr="009D13A2" w:rsidRDefault="009D13A2" w:rsidP="009D13A2">
      <w:pPr>
        <w:spacing w:after="160"/>
        <w:jc w:val="both"/>
        <w:rPr>
          <w:rFonts w:ascii="Nunito" w:eastAsia="Arial" w:hAnsi="Nunito" w:cs="Arial"/>
          <w:color w:val="2D2D2D"/>
        </w:rPr>
      </w:pPr>
      <w:r w:rsidRPr="009D13A2">
        <w:rPr>
          <w:rFonts w:ascii="Nunito" w:eastAsia="Arial" w:hAnsi="Nunito" w:cs="Arial"/>
          <w:color w:val="2D2D2D"/>
        </w:rPr>
        <w:t>Depozitările ilegale de deșeuri au crescut exploziv, de la 379 de tone în 2020 la 32.122 de tone în 2021 – o creștere de 84 de ori – degradând peisajul de-a lungul drumurilor, la intrările în localități, pe malurile apelor și la marginea pădurilor. Depozitele neconforme degradează habitatele naturale prin poluare, fragmentează coridoarele ecologice și facilitează răspândirea speciilor invazive. Circa 20 de instalații de deșeuri se suprapun cu situri arheologice protejate. Singura problemă clasificată ca fiind fără impact pentru PNGD privește presiunile structurale asupra patrimoniului cultural (subfinanțarea restaurărilor, expansiunea urbană), ale căror cauze sunt externe domeniului de intervenție al planului.</w:t>
      </w:r>
      <w:r w:rsidR="001F6427">
        <w:rPr>
          <w:rFonts w:ascii="Nunito" w:eastAsia="Arial" w:hAnsi="Nunito" w:cs="Arial"/>
          <w:color w:val="2D2D2D"/>
        </w:rPr>
        <w:t>.</w:t>
      </w:r>
    </w:p>
    <w:p w14:paraId="35CC8AB6" w14:textId="57EA8BA2" w:rsidR="003C755E" w:rsidRPr="00897F6B" w:rsidRDefault="003C755E" w:rsidP="003C755E">
      <w:pPr>
        <w:jc w:val="both"/>
        <w:rPr>
          <w:rFonts w:ascii="Nunito" w:hAnsi="Nunito"/>
        </w:rPr>
      </w:pPr>
    </w:p>
    <w:p w14:paraId="79B36DF0" w14:textId="04CE57E6" w:rsidR="003C755E" w:rsidRPr="009D13A2" w:rsidRDefault="009D13A2" w:rsidP="009D13A2">
      <w:pPr>
        <w:pStyle w:val="ListParagraph"/>
        <w:numPr>
          <w:ilvl w:val="0"/>
          <w:numId w:val="363"/>
        </w:numPr>
        <w:spacing w:after="160"/>
        <w:ind w:left="567" w:hanging="425"/>
        <w:rPr>
          <w:rFonts w:ascii="Nunito" w:eastAsia="Arial" w:hAnsi="Nunito" w:cs="Arial"/>
          <w:b/>
          <w:bCs/>
          <w:color w:val="00B0F0"/>
          <w:sz w:val="20"/>
          <w:szCs w:val="20"/>
        </w:rPr>
      </w:pPr>
      <w:r w:rsidRPr="009D13A2">
        <w:rPr>
          <w:rFonts w:ascii="Nunito" w:eastAsia="Arial" w:hAnsi="Nunito" w:cs="Arial"/>
          <w:b/>
          <w:bCs/>
          <w:color w:val="00B0F0"/>
          <w:sz w:val="20"/>
          <w:szCs w:val="20"/>
        </w:rPr>
        <w:t>Obiective de protecția mediu relevante pentru PNG</w:t>
      </w:r>
      <w:r>
        <w:rPr>
          <w:rFonts w:ascii="Nunito" w:eastAsia="Arial" w:hAnsi="Nunito" w:cs="Arial"/>
          <w:b/>
          <w:bCs/>
          <w:color w:val="00B0F0"/>
          <w:sz w:val="20"/>
          <w:szCs w:val="20"/>
        </w:rPr>
        <w:t>D</w:t>
      </w:r>
    </w:p>
    <w:p w14:paraId="18340626" w14:textId="5064663F" w:rsidR="003C755E" w:rsidRDefault="001F6427" w:rsidP="003C755E">
      <w:pPr>
        <w:spacing w:before="60"/>
        <w:jc w:val="both"/>
        <w:rPr>
          <w:rFonts w:ascii="Nunito" w:eastAsia="Arial" w:hAnsi="Nunito" w:cs="Arial"/>
          <w:color w:val="2D2D2D"/>
        </w:rPr>
      </w:pPr>
      <w:r w:rsidRPr="001F6427">
        <w:rPr>
          <w:rFonts w:ascii="Nunito" w:eastAsia="Arial" w:hAnsi="Nunito" w:cs="Arial"/>
          <w:color w:val="2D2D2D"/>
        </w:rPr>
        <w:t>Pentru a putea evalua efectele planului asupra mediului, raportul a stabilit 17 obiective de protecție a mediului (OM1–OM17), derivate din legislația europeană și națională. Fiecare obiectiv are indicatori măsurabili și ținte concrete, astfel încât să se poată verifica ulterior dacă planul își atinge scopul. Aceste obiective acoperă toate componentele de mediu menționate în Directiva SEA: apa, aerul, solul, biodiversitatea, populația și sănătatea umană, patrimoniul cultural, peisajul, factorii climatici, precum și aspecte specifice economiei circulare și eficienței resurselor</w:t>
      </w:r>
    </w:p>
    <w:p w14:paraId="17EFB9CC" w14:textId="77777777" w:rsidR="001F6427" w:rsidRPr="009D13A2" w:rsidRDefault="001F6427" w:rsidP="003C755E">
      <w:pPr>
        <w:spacing w:before="60"/>
        <w:jc w:val="both"/>
        <w:rPr>
          <w:rFonts w:ascii="Nunito" w:hAnsi="Nuni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C755E" w:rsidRPr="009D13A2" w14:paraId="5B54FFCC" w14:textId="77777777" w:rsidTr="009B4490">
        <w:tc>
          <w:tcPr>
            <w:tcW w:w="4513"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tcPr>
          <w:p w14:paraId="1EDCB05B"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OM1 – Starea bună a apelor subterane</w:t>
            </w:r>
          </w:p>
          <w:p w14:paraId="136650A7"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OM2 – Protejarea resurselor de apă</w:t>
            </w:r>
          </w:p>
          <w:p w14:paraId="5730D5FB"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OM3 – Reducerea emisiilor atmosferice</w:t>
            </w:r>
          </w:p>
          <w:p w14:paraId="078DEAAF"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OM4 – Protejarea calității solului</w:t>
            </w:r>
          </w:p>
          <w:p w14:paraId="6A70EFA6"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OM5 – Sănătatea populației</w:t>
            </w:r>
          </w:p>
          <w:p w14:paraId="09A6965D"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OM6 – Locuri de muncă în economia circulară</w:t>
            </w:r>
          </w:p>
          <w:p w14:paraId="56E32635"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OM7 – Reducerea emisiilor GES</w:t>
            </w:r>
          </w:p>
          <w:p w14:paraId="633D9079"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OM8 – Adaptare și reziliență climatică</w:t>
            </w:r>
          </w:p>
          <w:p w14:paraId="4BDC6E43"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OM9 – Patrimoniul cultural</w:t>
            </w:r>
          </w:p>
        </w:tc>
        <w:tc>
          <w:tcPr>
            <w:tcW w:w="4513" w:type="dxa"/>
            <w:tcBorders>
              <w:top w:val="none" w:sz="0" w:space="0" w:color="FFFFFF"/>
              <w:left w:val="none" w:sz="0" w:space="0" w:color="FFFFFF"/>
              <w:bottom w:val="none" w:sz="0" w:space="0" w:color="FFFFFF"/>
              <w:right w:val="none" w:sz="0" w:space="0" w:color="FFFFFF"/>
            </w:tcBorders>
            <w:shd w:val="clear" w:color="auto" w:fill="EBF3FA"/>
            <w:tcMar>
              <w:top w:w="120" w:type="dxa"/>
              <w:left w:w="200" w:type="dxa"/>
              <w:bottom w:w="120" w:type="dxa"/>
              <w:right w:w="200" w:type="dxa"/>
            </w:tcMar>
          </w:tcPr>
          <w:p w14:paraId="627EE74A"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OM10 – Protecția peisajelor</w:t>
            </w:r>
          </w:p>
          <w:p w14:paraId="397BF1C0"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OM11 – Conservarea biodiversității</w:t>
            </w:r>
          </w:p>
          <w:p w14:paraId="62F633DB"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OM12 – Promovarea economiei circulare</w:t>
            </w:r>
          </w:p>
          <w:p w14:paraId="1A3041FC"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OM13 – Ținte de reciclare</w:t>
            </w:r>
          </w:p>
          <w:p w14:paraId="486029D4"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OM14 – Productivitatea resurselor</w:t>
            </w:r>
          </w:p>
          <w:p w14:paraId="2C317638"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OM15 – Proiectare durabilă produse</w:t>
            </w:r>
          </w:p>
          <w:p w14:paraId="009111C6"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OM16 – Decarbonizare transport</w:t>
            </w:r>
          </w:p>
          <w:p w14:paraId="58637AB9" w14:textId="77777777" w:rsidR="003C755E" w:rsidRPr="009D13A2" w:rsidRDefault="003C755E" w:rsidP="009B4490">
            <w:pPr>
              <w:spacing w:after="40"/>
              <w:jc w:val="both"/>
              <w:rPr>
                <w:rFonts w:ascii="Nunito" w:hAnsi="Nunito"/>
              </w:rPr>
            </w:pPr>
            <w:r w:rsidRPr="009D13A2">
              <w:rPr>
                <w:rFonts w:ascii="Nunito" w:eastAsia="Arial" w:hAnsi="Nunito" w:cs="Arial"/>
                <w:color w:val="1B3A5C"/>
              </w:rPr>
              <w:t>OM17 – Eficiență energetică</w:t>
            </w:r>
          </w:p>
          <w:p w14:paraId="7B67E1F9" w14:textId="77777777" w:rsidR="003C755E" w:rsidRPr="009D13A2" w:rsidRDefault="003C755E" w:rsidP="009B4490">
            <w:pPr>
              <w:spacing w:after="40"/>
              <w:jc w:val="both"/>
              <w:rPr>
                <w:rFonts w:ascii="Nunito" w:hAnsi="Nunito"/>
              </w:rPr>
            </w:pPr>
          </w:p>
        </w:tc>
      </w:tr>
    </w:tbl>
    <w:p w14:paraId="43ED66AB" w14:textId="77777777" w:rsidR="001F6427" w:rsidRPr="001F6427" w:rsidRDefault="001F6427" w:rsidP="001F6427">
      <w:pPr>
        <w:pBdr>
          <w:bottom w:val="single" w:sz="3" w:space="2" w:color="D6E8F7"/>
        </w:pBdr>
        <w:spacing w:before="200" w:after="100"/>
        <w:jc w:val="both"/>
        <w:rPr>
          <w:rFonts w:ascii="Nunito" w:hAnsi="Nunito"/>
        </w:rPr>
      </w:pPr>
      <w:r w:rsidRPr="001F6427">
        <w:rPr>
          <w:rFonts w:ascii="Nunito" w:eastAsia="Arial" w:hAnsi="Nunito" w:cs="Arial"/>
          <w:b/>
          <w:bCs/>
          <w:color w:val="2E75B6"/>
        </w:rPr>
        <w:t>Sursele obiectivelor</w:t>
      </w:r>
    </w:p>
    <w:p w14:paraId="05889261"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Obiectivele sunt fundamentate pe documente strategice europene și naționale: Directiva Cadru a Apei (DCA/WFD), Planul Național de Management al Apelor (HG 392/2023), Programul Național de Control al Poluării Atmosferice (HG 119/2023), Directiva NEC 2016/2284/UE, Strategia Națională de Adaptare la Schimbările Climatice (HG 1010/2024), Strategia pe Termen Lung – România Neutră în 2050 (HG 1215/2023), Planul Național Integrat Energie și Schimbări Climatice (PNIESC 2021–2030), Strategia Națională pentru Economia Circulară (HG 1172/2022), Strategia UE pentru Biodiversitate 2030, al 8-lea Program de Acțiune pentru Mediu al UE și Pachetul Economiei Circulare (Directivele 2018/851, 2018/850, 2018/852).</w:t>
      </w:r>
    </w:p>
    <w:p w14:paraId="192D69D4" w14:textId="77777777" w:rsidR="001F6427" w:rsidRPr="001F6427" w:rsidRDefault="001F6427" w:rsidP="001F6427">
      <w:pPr>
        <w:pBdr>
          <w:bottom w:val="single" w:sz="3" w:space="2" w:color="D6E8F7"/>
        </w:pBdr>
        <w:spacing w:before="200" w:after="100"/>
        <w:jc w:val="both"/>
        <w:rPr>
          <w:rFonts w:ascii="Nunito" w:hAnsi="Nunito"/>
        </w:rPr>
      </w:pPr>
      <w:r w:rsidRPr="001F6427">
        <w:rPr>
          <w:rFonts w:ascii="Nunito" w:eastAsia="Arial" w:hAnsi="Nunito" w:cs="Arial"/>
          <w:b/>
          <w:bCs/>
          <w:color w:val="2E75B6"/>
        </w:rPr>
        <w:t>Exemple de indicatori și ținte concrete</w:t>
      </w:r>
    </w:p>
    <w:p w14:paraId="7E419F96"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Pentru apă (OM1): indicatorul este evaluarea stării ecologice și chimice a corpurilor de apă, cu ținta de atingere a stării bune până în 2027 și reducerea cu 50% a deșeurilor marine până în 2030. Pentru climă (OM7): indicatorul este emisiile GES din sectorul deșeuri (tone CO₂e/an), cu ținta de reducere cu 78% a emisiilor nete față de 1990 și cu 20% a emisiilor din deșeuri până în 2025 față de 2019. Pentru economia circulară (OM13): indicatorul este rata de pregătire pentru reutilizare și reciclare, cu țintele de 55% (2025), 60% (2030), 65% (2035) și depozitare maxim 10% până în 2035. Pentru biodiversitate (OM11): indicatorul este numărul și suprafața ariilor protejate afectate, cu ținta de „zero deteriorare suplimentară” și cel puțin 30% din habitate în stare favorabilă până în 2030.</w:t>
      </w:r>
    </w:p>
    <w:p w14:paraId="6F54CFE4" w14:textId="77777777" w:rsidR="001F6427" w:rsidRPr="001F6427" w:rsidRDefault="001F6427" w:rsidP="001F6427">
      <w:pPr>
        <w:pBdr>
          <w:bottom w:val="single" w:sz="3" w:space="2" w:color="D6E8F7"/>
        </w:pBdr>
        <w:spacing w:before="200" w:after="100"/>
        <w:jc w:val="both"/>
        <w:rPr>
          <w:rFonts w:ascii="Nunito" w:hAnsi="Nunito"/>
        </w:rPr>
      </w:pPr>
      <w:r w:rsidRPr="001F6427">
        <w:rPr>
          <w:rFonts w:ascii="Nunito" w:eastAsia="Arial" w:hAnsi="Nunito" w:cs="Arial"/>
          <w:b/>
          <w:bCs/>
          <w:color w:val="2E75B6"/>
        </w:rPr>
        <w:t>Rezultatele analizei de compatibilitate</w:t>
      </w:r>
    </w:p>
    <w:p w14:paraId="23B8447B"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lastRenderedPageBreak/>
        <w:t>Fiecare din cele 58 de obiective specifice ale PNGD a fost comparat cu cele 17 obiective de mediu, folosind o matrice de compatibilitate cu simboluri: „+” (compatibil), „–” (incompatibil), „?” (depinde de condiții), „=” (obiective identice). Gradul mediu de compatibilitate depășește 75%, ceea ce confirmă o aliniere strategică solidă între plan și protecția mediului.</w:t>
      </w:r>
    </w:p>
    <w:tbl>
      <w:tblPr>
        <w:tblStyle w:val="Ramboll-Table"/>
        <w:tblW w:w="9026" w:type="dxa"/>
        <w:tblLook w:val="04A0" w:firstRow="1" w:lastRow="0" w:firstColumn="1" w:lastColumn="0" w:noHBand="0" w:noVBand="1"/>
      </w:tblPr>
      <w:tblGrid>
        <w:gridCol w:w="3000"/>
        <w:gridCol w:w="6026"/>
      </w:tblGrid>
      <w:tr w:rsidR="001F6427" w:rsidRPr="001F6427" w14:paraId="6ABB508B" w14:textId="77777777" w:rsidTr="001F6427">
        <w:trPr>
          <w:cnfStyle w:val="100000000000" w:firstRow="1" w:lastRow="0" w:firstColumn="0" w:lastColumn="0" w:oddVBand="0" w:evenVBand="0" w:oddHBand="0" w:evenHBand="0" w:firstRowFirstColumn="0" w:firstRowLastColumn="0" w:lastRowFirstColumn="0" w:lastRowLastColumn="0"/>
        </w:trPr>
        <w:tc>
          <w:tcPr>
            <w:tcW w:w="3000" w:type="dxa"/>
          </w:tcPr>
          <w:p w14:paraId="6F27F6D3"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Cele mai compatibile OM</w:t>
            </w:r>
          </w:p>
        </w:tc>
        <w:tc>
          <w:tcPr>
            <w:tcW w:w="6026" w:type="dxa"/>
          </w:tcPr>
          <w:p w14:paraId="6B34FC2E" w14:textId="77777777" w:rsidR="001F6427" w:rsidRPr="001F6427" w:rsidRDefault="001F6427" w:rsidP="009B4490">
            <w:pPr>
              <w:rPr>
                <w:rFonts w:ascii="Nunito" w:hAnsi="Nunito"/>
                <w:sz w:val="18"/>
              </w:rPr>
            </w:pPr>
            <w:r w:rsidRPr="001F6427">
              <w:rPr>
                <w:rFonts w:ascii="Nunito" w:eastAsia="Arial" w:hAnsi="Nunito" w:cs="Arial"/>
                <w:color w:val="2D2D2D"/>
                <w:sz w:val="18"/>
              </w:rPr>
              <w:t>OM1 și OM2 (apa): 86% | OM5 (sănătate): 86,2% | OM7 și OM9 (climă/patrimoniu): 85,7%</w:t>
            </w:r>
          </w:p>
        </w:tc>
      </w:tr>
      <w:tr w:rsidR="001F6427" w:rsidRPr="001F6427" w14:paraId="426A5277" w14:textId="77777777" w:rsidTr="001F6427">
        <w:tc>
          <w:tcPr>
            <w:tcW w:w="3000" w:type="dxa"/>
          </w:tcPr>
          <w:p w14:paraId="2F0DCAA0"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Compatibilitate medie</w:t>
            </w:r>
          </w:p>
        </w:tc>
        <w:tc>
          <w:tcPr>
            <w:tcW w:w="6026" w:type="dxa"/>
          </w:tcPr>
          <w:p w14:paraId="3F2325B4" w14:textId="77777777" w:rsidR="001F6427" w:rsidRPr="001F6427" w:rsidRDefault="001F6427" w:rsidP="009B4490">
            <w:pPr>
              <w:rPr>
                <w:rFonts w:ascii="Nunito" w:hAnsi="Nunito"/>
                <w:sz w:val="18"/>
              </w:rPr>
            </w:pPr>
            <w:r w:rsidRPr="001F6427">
              <w:rPr>
                <w:rFonts w:ascii="Nunito" w:eastAsia="Arial" w:hAnsi="Nunito" w:cs="Arial"/>
                <w:color w:val="2D2D2D"/>
                <w:sz w:val="18"/>
              </w:rPr>
              <w:t>OM4 (sol): 82,5% | OM11 (biodiversitate): 81% | OM15 (design durabil): 81,8%</w:t>
            </w:r>
          </w:p>
        </w:tc>
      </w:tr>
      <w:tr w:rsidR="001F6427" w:rsidRPr="001F6427" w14:paraId="1AD32F48" w14:textId="77777777" w:rsidTr="001F6427">
        <w:tc>
          <w:tcPr>
            <w:tcW w:w="3000" w:type="dxa"/>
          </w:tcPr>
          <w:p w14:paraId="03EA848A"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Cele mai dificile OM</w:t>
            </w:r>
          </w:p>
        </w:tc>
        <w:tc>
          <w:tcPr>
            <w:tcW w:w="6026" w:type="dxa"/>
          </w:tcPr>
          <w:p w14:paraId="56EB456C" w14:textId="77777777" w:rsidR="001F6427" w:rsidRPr="001F6427" w:rsidRDefault="001F6427" w:rsidP="009B4490">
            <w:pPr>
              <w:rPr>
                <w:rFonts w:ascii="Nunito" w:hAnsi="Nunito"/>
                <w:sz w:val="18"/>
              </w:rPr>
            </w:pPr>
            <w:r w:rsidRPr="001F6427">
              <w:rPr>
                <w:rFonts w:ascii="Nunito" w:eastAsia="Arial" w:hAnsi="Nunito" w:cs="Arial"/>
                <w:color w:val="2D2D2D"/>
                <w:sz w:val="18"/>
              </w:rPr>
              <w:t>OM17 (energie): 58% | OM3 (aer): 60,3% | OM10 (peisaj): 60%</w:t>
            </w:r>
          </w:p>
        </w:tc>
      </w:tr>
      <w:tr w:rsidR="001F6427" w:rsidRPr="001F6427" w14:paraId="4FB13F5A" w14:textId="77777777" w:rsidTr="001F6427">
        <w:tc>
          <w:tcPr>
            <w:tcW w:w="3000" w:type="dxa"/>
          </w:tcPr>
          <w:p w14:paraId="32C997FA"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Incompatibilități (rare)</w:t>
            </w:r>
          </w:p>
        </w:tc>
        <w:tc>
          <w:tcPr>
            <w:tcW w:w="6026" w:type="dxa"/>
          </w:tcPr>
          <w:p w14:paraId="7AD81BD9" w14:textId="77777777" w:rsidR="001F6427" w:rsidRPr="001F6427" w:rsidRDefault="001F6427" w:rsidP="009B4490">
            <w:pPr>
              <w:rPr>
                <w:rFonts w:ascii="Nunito" w:hAnsi="Nunito"/>
                <w:sz w:val="18"/>
              </w:rPr>
            </w:pPr>
            <w:r w:rsidRPr="001F6427">
              <w:rPr>
                <w:rFonts w:ascii="Nunito" w:eastAsia="Arial" w:hAnsi="Nunito" w:cs="Arial"/>
                <w:color w:val="2D2D2D"/>
                <w:sz w:val="18"/>
              </w:rPr>
              <w:t>OM3: 4 cazuri | OM17: 4 cazuri | OM7: 1 caz | OM16: 1 caz</w:t>
            </w:r>
          </w:p>
        </w:tc>
      </w:tr>
    </w:tbl>
    <w:p w14:paraId="5DD852B5" w14:textId="77777777" w:rsidR="001F6427" w:rsidRPr="001F6427" w:rsidRDefault="001F6427" w:rsidP="001F6427">
      <w:pPr>
        <w:spacing w:before="60"/>
        <w:rPr>
          <w:rFonts w:ascii="Nunito" w:hAnsi="Nunito"/>
        </w:rPr>
      </w:pPr>
    </w:p>
    <w:p w14:paraId="4EE9E2FD" w14:textId="77777777" w:rsidR="001F6427" w:rsidRPr="001F6427" w:rsidRDefault="001F6427" w:rsidP="001F6427">
      <w:pPr>
        <w:spacing w:after="160"/>
        <w:rPr>
          <w:rFonts w:ascii="Nunito" w:hAnsi="Nunito"/>
        </w:rPr>
      </w:pPr>
      <w:r w:rsidRPr="001F6427">
        <w:rPr>
          <w:rFonts w:ascii="Nunito" w:eastAsia="Arial" w:hAnsi="Nunito" w:cs="Arial"/>
          <w:color w:val="2D2D2D"/>
        </w:rPr>
        <w:t>Incompatibilitățile identificate sunt puține, punctuale și gestionabile. Ele privesc în principal impactul vizual al unor instalații, emisiile potențiale asociate tratării deșeurilor cu PCB, emisiile din transportul transfrontalier și emisiile din valorificarea energetică. Toate pot fi atenuate eficient prin măsuri tehnice și administrative în etapa de implementare, fără a compromite obiectivele planului.</w:t>
      </w:r>
    </w:p>
    <w:p w14:paraId="446DA768" w14:textId="77777777" w:rsidR="001F6427" w:rsidRPr="001F6427" w:rsidRDefault="001F6427" w:rsidP="001F6427">
      <w:pPr>
        <w:spacing w:after="160"/>
        <w:rPr>
          <w:rFonts w:ascii="Nunito" w:hAnsi="Nunito"/>
        </w:rPr>
      </w:pPr>
      <w:r w:rsidRPr="001F6427">
        <w:rPr>
          <w:rFonts w:ascii="Nunito" w:eastAsia="Arial" w:hAnsi="Nunito" w:cs="Arial"/>
          <w:color w:val="2D2D2D"/>
        </w:rPr>
        <w:t>În ansamblu, PNGD demonstrează o coerență ridicată cu obiectivele de mediu. Măsurile centrale ale planului – colectarea separată, reciclarea și reducerea cantităților depozitate – susțin direct îmbunătățirea calității aerului, apei și solului, conservarea biodiversității, diminuarea emisiilor de gaze cu efect de seră și crearea de oportunități economice prin tranziția către economia circulară.</w:t>
      </w:r>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7"/>
      </w:tblGrid>
      <w:tr w:rsidR="001F6427" w:rsidRPr="001F6427" w14:paraId="008122E3" w14:textId="77777777" w:rsidTr="001F6427">
        <w:trPr>
          <w:trHeight w:val="239"/>
        </w:trPr>
        <w:tc>
          <w:tcPr>
            <w:tcW w:w="9357" w:type="dxa"/>
            <w:tcBorders>
              <w:top w:val="none" w:sz="0" w:space="0" w:color="FFFFFF"/>
              <w:left w:val="none" w:sz="0" w:space="0" w:color="FFFFFF"/>
              <w:bottom w:val="none" w:sz="0" w:space="0" w:color="FFFFFF"/>
              <w:right w:val="none" w:sz="0" w:space="0" w:color="FFFFFF"/>
            </w:tcBorders>
            <w:shd w:val="clear" w:color="auto" w:fill="FDF0E6"/>
            <w:tcMar>
              <w:top w:w="80" w:type="dxa"/>
              <w:left w:w="160" w:type="dxa"/>
              <w:bottom w:w="80" w:type="dxa"/>
              <w:right w:w="160" w:type="dxa"/>
            </w:tcMar>
            <w:vAlign w:val="center"/>
          </w:tcPr>
          <w:p w14:paraId="20192A86" w14:textId="49DA9BF1" w:rsidR="001F6427" w:rsidRPr="001F6427" w:rsidRDefault="001F6427" w:rsidP="009B4490">
            <w:pPr>
              <w:rPr>
                <w:rFonts w:ascii="Nunito" w:hAnsi="Nunito"/>
              </w:rPr>
            </w:pPr>
            <w:r w:rsidRPr="001F6427">
              <w:rPr>
                <w:rFonts w:ascii="Nunito" w:eastAsia="Arial" w:hAnsi="Nunito" w:cs="Arial"/>
                <w:color w:val="2D2D2D"/>
              </w:rPr>
              <w:t>Planul este aliniat cu obiectivele de mediu în proporție de peste 75%. Incompatibilitățile sunt puține, punctuale și controlabile prin măsuri tehnice.</w:t>
            </w:r>
          </w:p>
        </w:tc>
      </w:tr>
    </w:tbl>
    <w:p w14:paraId="6A0F01C4" w14:textId="77777777" w:rsidR="003C755E" w:rsidRPr="00284CF4" w:rsidRDefault="003C755E" w:rsidP="003C755E">
      <w:pPr>
        <w:spacing w:before="100"/>
        <w:jc w:val="both"/>
        <w:rPr>
          <w:rFonts w:ascii="Nunito" w:hAnsi="Nunito"/>
        </w:rPr>
      </w:pPr>
    </w:p>
    <w:p w14:paraId="378BD01F" w14:textId="4554A25A" w:rsidR="009D13A2" w:rsidRPr="009D13A2" w:rsidRDefault="009D13A2" w:rsidP="009D13A2">
      <w:pPr>
        <w:pStyle w:val="ListParagraph"/>
        <w:numPr>
          <w:ilvl w:val="0"/>
          <w:numId w:val="363"/>
        </w:numPr>
        <w:spacing w:after="160"/>
        <w:ind w:left="567" w:hanging="567"/>
        <w:rPr>
          <w:rFonts w:ascii="Nunito" w:eastAsia="Arial" w:hAnsi="Nunito" w:cs="Arial"/>
          <w:b/>
          <w:bCs/>
          <w:color w:val="00B0F0"/>
          <w:sz w:val="20"/>
          <w:szCs w:val="20"/>
        </w:rPr>
      </w:pPr>
      <w:r w:rsidRPr="009D13A2">
        <w:rPr>
          <w:rFonts w:ascii="Nunito" w:eastAsia="Arial" w:hAnsi="Nunito" w:cs="Arial"/>
          <w:b/>
          <w:bCs/>
          <w:color w:val="00B0F0"/>
          <w:sz w:val="20"/>
          <w:szCs w:val="20"/>
        </w:rPr>
        <w:t>Efectele planului asupra mediului</w:t>
      </w:r>
    </w:p>
    <w:p w14:paraId="5435FDCA" w14:textId="77777777" w:rsidR="001F6427" w:rsidRPr="001F6427" w:rsidRDefault="001F6427" w:rsidP="001F6427">
      <w:pPr>
        <w:spacing w:after="160"/>
        <w:jc w:val="both"/>
        <w:rPr>
          <w:rFonts w:ascii="Nunito" w:eastAsia="Arial" w:hAnsi="Nunito" w:cs="Arial"/>
          <w:color w:val="2D2D2D"/>
        </w:rPr>
      </w:pPr>
      <w:r w:rsidRPr="001F6427">
        <w:rPr>
          <w:rFonts w:ascii="Nunito" w:eastAsia="Arial" w:hAnsi="Nunito" w:cs="Arial"/>
          <w:color w:val="2D2D2D"/>
        </w:rPr>
        <w:t>Acesta este capitolul central al raportului. Au fost evaluate toate cele 136 de acțiuni din planul de acțiuni al PNGD, în raport cu fiecare din cele 17 obiective de protecție a mediului, folosind o metodologie riguroasă în 5 clase de semnificație. Acțiunile sunt organizate pe 17 fluxuri de deșeuri și în 4 categorii: 43 de acțiuni de tip investiții (măsuri structurale cu potențial direct de modificare a mediului), 53 de măsuri instituționale, 15 măsuri administrative și 26 de măsuri legislative.</w:t>
      </w:r>
    </w:p>
    <w:p w14:paraId="590EF6C2" w14:textId="36560348" w:rsidR="003C755E" w:rsidRDefault="001F6427" w:rsidP="001F6427">
      <w:pPr>
        <w:spacing w:after="160"/>
        <w:jc w:val="both"/>
        <w:rPr>
          <w:rFonts w:ascii="Nunito" w:eastAsia="Arial" w:hAnsi="Nunito" w:cs="Arial"/>
          <w:color w:val="2D2D2D"/>
        </w:rPr>
      </w:pPr>
      <w:r w:rsidRPr="001F6427">
        <w:rPr>
          <w:rFonts w:ascii="Nunito" w:eastAsia="Arial" w:hAnsi="Nunito" w:cs="Arial"/>
          <w:color w:val="2D2D2D"/>
        </w:rPr>
        <w:t>Măsurile structurale au fost evaluate detaliat, deoarece acestea interacționează direct cu componentele de mediu prin ocuparea de teren, emisii în aer și apă, consum de resurse, modificări ale peisajului și generarea de emisii de gaze cu efect de seră. Măsurile instituționale, administrative și legislative au fost evaluate sintetic, deoarece efectele lor sunt de natură indirectă, prin cadrul normativ și comportamentul actorilor.</w:t>
      </w:r>
    </w:p>
    <w:p w14:paraId="58454224" w14:textId="77777777" w:rsidR="001F6427" w:rsidRPr="00284CF4" w:rsidRDefault="001F6427" w:rsidP="001F6427">
      <w:pPr>
        <w:spacing w:before="60"/>
        <w:jc w:val="both"/>
        <w:rPr>
          <w:rFonts w:ascii="Nunito" w:hAnsi="Nuni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3C755E" w:rsidRPr="009D13A2" w14:paraId="1CC05ED2" w14:textId="77777777" w:rsidTr="009D13A2">
        <w:tc>
          <w:tcPr>
            <w:tcW w:w="2256" w:type="dxa"/>
            <w:tcBorders>
              <w:top w:val="none" w:sz="0" w:space="0" w:color="FFFFFF"/>
              <w:left w:val="none" w:sz="0" w:space="0" w:color="FFFFFF"/>
              <w:bottom w:val="none" w:sz="0" w:space="0" w:color="FFFFFF"/>
              <w:right w:val="none" w:sz="0" w:space="0" w:color="FFFFFF"/>
            </w:tcBorders>
            <w:shd w:val="clear" w:color="auto" w:fill="CBD9E1" w:themeFill="background2" w:themeFillTint="33"/>
            <w:tcMar>
              <w:top w:w="120" w:type="dxa"/>
              <w:left w:w="200" w:type="dxa"/>
              <w:bottom w:w="120" w:type="dxa"/>
              <w:right w:w="200" w:type="dxa"/>
            </w:tcMar>
            <w:vAlign w:val="center"/>
          </w:tcPr>
          <w:p w14:paraId="2E1D5661"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136</w:t>
            </w:r>
          </w:p>
          <w:p w14:paraId="3687A247"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acțiuni evaluate</w:t>
            </w:r>
          </w:p>
        </w:tc>
        <w:tc>
          <w:tcPr>
            <w:tcW w:w="2256" w:type="dxa"/>
            <w:tcBorders>
              <w:top w:val="none" w:sz="0" w:space="0" w:color="FFFFFF"/>
              <w:left w:val="none" w:sz="0" w:space="0" w:color="FFFFFF"/>
              <w:bottom w:val="none" w:sz="0" w:space="0" w:color="FFFFFF"/>
              <w:right w:val="none" w:sz="0" w:space="0" w:color="FFFFFF"/>
            </w:tcBorders>
            <w:shd w:val="clear" w:color="auto" w:fill="FDF0E6"/>
            <w:tcMar>
              <w:top w:w="120" w:type="dxa"/>
              <w:left w:w="200" w:type="dxa"/>
              <w:bottom w:w="120" w:type="dxa"/>
              <w:right w:w="200" w:type="dxa"/>
            </w:tcMar>
            <w:vAlign w:val="center"/>
          </w:tcPr>
          <w:p w14:paraId="0C694BDF"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43</w:t>
            </w:r>
          </w:p>
          <w:p w14:paraId="3E9067D4"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investiții structurale</w:t>
            </w:r>
          </w:p>
        </w:tc>
        <w:tc>
          <w:tcPr>
            <w:tcW w:w="2256" w:type="dxa"/>
            <w:tcBorders>
              <w:top w:val="none" w:sz="0" w:space="0" w:color="FFFFFF"/>
              <w:left w:val="none" w:sz="0" w:space="0" w:color="FFFFFF"/>
              <w:bottom w:val="none" w:sz="0" w:space="0" w:color="FFFFFF"/>
              <w:right w:val="none" w:sz="0" w:space="0" w:color="FFFFFF"/>
            </w:tcBorders>
            <w:shd w:val="clear" w:color="auto" w:fill="CBD9E1" w:themeFill="background2" w:themeFillTint="33"/>
            <w:tcMar>
              <w:top w:w="120" w:type="dxa"/>
              <w:left w:w="200" w:type="dxa"/>
              <w:bottom w:w="120" w:type="dxa"/>
              <w:right w:w="200" w:type="dxa"/>
            </w:tcMar>
            <w:vAlign w:val="center"/>
          </w:tcPr>
          <w:p w14:paraId="44EC043C"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53</w:t>
            </w:r>
          </w:p>
          <w:p w14:paraId="2D6B51EE"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măsuri instituționale</w:t>
            </w:r>
          </w:p>
        </w:tc>
        <w:tc>
          <w:tcPr>
            <w:tcW w:w="2256" w:type="dxa"/>
            <w:tcBorders>
              <w:top w:val="none" w:sz="0" w:space="0" w:color="FFFFFF"/>
              <w:left w:val="none" w:sz="0" w:space="0" w:color="FFFFFF"/>
              <w:bottom w:val="none" w:sz="0" w:space="0" w:color="FFFFFF"/>
              <w:right w:val="none" w:sz="0" w:space="0" w:color="FFFFFF"/>
            </w:tcBorders>
            <w:shd w:val="clear" w:color="auto" w:fill="FDF0E6"/>
            <w:tcMar>
              <w:top w:w="120" w:type="dxa"/>
              <w:left w:w="200" w:type="dxa"/>
              <w:bottom w:w="120" w:type="dxa"/>
              <w:right w:w="200" w:type="dxa"/>
            </w:tcMar>
            <w:vAlign w:val="center"/>
          </w:tcPr>
          <w:p w14:paraId="0932F307"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40</w:t>
            </w:r>
          </w:p>
          <w:p w14:paraId="02A205AD"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măsuri admin. și legislative</w:t>
            </w:r>
          </w:p>
        </w:tc>
      </w:tr>
    </w:tbl>
    <w:p w14:paraId="1B024EC6" w14:textId="77777777" w:rsidR="003C755E" w:rsidRPr="009D13A2" w:rsidRDefault="003C755E" w:rsidP="003C755E">
      <w:pPr>
        <w:spacing w:before="60"/>
        <w:jc w:val="both"/>
        <w:rPr>
          <w:rFonts w:ascii="Nunito" w:hAnsi="Nunito"/>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3C755E" w:rsidRPr="009D13A2" w14:paraId="1436CC06" w14:textId="77777777" w:rsidTr="009D13A2">
        <w:tc>
          <w:tcPr>
            <w:tcW w:w="2256" w:type="dxa"/>
            <w:tcBorders>
              <w:top w:val="none" w:sz="0" w:space="0" w:color="FFFFFF"/>
              <w:left w:val="none" w:sz="0" w:space="0" w:color="FFFFFF"/>
              <w:bottom w:val="none" w:sz="0" w:space="0" w:color="FFFFFF"/>
              <w:right w:val="none" w:sz="0" w:space="0" w:color="FFFFFF"/>
            </w:tcBorders>
            <w:shd w:val="clear" w:color="auto" w:fill="DEECD4" w:themeFill="accent3" w:themeFillTint="66"/>
            <w:tcMar>
              <w:top w:w="120" w:type="dxa"/>
              <w:left w:w="200" w:type="dxa"/>
              <w:bottom w:w="120" w:type="dxa"/>
              <w:right w:w="200" w:type="dxa"/>
            </w:tcMar>
            <w:vAlign w:val="center"/>
          </w:tcPr>
          <w:p w14:paraId="4294BA0D"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64,3%</w:t>
            </w:r>
          </w:p>
          <w:p w14:paraId="5EB2606F"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efecte pozitive din total</w:t>
            </w:r>
          </w:p>
        </w:tc>
        <w:tc>
          <w:tcPr>
            <w:tcW w:w="2256" w:type="dxa"/>
            <w:tcBorders>
              <w:top w:val="none" w:sz="0" w:space="0" w:color="FFFFFF"/>
              <w:left w:val="none" w:sz="0" w:space="0" w:color="FFFFFF"/>
              <w:bottom w:val="none" w:sz="0" w:space="0" w:color="FFFFFF"/>
              <w:right w:val="none" w:sz="0" w:space="0" w:color="FFFFFF"/>
            </w:tcBorders>
            <w:shd w:val="clear" w:color="auto" w:fill="DEECD4" w:themeFill="accent3" w:themeFillTint="66"/>
            <w:tcMar>
              <w:top w:w="120" w:type="dxa"/>
              <w:left w:w="200" w:type="dxa"/>
              <w:bottom w:w="120" w:type="dxa"/>
              <w:right w:w="200" w:type="dxa"/>
            </w:tcMar>
            <w:vAlign w:val="center"/>
          </w:tcPr>
          <w:p w14:paraId="7C2A68BF"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23,7%</w:t>
            </w:r>
          </w:p>
          <w:p w14:paraId="02017335"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pozitive semnificative</w:t>
            </w:r>
          </w:p>
        </w:tc>
        <w:tc>
          <w:tcPr>
            <w:tcW w:w="2256" w:type="dxa"/>
            <w:tcBorders>
              <w:top w:val="none" w:sz="0" w:space="0" w:color="FFFFFF"/>
              <w:left w:val="none" w:sz="0" w:space="0" w:color="FFFFFF"/>
              <w:bottom w:val="none" w:sz="0" w:space="0" w:color="FFFFFF"/>
              <w:right w:val="none" w:sz="0" w:space="0" w:color="FFFFFF"/>
            </w:tcBorders>
            <w:shd w:val="clear" w:color="auto" w:fill="DEECD4" w:themeFill="accent3" w:themeFillTint="66"/>
            <w:tcMar>
              <w:top w:w="120" w:type="dxa"/>
              <w:left w:w="200" w:type="dxa"/>
              <w:bottom w:w="120" w:type="dxa"/>
              <w:right w:w="200" w:type="dxa"/>
            </w:tcMar>
            <w:vAlign w:val="center"/>
          </w:tcPr>
          <w:p w14:paraId="0CAD69A3"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0,8%</w:t>
            </w:r>
          </w:p>
          <w:p w14:paraId="73BA3A3A"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negative semnificative</w:t>
            </w:r>
          </w:p>
        </w:tc>
        <w:tc>
          <w:tcPr>
            <w:tcW w:w="2256" w:type="dxa"/>
            <w:tcBorders>
              <w:top w:val="none" w:sz="0" w:space="0" w:color="FFFFFF"/>
              <w:left w:val="none" w:sz="0" w:space="0" w:color="FFFFFF"/>
              <w:bottom w:val="none" w:sz="0" w:space="0" w:color="FFFFFF"/>
              <w:right w:val="none" w:sz="0" w:space="0" w:color="FFFFFF"/>
            </w:tcBorders>
            <w:shd w:val="clear" w:color="auto" w:fill="DEECD4" w:themeFill="accent3" w:themeFillTint="66"/>
            <w:tcMar>
              <w:top w:w="120" w:type="dxa"/>
              <w:left w:w="200" w:type="dxa"/>
              <w:bottom w:w="120" w:type="dxa"/>
              <w:right w:w="200" w:type="dxa"/>
            </w:tcMar>
            <w:vAlign w:val="center"/>
          </w:tcPr>
          <w:p w14:paraId="4A58B3C1"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4 : 1</w:t>
            </w:r>
          </w:p>
          <w:p w14:paraId="47F4C502"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raport pozitiv vs negativ</w:t>
            </w:r>
          </w:p>
        </w:tc>
      </w:tr>
    </w:tbl>
    <w:p w14:paraId="0EC0816A" w14:textId="0278F749" w:rsidR="003C755E" w:rsidRPr="00284CF4" w:rsidRDefault="003C755E" w:rsidP="003C755E">
      <w:pPr>
        <w:jc w:val="both"/>
        <w:rPr>
          <w:rFonts w:ascii="Nunito" w:hAnsi="Nunito"/>
        </w:rPr>
      </w:pPr>
    </w:p>
    <w:p w14:paraId="68CDD345" w14:textId="77777777" w:rsidR="001F6427" w:rsidRPr="001F6427" w:rsidRDefault="001F6427" w:rsidP="001F6427">
      <w:pPr>
        <w:pBdr>
          <w:bottom w:val="single" w:sz="3" w:space="2" w:color="D6E8F7"/>
        </w:pBdr>
        <w:spacing w:before="200" w:after="100"/>
        <w:jc w:val="both"/>
        <w:rPr>
          <w:rFonts w:ascii="Nunito" w:hAnsi="Nunito"/>
          <w:color w:val="00B0F0"/>
        </w:rPr>
      </w:pPr>
      <w:r w:rsidRPr="001F6427">
        <w:rPr>
          <w:rFonts w:ascii="Nunito" w:eastAsia="Arial" w:hAnsi="Nunito" w:cs="Arial"/>
          <w:b/>
          <w:bCs/>
          <w:color w:val="00B0F0"/>
        </w:rPr>
        <w:t>Cele 17 fluxuri de deșeuri evaluate</w:t>
      </w:r>
    </w:p>
    <w:p w14:paraId="3B2EF919"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 xml:space="preserve">Deșeurile municipale concentrează cel mai mare număr de acțiuni (30), incluzând măsuri pentru continuitatea serviciilor de salubrizare, creșterea reciclării, reducerea depozitării, închiderea celor 9 depozite neconforme și consolidarea cadrului legislativ. Risipa alimentară (10 acțiuni) vizează reducerea pierderilor în producția primară, procesare, comerț și </w:t>
      </w:r>
      <w:r w:rsidRPr="001F6427">
        <w:rPr>
          <w:rFonts w:ascii="Nunito" w:eastAsia="Arial" w:hAnsi="Nunito" w:cs="Arial"/>
          <w:color w:val="2D2D2D"/>
        </w:rPr>
        <w:lastRenderedPageBreak/>
        <w:t>gospodării, utilizarea compostului în agricultură și îmbunătățirea raportării. Deșeurile de ambalaje (12 acțiuni) se concentrează pe creșterea valorificării și reciclării, colectarea ambalajelor de unică folosință și conformarea cu legislația UE.</w:t>
      </w:r>
    </w:p>
    <w:p w14:paraId="141717AA"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DEEE (9 acțiuni) vizează creșterea colectării, valorificării și conformarea operatorilor. Bateriile și acumulatorii (9 acțiuni) acoperă baterii portabile, din mijloace de transport ușoare, SLI, industriale și din vehicule electrice. Vehiculele scoase din uz (9 acțiuni), uleiurile uzate (5), anvelopele uzate (6) și deșeurile din construcții (9) au planuri dedicate de colectare, valorificare și actualizare legislativă. Nămolurile de epurare (7 acțiuni) includ elaborarea unei strategii naționale, recuperarea nutrienților și utilizarea în agricultură. Echipamentele cu PCB (6) și deșeurile de azbest (3) necesită eliminare în siguranță conform legislației specifice. Deșeurile sanitare (6), veterinare (4), din agricultură (5) și industriale (4) au măsuri adaptate specificului fiecărui flux. Transferurile de deșeuri (2 acțiuni) vizează controlul și monitorizarea transferurilor ilegale.</w:t>
      </w:r>
    </w:p>
    <w:p w14:paraId="200B7CF6" w14:textId="77777777" w:rsidR="001F6427" w:rsidRPr="001F6427" w:rsidRDefault="001F6427" w:rsidP="001F6427">
      <w:pPr>
        <w:pBdr>
          <w:bottom w:val="single" w:sz="3" w:space="2" w:color="D6E8F7"/>
        </w:pBdr>
        <w:spacing w:before="200" w:after="100"/>
        <w:jc w:val="both"/>
        <w:rPr>
          <w:rFonts w:ascii="Nunito" w:hAnsi="Nunito"/>
          <w:color w:val="00B0F0"/>
        </w:rPr>
      </w:pPr>
      <w:r w:rsidRPr="001F6427">
        <w:rPr>
          <w:rFonts w:ascii="Nunito" w:eastAsia="Arial" w:hAnsi="Nunito" w:cs="Arial"/>
          <w:b/>
          <w:bCs/>
          <w:color w:val="00B0F0"/>
        </w:rPr>
        <w:t>Distribuția detaliată a efectelor</w:t>
      </w:r>
    </w:p>
    <w:tbl>
      <w:tblPr>
        <w:tblStyle w:val="Ramboll-Table"/>
        <w:tblW w:w="9026" w:type="dxa"/>
        <w:tblLook w:val="04A0" w:firstRow="1" w:lastRow="0" w:firstColumn="1" w:lastColumn="0" w:noHBand="0" w:noVBand="1"/>
      </w:tblPr>
      <w:tblGrid>
        <w:gridCol w:w="3800"/>
        <w:gridCol w:w="1400"/>
        <w:gridCol w:w="3826"/>
      </w:tblGrid>
      <w:tr w:rsidR="001F6427" w:rsidRPr="001F6427" w14:paraId="298B9852" w14:textId="77777777" w:rsidTr="001F6427">
        <w:trPr>
          <w:cnfStyle w:val="100000000000" w:firstRow="1" w:lastRow="0" w:firstColumn="0" w:lastColumn="0" w:oddVBand="0" w:evenVBand="0" w:oddHBand="0" w:evenHBand="0" w:firstRowFirstColumn="0" w:firstRowLastColumn="0" w:lastRowFirstColumn="0" w:lastRowLastColumn="0"/>
        </w:trPr>
        <w:tc>
          <w:tcPr>
            <w:tcW w:w="3800" w:type="dxa"/>
            <w:shd w:val="clear" w:color="auto" w:fill="D9D9D9" w:themeFill="background1" w:themeFillShade="D9"/>
          </w:tcPr>
          <w:p w14:paraId="73C59B91" w14:textId="77777777" w:rsidR="001F6427" w:rsidRPr="001F6427" w:rsidRDefault="001F6427" w:rsidP="001F6427">
            <w:pPr>
              <w:jc w:val="both"/>
              <w:rPr>
                <w:rFonts w:ascii="Nunito" w:hAnsi="Nunito"/>
                <w:color w:val="00B0F0"/>
                <w:sz w:val="18"/>
              </w:rPr>
            </w:pPr>
            <w:r w:rsidRPr="001F6427">
              <w:rPr>
                <w:rFonts w:ascii="Nunito" w:eastAsia="Arial" w:hAnsi="Nunito" w:cs="Arial"/>
                <w:b/>
                <w:bCs/>
                <w:color w:val="00B0F0"/>
                <w:sz w:val="18"/>
              </w:rPr>
              <w:t>Tip efect</w:t>
            </w:r>
          </w:p>
        </w:tc>
        <w:tc>
          <w:tcPr>
            <w:tcW w:w="1400" w:type="dxa"/>
            <w:shd w:val="clear" w:color="auto" w:fill="D9D9D9" w:themeFill="background1" w:themeFillShade="D9"/>
          </w:tcPr>
          <w:p w14:paraId="7EEDFE56" w14:textId="77777777" w:rsidR="001F6427" w:rsidRPr="001F6427" w:rsidRDefault="001F6427" w:rsidP="001F6427">
            <w:pPr>
              <w:jc w:val="both"/>
              <w:rPr>
                <w:rFonts w:ascii="Nunito" w:hAnsi="Nunito"/>
                <w:color w:val="00B0F0"/>
                <w:sz w:val="18"/>
              </w:rPr>
            </w:pPr>
            <w:r w:rsidRPr="001F6427">
              <w:rPr>
                <w:rFonts w:ascii="Nunito" w:eastAsia="Arial" w:hAnsi="Nunito" w:cs="Arial"/>
                <w:b/>
                <w:bCs/>
                <w:color w:val="00B0F0"/>
                <w:sz w:val="18"/>
              </w:rPr>
              <w:t>Pondere</w:t>
            </w:r>
          </w:p>
        </w:tc>
        <w:tc>
          <w:tcPr>
            <w:tcW w:w="3826" w:type="dxa"/>
            <w:shd w:val="clear" w:color="auto" w:fill="D9D9D9" w:themeFill="background1" w:themeFillShade="D9"/>
          </w:tcPr>
          <w:p w14:paraId="0B432268" w14:textId="77777777" w:rsidR="001F6427" w:rsidRPr="001F6427" w:rsidRDefault="001F6427" w:rsidP="001F6427">
            <w:pPr>
              <w:jc w:val="both"/>
              <w:rPr>
                <w:rFonts w:ascii="Nunito" w:hAnsi="Nunito"/>
                <w:color w:val="00B0F0"/>
                <w:sz w:val="18"/>
              </w:rPr>
            </w:pPr>
            <w:r w:rsidRPr="001F6427">
              <w:rPr>
                <w:rFonts w:ascii="Nunito" w:eastAsia="Arial" w:hAnsi="Nunito" w:cs="Arial"/>
                <w:b/>
                <w:bCs/>
                <w:color w:val="00B0F0"/>
                <w:sz w:val="18"/>
              </w:rPr>
              <w:t>Ce înseamnă</w:t>
            </w:r>
          </w:p>
        </w:tc>
      </w:tr>
      <w:tr w:rsidR="001F6427" w:rsidRPr="001F6427" w14:paraId="2B8C3194" w14:textId="77777777" w:rsidTr="001F6427">
        <w:tc>
          <w:tcPr>
            <w:tcW w:w="3800" w:type="dxa"/>
          </w:tcPr>
          <w:p w14:paraId="6B5F3F87"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Efecte pozitive semnificative</w:t>
            </w:r>
          </w:p>
        </w:tc>
        <w:tc>
          <w:tcPr>
            <w:tcW w:w="1400" w:type="dxa"/>
          </w:tcPr>
          <w:p w14:paraId="401511A8" w14:textId="77777777" w:rsidR="001F6427" w:rsidRPr="001F6427" w:rsidRDefault="001F6427" w:rsidP="001F6427">
            <w:pPr>
              <w:jc w:val="both"/>
              <w:rPr>
                <w:rFonts w:ascii="Nunito" w:hAnsi="Nunito"/>
                <w:sz w:val="18"/>
              </w:rPr>
            </w:pPr>
            <w:r w:rsidRPr="001F6427">
              <w:rPr>
                <w:rFonts w:ascii="Nunito" w:eastAsia="Arial" w:hAnsi="Nunito" w:cs="Arial"/>
                <w:b/>
                <w:bCs/>
                <w:color w:val="2D2D2D"/>
                <w:sz w:val="18"/>
              </w:rPr>
              <w:t>23,7%</w:t>
            </w:r>
          </w:p>
        </w:tc>
        <w:tc>
          <w:tcPr>
            <w:tcW w:w="3826" w:type="dxa"/>
          </w:tcPr>
          <w:p w14:paraId="03533E5D" w14:textId="77777777" w:rsidR="001F6427" w:rsidRPr="001F6427" w:rsidRDefault="001F6427" w:rsidP="001F6427">
            <w:pPr>
              <w:jc w:val="both"/>
              <w:rPr>
                <w:rFonts w:ascii="Nunito" w:hAnsi="Nunito"/>
                <w:sz w:val="18"/>
              </w:rPr>
            </w:pPr>
            <w:r w:rsidRPr="001F6427">
              <w:rPr>
                <w:rFonts w:ascii="Nunito" w:eastAsia="Arial" w:hAnsi="Nunito" w:cs="Arial"/>
                <w:color w:val="595959"/>
                <w:sz w:val="18"/>
              </w:rPr>
              <w:t>Beneficii clare și măsurabile</w:t>
            </w:r>
          </w:p>
        </w:tc>
      </w:tr>
      <w:tr w:rsidR="001F6427" w:rsidRPr="001F6427" w14:paraId="426A51CA" w14:textId="77777777" w:rsidTr="001F6427">
        <w:tc>
          <w:tcPr>
            <w:tcW w:w="3800" w:type="dxa"/>
          </w:tcPr>
          <w:p w14:paraId="3C56D2A9"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Efecte pozitive nesemnificative</w:t>
            </w:r>
          </w:p>
        </w:tc>
        <w:tc>
          <w:tcPr>
            <w:tcW w:w="1400" w:type="dxa"/>
          </w:tcPr>
          <w:p w14:paraId="69DC6A58" w14:textId="77777777" w:rsidR="001F6427" w:rsidRPr="001F6427" w:rsidRDefault="001F6427" w:rsidP="001F6427">
            <w:pPr>
              <w:jc w:val="both"/>
              <w:rPr>
                <w:rFonts w:ascii="Nunito" w:hAnsi="Nunito"/>
                <w:sz w:val="18"/>
              </w:rPr>
            </w:pPr>
            <w:r w:rsidRPr="001F6427">
              <w:rPr>
                <w:rFonts w:ascii="Nunito" w:eastAsia="Arial" w:hAnsi="Nunito" w:cs="Arial"/>
                <w:b/>
                <w:bCs/>
                <w:color w:val="2D2D2D"/>
                <w:sz w:val="18"/>
              </w:rPr>
              <w:t>40,6%</w:t>
            </w:r>
          </w:p>
        </w:tc>
        <w:tc>
          <w:tcPr>
            <w:tcW w:w="3826" w:type="dxa"/>
          </w:tcPr>
          <w:p w14:paraId="47E8A0B6" w14:textId="77777777" w:rsidR="001F6427" w:rsidRPr="001F6427" w:rsidRDefault="001F6427" w:rsidP="001F6427">
            <w:pPr>
              <w:jc w:val="both"/>
              <w:rPr>
                <w:rFonts w:ascii="Nunito" w:hAnsi="Nunito"/>
                <w:sz w:val="18"/>
              </w:rPr>
            </w:pPr>
            <w:r w:rsidRPr="001F6427">
              <w:rPr>
                <w:rFonts w:ascii="Nunito" w:eastAsia="Arial" w:hAnsi="Nunito" w:cs="Arial"/>
                <w:color w:val="595959"/>
                <w:sz w:val="18"/>
              </w:rPr>
              <w:t>Contribuții reale, dar sub prag</w:t>
            </w:r>
          </w:p>
        </w:tc>
      </w:tr>
      <w:tr w:rsidR="001F6427" w:rsidRPr="001F6427" w14:paraId="337652B0" w14:textId="77777777" w:rsidTr="001F6427">
        <w:tc>
          <w:tcPr>
            <w:tcW w:w="3800" w:type="dxa"/>
          </w:tcPr>
          <w:p w14:paraId="03D08CE6"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Fără efect</w:t>
            </w:r>
          </w:p>
        </w:tc>
        <w:tc>
          <w:tcPr>
            <w:tcW w:w="1400" w:type="dxa"/>
          </w:tcPr>
          <w:p w14:paraId="72BA1736" w14:textId="77777777" w:rsidR="001F6427" w:rsidRPr="001F6427" w:rsidRDefault="001F6427" w:rsidP="001F6427">
            <w:pPr>
              <w:jc w:val="both"/>
              <w:rPr>
                <w:rFonts w:ascii="Nunito" w:hAnsi="Nunito"/>
                <w:sz w:val="18"/>
              </w:rPr>
            </w:pPr>
            <w:r w:rsidRPr="001F6427">
              <w:rPr>
                <w:rFonts w:ascii="Nunito" w:eastAsia="Arial" w:hAnsi="Nunito" w:cs="Arial"/>
                <w:b/>
                <w:bCs/>
                <w:color w:val="2D2D2D"/>
                <w:sz w:val="18"/>
              </w:rPr>
              <w:t>19,7%</w:t>
            </w:r>
          </w:p>
        </w:tc>
        <w:tc>
          <w:tcPr>
            <w:tcW w:w="3826" w:type="dxa"/>
          </w:tcPr>
          <w:p w14:paraId="681973A4" w14:textId="77777777" w:rsidR="001F6427" w:rsidRPr="001F6427" w:rsidRDefault="001F6427" w:rsidP="001F6427">
            <w:pPr>
              <w:jc w:val="both"/>
              <w:rPr>
                <w:rFonts w:ascii="Nunito" w:hAnsi="Nunito"/>
                <w:sz w:val="18"/>
              </w:rPr>
            </w:pPr>
            <w:r w:rsidRPr="001F6427">
              <w:rPr>
                <w:rFonts w:ascii="Nunito" w:eastAsia="Arial" w:hAnsi="Nunito" w:cs="Arial"/>
                <w:color w:val="595959"/>
                <w:sz w:val="18"/>
              </w:rPr>
              <w:t>Nicio legătură relevantă</w:t>
            </w:r>
          </w:p>
        </w:tc>
      </w:tr>
      <w:tr w:rsidR="001F6427" w:rsidRPr="001F6427" w14:paraId="73A00820" w14:textId="77777777" w:rsidTr="001F6427">
        <w:tc>
          <w:tcPr>
            <w:tcW w:w="3800" w:type="dxa"/>
          </w:tcPr>
          <w:p w14:paraId="5D4F0A4B"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Efecte negative nesemnificative</w:t>
            </w:r>
          </w:p>
        </w:tc>
        <w:tc>
          <w:tcPr>
            <w:tcW w:w="1400" w:type="dxa"/>
          </w:tcPr>
          <w:p w14:paraId="3C4ACFB7" w14:textId="77777777" w:rsidR="001F6427" w:rsidRPr="001F6427" w:rsidRDefault="001F6427" w:rsidP="001F6427">
            <w:pPr>
              <w:jc w:val="both"/>
              <w:rPr>
                <w:rFonts w:ascii="Nunito" w:hAnsi="Nunito"/>
                <w:sz w:val="18"/>
              </w:rPr>
            </w:pPr>
            <w:r w:rsidRPr="001F6427">
              <w:rPr>
                <w:rFonts w:ascii="Nunito" w:eastAsia="Arial" w:hAnsi="Nunito" w:cs="Arial"/>
                <w:b/>
                <w:bCs/>
                <w:color w:val="2D2D2D"/>
                <w:sz w:val="18"/>
              </w:rPr>
              <w:t>15,1%</w:t>
            </w:r>
          </w:p>
        </w:tc>
        <w:tc>
          <w:tcPr>
            <w:tcW w:w="3826" w:type="dxa"/>
          </w:tcPr>
          <w:p w14:paraId="1D0F6B9C" w14:textId="77777777" w:rsidR="001F6427" w:rsidRPr="001F6427" w:rsidRDefault="001F6427" w:rsidP="001F6427">
            <w:pPr>
              <w:jc w:val="both"/>
              <w:rPr>
                <w:rFonts w:ascii="Nunito" w:hAnsi="Nunito"/>
                <w:sz w:val="18"/>
              </w:rPr>
            </w:pPr>
            <w:r w:rsidRPr="001F6427">
              <w:rPr>
                <w:rFonts w:ascii="Nunito" w:eastAsia="Arial" w:hAnsi="Nunito" w:cs="Arial"/>
                <w:color w:val="595959"/>
                <w:sz w:val="18"/>
              </w:rPr>
              <w:t>Impact controlabil prin practici standard</w:t>
            </w:r>
          </w:p>
        </w:tc>
      </w:tr>
      <w:tr w:rsidR="001F6427" w:rsidRPr="001F6427" w14:paraId="04F67DFA" w14:textId="77777777" w:rsidTr="001F6427">
        <w:tc>
          <w:tcPr>
            <w:tcW w:w="3800" w:type="dxa"/>
          </w:tcPr>
          <w:p w14:paraId="5D64A644"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Efecte negative semnificative</w:t>
            </w:r>
          </w:p>
        </w:tc>
        <w:tc>
          <w:tcPr>
            <w:tcW w:w="1400" w:type="dxa"/>
          </w:tcPr>
          <w:p w14:paraId="794B553E" w14:textId="77777777" w:rsidR="001F6427" w:rsidRPr="001F6427" w:rsidRDefault="001F6427" w:rsidP="001F6427">
            <w:pPr>
              <w:jc w:val="both"/>
              <w:rPr>
                <w:rFonts w:ascii="Nunito" w:hAnsi="Nunito"/>
                <w:sz w:val="18"/>
              </w:rPr>
            </w:pPr>
            <w:r w:rsidRPr="001F6427">
              <w:rPr>
                <w:rFonts w:ascii="Nunito" w:eastAsia="Arial" w:hAnsi="Nunito" w:cs="Arial"/>
                <w:b/>
                <w:bCs/>
                <w:color w:val="2D2D2D"/>
                <w:sz w:val="18"/>
              </w:rPr>
              <w:t>0,8%</w:t>
            </w:r>
          </w:p>
        </w:tc>
        <w:tc>
          <w:tcPr>
            <w:tcW w:w="3826" w:type="dxa"/>
          </w:tcPr>
          <w:p w14:paraId="5A1223DB" w14:textId="77777777" w:rsidR="001F6427" w:rsidRPr="001F6427" w:rsidRDefault="001F6427" w:rsidP="001F6427">
            <w:pPr>
              <w:jc w:val="both"/>
              <w:rPr>
                <w:rFonts w:ascii="Nunito" w:hAnsi="Nunito"/>
                <w:sz w:val="18"/>
              </w:rPr>
            </w:pPr>
            <w:r w:rsidRPr="001F6427">
              <w:rPr>
                <w:rFonts w:ascii="Nunito" w:eastAsia="Arial" w:hAnsi="Nunito" w:cs="Arial"/>
                <w:color w:val="595959"/>
                <w:sz w:val="18"/>
              </w:rPr>
              <w:t>Necesită măsuri obligatorii (6 cazuri)</w:t>
            </w:r>
          </w:p>
        </w:tc>
      </w:tr>
    </w:tbl>
    <w:p w14:paraId="0F3F54BA" w14:textId="77777777" w:rsidR="001F6427" w:rsidRPr="001F6427" w:rsidRDefault="001F6427" w:rsidP="001F6427">
      <w:pPr>
        <w:pBdr>
          <w:bottom w:val="single" w:sz="3" w:space="2" w:color="D6E8F7"/>
        </w:pBdr>
        <w:spacing w:before="200" w:after="100"/>
        <w:jc w:val="both"/>
        <w:rPr>
          <w:rFonts w:ascii="Nunito" w:hAnsi="Nunito"/>
          <w:color w:val="00B0F0"/>
        </w:rPr>
      </w:pPr>
      <w:r w:rsidRPr="001F6427">
        <w:rPr>
          <w:rFonts w:ascii="Nunito" w:eastAsia="Arial" w:hAnsi="Nunito" w:cs="Arial"/>
          <w:b/>
          <w:bCs/>
          <w:color w:val="00B0F0"/>
        </w:rPr>
        <w:t>Cum s-a realizat evaluarea?</w:t>
      </w:r>
    </w:p>
    <w:p w14:paraId="0BA2224A"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Evaluarea a fost realizată pe baza unei matrice de interacțiune care încrucișează fiecare acțiune din plan cu fiecare obiectiv de mediu. Efectele au fost clasificate în 5 clase: efect pozitiv semnificativ (+2), efect pozitiv nesemnificativ (+1), fără efect (0), efect negativ nesemnificativ (−1) și efect negativ semnificativ (−2). Un efect este considerat semnificativ dacă poate modifica detectabil indicatorii de mediu, poate compromite atingerea țintelor, depășește capacitatea de suport a mediului, afectează receptori sensibili (arii protejate, zone locuite, surse de apă potabilă) sau are caracter persistent ori ireversibil.</w:t>
      </w:r>
    </w:p>
    <w:p w14:paraId="660A25A1"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Evaluarea a respectat principii metodologice riguroase: proporționalitatea (profunzimea analizei corespunde gradului de definire al intervențiilor), diferențierea după potențialul de impact (măsurile structurale sunt evaluate detaliat, cele legislative sunt tratate sintetic), orientarea pe obiective verificabile, trasabilitatea (fiecare apreciere este justificată), precauția (în caz de incertitudine, se adoptă o abordare prudentă) și integrarea în procesul decizional.</w:t>
      </w:r>
    </w:p>
    <w:p w14:paraId="2FF40D40" w14:textId="77777777" w:rsidR="001F6427" w:rsidRPr="001F6427" w:rsidRDefault="001F6427" w:rsidP="001F6427">
      <w:pPr>
        <w:pBdr>
          <w:bottom w:val="single" w:sz="3" w:space="2" w:color="D6E8F7"/>
        </w:pBdr>
        <w:spacing w:before="200" w:after="100"/>
        <w:jc w:val="both"/>
        <w:rPr>
          <w:rFonts w:ascii="Nunito" w:eastAsia="Arial" w:hAnsi="Nunito" w:cs="Arial"/>
          <w:b/>
          <w:bCs/>
          <w:color w:val="00B0F0"/>
        </w:rPr>
      </w:pPr>
      <w:r w:rsidRPr="001F6427">
        <w:rPr>
          <w:rFonts w:ascii="Nunito" w:eastAsia="Arial" w:hAnsi="Nunito" w:cs="Arial"/>
          <w:b/>
          <w:bCs/>
          <w:color w:val="00B0F0"/>
        </w:rPr>
        <w:t>Cele mai importante beneficii ale planului</w:t>
      </w:r>
    </w:p>
    <w:p w14:paraId="40AD24D8"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Închiderea celor 9 depozite neconforme este măsura cu cel mai mare scor de mediu (1,06 din 2), deoarece reduce simultan poluarea apei, solului și aerului, diminuează emisiile de gaze cu efect de seră, îmbunătățește peisajul și protejează biodiversitatea. Extinderea colectării separate și a reciclării reduce cantitatea depozitată de la 74% la sub 10%, contribuind substanțial la economia circulară și la crearea de locuri de muncă. Tratarea biodeșeurilor prin compostare și digestie anaerobă reduce emisiile de metan din depozite și produce compost util pentru agricultura românească (care pierde anual ~291.000 tone de amendament organic). Extinderea serviciilor în mediul rural elimină arderile necontrolate și abandonul de deșeuri – cauza principală a poluării aerului cu substanțe cancerigene în zonele rurale. Valorificarea energetică recuperează 2.360–2.940 GWh/an, echivalentul alimentării a 600.000–750.000 gospodării.</w:t>
      </w:r>
    </w:p>
    <w:p w14:paraId="28C59F96" w14:textId="77777777" w:rsidR="001F6427" w:rsidRPr="001F6427" w:rsidRDefault="001F6427" w:rsidP="001F6427">
      <w:pPr>
        <w:pBdr>
          <w:bottom w:val="single" w:sz="3" w:space="2" w:color="D6E8F7"/>
        </w:pBdr>
        <w:spacing w:before="200" w:after="100"/>
        <w:jc w:val="both"/>
        <w:rPr>
          <w:rFonts w:ascii="Nunito" w:eastAsia="Arial" w:hAnsi="Nunito" w:cs="Arial"/>
          <w:b/>
          <w:bCs/>
          <w:color w:val="00B0F0"/>
        </w:rPr>
      </w:pPr>
      <w:r w:rsidRPr="001F6427">
        <w:rPr>
          <w:rFonts w:ascii="Nunito" w:eastAsia="Arial" w:hAnsi="Nunito" w:cs="Arial"/>
          <w:b/>
          <w:bCs/>
          <w:color w:val="00B0F0"/>
        </w:rPr>
        <w:t>Cele 6 efecte negative semnificative (0,8% din total)</w:t>
      </w:r>
    </w:p>
    <w:p w14:paraId="408817DB"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 xml:space="preserve">Evaluarea a identificat un număr foarte redus de efecte negative semnificative, toate concentrate pe investițiile structurale. Trei efecte privesc calitatea aerului (OM3) – emisiile din viitoarele instalații de valorificare energetică, care vor fi controlate prin limite stricte de emisii BAT-AEL și sisteme de monitorizare continuă (CEMS). Două efecte privesc protecția solului (OM4) – ocuparea ireversibilă de teren pentru instalații noi, atenuată prin prioritizarea amplasamentelor brownfield și planuri de reabilitare post-închidere. Un efect privește schimbările climatice (OM7) – emisiile reziduale de metan din depozitele conforme, reduse prin captare obligatorie cu eficiență de minimum 75%. În plus, trei efecte </w:t>
      </w:r>
      <w:r w:rsidRPr="001F6427">
        <w:rPr>
          <w:rFonts w:ascii="Nunito" w:eastAsia="Arial" w:hAnsi="Nunito" w:cs="Arial"/>
          <w:color w:val="2D2D2D"/>
        </w:rPr>
        <w:lastRenderedPageBreak/>
        <w:t>semnificative pe peisaj (OM10) au fost identificate din evaluarea cumulativă a impactului vizual al instalațiilor mari, gestionate prin studii de impact vizual obligatorii și integrare peisagistică. Toate aceste efecte au măsuri obligatorii de prevenire și control asociate, detaliate în Capitolul 9 al raportului.</w:t>
      </w:r>
    </w:p>
    <w:p w14:paraId="0F4084DA" w14:textId="77777777" w:rsidR="001F6427" w:rsidRPr="001F6427" w:rsidRDefault="001F6427" w:rsidP="001F6427">
      <w:pPr>
        <w:pBdr>
          <w:bottom w:val="single" w:sz="3" w:space="2" w:color="D6E8F7"/>
        </w:pBdr>
        <w:spacing w:before="200" w:after="100"/>
        <w:jc w:val="both"/>
        <w:rPr>
          <w:rFonts w:ascii="Nunito" w:eastAsia="Arial" w:hAnsi="Nunito" w:cs="Arial"/>
          <w:b/>
          <w:bCs/>
          <w:color w:val="00B0F0"/>
        </w:rPr>
      </w:pPr>
      <w:r w:rsidRPr="001F6427">
        <w:rPr>
          <w:rFonts w:ascii="Nunito" w:eastAsia="Arial" w:hAnsi="Nunito" w:cs="Arial"/>
          <w:b/>
          <w:bCs/>
          <w:color w:val="00B0F0"/>
        </w:rPr>
        <w:t>Impactul asupra climei – date cantitative</w:t>
      </w:r>
    </w:p>
    <w:p w14:paraId="393549AE"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Capitolul include o analiză detaliată a emisiilor de gaze cu efect de seră, bazată pe metodologia JASPERS și liniile directoare IPCC 2006. Calculul cuprinde emisiile de CO₂, metan (CH₄, cu potențial de încălzire de 21 ori față de CO₂) și protoxid de azot (N₂O, de 310 ori față de CO₂). S-a evaluat atât atenuarea (reducerea emisiilor), cât și adaptarea la schimbările climatice (reziliența infrastructurii la hazardele climatice: incendii, vânt extrem, inundații, alunecări de teren, valuri de căldură, secetă).</w:t>
      </w:r>
    </w:p>
    <w:tbl>
      <w:tblPr>
        <w:tblStyle w:val="Ramboll-Table"/>
        <w:tblW w:w="9026" w:type="dxa"/>
        <w:tblLook w:val="04A0" w:firstRow="1" w:lastRow="0" w:firstColumn="1" w:lastColumn="0" w:noHBand="0" w:noVBand="1"/>
      </w:tblPr>
      <w:tblGrid>
        <w:gridCol w:w="3000"/>
        <w:gridCol w:w="6026"/>
      </w:tblGrid>
      <w:tr w:rsidR="001F6427" w:rsidRPr="001F6427" w14:paraId="44CCA0A1" w14:textId="77777777" w:rsidTr="001F6427">
        <w:trPr>
          <w:cnfStyle w:val="100000000000" w:firstRow="1" w:lastRow="0" w:firstColumn="0" w:lastColumn="0" w:oddVBand="0" w:evenVBand="0" w:oddHBand="0" w:evenHBand="0" w:firstRowFirstColumn="0" w:firstRowLastColumn="0" w:lastRowFirstColumn="0" w:lastRowLastColumn="0"/>
        </w:trPr>
        <w:tc>
          <w:tcPr>
            <w:tcW w:w="3000" w:type="dxa"/>
          </w:tcPr>
          <w:p w14:paraId="4C5871AD"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Fără plan (scenariu 0)</w:t>
            </w:r>
          </w:p>
        </w:tc>
        <w:tc>
          <w:tcPr>
            <w:tcW w:w="6026" w:type="dxa"/>
          </w:tcPr>
          <w:p w14:paraId="780DCF0A"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~226.000 t CO₂e/an emisii din deșeuri menajere</w:t>
            </w:r>
          </w:p>
        </w:tc>
      </w:tr>
      <w:tr w:rsidR="001F6427" w:rsidRPr="001F6427" w14:paraId="66D5C8A8" w14:textId="77777777" w:rsidTr="001F6427">
        <w:tc>
          <w:tcPr>
            <w:tcW w:w="3000" w:type="dxa"/>
          </w:tcPr>
          <w:p w14:paraId="793B0CD6"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Cu planul (varianta integrată)</w:t>
            </w:r>
          </w:p>
        </w:tc>
        <w:tc>
          <w:tcPr>
            <w:tcW w:w="6026" w:type="dxa"/>
          </w:tcPr>
          <w:p w14:paraId="69687177"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Reducere ~1.100.000 t CO₂e/an</w:t>
            </w:r>
          </w:p>
        </w:tc>
      </w:tr>
      <w:tr w:rsidR="001F6427" w:rsidRPr="001F6427" w14:paraId="58329A04" w14:textId="77777777" w:rsidTr="001F6427">
        <w:tc>
          <w:tcPr>
            <w:tcW w:w="3000" w:type="dxa"/>
          </w:tcPr>
          <w:p w14:paraId="327FBA7C"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Cumulat 2025–2035</w:t>
            </w:r>
          </w:p>
        </w:tc>
        <w:tc>
          <w:tcPr>
            <w:tcW w:w="6026" w:type="dxa"/>
          </w:tcPr>
          <w:p w14:paraId="6921FEA3"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~12,15 milioane tone CO₂e evitate</w:t>
            </w:r>
          </w:p>
        </w:tc>
      </w:tr>
      <w:tr w:rsidR="001F6427" w:rsidRPr="001F6427" w14:paraId="32791FF4" w14:textId="77777777" w:rsidTr="001F6427">
        <w:tc>
          <w:tcPr>
            <w:tcW w:w="3000" w:type="dxa"/>
          </w:tcPr>
          <w:p w14:paraId="284B6D63"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Captare biogaz</w:t>
            </w:r>
          </w:p>
        </w:tc>
        <w:tc>
          <w:tcPr>
            <w:tcW w:w="6026" w:type="dxa"/>
          </w:tcPr>
          <w:p w14:paraId="70B031F3"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80–90% în varianta integrată (vs 60–70% modulară)</w:t>
            </w:r>
          </w:p>
        </w:tc>
      </w:tr>
      <w:tr w:rsidR="001F6427" w:rsidRPr="001F6427" w14:paraId="66F07339" w14:textId="77777777" w:rsidTr="001F6427">
        <w:tc>
          <w:tcPr>
            <w:tcW w:w="3000" w:type="dxa"/>
          </w:tcPr>
          <w:p w14:paraId="6BCBA409"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Factor emisie depozitare</w:t>
            </w:r>
          </w:p>
        </w:tc>
        <w:tc>
          <w:tcPr>
            <w:tcW w:w="6026" w:type="dxa"/>
          </w:tcPr>
          <w:p w14:paraId="7E60E9A6"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833 kg CO₂e/tonă deșeu depozitat</w:t>
            </w:r>
          </w:p>
        </w:tc>
      </w:tr>
    </w:tbl>
    <w:p w14:paraId="46224C7E" w14:textId="77777777" w:rsidR="001F6427" w:rsidRPr="001F6427" w:rsidRDefault="001F6427" w:rsidP="001F6427">
      <w:pPr>
        <w:spacing w:before="20" w:after="20" w:line="200" w:lineRule="atLeast"/>
        <w:ind w:left="57" w:right="113"/>
        <w:jc w:val="both"/>
        <w:rPr>
          <w:rFonts w:ascii="Nunito" w:eastAsia="Arial" w:hAnsi="Nunito" w:cs="Arial"/>
          <w:b/>
          <w:bCs/>
          <w:color w:val="00B0F0"/>
        </w:rPr>
      </w:pPr>
      <w:r w:rsidRPr="001F6427">
        <w:rPr>
          <w:rFonts w:ascii="Nunito" w:eastAsia="Arial" w:hAnsi="Nunito" w:cs="Arial"/>
          <w:color w:val="2D2D2D"/>
        </w:rPr>
        <w:t>Limitările evaluări</w:t>
      </w:r>
      <w:r w:rsidRPr="001F6427">
        <w:rPr>
          <w:rFonts w:ascii="Nunito" w:eastAsia="Arial" w:hAnsi="Nunito" w:cs="Arial"/>
          <w:b/>
          <w:bCs/>
          <w:color w:val="00B0F0"/>
        </w:rPr>
        <w:t>i</w:t>
      </w:r>
    </w:p>
    <w:p w14:paraId="2CDD5F8E"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Raportul recunoaște câteva limitări inerente evaluării strategice: amplasamentele exacte ale viitoarelor instalații nu sunt încă stabilite (vor fi determinate în etapele ulterioare de planificare), parametrii tehnici sunt la nivel generic (capacități și tehnologii vor fi definitivate în documentațiile de proiect), iar efectele cumulative sunt tratate ca riscuri posibile. Aceste limitări nu diminuează valoarea evaluării, ci o plasează în contextul corect: ea identifică tendințe și tipare de presiune, nu impacturi locale precise, care vor face obiectul evaluărilor de proiect (EIA) pentru fiecare investiție individuală.</w:t>
      </w:r>
    </w:p>
    <w:p w14:paraId="43A7A600" w14:textId="77777777" w:rsidR="001F6427" w:rsidRPr="001F6427" w:rsidRDefault="001F6427" w:rsidP="001F6427">
      <w:pPr>
        <w:spacing w:before="60"/>
        <w:jc w:val="both"/>
        <w:rPr>
          <w:rFonts w:ascii="Nunito" w:hAnsi="Nunito"/>
        </w:rPr>
      </w:pPr>
    </w:p>
    <w:tbl>
      <w:tblPr>
        <w:tblW w:w="96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7"/>
      </w:tblGrid>
      <w:tr w:rsidR="001F6427" w:rsidRPr="001F6427" w14:paraId="08022DFE" w14:textId="77777777" w:rsidTr="001F6427">
        <w:trPr>
          <w:trHeight w:val="393"/>
        </w:trPr>
        <w:tc>
          <w:tcPr>
            <w:tcW w:w="9657" w:type="dxa"/>
            <w:tcBorders>
              <w:top w:val="none" w:sz="0" w:space="0" w:color="FFFFFF"/>
              <w:left w:val="none" w:sz="0" w:space="0" w:color="FFFFFF"/>
              <w:bottom w:val="none" w:sz="0" w:space="0" w:color="FFFFFF"/>
              <w:right w:val="none" w:sz="0" w:space="0" w:color="FFFFFF"/>
            </w:tcBorders>
            <w:shd w:val="clear" w:color="auto" w:fill="FDF0E6"/>
            <w:tcMar>
              <w:top w:w="80" w:type="dxa"/>
              <w:left w:w="160" w:type="dxa"/>
              <w:bottom w:w="80" w:type="dxa"/>
              <w:right w:w="160" w:type="dxa"/>
            </w:tcMar>
            <w:vAlign w:val="center"/>
          </w:tcPr>
          <w:p w14:paraId="12F2CF2A" w14:textId="7E54E13B" w:rsidR="001F6427" w:rsidRPr="001F6427" w:rsidRDefault="001F6427" w:rsidP="001F6427">
            <w:pPr>
              <w:jc w:val="both"/>
              <w:rPr>
                <w:rFonts w:ascii="Nunito" w:hAnsi="Nunito"/>
              </w:rPr>
            </w:pPr>
            <w:r w:rsidRPr="001F6427">
              <w:rPr>
                <w:rFonts w:ascii="Nunito" w:eastAsia="Arial" w:hAnsi="Nunito" w:cs="Arial"/>
                <w:color w:val="2D2D2D"/>
              </w:rPr>
              <w:t>Planul aduce 4 efecte pozitive pentru fiecare efect negativ. Cele câteva efecte negative sunt controlabile prin măsuri concrete, deja prevăzute în raport.</w:t>
            </w:r>
          </w:p>
        </w:tc>
      </w:tr>
    </w:tbl>
    <w:p w14:paraId="38342D92" w14:textId="77777777" w:rsidR="003C755E" w:rsidRPr="00284CF4" w:rsidRDefault="003C755E" w:rsidP="003C755E">
      <w:pPr>
        <w:spacing w:before="100"/>
        <w:jc w:val="both"/>
        <w:rPr>
          <w:rFonts w:ascii="Nunito" w:hAnsi="Nunito"/>
        </w:rPr>
      </w:pPr>
    </w:p>
    <w:p w14:paraId="4DB6533D" w14:textId="7E680E49" w:rsidR="009D13A2" w:rsidRPr="009D13A2" w:rsidRDefault="009D13A2" w:rsidP="009D13A2">
      <w:pPr>
        <w:pStyle w:val="ListParagraph"/>
        <w:numPr>
          <w:ilvl w:val="0"/>
          <w:numId w:val="363"/>
        </w:numPr>
        <w:spacing w:after="160"/>
        <w:ind w:left="567" w:hanging="567"/>
        <w:rPr>
          <w:rFonts w:ascii="Nunito" w:eastAsia="Arial" w:hAnsi="Nunito" w:cs="Arial"/>
          <w:b/>
          <w:bCs/>
          <w:color w:val="00B0F0"/>
          <w:sz w:val="20"/>
          <w:szCs w:val="20"/>
        </w:rPr>
      </w:pPr>
      <w:r w:rsidRPr="009D13A2">
        <w:rPr>
          <w:rFonts w:ascii="Nunito" w:eastAsia="Arial" w:hAnsi="Nunito" w:cs="Arial"/>
          <w:b/>
          <w:bCs/>
          <w:color w:val="00B0F0"/>
          <w:sz w:val="20"/>
          <w:szCs w:val="20"/>
        </w:rPr>
        <w:t>Efecte transfrontaliere</w:t>
      </w:r>
    </w:p>
    <w:p w14:paraId="2AA99AA2" w14:textId="77777777" w:rsidR="001F6427" w:rsidRPr="001F6427" w:rsidRDefault="001F6427" w:rsidP="001F6427">
      <w:pPr>
        <w:spacing w:after="160"/>
        <w:jc w:val="both"/>
        <w:rPr>
          <w:rFonts w:ascii="Nunito" w:eastAsia="Arial" w:hAnsi="Nunito" w:cs="Arial"/>
          <w:color w:val="2D2D2D"/>
        </w:rPr>
      </w:pPr>
      <w:r w:rsidRPr="001F6427">
        <w:rPr>
          <w:rFonts w:ascii="Nunito" w:eastAsia="Arial" w:hAnsi="Nunito" w:cs="Arial"/>
          <w:color w:val="2D2D2D"/>
        </w:rPr>
        <w:t>Acest capitol analizează dacă implementarea planului ar putea afecta mediul din cele 5 țări vecine ale României. Analiza are caracter de screening strategic: deoarece planul nu include proiecte individuale complet definite ca amplasament, obiectivul nu este cuantificarea efectelor pentru o instalație anume, ci aprecierea probabilității ca anumite tipuri de măsuri să genereze efecte cu relevanță transfrontalieră.</w:t>
      </w:r>
    </w:p>
    <w:p w14:paraId="142EF9C6" w14:textId="77777777" w:rsidR="001F6427" w:rsidRPr="001F6427" w:rsidRDefault="001F6427" w:rsidP="001F6427">
      <w:pPr>
        <w:pBdr>
          <w:bottom w:val="single" w:sz="3" w:space="2" w:color="D6E8F7"/>
        </w:pBdr>
        <w:spacing w:before="200" w:after="100"/>
        <w:jc w:val="both"/>
        <w:rPr>
          <w:rFonts w:ascii="Nunito" w:hAnsi="Nunito"/>
          <w:color w:val="00B0F0"/>
        </w:rPr>
      </w:pPr>
      <w:r w:rsidRPr="001F6427">
        <w:rPr>
          <w:rFonts w:ascii="Nunito" w:eastAsia="Arial" w:hAnsi="Nunito" w:cs="Arial"/>
          <w:b/>
          <w:bCs/>
          <w:color w:val="00B0F0"/>
        </w:rPr>
        <w:t>Vecinătatea României</w:t>
      </w:r>
    </w:p>
    <w:p w14:paraId="6930CAF6"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România are frontiere terestre și fluviale comune cu cinci state, însumând aproximativ 2.955 km. Configurația geografică face ca orice sursă de poluare de pe teritoriul României să fie potențial relevantă pentru statele din aval:</w:t>
      </w:r>
    </w:p>
    <w:tbl>
      <w:tblPr>
        <w:tblStyle w:val="Ramboll-Table"/>
        <w:tblW w:w="9026" w:type="dxa"/>
        <w:tblLook w:val="04A0" w:firstRow="1" w:lastRow="0" w:firstColumn="1" w:lastColumn="0" w:noHBand="0" w:noVBand="1"/>
      </w:tblPr>
      <w:tblGrid>
        <w:gridCol w:w="3000"/>
        <w:gridCol w:w="6026"/>
      </w:tblGrid>
      <w:tr w:rsidR="001F6427" w:rsidRPr="001F6427" w14:paraId="5C3B2815" w14:textId="77777777" w:rsidTr="001F6427">
        <w:trPr>
          <w:cnfStyle w:val="100000000000" w:firstRow="1" w:lastRow="0" w:firstColumn="0" w:lastColumn="0" w:oddVBand="0" w:evenVBand="0" w:oddHBand="0" w:evenHBand="0" w:firstRowFirstColumn="0" w:firstRowLastColumn="0" w:lastRowFirstColumn="0" w:lastRowLastColumn="0"/>
        </w:trPr>
        <w:tc>
          <w:tcPr>
            <w:tcW w:w="3000" w:type="dxa"/>
          </w:tcPr>
          <w:p w14:paraId="0FE73BC0"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Ungaria (448 km)</w:t>
            </w:r>
          </w:p>
        </w:tc>
        <w:tc>
          <w:tcPr>
            <w:tcW w:w="6026" w:type="dxa"/>
          </w:tcPr>
          <w:p w14:paraId="34EBFC4F"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Stat UE, parte la Convenția Espoo. Expusă pe bazinul Tisei și afluenții săi (Someș, Crișuri, Mureș).</w:t>
            </w:r>
          </w:p>
        </w:tc>
      </w:tr>
      <w:tr w:rsidR="001F6427" w:rsidRPr="001F6427" w14:paraId="43FDB2F1" w14:textId="77777777" w:rsidTr="001F6427">
        <w:tc>
          <w:tcPr>
            <w:tcW w:w="3000" w:type="dxa"/>
          </w:tcPr>
          <w:p w14:paraId="647D8F1C"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Serbia (546 km, din care 270 pe Dunăre)</w:t>
            </w:r>
          </w:p>
        </w:tc>
        <w:tc>
          <w:tcPr>
            <w:tcW w:w="6026" w:type="dxa"/>
          </w:tcPr>
          <w:p w14:paraId="3FE80B13"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Stat candidat UE, parte la Convenția Espoo. Expusă pe sectorul Dunării.</w:t>
            </w:r>
          </w:p>
        </w:tc>
      </w:tr>
      <w:tr w:rsidR="001F6427" w:rsidRPr="001F6427" w14:paraId="795D27A1" w14:textId="77777777" w:rsidTr="001F6427">
        <w:tc>
          <w:tcPr>
            <w:tcW w:w="3000" w:type="dxa"/>
          </w:tcPr>
          <w:p w14:paraId="76C6959F"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Bulgaria (631 km, din care 470 pe Dunăre)</w:t>
            </w:r>
          </w:p>
        </w:tc>
        <w:tc>
          <w:tcPr>
            <w:tcW w:w="6026" w:type="dxa"/>
          </w:tcPr>
          <w:p w14:paraId="3B66FF4E"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Stat UE. Cel mai expus stat – integral în aval pe Dunăre, primește întreaga încărcătură de poluanți transportată de fluviu.</w:t>
            </w:r>
          </w:p>
        </w:tc>
      </w:tr>
      <w:tr w:rsidR="001F6427" w:rsidRPr="001F6427" w14:paraId="64521679" w14:textId="77777777" w:rsidTr="001F6427">
        <w:tc>
          <w:tcPr>
            <w:tcW w:w="3000" w:type="dxa"/>
          </w:tcPr>
          <w:p w14:paraId="05C63298"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R. Moldova (681 km, râul Prut)</w:t>
            </w:r>
          </w:p>
        </w:tc>
        <w:tc>
          <w:tcPr>
            <w:tcW w:w="6026" w:type="dxa"/>
          </w:tcPr>
          <w:p w14:paraId="1F8FA24D"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Stat asociat UE. Expusă pe Prut (capacitate de diluție limitată – debit ~80 m³/s) și circulație atmosferică.</w:t>
            </w:r>
          </w:p>
        </w:tc>
      </w:tr>
      <w:tr w:rsidR="001F6427" w:rsidRPr="001F6427" w14:paraId="7B027635" w14:textId="77777777" w:rsidTr="001F6427">
        <w:tc>
          <w:tcPr>
            <w:tcW w:w="3000" w:type="dxa"/>
          </w:tcPr>
          <w:p w14:paraId="3C350A22" w14:textId="77777777" w:rsidR="001F6427" w:rsidRPr="001F6427" w:rsidRDefault="001F6427" w:rsidP="001F6427">
            <w:pPr>
              <w:jc w:val="both"/>
              <w:rPr>
                <w:rFonts w:ascii="Nunito" w:eastAsia="Arial" w:hAnsi="Nunito" w:cs="Arial"/>
                <w:color w:val="2D2D2D"/>
                <w:sz w:val="18"/>
              </w:rPr>
            </w:pPr>
            <w:r w:rsidRPr="001F6427">
              <w:rPr>
                <w:rFonts w:ascii="Nunito" w:eastAsia="Arial" w:hAnsi="Nunito" w:cs="Arial"/>
                <w:color w:val="2D2D2D"/>
                <w:sz w:val="18"/>
              </w:rPr>
              <w:t>Ucraina (649 km)</w:t>
            </w:r>
          </w:p>
        </w:tc>
        <w:tc>
          <w:tcPr>
            <w:tcW w:w="6026" w:type="dxa"/>
          </w:tcPr>
          <w:p w14:paraId="59D27C96"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Stat candidat UE. Poziție mixtă: amonte pe Tisa superioară, aval în Delta Dunării.</w:t>
            </w:r>
          </w:p>
        </w:tc>
      </w:tr>
    </w:tbl>
    <w:p w14:paraId="7C8CB8D5" w14:textId="77777777" w:rsidR="001F6427" w:rsidRPr="001F6427" w:rsidRDefault="001F6427" w:rsidP="001F6427">
      <w:pPr>
        <w:pBdr>
          <w:bottom w:val="single" w:sz="3" w:space="2" w:color="D6E8F7"/>
        </w:pBdr>
        <w:spacing w:before="200" w:after="100"/>
        <w:jc w:val="both"/>
        <w:rPr>
          <w:rFonts w:ascii="Nunito" w:hAnsi="Nunito"/>
          <w:color w:val="00B0F0"/>
        </w:rPr>
      </w:pPr>
      <w:r w:rsidRPr="001F6427">
        <w:rPr>
          <w:rFonts w:ascii="Nunito" w:eastAsia="Arial" w:hAnsi="Nunito" w:cs="Arial"/>
          <w:b/>
          <w:bCs/>
          <w:color w:val="00B0F0"/>
        </w:rPr>
        <w:t>Contextul hidrografic</w:t>
      </w:r>
    </w:p>
    <w:p w14:paraId="3D9BC036" w14:textId="77777777" w:rsidR="001F6427" w:rsidRPr="001F6427" w:rsidRDefault="001F6427" w:rsidP="001F6427">
      <w:pPr>
        <w:spacing w:after="160"/>
        <w:jc w:val="both"/>
        <w:rPr>
          <w:rFonts w:ascii="Nunito" w:eastAsia="Arial" w:hAnsi="Nunito" w:cs="Arial"/>
          <w:color w:val="2D2D2D"/>
        </w:rPr>
      </w:pPr>
      <w:r w:rsidRPr="001F6427">
        <w:rPr>
          <w:rFonts w:ascii="Nunito" w:eastAsia="Arial" w:hAnsi="Nunito" w:cs="Arial"/>
          <w:color w:val="2D2D2D"/>
        </w:rPr>
        <w:t xml:space="preserve">România ocupă 29% din suprafața bazinului hidrografic al Dunării (233.000 km² din 801.463 km²), fiind al doilea stat ca pondere. Întreg teritoriul țării se află în acest bazin, toate apele ajungând direct sau indirect în Dunăre și apoi în Marea </w:t>
      </w:r>
      <w:r w:rsidRPr="001F6427">
        <w:rPr>
          <w:rFonts w:ascii="Nunito" w:eastAsia="Arial" w:hAnsi="Nunito" w:cs="Arial"/>
          <w:color w:val="2D2D2D"/>
        </w:rPr>
        <w:lastRenderedPageBreak/>
        <w:t>Neagră. Debitul mediu al Dunării la intrarea în România este de ~5.600 m³/s, crescând la ~6.500 m³/s la Brăila. Pe Tisa (cel mai mare afluent al Dunării în Ungaria), România contribuie cu ~45% din suprafața bazinului. Pe Prut, debitul mediu la vărsare este de doar ~80 m³/s, ceea ce implică o capacitate de diluție limitată.</w:t>
      </w:r>
    </w:p>
    <w:p w14:paraId="27564087" w14:textId="77777777" w:rsidR="001F6427" w:rsidRPr="001F6427" w:rsidRDefault="001F6427" w:rsidP="001F6427">
      <w:pPr>
        <w:pBdr>
          <w:bottom w:val="single" w:sz="3" w:space="2" w:color="D6E8F7"/>
        </w:pBdr>
        <w:spacing w:before="200" w:after="100"/>
        <w:jc w:val="both"/>
        <w:rPr>
          <w:rFonts w:ascii="Nunito" w:eastAsia="Arial" w:hAnsi="Nunito" w:cs="Arial"/>
          <w:b/>
          <w:bCs/>
          <w:color w:val="00B0F0"/>
        </w:rPr>
      </w:pPr>
      <w:r w:rsidRPr="001F6427">
        <w:rPr>
          <w:rFonts w:ascii="Nunito" w:eastAsia="Arial" w:hAnsi="Nunito" w:cs="Arial"/>
          <w:b/>
          <w:bCs/>
          <w:color w:val="00B0F0"/>
        </w:rPr>
        <w:t>Cele 4 căi de transfer analizate</w:t>
      </w:r>
    </w:p>
    <w:p w14:paraId="32F6302B" w14:textId="77777777" w:rsidR="001F6427" w:rsidRPr="001F6427" w:rsidRDefault="001F6427" w:rsidP="001F6427">
      <w:pPr>
        <w:spacing w:after="160"/>
        <w:jc w:val="both"/>
        <w:rPr>
          <w:rFonts w:ascii="Nunito" w:eastAsia="Arial" w:hAnsi="Nunito" w:cs="Arial"/>
          <w:color w:val="2D2D2D"/>
        </w:rPr>
      </w:pPr>
      <w:r w:rsidRPr="001F6427">
        <w:rPr>
          <w:rFonts w:ascii="Nunito" w:eastAsia="Arial" w:hAnsi="Nunito" w:cs="Arial"/>
          <w:color w:val="2D2D2D"/>
        </w:rPr>
        <w:t>Transferul prin apele de suprafață este mecanismul principal: poluanții pot ajunge în râuri prin scurgeri de levigat, descărcări de ape uzate, spălarea deșeurilor abandonate și transport de microplastice. Substanțele transportate includ metale grele, compuși organici persistenți, nutrienți și microplastice. Timpul de tranzit pe Dunăre de la Baziaș la Silistra este de 4–6 zile, iar de la Giurgiu la Deltă de 2–3 zile.</w:t>
      </w:r>
    </w:p>
    <w:p w14:paraId="29A2B325" w14:textId="77777777" w:rsidR="001F6427" w:rsidRPr="001F6427" w:rsidRDefault="001F6427" w:rsidP="001F6427">
      <w:pPr>
        <w:spacing w:after="160"/>
        <w:jc w:val="both"/>
        <w:rPr>
          <w:rFonts w:ascii="Nunito" w:eastAsia="Arial" w:hAnsi="Nunito" w:cs="Arial"/>
          <w:color w:val="2D2D2D"/>
        </w:rPr>
      </w:pPr>
      <w:r w:rsidRPr="001F6427">
        <w:rPr>
          <w:rFonts w:ascii="Nunito" w:eastAsia="Arial" w:hAnsi="Nunito" w:cs="Arial"/>
          <w:color w:val="2D2D2D"/>
        </w:rPr>
        <w:t>Transferul prin apele subterane este mai lent, dar persistent: acviferele aluviale ale Dunării, Tisei și Prutului sunt continue la nivel transfrontalier, cu viteze de migrare de 0,1–10 m/zi. Chiar și depozitele conforme prezintă un risc rezidual pe termen lung.</w:t>
      </w:r>
    </w:p>
    <w:p w14:paraId="61BF5DE4" w14:textId="4794F4DE" w:rsidR="001F6427" w:rsidRPr="001F6427" w:rsidRDefault="001F6427" w:rsidP="001F6427">
      <w:pPr>
        <w:spacing w:after="160"/>
        <w:jc w:val="both"/>
        <w:rPr>
          <w:rFonts w:ascii="Nunito" w:eastAsia="Arial" w:hAnsi="Nunito" w:cs="Arial"/>
          <w:color w:val="2D2D2D"/>
        </w:rPr>
      </w:pPr>
      <w:r w:rsidRPr="001F6427">
        <w:rPr>
          <w:rFonts w:ascii="Nunito" w:eastAsia="Arial" w:hAnsi="Nunito" w:cs="Arial"/>
          <w:color w:val="2D2D2D"/>
        </w:rPr>
        <w:t>Transferul prin aer: circulația atmosferică predominant vestică (55–60% din timp) transportăemisiile către est și sud-est – spre R. Moldova, Ucraina și Marea Neagră. Pentru instalațiile cu coșuri de fum înalte (80–120 m), peste 90% din poluanții primari se depun în primii 50 km, iar concentrațiile la 100+ km sunt cu 2–3 ordine de mărime sub valorile limită.</w:t>
      </w:r>
    </w:p>
    <w:p w14:paraId="64FA4E65" w14:textId="0041D77E" w:rsidR="001F6427" w:rsidRPr="001F6427" w:rsidRDefault="001F6427" w:rsidP="001F6427">
      <w:pPr>
        <w:spacing w:after="160"/>
        <w:jc w:val="both"/>
        <w:rPr>
          <w:rFonts w:ascii="Nunito" w:eastAsia="Arial" w:hAnsi="Nunito" w:cs="Arial"/>
          <w:color w:val="2D2D2D"/>
        </w:rPr>
      </w:pPr>
      <w:r w:rsidRPr="001F6427">
        <w:rPr>
          <w:rFonts w:ascii="Nunito" w:eastAsia="Arial" w:hAnsi="Nunito" w:cs="Arial"/>
          <w:color w:val="2D2D2D"/>
        </w:rPr>
        <w:t>Transferul prin transportul de deșeuri: România importă anual 350.000–400.000 tone și exportă 80.000–120.000 tone. Dezvoltarea capacităților interne prin PNGD va reduce exporturile de deșeuri periculoase, efect pozitiv pentru statele de destinație.</w:t>
      </w:r>
    </w:p>
    <w:p w14:paraId="719E7213" w14:textId="77777777" w:rsidR="001F6427" w:rsidRPr="001F6427" w:rsidRDefault="001F6427" w:rsidP="001F6427">
      <w:pPr>
        <w:pBdr>
          <w:bottom w:val="single" w:sz="3" w:space="2" w:color="D6E8F7"/>
        </w:pBdr>
        <w:spacing w:before="200" w:after="100"/>
        <w:jc w:val="both"/>
        <w:rPr>
          <w:rFonts w:ascii="Nunito" w:hAnsi="Nunito"/>
          <w:color w:val="00B0F0"/>
        </w:rPr>
      </w:pPr>
      <w:r w:rsidRPr="001F6427">
        <w:rPr>
          <w:rFonts w:ascii="Nunito" w:eastAsia="Arial" w:hAnsi="Nunito" w:cs="Arial"/>
          <w:b/>
          <w:bCs/>
          <w:color w:val="00B0F0"/>
        </w:rPr>
        <w:t>Scenarii de cumulare și amplificare</w:t>
      </w:r>
    </w:p>
    <w:p w14:paraId="668B26A1"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Analiza a examinat 4 scenarii de cumulare a căilor de transfer: cumulare apă-aer în zonele riverane (relevant pentru Bulgaria, dar probabilitate redusă datorită circulației vestice), cumulare apă de suprafață cu apă subterană în luncile inundabile (relevant pentru toate statele, gestionat prin amplasarea depozitelor în afara luncilor), cumulare emisii de la mai multe instalații (nu există concentrări semnificative în proximitatea frontierelor), și cumulare spațiu-timp pentru poluanți persistenți (dioxine, metale grele, microplastice – Delta Dunării este deosebit de sensibilă).</w:t>
      </w:r>
    </w:p>
    <w:p w14:paraId="0355E5B4"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Factorii de amplificare cei mai relevanți sunt: evenimentele meteorologice extreme (precipitații intense, inundații) care pot depăși capacitatea sistemelor de colectare a levigatului; condițiile de estiaj sever (debite reduse cu 30–50%, capacitate de diluție scăzută); și deficiențele operaționale sau accidentele (ruperea barajului de levigat, defectări ale sistemelor de epurare, incendii). Schimbările climatice vor crește frecvența evenimentelor extreme, ceea ce justifică integrarea măsurilor de adaptare.</w:t>
      </w:r>
    </w:p>
    <w:p w14:paraId="3F92FFF8" w14:textId="77777777" w:rsidR="001F6427" w:rsidRPr="001F6427" w:rsidRDefault="001F6427" w:rsidP="001F6427">
      <w:pPr>
        <w:pBdr>
          <w:bottom w:val="single" w:sz="3" w:space="0" w:color="D6E8F7"/>
        </w:pBdr>
        <w:spacing w:before="200" w:after="100"/>
        <w:jc w:val="both"/>
        <w:rPr>
          <w:rFonts w:ascii="Nunito" w:hAnsi="Nunito"/>
          <w:color w:val="00B0F0"/>
        </w:rPr>
      </w:pPr>
      <w:r w:rsidRPr="001F6427">
        <w:rPr>
          <w:rFonts w:ascii="Nunito" w:eastAsia="Arial" w:hAnsi="Nunito" w:cs="Arial"/>
          <w:b/>
          <w:bCs/>
          <w:color w:val="00B0F0"/>
        </w:rPr>
        <w:t>Matricea riscurilor pe state vecine</w:t>
      </w:r>
    </w:p>
    <w:tbl>
      <w:tblPr>
        <w:tblStyle w:val="Ramboll-Table"/>
        <w:tblW w:w="9026" w:type="dxa"/>
        <w:tblLook w:val="04A0" w:firstRow="1" w:lastRow="0" w:firstColumn="1" w:lastColumn="0" w:noHBand="0" w:noVBand="1"/>
      </w:tblPr>
      <w:tblGrid>
        <w:gridCol w:w="3000"/>
        <w:gridCol w:w="6026"/>
      </w:tblGrid>
      <w:tr w:rsidR="001F6427" w:rsidRPr="001F6427" w14:paraId="4C928E18" w14:textId="77777777" w:rsidTr="001F6427">
        <w:trPr>
          <w:cnfStyle w:val="100000000000" w:firstRow="1" w:lastRow="0" w:firstColumn="0" w:lastColumn="0" w:oddVBand="0" w:evenVBand="0" w:oddHBand="0" w:evenHBand="0" w:firstRowFirstColumn="0" w:firstRowLastColumn="0" w:lastRowFirstColumn="0" w:lastRowLastColumn="0"/>
        </w:trPr>
        <w:tc>
          <w:tcPr>
            <w:tcW w:w="3000" w:type="dxa"/>
          </w:tcPr>
          <w:p w14:paraId="057294BB" w14:textId="77777777" w:rsidR="001F6427" w:rsidRPr="001F6427" w:rsidRDefault="001F6427" w:rsidP="001F6427">
            <w:pPr>
              <w:jc w:val="both"/>
              <w:rPr>
                <w:rFonts w:ascii="Nunito" w:hAnsi="Nunito"/>
                <w:color w:val="000000" w:themeColor="text1"/>
                <w:sz w:val="18"/>
              </w:rPr>
            </w:pPr>
            <w:r w:rsidRPr="001F6427">
              <w:rPr>
                <w:rFonts w:ascii="Nunito" w:eastAsia="Arial" w:hAnsi="Nunito" w:cs="Arial"/>
                <w:color w:val="000000" w:themeColor="text1"/>
                <w:sz w:val="18"/>
              </w:rPr>
              <w:t>Ungaria</w:t>
            </w:r>
          </w:p>
        </w:tc>
        <w:tc>
          <w:tcPr>
            <w:tcW w:w="6026" w:type="dxa"/>
          </w:tcPr>
          <w:p w14:paraId="17C06FED"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Risc scăzut – căi dominante: fluvial (Tisa, afluenți); factori amplificare: inundații, estiaj, accidente</w:t>
            </w:r>
          </w:p>
        </w:tc>
      </w:tr>
      <w:tr w:rsidR="001F6427" w:rsidRPr="001F6427" w14:paraId="07788201" w14:textId="77777777" w:rsidTr="001F6427">
        <w:tc>
          <w:tcPr>
            <w:tcW w:w="3000" w:type="dxa"/>
          </w:tcPr>
          <w:p w14:paraId="2D6214FF" w14:textId="77777777" w:rsidR="001F6427" w:rsidRPr="001F6427" w:rsidRDefault="001F6427" w:rsidP="001F6427">
            <w:pPr>
              <w:jc w:val="both"/>
              <w:rPr>
                <w:rFonts w:ascii="Nunito" w:hAnsi="Nunito"/>
                <w:color w:val="000000" w:themeColor="text1"/>
                <w:sz w:val="18"/>
              </w:rPr>
            </w:pPr>
            <w:r w:rsidRPr="001F6427">
              <w:rPr>
                <w:rFonts w:ascii="Nunito" w:eastAsia="Arial" w:hAnsi="Nunito" w:cs="Arial"/>
                <w:color w:val="000000" w:themeColor="text1"/>
                <w:sz w:val="18"/>
              </w:rPr>
              <w:t>Serbia</w:t>
            </w:r>
          </w:p>
        </w:tc>
        <w:tc>
          <w:tcPr>
            <w:tcW w:w="6026" w:type="dxa"/>
          </w:tcPr>
          <w:p w14:paraId="26CC5228"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Risc foarte scăzut – cale dominantă: fluvial (Dunăre); diluție ridicată; amplificare doar la accidente majore</w:t>
            </w:r>
          </w:p>
        </w:tc>
      </w:tr>
      <w:tr w:rsidR="001F6427" w:rsidRPr="001F6427" w14:paraId="71E847DC" w14:textId="77777777" w:rsidTr="001F6427">
        <w:tc>
          <w:tcPr>
            <w:tcW w:w="3000" w:type="dxa"/>
          </w:tcPr>
          <w:p w14:paraId="3520200E" w14:textId="77777777" w:rsidR="001F6427" w:rsidRPr="001F6427" w:rsidRDefault="001F6427" w:rsidP="001F6427">
            <w:pPr>
              <w:jc w:val="both"/>
              <w:rPr>
                <w:rFonts w:ascii="Nunito" w:hAnsi="Nunito"/>
                <w:color w:val="000000" w:themeColor="text1"/>
                <w:sz w:val="18"/>
              </w:rPr>
            </w:pPr>
            <w:r w:rsidRPr="001F6427">
              <w:rPr>
                <w:rFonts w:ascii="Nunito" w:eastAsia="Arial" w:hAnsi="Nunito" w:cs="Arial"/>
                <w:color w:val="000000" w:themeColor="text1"/>
                <w:sz w:val="18"/>
              </w:rPr>
              <w:t>Bulgaria</w:t>
            </w:r>
          </w:p>
        </w:tc>
        <w:tc>
          <w:tcPr>
            <w:tcW w:w="6026" w:type="dxa"/>
          </w:tcPr>
          <w:p w14:paraId="2C7A7BB3"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Risc scăzut (dar cel mai expus stat) – căi: fluvial + atmosferic episodic; factori: estiaj, inversii termice, receptori sensibili</w:t>
            </w:r>
          </w:p>
        </w:tc>
      </w:tr>
      <w:tr w:rsidR="001F6427" w:rsidRPr="001F6427" w14:paraId="46E1B0BE" w14:textId="77777777" w:rsidTr="001F6427">
        <w:tc>
          <w:tcPr>
            <w:tcW w:w="3000" w:type="dxa"/>
          </w:tcPr>
          <w:p w14:paraId="7719A7D9" w14:textId="77777777" w:rsidR="001F6427" w:rsidRPr="001F6427" w:rsidRDefault="001F6427" w:rsidP="001F6427">
            <w:pPr>
              <w:jc w:val="both"/>
              <w:rPr>
                <w:rFonts w:ascii="Nunito" w:hAnsi="Nunito"/>
                <w:color w:val="000000" w:themeColor="text1"/>
                <w:sz w:val="18"/>
              </w:rPr>
            </w:pPr>
            <w:r w:rsidRPr="001F6427">
              <w:rPr>
                <w:rFonts w:ascii="Nunito" w:eastAsia="Arial" w:hAnsi="Nunito" w:cs="Arial"/>
                <w:color w:val="000000" w:themeColor="text1"/>
                <w:sz w:val="18"/>
              </w:rPr>
              <w:t>R. Moldova</w:t>
            </w:r>
          </w:p>
        </w:tc>
        <w:tc>
          <w:tcPr>
            <w:tcW w:w="6026" w:type="dxa"/>
          </w:tcPr>
          <w:p w14:paraId="2E492373"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Risc scăzut – căi: fluvial (Prut) + atmosferic; factori: estiaj Prut, surse apă potabilă fluvială vulnerabile</w:t>
            </w:r>
          </w:p>
        </w:tc>
      </w:tr>
      <w:tr w:rsidR="001F6427" w:rsidRPr="001F6427" w14:paraId="63C71F41" w14:textId="77777777" w:rsidTr="001F6427">
        <w:tc>
          <w:tcPr>
            <w:tcW w:w="3000" w:type="dxa"/>
          </w:tcPr>
          <w:p w14:paraId="5B464B2E" w14:textId="77777777" w:rsidR="001F6427" w:rsidRPr="001F6427" w:rsidRDefault="001F6427" w:rsidP="001F6427">
            <w:pPr>
              <w:jc w:val="both"/>
              <w:rPr>
                <w:rFonts w:ascii="Nunito" w:hAnsi="Nunito"/>
                <w:color w:val="000000" w:themeColor="text1"/>
                <w:sz w:val="18"/>
              </w:rPr>
            </w:pPr>
            <w:r w:rsidRPr="001F6427">
              <w:rPr>
                <w:rFonts w:ascii="Nunito" w:eastAsia="Arial" w:hAnsi="Nunito" w:cs="Arial"/>
                <w:color w:val="000000" w:themeColor="text1"/>
                <w:sz w:val="18"/>
              </w:rPr>
              <w:t>Ucraina</w:t>
            </w:r>
          </w:p>
        </w:tc>
        <w:tc>
          <w:tcPr>
            <w:tcW w:w="6026" w:type="dxa"/>
          </w:tcPr>
          <w:p w14:paraId="32BEFB9A" w14:textId="77777777" w:rsidR="001F6427" w:rsidRPr="001F6427" w:rsidRDefault="001F6427" w:rsidP="001F6427">
            <w:pPr>
              <w:jc w:val="both"/>
              <w:rPr>
                <w:rFonts w:ascii="Nunito" w:hAnsi="Nunito"/>
                <w:sz w:val="18"/>
              </w:rPr>
            </w:pPr>
            <w:r w:rsidRPr="001F6427">
              <w:rPr>
                <w:rFonts w:ascii="Nunito" w:eastAsia="Arial" w:hAnsi="Nunito" w:cs="Arial"/>
                <w:color w:val="2D2D2D"/>
                <w:sz w:val="18"/>
              </w:rPr>
              <w:t>Risc scăzut – căi: fluvial (Delta) + atmosferic; factor: sensibilitatea ecosistemică excepțională a Deltei</w:t>
            </w:r>
          </w:p>
        </w:tc>
      </w:tr>
    </w:tbl>
    <w:p w14:paraId="6906F86C" w14:textId="77777777" w:rsidR="001F6427" w:rsidRPr="001F6427" w:rsidRDefault="001F6427" w:rsidP="001F6427">
      <w:pPr>
        <w:spacing w:before="80"/>
        <w:ind w:left="360"/>
        <w:jc w:val="both"/>
        <w:rPr>
          <w:rFonts w:ascii="Nunito" w:hAnsi="Nunito"/>
        </w:rPr>
      </w:pPr>
    </w:p>
    <w:p w14:paraId="4B753215" w14:textId="77777777" w:rsidR="001F6427" w:rsidRPr="001F6427" w:rsidRDefault="001F6427" w:rsidP="001F6427">
      <w:pPr>
        <w:pBdr>
          <w:bottom w:val="single" w:sz="3" w:space="2" w:color="D6E8F7"/>
        </w:pBdr>
        <w:spacing w:before="200" w:after="100"/>
        <w:jc w:val="both"/>
        <w:rPr>
          <w:rFonts w:ascii="Nunito" w:hAnsi="Nunito"/>
        </w:rPr>
      </w:pPr>
      <w:r w:rsidRPr="001F6427">
        <w:rPr>
          <w:rFonts w:ascii="Nunito" w:eastAsia="Arial" w:hAnsi="Nunito" w:cs="Arial"/>
          <w:b/>
          <w:bCs/>
          <w:color w:val="2E75B6"/>
        </w:rPr>
        <w:t>Măsuri de prevenire integrate în plan</w:t>
      </w:r>
    </w:p>
    <w:p w14:paraId="6A0F2A37"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 xml:space="preserve">PNGD integrează măsuri preventive pe trei niveluri. În faza de proiectare: amplasarea va evita luncile râurilor transfrontaliere, zonele cu acvifere vulnerabile și coridoarele de circulație atmosferică către frontieră; instalațiile vor fi proiectate cu redundanțe și factori de siguranță pentru condiții extreme (bazine de retenție pentru precipitații cu perioadă de revenire de 100 de ani, sisteme de epurare cu capacitate de rezervă). În faza de operare: monitorizare continuă (CEMS, </w:t>
      </w:r>
      <w:r w:rsidRPr="001F6427">
        <w:rPr>
          <w:rFonts w:ascii="Nunito" w:eastAsia="Arial" w:hAnsi="Nunito" w:cs="Arial"/>
          <w:color w:val="2D2D2D"/>
        </w:rPr>
        <w:lastRenderedPageBreak/>
        <w:t>foraje piezometrice), corelare cu prognozele meteorologice, integrare în sistemul de avertizare timpurie AEWS al Comisiei Internaționale pentru Protecția Dunării (ICPDR). În situații de urgență: protocoale de notificare a autorităților din statele vecine în maximum 2 ore, bariere plutitoare, echipamente de intervenție rapidă, coordonare cu serviciile transfrontaliere.</w:t>
      </w:r>
    </w:p>
    <w:p w14:paraId="62D370F8" w14:textId="77777777" w:rsidR="001F6427" w:rsidRPr="001F6427" w:rsidRDefault="001F6427" w:rsidP="001F6427">
      <w:pPr>
        <w:pStyle w:val="ListParagraph"/>
        <w:spacing w:before="60"/>
        <w:jc w:val="both"/>
        <w:rPr>
          <w:rFonts w:ascii="Nunito" w:hAnsi="Nunito"/>
        </w:rPr>
      </w:pPr>
    </w:p>
    <w:tbl>
      <w:tblPr>
        <w:tblW w:w="9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6"/>
      </w:tblGrid>
      <w:tr w:rsidR="001F6427" w:rsidRPr="001F6427" w14:paraId="3DACDB5B" w14:textId="77777777" w:rsidTr="001F6427">
        <w:trPr>
          <w:trHeight w:val="1302"/>
        </w:trPr>
        <w:tc>
          <w:tcPr>
            <w:tcW w:w="9536" w:type="dxa"/>
            <w:tcBorders>
              <w:top w:val="none" w:sz="0" w:space="0" w:color="FFFFFF"/>
              <w:left w:val="none" w:sz="0" w:space="0" w:color="FFFFFF"/>
              <w:bottom w:val="none" w:sz="0" w:space="0" w:color="FFFFFF"/>
              <w:right w:val="none" w:sz="0" w:space="0" w:color="FFFFFF"/>
            </w:tcBorders>
            <w:shd w:val="clear" w:color="auto" w:fill="D9D9D9" w:themeFill="background1" w:themeFillShade="D9"/>
            <w:tcMar>
              <w:top w:w="120" w:type="dxa"/>
              <w:left w:w="200" w:type="dxa"/>
              <w:bottom w:w="120" w:type="dxa"/>
              <w:right w:w="200" w:type="dxa"/>
            </w:tcMar>
          </w:tcPr>
          <w:p w14:paraId="64A1D6FF" w14:textId="77777777" w:rsidR="001F6427" w:rsidRPr="001F6427" w:rsidRDefault="001F6427" w:rsidP="001F6427">
            <w:pPr>
              <w:spacing w:after="80"/>
              <w:jc w:val="both"/>
              <w:rPr>
                <w:rFonts w:ascii="Nunito" w:hAnsi="Nunito"/>
              </w:rPr>
            </w:pPr>
            <w:r w:rsidRPr="001F6427">
              <w:rPr>
                <w:rFonts w:ascii="Nunito" w:eastAsia="Arial" w:hAnsi="Nunito" w:cs="Arial"/>
                <w:b/>
                <w:bCs/>
                <w:color w:val="217346"/>
              </w:rPr>
              <w:t>CONCLUZIE:</w:t>
            </w:r>
          </w:p>
          <w:p w14:paraId="2FC1ECF9" w14:textId="77777777" w:rsidR="001F6427" w:rsidRPr="001F6427" w:rsidRDefault="001F6427" w:rsidP="001F6427">
            <w:pPr>
              <w:jc w:val="both"/>
              <w:rPr>
                <w:rFonts w:ascii="Nunito" w:hAnsi="Nunito"/>
              </w:rPr>
            </w:pPr>
            <w:r w:rsidRPr="001F6427">
              <w:rPr>
                <w:rFonts w:ascii="Nunito" w:eastAsia="Arial" w:hAnsi="Nunito" w:cs="Arial"/>
                <w:color w:val="2D2D2D"/>
              </w:rPr>
              <w:t>Implementarea PNGD nu va genera efecte negative semnificative asupra mediului din statele vecine. Dimpotrivă, reducerea surselor de poluare din sectorul deșeurilor va aduce beneficii și pentru țările din aval, în special Bulgaria. Efectele pozitive ale planului depășesc cu mult riscurile reziduale ale noii infrastructuri. Măsurile de prevenire integrate în PNGD sunt suficiente pentru gestionarea riscurilor identificate.</w:t>
            </w:r>
          </w:p>
        </w:tc>
      </w:tr>
    </w:tbl>
    <w:p w14:paraId="2B68162A" w14:textId="7477FAA5" w:rsidR="001F6427" w:rsidRDefault="001F6427" w:rsidP="001F6427">
      <w:pPr>
        <w:pStyle w:val="ListParagraph"/>
      </w:pPr>
    </w:p>
    <w:p w14:paraId="26F83E20" w14:textId="0828FB82" w:rsidR="003C755E" w:rsidRPr="00284CF4" w:rsidRDefault="003C755E" w:rsidP="003C755E">
      <w:pPr>
        <w:jc w:val="both"/>
        <w:rPr>
          <w:rFonts w:ascii="Nunito" w:hAnsi="Nunito"/>
        </w:rPr>
      </w:pPr>
    </w:p>
    <w:p w14:paraId="2ACB6C7B" w14:textId="6CCC5A64" w:rsidR="003C755E" w:rsidRPr="009D13A2" w:rsidRDefault="009D13A2" w:rsidP="009D13A2">
      <w:pPr>
        <w:pStyle w:val="ListParagraph"/>
        <w:numPr>
          <w:ilvl w:val="0"/>
          <w:numId w:val="363"/>
        </w:numPr>
        <w:spacing w:after="160"/>
        <w:ind w:left="567" w:hanging="567"/>
        <w:rPr>
          <w:rFonts w:ascii="Nunito" w:hAnsi="Nunito"/>
          <w:b/>
          <w:bCs/>
          <w:color w:val="009DF0" w:themeColor="text2"/>
          <w:sz w:val="20"/>
          <w:szCs w:val="20"/>
        </w:rPr>
      </w:pPr>
      <w:r w:rsidRPr="009D13A2">
        <w:rPr>
          <w:rFonts w:ascii="Nunito" w:hAnsi="Nunito"/>
          <w:b/>
          <w:bCs/>
          <w:color w:val="009DF0" w:themeColor="text2"/>
          <w:sz w:val="20"/>
          <w:szCs w:val="20"/>
        </w:rPr>
        <w:t>Măsuri de prevenire și reducere a efectelor generate, măsuri de monitorizae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C755E" w:rsidRPr="00284CF4" w14:paraId="72BD3D1F" w14:textId="77777777" w:rsidTr="009B4490">
        <w:tc>
          <w:tcPr>
            <w:tcW w:w="3008"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vAlign w:val="center"/>
          </w:tcPr>
          <w:p w14:paraId="590D7B01"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65</w:t>
            </w:r>
          </w:p>
          <w:p w14:paraId="7534CAC6"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măsuri de prevenire și reducere propuse</w:t>
            </w:r>
          </w:p>
        </w:tc>
        <w:tc>
          <w:tcPr>
            <w:tcW w:w="3008" w:type="dxa"/>
            <w:tcBorders>
              <w:top w:val="none" w:sz="0" w:space="0" w:color="FFFFFF"/>
              <w:left w:val="none" w:sz="0" w:space="0" w:color="FFFFFF"/>
              <w:bottom w:val="none" w:sz="0" w:space="0" w:color="FFFFFF"/>
              <w:right w:val="none" w:sz="0" w:space="0" w:color="FFFFFF"/>
            </w:tcBorders>
            <w:shd w:val="clear" w:color="auto" w:fill="E2F0D9"/>
            <w:tcMar>
              <w:top w:w="120" w:type="dxa"/>
              <w:left w:w="200" w:type="dxa"/>
              <w:bottom w:w="120" w:type="dxa"/>
              <w:right w:w="200" w:type="dxa"/>
            </w:tcMar>
            <w:vAlign w:val="center"/>
          </w:tcPr>
          <w:p w14:paraId="0553FFF9"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90</w:t>
            </w:r>
          </w:p>
          <w:p w14:paraId="028FB89F"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indicatori de monitorizare</w:t>
            </w:r>
          </w:p>
        </w:tc>
        <w:tc>
          <w:tcPr>
            <w:tcW w:w="3008" w:type="dxa"/>
            <w:tcBorders>
              <w:top w:val="none" w:sz="0" w:space="0" w:color="FFFFFF"/>
              <w:left w:val="none" w:sz="0" w:space="0" w:color="FFFFFF"/>
              <w:bottom w:val="none" w:sz="0" w:space="0" w:color="FFFFFF"/>
              <w:right w:val="none" w:sz="0" w:space="0" w:color="FFFFFF"/>
            </w:tcBorders>
            <w:shd w:val="clear" w:color="auto" w:fill="FDF0E6"/>
            <w:tcMar>
              <w:top w:w="120" w:type="dxa"/>
              <w:left w:w="200" w:type="dxa"/>
              <w:bottom w:w="120" w:type="dxa"/>
              <w:right w:w="200" w:type="dxa"/>
            </w:tcMar>
            <w:vAlign w:val="center"/>
          </w:tcPr>
          <w:p w14:paraId="5EAA51F9" w14:textId="77777777" w:rsidR="003C755E" w:rsidRPr="009D13A2" w:rsidRDefault="003C755E" w:rsidP="009B4490">
            <w:pPr>
              <w:spacing w:after="40"/>
              <w:jc w:val="both"/>
              <w:rPr>
                <w:rFonts w:ascii="Nunito" w:hAnsi="Nunito"/>
                <w:sz w:val="20"/>
                <w:szCs w:val="20"/>
              </w:rPr>
            </w:pPr>
            <w:r w:rsidRPr="009D13A2">
              <w:rPr>
                <w:rFonts w:ascii="Nunito" w:eastAsia="Arial" w:hAnsi="Nunito" w:cs="Arial"/>
                <w:b/>
                <w:bCs/>
                <w:color w:val="1B3A5C"/>
                <w:sz w:val="20"/>
                <w:szCs w:val="20"/>
              </w:rPr>
              <w:t>6+3</w:t>
            </w:r>
          </w:p>
          <w:p w14:paraId="4717AFBA" w14:textId="77777777" w:rsidR="003C755E" w:rsidRPr="009D13A2" w:rsidRDefault="003C755E" w:rsidP="009B4490">
            <w:pPr>
              <w:jc w:val="both"/>
              <w:rPr>
                <w:rFonts w:ascii="Nunito" w:hAnsi="Nunito"/>
                <w:sz w:val="20"/>
                <w:szCs w:val="20"/>
              </w:rPr>
            </w:pPr>
            <w:r w:rsidRPr="009D13A2">
              <w:rPr>
                <w:rFonts w:ascii="Nunito" w:eastAsia="Arial" w:hAnsi="Nunito" w:cs="Arial"/>
                <w:color w:val="595959"/>
                <w:sz w:val="20"/>
                <w:szCs w:val="20"/>
              </w:rPr>
              <w:t>efecte negative semnificative tratate</w:t>
            </w:r>
          </w:p>
        </w:tc>
      </w:tr>
    </w:tbl>
    <w:p w14:paraId="5D19AEC5" w14:textId="77777777" w:rsidR="003C755E" w:rsidRPr="009D13A2" w:rsidRDefault="003C755E" w:rsidP="003C755E">
      <w:pPr>
        <w:pBdr>
          <w:bottom w:val="single" w:sz="3" w:space="2" w:color="D6E8F7"/>
        </w:pBdr>
        <w:spacing w:before="200" w:after="100"/>
        <w:jc w:val="both"/>
        <w:rPr>
          <w:rFonts w:ascii="Nunito" w:hAnsi="Nunito"/>
          <w:color w:val="00B0F0"/>
        </w:rPr>
      </w:pPr>
      <w:r w:rsidRPr="009D13A2">
        <w:rPr>
          <w:rFonts w:ascii="Nunito" w:eastAsia="Arial" w:hAnsi="Nunito" w:cs="Arial"/>
          <w:b/>
          <w:bCs/>
          <w:color w:val="00B0F0"/>
        </w:rPr>
        <w:t>Structura celor 65 de măsuri</w:t>
      </w:r>
    </w:p>
    <w:tbl>
      <w:tblPr>
        <w:tblStyle w:val="Ramboll-Table"/>
        <w:tblW w:w="9026" w:type="dxa"/>
        <w:tblLook w:val="04A0" w:firstRow="1" w:lastRow="0" w:firstColumn="1" w:lastColumn="0" w:noHBand="0" w:noVBand="1"/>
      </w:tblPr>
      <w:tblGrid>
        <w:gridCol w:w="1600"/>
        <w:gridCol w:w="800"/>
        <w:gridCol w:w="6626"/>
      </w:tblGrid>
      <w:tr w:rsidR="003C755E" w:rsidRPr="009D13A2" w14:paraId="05AA5DBB" w14:textId="77777777" w:rsidTr="001F6427">
        <w:trPr>
          <w:cnfStyle w:val="100000000000" w:firstRow="1" w:lastRow="0" w:firstColumn="0" w:lastColumn="0" w:oddVBand="0" w:evenVBand="0" w:oddHBand="0" w:evenHBand="0" w:firstRowFirstColumn="0" w:firstRowLastColumn="0" w:lastRowFirstColumn="0" w:lastRowLastColumn="0"/>
        </w:trPr>
        <w:tc>
          <w:tcPr>
            <w:tcW w:w="1600" w:type="dxa"/>
            <w:shd w:val="clear" w:color="auto" w:fill="D9D9D9" w:themeFill="background1" w:themeFillShade="D9"/>
          </w:tcPr>
          <w:p w14:paraId="3D529807" w14:textId="77777777" w:rsidR="003C755E" w:rsidRPr="009D13A2" w:rsidRDefault="003C755E" w:rsidP="009B4490">
            <w:pPr>
              <w:jc w:val="both"/>
              <w:rPr>
                <w:rFonts w:ascii="Nunito" w:hAnsi="Nunito"/>
                <w:color w:val="009DF0" w:themeColor="text2"/>
                <w:sz w:val="18"/>
              </w:rPr>
            </w:pPr>
            <w:r w:rsidRPr="009D13A2">
              <w:rPr>
                <w:rFonts w:ascii="Nunito" w:eastAsia="Arial" w:hAnsi="Nunito" w:cs="Arial"/>
                <w:b/>
                <w:bCs/>
                <w:color w:val="009DF0" w:themeColor="text2"/>
                <w:sz w:val="18"/>
              </w:rPr>
              <w:t>Tip</w:t>
            </w:r>
          </w:p>
        </w:tc>
        <w:tc>
          <w:tcPr>
            <w:tcW w:w="800" w:type="dxa"/>
            <w:shd w:val="clear" w:color="auto" w:fill="D9D9D9" w:themeFill="background1" w:themeFillShade="D9"/>
          </w:tcPr>
          <w:p w14:paraId="249F23EE" w14:textId="77777777" w:rsidR="003C755E" w:rsidRPr="009D13A2" w:rsidRDefault="003C755E" w:rsidP="009B4490">
            <w:pPr>
              <w:jc w:val="both"/>
              <w:rPr>
                <w:rFonts w:ascii="Nunito" w:hAnsi="Nunito"/>
                <w:color w:val="009DF0" w:themeColor="text2"/>
                <w:sz w:val="18"/>
              </w:rPr>
            </w:pPr>
            <w:r w:rsidRPr="009D13A2">
              <w:rPr>
                <w:rFonts w:ascii="Nunito" w:eastAsia="Arial" w:hAnsi="Nunito" w:cs="Arial"/>
                <w:b/>
                <w:bCs/>
                <w:color w:val="009DF0" w:themeColor="text2"/>
                <w:sz w:val="18"/>
              </w:rPr>
              <w:t>Nr.</w:t>
            </w:r>
          </w:p>
        </w:tc>
        <w:tc>
          <w:tcPr>
            <w:tcW w:w="6626" w:type="dxa"/>
            <w:shd w:val="clear" w:color="auto" w:fill="D9D9D9" w:themeFill="background1" w:themeFillShade="D9"/>
          </w:tcPr>
          <w:p w14:paraId="08321DB5" w14:textId="77777777" w:rsidR="003C755E" w:rsidRPr="009D13A2" w:rsidRDefault="003C755E" w:rsidP="009B4490">
            <w:pPr>
              <w:jc w:val="both"/>
              <w:rPr>
                <w:rFonts w:ascii="Nunito" w:hAnsi="Nunito"/>
                <w:color w:val="009DF0" w:themeColor="text2"/>
                <w:sz w:val="18"/>
              </w:rPr>
            </w:pPr>
            <w:r w:rsidRPr="009D13A2">
              <w:rPr>
                <w:rFonts w:ascii="Nunito" w:eastAsia="Arial" w:hAnsi="Nunito" w:cs="Arial"/>
                <w:b/>
                <w:bCs/>
                <w:color w:val="009DF0" w:themeColor="text2"/>
                <w:sz w:val="18"/>
              </w:rPr>
              <w:t>Exemple concrete</w:t>
            </w:r>
          </w:p>
        </w:tc>
      </w:tr>
      <w:tr w:rsidR="003C755E" w:rsidRPr="009D13A2" w14:paraId="7CF90B1D" w14:textId="77777777" w:rsidTr="009D13A2">
        <w:tc>
          <w:tcPr>
            <w:tcW w:w="1600" w:type="dxa"/>
          </w:tcPr>
          <w:p w14:paraId="73DA9284" w14:textId="77777777" w:rsidR="003C755E" w:rsidRPr="009D13A2" w:rsidRDefault="003C755E" w:rsidP="009B4490">
            <w:pPr>
              <w:jc w:val="both"/>
              <w:rPr>
                <w:rFonts w:ascii="Nunito" w:hAnsi="Nunito"/>
                <w:color w:val="000000" w:themeColor="text1"/>
                <w:sz w:val="18"/>
              </w:rPr>
            </w:pPr>
            <w:r w:rsidRPr="009D13A2">
              <w:rPr>
                <w:rFonts w:ascii="Nunito" w:eastAsia="Arial" w:hAnsi="Nunito" w:cs="Arial"/>
                <w:b/>
                <w:bCs/>
                <w:color w:val="000000" w:themeColor="text1"/>
                <w:sz w:val="18"/>
              </w:rPr>
              <w:t>Legislative</w:t>
            </w:r>
          </w:p>
        </w:tc>
        <w:tc>
          <w:tcPr>
            <w:tcW w:w="800" w:type="dxa"/>
          </w:tcPr>
          <w:p w14:paraId="2333CC03" w14:textId="782BBE9A" w:rsidR="003C755E" w:rsidRPr="009D13A2" w:rsidRDefault="003C755E" w:rsidP="009B4490">
            <w:pPr>
              <w:jc w:val="both"/>
              <w:rPr>
                <w:rFonts w:ascii="Nunito" w:hAnsi="Nunito"/>
                <w:sz w:val="18"/>
              </w:rPr>
            </w:pPr>
            <w:r w:rsidRPr="009D13A2">
              <w:rPr>
                <w:rFonts w:ascii="Nunito" w:eastAsia="Arial" w:hAnsi="Nunito" w:cs="Arial"/>
                <w:b/>
                <w:bCs/>
                <w:color w:val="E8792B"/>
                <w:sz w:val="18"/>
              </w:rPr>
              <w:t>2</w:t>
            </w:r>
            <w:r w:rsidR="009D13A2">
              <w:rPr>
                <w:rFonts w:ascii="Nunito" w:eastAsia="Arial" w:hAnsi="Nunito" w:cs="Arial"/>
                <w:b/>
                <w:bCs/>
                <w:color w:val="E8792B"/>
              </w:rPr>
              <w:t>0</w:t>
            </w:r>
          </w:p>
        </w:tc>
        <w:tc>
          <w:tcPr>
            <w:tcW w:w="6626" w:type="dxa"/>
          </w:tcPr>
          <w:p w14:paraId="152664E3" w14:textId="77777777" w:rsidR="003C755E" w:rsidRPr="009D13A2" w:rsidRDefault="003C755E" w:rsidP="009B4490">
            <w:pPr>
              <w:jc w:val="both"/>
              <w:rPr>
                <w:rFonts w:ascii="Nunito" w:hAnsi="Nunito"/>
                <w:sz w:val="18"/>
              </w:rPr>
            </w:pPr>
            <w:r w:rsidRPr="009D13A2">
              <w:rPr>
                <w:rFonts w:ascii="Nunito" w:eastAsia="Arial" w:hAnsi="Nunito" w:cs="Arial"/>
                <w:color w:val="2D2D2D"/>
                <w:sz w:val="18"/>
              </w:rPr>
              <w:t>Conformare BAT-AEL, garanții financiare 30 ani, taxă progresivă depozitare (30</w:t>
            </w:r>
            <w:r w:rsidRPr="009D13A2">
              <w:rPr>
                <w:rFonts w:ascii="Times New Roman" w:eastAsia="Arial" w:hAnsi="Times New Roman" w:cs="Times New Roman"/>
                <w:color w:val="2D2D2D"/>
                <w:sz w:val="18"/>
              </w:rPr>
              <w:t>→</w:t>
            </w:r>
            <w:r w:rsidRPr="009D13A2">
              <w:rPr>
                <w:rFonts w:ascii="Nunito" w:eastAsia="Arial" w:hAnsi="Nunito" w:cs="Arial"/>
                <w:color w:val="2D2D2D"/>
                <w:sz w:val="18"/>
              </w:rPr>
              <w:t xml:space="preserve">80 </w:t>
            </w:r>
            <w:r w:rsidRPr="009D13A2">
              <w:rPr>
                <w:rFonts w:ascii="Nunito" w:eastAsia="Arial" w:hAnsi="Nunito" w:cs="Nunito"/>
                <w:color w:val="2D2D2D"/>
                <w:sz w:val="18"/>
              </w:rPr>
              <w:t>€</w:t>
            </w:r>
            <w:r w:rsidRPr="009D13A2">
              <w:rPr>
                <w:rFonts w:ascii="Nunito" w:eastAsia="Arial" w:hAnsi="Nunito" w:cs="Arial"/>
                <w:color w:val="2D2D2D"/>
                <w:sz w:val="18"/>
              </w:rPr>
              <w:t>/t), restric</w:t>
            </w:r>
            <w:r w:rsidRPr="009D13A2">
              <w:rPr>
                <w:rFonts w:ascii="Nunito" w:eastAsia="Arial" w:hAnsi="Nunito" w:cs="Nunito"/>
                <w:color w:val="2D2D2D"/>
                <w:sz w:val="18"/>
              </w:rPr>
              <w:t>ț</w:t>
            </w:r>
            <w:r w:rsidRPr="009D13A2">
              <w:rPr>
                <w:rFonts w:ascii="Nunito" w:eastAsia="Arial" w:hAnsi="Nunito" w:cs="Arial"/>
                <w:color w:val="2D2D2D"/>
                <w:sz w:val="18"/>
              </w:rPr>
              <w:t>ii amplasare, electrificare flot</w:t>
            </w:r>
            <w:r w:rsidRPr="009D13A2">
              <w:rPr>
                <w:rFonts w:ascii="Nunito" w:eastAsia="Arial" w:hAnsi="Nunito" w:cs="Nunito"/>
                <w:color w:val="2D2D2D"/>
                <w:sz w:val="18"/>
              </w:rPr>
              <w:t>ă</w:t>
            </w:r>
            <w:r w:rsidRPr="009D13A2">
              <w:rPr>
                <w:rFonts w:ascii="Nunito" w:eastAsia="Arial" w:hAnsi="Nunito" w:cs="Arial"/>
                <w:color w:val="2D2D2D"/>
                <w:sz w:val="18"/>
              </w:rPr>
              <w:t>, zone tampon 1 km, climate-proofing obligatoriu</w:t>
            </w:r>
          </w:p>
        </w:tc>
      </w:tr>
      <w:tr w:rsidR="003C755E" w:rsidRPr="009D13A2" w14:paraId="0F750E28" w14:textId="77777777" w:rsidTr="009D13A2">
        <w:tc>
          <w:tcPr>
            <w:tcW w:w="1600" w:type="dxa"/>
          </w:tcPr>
          <w:p w14:paraId="792C4FA4" w14:textId="77777777" w:rsidR="003C755E" w:rsidRPr="009D13A2" w:rsidRDefault="003C755E" w:rsidP="009B4490">
            <w:pPr>
              <w:jc w:val="both"/>
              <w:rPr>
                <w:rFonts w:ascii="Nunito" w:hAnsi="Nunito"/>
                <w:color w:val="000000" w:themeColor="text1"/>
                <w:sz w:val="18"/>
              </w:rPr>
            </w:pPr>
            <w:r w:rsidRPr="009D13A2">
              <w:rPr>
                <w:rFonts w:ascii="Nunito" w:eastAsia="Arial" w:hAnsi="Nunito" w:cs="Arial"/>
                <w:b/>
                <w:bCs/>
                <w:color w:val="000000" w:themeColor="text1"/>
                <w:sz w:val="18"/>
              </w:rPr>
              <w:t>Practice</w:t>
            </w:r>
          </w:p>
        </w:tc>
        <w:tc>
          <w:tcPr>
            <w:tcW w:w="800" w:type="dxa"/>
          </w:tcPr>
          <w:p w14:paraId="33F84D60" w14:textId="77777777" w:rsidR="003C755E" w:rsidRPr="009D13A2" w:rsidRDefault="003C755E" w:rsidP="009B4490">
            <w:pPr>
              <w:jc w:val="both"/>
              <w:rPr>
                <w:rFonts w:ascii="Nunito" w:hAnsi="Nunito"/>
                <w:sz w:val="18"/>
              </w:rPr>
            </w:pPr>
            <w:r w:rsidRPr="009D13A2">
              <w:rPr>
                <w:rFonts w:ascii="Nunito" w:eastAsia="Arial" w:hAnsi="Nunito" w:cs="Arial"/>
                <w:b/>
                <w:bCs/>
                <w:color w:val="E8792B"/>
                <w:sz w:val="18"/>
              </w:rPr>
              <w:t>38</w:t>
            </w:r>
          </w:p>
        </w:tc>
        <w:tc>
          <w:tcPr>
            <w:tcW w:w="6626" w:type="dxa"/>
          </w:tcPr>
          <w:p w14:paraId="57BD2D05" w14:textId="77777777" w:rsidR="003C755E" w:rsidRPr="009D13A2" w:rsidRDefault="003C755E" w:rsidP="009B4490">
            <w:pPr>
              <w:jc w:val="both"/>
              <w:rPr>
                <w:rFonts w:ascii="Nunito" w:hAnsi="Nunito"/>
                <w:sz w:val="18"/>
              </w:rPr>
            </w:pPr>
            <w:r w:rsidRPr="009D13A2">
              <w:rPr>
                <w:rFonts w:ascii="Nunito" w:eastAsia="Arial" w:hAnsi="Nunito" w:cs="Arial"/>
                <w:color w:val="2D2D2D"/>
                <w:sz w:val="18"/>
              </w:rPr>
              <w:t>Monitorizare piezometrică ape subterane, sisteme filtrare multi-treaptă (SCR/SNCR, filtre cu saci, carbon activ), perdele vegetație 10m, compensare ecologică 1:3, optimizare rute FMS, biometan din biogaz, captare metan 75%+</w:t>
            </w:r>
          </w:p>
        </w:tc>
      </w:tr>
      <w:tr w:rsidR="003C755E" w:rsidRPr="009D13A2" w14:paraId="3604C247" w14:textId="77777777" w:rsidTr="009D13A2">
        <w:tc>
          <w:tcPr>
            <w:tcW w:w="1600" w:type="dxa"/>
          </w:tcPr>
          <w:p w14:paraId="18ACD93E" w14:textId="77777777" w:rsidR="003C755E" w:rsidRPr="009D13A2" w:rsidRDefault="003C755E" w:rsidP="009B4490">
            <w:pPr>
              <w:jc w:val="both"/>
              <w:rPr>
                <w:rFonts w:ascii="Nunito" w:hAnsi="Nunito"/>
                <w:color w:val="000000" w:themeColor="text1"/>
                <w:sz w:val="18"/>
              </w:rPr>
            </w:pPr>
            <w:r w:rsidRPr="009D13A2">
              <w:rPr>
                <w:rFonts w:ascii="Nunito" w:eastAsia="Arial" w:hAnsi="Nunito" w:cs="Arial"/>
                <w:b/>
                <w:bCs/>
                <w:color w:val="000000" w:themeColor="text1"/>
                <w:sz w:val="18"/>
              </w:rPr>
              <w:t>Instituționale</w:t>
            </w:r>
          </w:p>
        </w:tc>
        <w:tc>
          <w:tcPr>
            <w:tcW w:w="800" w:type="dxa"/>
          </w:tcPr>
          <w:p w14:paraId="3A16E8A7" w14:textId="77777777" w:rsidR="003C755E" w:rsidRPr="009D13A2" w:rsidRDefault="003C755E" w:rsidP="009B4490">
            <w:pPr>
              <w:jc w:val="both"/>
              <w:rPr>
                <w:rFonts w:ascii="Nunito" w:hAnsi="Nunito"/>
                <w:sz w:val="18"/>
              </w:rPr>
            </w:pPr>
            <w:r w:rsidRPr="009D13A2">
              <w:rPr>
                <w:rFonts w:ascii="Nunito" w:eastAsia="Arial" w:hAnsi="Nunito" w:cs="Arial"/>
                <w:b/>
                <w:bCs/>
                <w:color w:val="E8792B"/>
                <w:sz w:val="18"/>
              </w:rPr>
              <w:t>5</w:t>
            </w:r>
          </w:p>
        </w:tc>
        <w:tc>
          <w:tcPr>
            <w:tcW w:w="6626" w:type="dxa"/>
          </w:tcPr>
          <w:p w14:paraId="1BE8334D" w14:textId="77777777" w:rsidR="003C755E" w:rsidRPr="009D13A2" w:rsidRDefault="003C755E" w:rsidP="009B4490">
            <w:pPr>
              <w:jc w:val="both"/>
              <w:rPr>
                <w:rFonts w:ascii="Nunito" w:hAnsi="Nunito"/>
                <w:sz w:val="18"/>
              </w:rPr>
            </w:pPr>
            <w:r w:rsidRPr="009D13A2">
              <w:rPr>
                <w:rFonts w:ascii="Nunito" w:eastAsia="Arial" w:hAnsi="Nunito" w:cs="Arial"/>
                <w:color w:val="2D2D2D"/>
                <w:sz w:val="18"/>
              </w:rPr>
              <w:t>Registru Național Emisii GES Deșeuri, Comisii Mixte Patrimoniu-Deșeuri, Platformă Națională Materiale Secundare, Grup Interministerial Fluxuri-Cheie</w:t>
            </w:r>
          </w:p>
        </w:tc>
      </w:tr>
    </w:tbl>
    <w:p w14:paraId="176EB357" w14:textId="77777777" w:rsidR="003C755E" w:rsidRPr="009D13A2" w:rsidRDefault="003C755E" w:rsidP="003C755E">
      <w:pPr>
        <w:pBdr>
          <w:bottom w:val="single" w:sz="3" w:space="2" w:color="D6E8F7"/>
        </w:pBdr>
        <w:spacing w:before="200" w:after="100"/>
        <w:jc w:val="both"/>
        <w:rPr>
          <w:rFonts w:ascii="Nunito" w:eastAsia="Arial" w:hAnsi="Nunito" w:cs="Arial"/>
          <w:b/>
          <w:bCs/>
          <w:color w:val="00B0F0"/>
        </w:rPr>
      </w:pPr>
      <w:r w:rsidRPr="009D13A2">
        <w:rPr>
          <w:rFonts w:ascii="Nunito" w:eastAsia="Arial" w:hAnsi="Nunito" w:cs="Arial"/>
          <w:b/>
          <w:bCs/>
          <w:color w:val="00B0F0"/>
        </w:rPr>
        <w:t>Măsuri detaliate pe domenii de mediu</w:t>
      </w:r>
    </w:p>
    <w:p w14:paraId="0CE2D3F8" w14:textId="77777777" w:rsidR="003C755E" w:rsidRPr="009D13A2" w:rsidRDefault="003C755E" w:rsidP="003C755E">
      <w:pPr>
        <w:spacing w:after="160"/>
        <w:jc w:val="both"/>
        <w:rPr>
          <w:rFonts w:ascii="Nunito" w:hAnsi="Nunito"/>
        </w:rPr>
      </w:pPr>
      <w:r w:rsidRPr="009D13A2">
        <w:rPr>
          <w:rFonts w:ascii="Nunito" w:eastAsia="Arial" w:hAnsi="Nunito" w:cs="Arial"/>
          <w:b/>
          <w:bCs/>
          <w:color w:val="2D2D2D"/>
        </w:rPr>
        <w:t>Protecția apelor (10 măsuri):</w:t>
      </w:r>
    </w:p>
    <w:p w14:paraId="74EA8FE1"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Etanșeizare dublă obligatorie: geomembrană HDPE ≥ 2 mm + strat mineral (k ≤ 10</w:t>
      </w:r>
      <w:r w:rsidRPr="009D13A2">
        <w:rPr>
          <w:rFonts w:ascii="Cambria Math" w:eastAsia="Arial" w:hAnsi="Cambria Math" w:cs="Cambria Math"/>
          <w:color w:val="2D2D2D"/>
        </w:rPr>
        <w:t>⁻</w:t>
      </w:r>
      <w:r w:rsidRPr="009D13A2">
        <w:rPr>
          <w:rFonts w:ascii="Nunito" w:eastAsia="Arial" w:hAnsi="Nunito" w:cs="Nunito"/>
          <w:color w:val="2D2D2D"/>
        </w:rPr>
        <w:t>⁹</w:t>
      </w:r>
      <w:r w:rsidRPr="009D13A2">
        <w:rPr>
          <w:rFonts w:ascii="Nunito" w:eastAsia="Arial" w:hAnsi="Nunito" w:cs="Arial"/>
          <w:color w:val="2D2D2D"/>
        </w:rPr>
        <w:t xml:space="preserve"> m/s)</w:t>
      </w:r>
    </w:p>
    <w:p w14:paraId="659EB32E"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Monitorizare piezometrică: min. 3 foraje amonte + 6 aval, trimestrial, cu alerte automate</w:t>
      </w:r>
    </w:p>
    <w:p w14:paraId="144CE313"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Garanții financiare pe minimum 30 ani post-închidere, acoperind monitorizarea pe 1 km</w:t>
      </w:r>
    </w:p>
    <w:p w14:paraId="64B010F0"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Studii hidrogeologice obligatorii – amplasamente cu vulnerabilitate ridicată excluse</w:t>
      </w:r>
    </w:p>
    <w:p w14:paraId="5186BA80"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Sisteme tratare levigat cu eficiență ≥ 85% eliminare COT, bazine stocare 6 luni</w:t>
      </w:r>
    </w:p>
    <w:p w14:paraId="38ADAF3F" w14:textId="77777777" w:rsidR="003C755E" w:rsidRPr="009D13A2" w:rsidRDefault="003C755E" w:rsidP="003C755E">
      <w:pPr>
        <w:spacing w:after="160"/>
        <w:jc w:val="both"/>
        <w:rPr>
          <w:rFonts w:ascii="Nunito" w:hAnsi="Nunito"/>
        </w:rPr>
      </w:pPr>
      <w:r w:rsidRPr="009D13A2">
        <w:rPr>
          <w:rFonts w:ascii="Nunito" w:eastAsia="Arial" w:hAnsi="Nunito" w:cs="Arial"/>
          <w:b/>
          <w:bCs/>
          <w:color w:val="2D2D2D"/>
        </w:rPr>
        <w:t>Protecția aerului (8 măsuri, incl. 2 obligatorii):</w:t>
      </w:r>
    </w:p>
    <w:p w14:paraId="7A28C931"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Limite stricte BAT-AEL: NOx ≤ 180 mg, PM ≤ 8 mg, dioxine ≤ 0,06 ng TEQ/Nm³</w:t>
      </w:r>
    </w:p>
    <w:p w14:paraId="09BB5DAE"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Sisteme CEMS (monitorizare continuă) obligatorii la instalații ≥ 3 t/h, date publice</w:t>
      </w:r>
    </w:p>
    <w:p w14:paraId="74059FDE"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Filtrare multi-treaptă: SCR/SNCR + filtre saci (≥99,5%) + scrubere + carbon activ</w:t>
      </w:r>
    </w:p>
    <w:p w14:paraId="16D308AE"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Planuri de management al mirosurilor: limită ≤ 5 ouE/m³ la limita amplasamentului</w:t>
      </w:r>
    </w:p>
    <w:p w14:paraId="3900A698" w14:textId="77777777" w:rsidR="003C755E" w:rsidRPr="009D13A2" w:rsidRDefault="003C755E" w:rsidP="003C755E">
      <w:pPr>
        <w:spacing w:after="160"/>
        <w:jc w:val="both"/>
        <w:rPr>
          <w:rFonts w:ascii="Nunito" w:hAnsi="Nunito"/>
        </w:rPr>
      </w:pPr>
      <w:r w:rsidRPr="009D13A2">
        <w:rPr>
          <w:rFonts w:ascii="Nunito" w:eastAsia="Arial" w:hAnsi="Nunito" w:cs="Arial"/>
          <w:b/>
          <w:bCs/>
          <w:color w:val="2D2D2D"/>
        </w:rPr>
        <w:t>Protecția climei (6 măsuri, incl. 1 obligatorie):</w:t>
      </w:r>
    </w:p>
    <w:p w14:paraId="6903F593"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Captare metan obligatorie cu eficiență ≥ 75%; valorificare energetică la depozite &gt; 100.000 t</w:t>
      </w:r>
    </w:p>
    <w:p w14:paraId="57F0F8DE"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Acoperiri HDPE ≥ 1,5 mm – reducere emisii fugitive cu min. 85%</w:t>
      </w:r>
    </w:p>
    <w:p w14:paraId="52884F23"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Monitorizare trimestrială emisii difuze (FID/OGI); remediere zone &gt; 500 ppm în 72h</w:t>
      </w:r>
    </w:p>
    <w:p w14:paraId="5250E088"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lastRenderedPageBreak/>
        <w:t>Registru Național Emisii GES Deșeuri; includere biogaz în schema de sprijin regenerabile</w:t>
      </w:r>
    </w:p>
    <w:p w14:paraId="03C2B40D" w14:textId="77777777" w:rsidR="003C755E" w:rsidRPr="009D13A2" w:rsidRDefault="003C755E" w:rsidP="003C755E">
      <w:pPr>
        <w:spacing w:after="160"/>
        <w:jc w:val="both"/>
        <w:rPr>
          <w:rFonts w:ascii="Nunito" w:hAnsi="Nunito"/>
        </w:rPr>
      </w:pPr>
      <w:r w:rsidRPr="009D13A2">
        <w:rPr>
          <w:rFonts w:ascii="Nunito" w:eastAsia="Arial" w:hAnsi="Nunito" w:cs="Arial"/>
          <w:b/>
          <w:bCs/>
          <w:color w:val="2D2D2D"/>
        </w:rPr>
        <w:t>Peisaj și biodiversitate (12 măsuri):</w:t>
      </w:r>
    </w:p>
    <w:p w14:paraId="5F8206C0"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Studiu Impact Vizual obligatoriu pentru instalații ≥ 1 ha; Studiu Cumulat la ≥ 2 instalații în 10 km</w:t>
      </w:r>
    </w:p>
    <w:p w14:paraId="1A49DE27"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Perdele vegetație ≥ 10 m, fațade verzi, iluminat direcționat, reabilitare progresivă depozite</w:t>
      </w:r>
    </w:p>
    <w:p w14:paraId="1EDC2EF3"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Evaluare Adecvată obligatorie la &lt; 5 km de Natura 2000; distanțe minime 1.000–2.000 m</w:t>
      </w:r>
    </w:p>
    <w:p w14:paraId="0001DD46"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Compensare ecologică 1:3; inventarieri biologice pe 4 anotimpuri înainte de construcție</w:t>
      </w:r>
    </w:p>
    <w:p w14:paraId="6292745C" w14:textId="77777777" w:rsidR="003C755E" w:rsidRPr="009D13A2" w:rsidRDefault="003C755E" w:rsidP="003C755E">
      <w:pPr>
        <w:spacing w:after="160"/>
        <w:jc w:val="both"/>
        <w:rPr>
          <w:rFonts w:ascii="Nunito" w:hAnsi="Nunito"/>
        </w:rPr>
      </w:pPr>
      <w:r w:rsidRPr="009D13A2">
        <w:rPr>
          <w:rFonts w:ascii="Nunito" w:eastAsia="Arial" w:hAnsi="Nunito" w:cs="Arial"/>
          <w:b/>
          <w:bCs/>
          <w:color w:val="2D2D2D"/>
        </w:rPr>
        <w:t>Sănătate (3 măsuri):</w:t>
      </w:r>
    </w:p>
    <w:p w14:paraId="2786D487"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Zone tampon sanitare ≥ 1.000 m între depozite și zone locuite, înscrise în PUG</w:t>
      </w:r>
    </w:p>
    <w:p w14:paraId="7A93FDFB"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Evaluări de Impact asupra Sănătății (HIA) cu modelare dispersie AERMOD/CALPUFF</w:t>
      </w:r>
    </w:p>
    <w:p w14:paraId="1A837634"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Monitorizare mirosuri (senzori e-nose) și vectori biologici, dezinsecție săptămânală</w:t>
      </w:r>
    </w:p>
    <w:p w14:paraId="405A71A5" w14:textId="77777777" w:rsidR="003C755E" w:rsidRPr="009D13A2" w:rsidRDefault="003C755E" w:rsidP="003C755E">
      <w:pPr>
        <w:spacing w:after="160"/>
        <w:jc w:val="both"/>
        <w:rPr>
          <w:rFonts w:ascii="Nunito" w:hAnsi="Nunito"/>
        </w:rPr>
      </w:pPr>
      <w:r w:rsidRPr="009D13A2">
        <w:rPr>
          <w:rFonts w:ascii="Nunito" w:eastAsia="Arial" w:hAnsi="Nunito" w:cs="Arial"/>
          <w:b/>
          <w:bCs/>
          <w:color w:val="2D2D2D"/>
        </w:rPr>
        <w:t>Transport durabil (7 măsuri):</w:t>
      </w:r>
    </w:p>
    <w:p w14:paraId="68C6AF17"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Electrificare flotă: 20% din 2027, 40% din 2030, 70% din 2033</w:t>
      </w:r>
    </w:p>
    <w:p w14:paraId="2937F1A1"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Optimizare rute FMS (GPS, IoT, senzori ultrasonici) – reducere ≥ 15% km/tonă</w:t>
      </w:r>
    </w:p>
    <w:p w14:paraId="623D7305"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Dezvoltare stații de transfer regionale; biometan din biogaz pentru flote</w:t>
      </w:r>
    </w:p>
    <w:p w14:paraId="6A72763C"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Bariere fonice pe traseele de acces prin zone rezidențiale (−10 dB)</w:t>
      </w:r>
    </w:p>
    <w:p w14:paraId="442EB975" w14:textId="77777777" w:rsidR="003C755E" w:rsidRPr="009D13A2" w:rsidRDefault="003C755E" w:rsidP="003C755E">
      <w:pPr>
        <w:spacing w:after="160"/>
        <w:jc w:val="both"/>
        <w:rPr>
          <w:rFonts w:ascii="Nunito" w:hAnsi="Nunito"/>
        </w:rPr>
      </w:pPr>
      <w:r w:rsidRPr="009D13A2">
        <w:rPr>
          <w:rFonts w:ascii="Nunito" w:eastAsia="Arial" w:hAnsi="Nunito" w:cs="Arial"/>
          <w:b/>
          <w:bCs/>
          <w:color w:val="2D2D2D"/>
        </w:rPr>
        <w:t>Economie circulară (7 măsuri):</w:t>
      </w:r>
    </w:p>
    <w:p w14:paraId="4F8D994A"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 xml:space="preserve">Taxă progresivă depozitare: 30 €/t (2027) </w:t>
      </w:r>
      <w:r w:rsidRPr="009D13A2">
        <w:rPr>
          <w:rFonts w:ascii="Times New Roman" w:eastAsia="Arial" w:hAnsi="Times New Roman" w:cs="Times New Roman"/>
          <w:color w:val="2D2D2D"/>
        </w:rPr>
        <w:t>→</w:t>
      </w:r>
      <w:r w:rsidRPr="009D13A2">
        <w:rPr>
          <w:rFonts w:ascii="Nunito" w:eastAsia="Arial" w:hAnsi="Nunito" w:cs="Arial"/>
          <w:color w:val="2D2D2D"/>
        </w:rPr>
        <w:t xml:space="preserve"> 50 </w:t>
      </w:r>
      <w:r w:rsidRPr="009D13A2">
        <w:rPr>
          <w:rFonts w:ascii="Nunito" w:eastAsia="Arial" w:hAnsi="Nunito" w:cs="Nunito"/>
          <w:color w:val="2D2D2D"/>
        </w:rPr>
        <w:t>€</w:t>
      </w:r>
      <w:r w:rsidRPr="009D13A2">
        <w:rPr>
          <w:rFonts w:ascii="Nunito" w:eastAsia="Arial" w:hAnsi="Nunito" w:cs="Arial"/>
          <w:color w:val="2D2D2D"/>
        </w:rPr>
        <w:t xml:space="preserve">/t (2030) </w:t>
      </w:r>
      <w:r w:rsidRPr="009D13A2">
        <w:rPr>
          <w:rFonts w:ascii="Times New Roman" w:eastAsia="Arial" w:hAnsi="Times New Roman" w:cs="Times New Roman"/>
          <w:color w:val="2D2D2D"/>
        </w:rPr>
        <w:t>→</w:t>
      </w:r>
      <w:r w:rsidRPr="009D13A2">
        <w:rPr>
          <w:rFonts w:ascii="Nunito" w:eastAsia="Arial" w:hAnsi="Nunito" w:cs="Arial"/>
          <w:color w:val="2D2D2D"/>
        </w:rPr>
        <w:t xml:space="preserve"> 80 </w:t>
      </w:r>
      <w:r w:rsidRPr="009D13A2">
        <w:rPr>
          <w:rFonts w:ascii="Nunito" w:eastAsia="Arial" w:hAnsi="Nunito" w:cs="Nunito"/>
          <w:color w:val="2D2D2D"/>
        </w:rPr>
        <w:t>€</w:t>
      </w:r>
      <w:r w:rsidRPr="009D13A2">
        <w:rPr>
          <w:rFonts w:ascii="Nunito" w:eastAsia="Arial" w:hAnsi="Nunito" w:cs="Arial"/>
          <w:color w:val="2D2D2D"/>
        </w:rPr>
        <w:t>/t (2035)</w:t>
      </w:r>
    </w:p>
    <w:p w14:paraId="063E9948"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Pretratare obligatorie: doar fracții cu PC &lt; 6 MJ/kg și reciclabile &lt; 5% la depozitare</w:t>
      </w:r>
    </w:p>
    <w:p w14:paraId="2A8B1A20"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Sortare avansată NIR/AI cu rata captare ≥ 85%; interdicție depozitare reciclabile din 2028</w:t>
      </w:r>
    </w:p>
    <w:p w14:paraId="35761597" w14:textId="77777777" w:rsidR="003C755E" w:rsidRPr="009D13A2" w:rsidRDefault="003C755E" w:rsidP="003C755E">
      <w:pPr>
        <w:pStyle w:val="ListParagraph"/>
        <w:numPr>
          <w:ilvl w:val="0"/>
          <w:numId w:val="361"/>
        </w:numPr>
        <w:spacing w:after="80" w:line="240" w:lineRule="auto"/>
        <w:contextualSpacing w:val="0"/>
        <w:jc w:val="both"/>
        <w:rPr>
          <w:rFonts w:ascii="Nunito" w:hAnsi="Nunito"/>
        </w:rPr>
      </w:pPr>
      <w:r w:rsidRPr="009D13A2">
        <w:rPr>
          <w:rFonts w:ascii="Nunito" w:eastAsia="Arial" w:hAnsi="Nunito" w:cs="Arial"/>
          <w:color w:val="2D2D2D"/>
        </w:rPr>
        <w:t>Platformă Națională Materiale Secundare (≥ 500 operatori, ≥ 200.000 t/an tranzacționate)</w:t>
      </w:r>
    </w:p>
    <w:p w14:paraId="0E272524" w14:textId="77777777" w:rsidR="003C755E" w:rsidRPr="00284CF4" w:rsidRDefault="003C755E" w:rsidP="003C755E">
      <w:pPr>
        <w:spacing w:before="60"/>
        <w:jc w:val="both"/>
        <w:rPr>
          <w:rFonts w:ascii="Nunito" w:hAnsi="Nunito"/>
        </w:rPr>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7"/>
      </w:tblGrid>
      <w:tr w:rsidR="009D13A2" w:rsidRPr="00284CF4" w14:paraId="75D94F9F" w14:textId="77777777" w:rsidTr="009D13A2">
        <w:trPr>
          <w:trHeight w:val="727"/>
        </w:trPr>
        <w:tc>
          <w:tcPr>
            <w:tcW w:w="9447" w:type="dxa"/>
            <w:tcBorders>
              <w:top w:val="none" w:sz="0" w:space="0" w:color="FFFFFF"/>
              <w:left w:val="none" w:sz="0" w:space="0" w:color="FFFFFF"/>
              <w:bottom w:val="none" w:sz="0" w:space="0" w:color="FFFFFF"/>
              <w:right w:val="none" w:sz="0" w:space="0" w:color="FFFFFF"/>
            </w:tcBorders>
            <w:shd w:val="clear" w:color="auto" w:fill="FDF0E6"/>
            <w:tcMar>
              <w:top w:w="80" w:type="dxa"/>
              <w:left w:w="160" w:type="dxa"/>
              <w:bottom w:w="80" w:type="dxa"/>
              <w:right w:w="160" w:type="dxa"/>
            </w:tcMar>
            <w:vAlign w:val="center"/>
          </w:tcPr>
          <w:p w14:paraId="3C71D3DB" w14:textId="0A256597" w:rsidR="009D13A2" w:rsidRPr="00284CF4" w:rsidRDefault="009D13A2" w:rsidP="009B4490">
            <w:pPr>
              <w:jc w:val="both"/>
              <w:rPr>
                <w:rFonts w:ascii="Nunito" w:hAnsi="Nunito"/>
              </w:rPr>
            </w:pPr>
            <w:r w:rsidRPr="00284CF4">
              <w:rPr>
                <w:rFonts w:ascii="Nunito" w:eastAsia="Arial" w:hAnsi="Nunito" w:cs="Arial"/>
                <w:color w:val="2D2D2D"/>
                <w:sz w:val="21"/>
                <w:szCs w:val="21"/>
              </w:rPr>
              <w:t>Fiecare efect negativ are măsuri concrete, cu termene, responsabili și indicatori de verificare. Programul de monitorizare cu 90 de indicatori asigură detectarea din timp a oricăror probleme.</w:t>
            </w:r>
          </w:p>
        </w:tc>
      </w:tr>
    </w:tbl>
    <w:p w14:paraId="2CD08983" w14:textId="77777777" w:rsidR="003C755E" w:rsidRPr="00284CF4" w:rsidRDefault="003C755E" w:rsidP="003C755E">
      <w:pPr>
        <w:jc w:val="both"/>
        <w:rPr>
          <w:rFonts w:ascii="Nunito" w:hAnsi="Nunito"/>
        </w:rPr>
      </w:pPr>
      <w:r w:rsidRPr="00284CF4">
        <w:rPr>
          <w:rFonts w:ascii="Nunito" w:hAnsi="Nunito"/>
        </w:rPr>
        <w:br w:type="page"/>
      </w:r>
    </w:p>
    <w:p w14:paraId="4FAEE735" w14:textId="77777777" w:rsidR="003C755E" w:rsidRPr="00284CF4" w:rsidRDefault="003C755E" w:rsidP="003C755E">
      <w:pPr>
        <w:spacing w:before="100"/>
        <w:jc w:val="both"/>
        <w:rPr>
          <w:rFonts w:ascii="Nunito" w:hAnsi="Nunito"/>
        </w:rPr>
      </w:pPr>
    </w:p>
    <w:p w14:paraId="35F23F65" w14:textId="41DED658" w:rsidR="009D13A2" w:rsidRPr="001F6427" w:rsidRDefault="001F6427" w:rsidP="001F6427">
      <w:pPr>
        <w:pStyle w:val="ListParagraph"/>
        <w:numPr>
          <w:ilvl w:val="0"/>
          <w:numId w:val="363"/>
        </w:numPr>
        <w:spacing w:after="160"/>
        <w:ind w:left="567" w:hanging="567"/>
        <w:rPr>
          <w:rFonts w:ascii="Nunito" w:hAnsi="Nunito"/>
          <w:b/>
          <w:bCs/>
          <w:color w:val="009DF0" w:themeColor="text2"/>
          <w:sz w:val="20"/>
          <w:szCs w:val="20"/>
        </w:rPr>
      </w:pPr>
      <w:r w:rsidRPr="001F6427">
        <w:rPr>
          <w:rFonts w:ascii="Nunito" w:hAnsi="Nunito"/>
          <w:b/>
          <w:bCs/>
          <w:color w:val="009DF0" w:themeColor="text2"/>
          <w:sz w:val="20"/>
          <w:szCs w:val="20"/>
        </w:rPr>
        <w:t>Alternative analizate și soluția finală</w:t>
      </w:r>
    </w:p>
    <w:p w14:paraId="23F94BCC" w14:textId="77777777" w:rsidR="001F6427" w:rsidRPr="001F6427" w:rsidRDefault="001F6427" w:rsidP="001F6427">
      <w:pPr>
        <w:spacing w:after="160"/>
        <w:jc w:val="both"/>
        <w:rPr>
          <w:rFonts w:ascii="Nunito" w:eastAsia="Arial" w:hAnsi="Nunito" w:cs="Arial"/>
          <w:color w:val="2D2D2D"/>
        </w:rPr>
      </w:pPr>
      <w:r w:rsidRPr="001F6427">
        <w:rPr>
          <w:rFonts w:ascii="Nunito" w:eastAsia="Arial" w:hAnsi="Nunito" w:cs="Arial"/>
          <w:color w:val="2D2D2D"/>
        </w:rPr>
        <w:t>În vederea estimării investițiilor necesare pentru atingerea obiectivelor și țintelor PNGD au fost definite, pentru analiză, două alternative:</w:t>
      </w:r>
    </w:p>
    <w:p w14:paraId="2DDD863C" w14:textId="37166AD3" w:rsidR="001F6427" w:rsidRPr="001F6427" w:rsidRDefault="001F6427" w:rsidP="001F6427">
      <w:pPr>
        <w:pStyle w:val="ListParagraph"/>
        <w:numPr>
          <w:ilvl w:val="0"/>
          <w:numId w:val="366"/>
        </w:numPr>
        <w:spacing w:after="160"/>
        <w:ind w:left="709" w:hanging="578"/>
        <w:jc w:val="both"/>
        <w:rPr>
          <w:rFonts w:ascii="Nunito" w:eastAsia="Arial" w:hAnsi="Nunito" w:cs="Arial"/>
          <w:color w:val="2D2D2D"/>
        </w:rPr>
      </w:pPr>
      <w:r w:rsidRPr="001F6427">
        <w:rPr>
          <w:rFonts w:ascii="Nunito" w:eastAsia="Arial" w:hAnsi="Nunito" w:cs="Arial"/>
          <w:color w:val="2D2D2D"/>
        </w:rPr>
        <w:t>Alternativa „zero” – scenariul de referință, care presupune menținerea funcționării sistemului pe baza infrastructurii existente și a intervențiilor punctuale aflate deja în derulare sau prevăzute prin proiecte inițiate la nivel local/județean, fără implementarea coordonată a unui pachet național de investiții și măsuri care să asigure în mod sistematic atingerea țintelor PNGD.</w:t>
      </w:r>
    </w:p>
    <w:p w14:paraId="26737D52" w14:textId="449C08A0" w:rsidR="001F6427" w:rsidRPr="001F6427" w:rsidRDefault="001F6427" w:rsidP="001F6427">
      <w:pPr>
        <w:pStyle w:val="ListParagraph"/>
        <w:numPr>
          <w:ilvl w:val="0"/>
          <w:numId w:val="366"/>
        </w:numPr>
        <w:spacing w:after="160"/>
        <w:ind w:left="709" w:hanging="578"/>
        <w:jc w:val="both"/>
        <w:rPr>
          <w:rFonts w:ascii="Nunito" w:eastAsia="Arial" w:hAnsi="Nunito" w:cs="Arial"/>
          <w:color w:val="2D2D2D"/>
        </w:rPr>
      </w:pPr>
      <w:r w:rsidRPr="001F6427">
        <w:rPr>
          <w:rFonts w:ascii="Nunito" w:eastAsia="Arial" w:hAnsi="Nunito" w:cs="Arial"/>
          <w:color w:val="2D2D2D"/>
        </w:rPr>
        <w:t>Alternativa cu PNGD pentru care s-au analizat 2 alternative</w:t>
      </w:r>
    </w:p>
    <w:p w14:paraId="379B7E3E" w14:textId="261D1E45" w:rsidR="001F6427" w:rsidRPr="001F6427" w:rsidRDefault="001F6427" w:rsidP="001F6427">
      <w:pPr>
        <w:pStyle w:val="ListParagraph"/>
        <w:numPr>
          <w:ilvl w:val="1"/>
          <w:numId w:val="366"/>
        </w:numPr>
        <w:spacing w:after="160"/>
        <w:jc w:val="both"/>
        <w:rPr>
          <w:rFonts w:ascii="Nunito" w:eastAsia="Arial" w:hAnsi="Nunito" w:cs="Arial"/>
          <w:color w:val="2D2D2D"/>
        </w:rPr>
      </w:pPr>
      <w:r w:rsidRPr="001F6427">
        <w:rPr>
          <w:rFonts w:ascii="Nunito" w:eastAsia="Arial" w:hAnsi="Nunito" w:cs="Arial"/>
          <w:color w:val="2D2D2D"/>
        </w:rPr>
        <w:t>Alternativa 1 – scenariu de dezvoltare prin investiții separate (modulare), care urmărește atingerea țintelor PNGD prin extinderea și/sau modernizarea distinctă a componentelor de infrastructură: stații de sortare pentru fracțiile reciclabile colectate separat, instalații dedicate pentru tratarea biodeșeurilor (compostare și/sau digestie anaerobă) și instalații de tratare mecano-biologică pentru fracția reziduală, completate de asigurarea capacităților de depozitare necesare pentru reziduuri.</w:t>
      </w:r>
    </w:p>
    <w:p w14:paraId="6772F191" w14:textId="77777777" w:rsidR="001F6427" w:rsidRPr="001F6427" w:rsidRDefault="001F6427" w:rsidP="001F6427">
      <w:pPr>
        <w:pStyle w:val="ListParagraph"/>
        <w:numPr>
          <w:ilvl w:val="1"/>
          <w:numId w:val="366"/>
        </w:numPr>
        <w:spacing w:after="160"/>
        <w:jc w:val="both"/>
        <w:rPr>
          <w:rFonts w:ascii="Nunito" w:hAnsi="Nunito"/>
        </w:rPr>
      </w:pPr>
      <w:r w:rsidRPr="001F6427">
        <w:rPr>
          <w:rFonts w:ascii="Nunito" w:eastAsia="Arial" w:hAnsi="Nunito" w:cs="Arial"/>
          <w:color w:val="2D2D2D"/>
        </w:rPr>
        <w:t>Alternativa 2 – scenariu de dezvoltare prin investiții integrate, care urmărește atingerea țintelor PNGD prin transformarea instalațiilor TMB existente în instalații integrate de tratare a deșeurilor (IITD) și realizarea de noi capacități IITD acolo unde este necesar, cu integrarea într-un sistem unitar a proceselor de sortare, tratare biologică și pregătire pentru valorificare, concomitent cu optimizarea capacităților de depozitare pentru reziduuri.</w:t>
      </w:r>
    </w:p>
    <w:p w14:paraId="03E8CA1A" w14:textId="7694E41F" w:rsidR="003C755E" w:rsidRPr="001F6427" w:rsidRDefault="001F6427" w:rsidP="001F6427">
      <w:pPr>
        <w:spacing w:after="160"/>
        <w:jc w:val="both"/>
        <w:rPr>
          <w:rFonts w:ascii="Nunito" w:hAnsi="Nunito"/>
        </w:rPr>
      </w:pPr>
      <w:r w:rsidRPr="001F6427">
        <w:rPr>
          <w:rFonts w:ascii="Nunito" w:eastAsia="Arial" w:hAnsi="Nunito" w:cs="Arial"/>
          <w:color w:val="2D2D2D"/>
        </w:rPr>
        <w:t>Pentru a alege alternativa potrivită au fost luate în considerare mai multe criterii</w:t>
      </w:r>
      <w:r>
        <w:rPr>
          <w:rFonts w:ascii="Nunito" w:eastAsia="Arial" w:hAnsi="Nunito" w:cs="Arial"/>
          <w:color w:val="2D2D2D"/>
        </w:rPr>
        <w:t xml:space="preserve"> de evaluare</w:t>
      </w:r>
      <w:r w:rsidRPr="001F6427">
        <w:rPr>
          <w:rFonts w:ascii="Nunito" w:eastAsia="Arial" w:hAnsi="Nunito" w:cs="Arial"/>
          <w:color w:val="2D2D2D"/>
        </w:rPr>
        <w:t>. În t</w:t>
      </w:r>
      <w:r w:rsidR="003C755E" w:rsidRPr="001F6427">
        <w:rPr>
          <w:rFonts w:ascii="Nunito" w:eastAsia="Arial" w:hAnsi="Nunito" w:cs="Arial"/>
          <w:color w:val="2D2D2D"/>
        </w:rPr>
        <w:t>abelul sintetizează rezultatele pe 8 criterii</w:t>
      </w:r>
      <w:r w:rsidR="003C755E" w:rsidRPr="001F6427">
        <w:rPr>
          <w:rFonts w:ascii="Nunito" w:eastAsia="Arial" w:hAnsi="Nunito" w:cs="Arial"/>
          <w:color w:val="2D2D2D"/>
          <w:sz w:val="21"/>
          <w:szCs w:val="21"/>
        </w:rPr>
        <w:t>:</w:t>
      </w:r>
    </w:p>
    <w:tbl>
      <w:tblPr>
        <w:tblStyle w:val="Ramboll-Table"/>
        <w:tblW w:w="9026" w:type="dxa"/>
        <w:tblLook w:val="04A0" w:firstRow="1" w:lastRow="0" w:firstColumn="1" w:lastColumn="0" w:noHBand="0" w:noVBand="1"/>
      </w:tblPr>
      <w:tblGrid>
        <w:gridCol w:w="2800"/>
        <w:gridCol w:w="2100"/>
        <w:gridCol w:w="2026"/>
        <w:gridCol w:w="2100"/>
      </w:tblGrid>
      <w:tr w:rsidR="003C755E" w:rsidRPr="001F6427" w14:paraId="3A9CB9E8" w14:textId="77777777" w:rsidTr="001F6427">
        <w:trPr>
          <w:cnfStyle w:val="100000000000" w:firstRow="1" w:lastRow="0" w:firstColumn="0" w:lastColumn="0" w:oddVBand="0" w:evenVBand="0" w:oddHBand="0" w:evenHBand="0" w:firstRowFirstColumn="0" w:firstRowLastColumn="0" w:lastRowFirstColumn="0" w:lastRowLastColumn="0"/>
        </w:trPr>
        <w:tc>
          <w:tcPr>
            <w:tcW w:w="2800" w:type="dxa"/>
            <w:shd w:val="clear" w:color="auto" w:fill="D9D9D9" w:themeFill="background1" w:themeFillShade="D9"/>
          </w:tcPr>
          <w:p w14:paraId="0D53AE87" w14:textId="77777777" w:rsidR="003C755E" w:rsidRPr="001F6427" w:rsidRDefault="003C755E" w:rsidP="009B4490">
            <w:pPr>
              <w:jc w:val="both"/>
              <w:rPr>
                <w:rFonts w:ascii="Nunito" w:hAnsi="Nunito"/>
                <w:color w:val="00B0F0"/>
                <w:sz w:val="16"/>
                <w:szCs w:val="16"/>
              </w:rPr>
            </w:pPr>
            <w:r w:rsidRPr="001F6427">
              <w:rPr>
                <w:rFonts w:ascii="Nunito" w:eastAsia="Arial" w:hAnsi="Nunito" w:cs="Arial"/>
                <w:b/>
                <w:bCs/>
                <w:color w:val="00B0F0"/>
                <w:sz w:val="16"/>
                <w:szCs w:val="16"/>
              </w:rPr>
              <w:t>Criteriu</w:t>
            </w:r>
          </w:p>
        </w:tc>
        <w:tc>
          <w:tcPr>
            <w:tcW w:w="2100" w:type="dxa"/>
            <w:shd w:val="clear" w:color="auto" w:fill="D9D9D9" w:themeFill="background1" w:themeFillShade="D9"/>
          </w:tcPr>
          <w:p w14:paraId="5E5B3035" w14:textId="77777777" w:rsidR="003C755E" w:rsidRPr="001F6427" w:rsidRDefault="003C755E" w:rsidP="009B4490">
            <w:pPr>
              <w:jc w:val="both"/>
              <w:rPr>
                <w:rFonts w:ascii="Nunito" w:hAnsi="Nunito"/>
                <w:color w:val="00B0F0"/>
                <w:sz w:val="16"/>
                <w:szCs w:val="16"/>
              </w:rPr>
            </w:pPr>
            <w:r w:rsidRPr="001F6427">
              <w:rPr>
                <w:rFonts w:ascii="Nunito" w:eastAsia="Arial" w:hAnsi="Nunito" w:cs="Arial"/>
                <w:b/>
                <w:bCs/>
                <w:color w:val="00B0F0"/>
                <w:sz w:val="16"/>
                <w:szCs w:val="16"/>
              </w:rPr>
              <w:t>Fără plan</w:t>
            </w:r>
          </w:p>
        </w:tc>
        <w:tc>
          <w:tcPr>
            <w:tcW w:w="2026" w:type="dxa"/>
            <w:shd w:val="clear" w:color="auto" w:fill="D9D9D9" w:themeFill="background1" w:themeFillShade="D9"/>
          </w:tcPr>
          <w:p w14:paraId="6B553FD0" w14:textId="77777777" w:rsidR="003C755E" w:rsidRPr="001F6427" w:rsidRDefault="003C755E" w:rsidP="009B4490">
            <w:pPr>
              <w:jc w:val="both"/>
              <w:rPr>
                <w:rFonts w:ascii="Nunito" w:hAnsi="Nunito"/>
                <w:color w:val="00B0F0"/>
                <w:sz w:val="16"/>
                <w:szCs w:val="16"/>
              </w:rPr>
            </w:pPr>
            <w:r w:rsidRPr="001F6427">
              <w:rPr>
                <w:rFonts w:ascii="Nunito" w:eastAsia="Arial" w:hAnsi="Nunito" w:cs="Arial"/>
                <w:b/>
                <w:bCs/>
                <w:color w:val="00B0F0"/>
                <w:sz w:val="16"/>
                <w:szCs w:val="16"/>
              </w:rPr>
              <w:t>Modulară (A1)</w:t>
            </w:r>
          </w:p>
        </w:tc>
        <w:tc>
          <w:tcPr>
            <w:tcW w:w="2100" w:type="dxa"/>
            <w:shd w:val="clear" w:color="auto" w:fill="D9D9D9" w:themeFill="background1" w:themeFillShade="D9"/>
          </w:tcPr>
          <w:p w14:paraId="407DF13E" w14:textId="77777777" w:rsidR="003C755E" w:rsidRPr="001F6427" w:rsidRDefault="003C755E" w:rsidP="009B4490">
            <w:pPr>
              <w:jc w:val="both"/>
              <w:rPr>
                <w:rFonts w:ascii="Nunito" w:hAnsi="Nunito"/>
                <w:color w:val="00B0F0"/>
                <w:sz w:val="16"/>
                <w:szCs w:val="16"/>
              </w:rPr>
            </w:pPr>
            <w:r w:rsidRPr="001F6427">
              <w:rPr>
                <w:rFonts w:ascii="Nunito" w:eastAsia="Arial" w:hAnsi="Nunito" w:cs="Arial"/>
                <w:b/>
                <w:bCs/>
                <w:color w:val="00B0F0"/>
                <w:sz w:val="16"/>
                <w:szCs w:val="16"/>
              </w:rPr>
              <w:t>Integrată IITD (A2)</w:t>
            </w:r>
          </w:p>
        </w:tc>
      </w:tr>
      <w:tr w:rsidR="003C755E" w:rsidRPr="001F6427" w14:paraId="1A6C3F70" w14:textId="77777777" w:rsidTr="001F6427">
        <w:tc>
          <w:tcPr>
            <w:tcW w:w="2800" w:type="dxa"/>
          </w:tcPr>
          <w:p w14:paraId="2994BFB7" w14:textId="77777777" w:rsidR="003C755E" w:rsidRPr="001F6427" w:rsidRDefault="003C755E" w:rsidP="009B4490">
            <w:pPr>
              <w:jc w:val="both"/>
              <w:rPr>
                <w:rFonts w:ascii="Nunito" w:hAnsi="Nunito"/>
                <w:sz w:val="16"/>
                <w:szCs w:val="16"/>
              </w:rPr>
            </w:pPr>
            <w:r w:rsidRPr="001F6427">
              <w:rPr>
                <w:rFonts w:ascii="Nunito" w:eastAsia="Arial" w:hAnsi="Nunito" w:cs="Arial"/>
                <w:color w:val="2D2D2D"/>
                <w:sz w:val="16"/>
                <w:szCs w:val="16"/>
              </w:rPr>
              <w:t>Scor de mediu (17 obiective)</w:t>
            </w:r>
          </w:p>
        </w:tc>
        <w:tc>
          <w:tcPr>
            <w:tcW w:w="2100" w:type="dxa"/>
          </w:tcPr>
          <w:p w14:paraId="4A8B9F6E" w14:textId="77777777" w:rsidR="003C755E" w:rsidRPr="001F6427" w:rsidRDefault="003C755E" w:rsidP="009B4490">
            <w:pPr>
              <w:jc w:val="both"/>
              <w:rPr>
                <w:rFonts w:ascii="Nunito" w:hAnsi="Nunito"/>
                <w:sz w:val="16"/>
                <w:szCs w:val="16"/>
              </w:rPr>
            </w:pPr>
            <w:r w:rsidRPr="001F6427">
              <w:rPr>
                <w:rFonts w:ascii="Nunito" w:eastAsia="Arial" w:hAnsi="Nunito" w:cs="Arial"/>
                <w:color w:val="C0392B"/>
                <w:sz w:val="16"/>
                <w:szCs w:val="16"/>
              </w:rPr>
              <w:t>−25</w:t>
            </w:r>
          </w:p>
        </w:tc>
        <w:tc>
          <w:tcPr>
            <w:tcW w:w="2026" w:type="dxa"/>
          </w:tcPr>
          <w:p w14:paraId="69701188" w14:textId="77777777" w:rsidR="003C755E" w:rsidRPr="001F6427" w:rsidRDefault="003C755E" w:rsidP="009B4490">
            <w:pPr>
              <w:jc w:val="both"/>
              <w:rPr>
                <w:rFonts w:ascii="Nunito" w:hAnsi="Nunito"/>
                <w:sz w:val="16"/>
                <w:szCs w:val="16"/>
              </w:rPr>
            </w:pPr>
            <w:r w:rsidRPr="001F6427">
              <w:rPr>
                <w:rFonts w:ascii="Nunito" w:eastAsia="Arial" w:hAnsi="Nunito" w:cs="Arial"/>
                <w:color w:val="2E75B6"/>
                <w:sz w:val="16"/>
                <w:szCs w:val="16"/>
              </w:rPr>
              <w:t>+13</w:t>
            </w:r>
          </w:p>
        </w:tc>
        <w:tc>
          <w:tcPr>
            <w:tcW w:w="2100" w:type="dxa"/>
          </w:tcPr>
          <w:p w14:paraId="0B5D6EB1" w14:textId="77777777" w:rsidR="003C755E" w:rsidRPr="001F6427" w:rsidRDefault="003C755E" w:rsidP="009B4490">
            <w:pPr>
              <w:jc w:val="both"/>
              <w:rPr>
                <w:rFonts w:ascii="Nunito" w:hAnsi="Nunito"/>
                <w:sz w:val="16"/>
                <w:szCs w:val="16"/>
              </w:rPr>
            </w:pPr>
            <w:r w:rsidRPr="001F6427">
              <w:rPr>
                <w:rFonts w:ascii="Nunito" w:eastAsia="Arial" w:hAnsi="Nunito" w:cs="Arial"/>
                <w:color w:val="217346"/>
                <w:sz w:val="16"/>
                <w:szCs w:val="16"/>
              </w:rPr>
              <w:t>+26</w:t>
            </w:r>
          </w:p>
        </w:tc>
      </w:tr>
      <w:tr w:rsidR="003C755E" w:rsidRPr="001F6427" w14:paraId="6258F3AE" w14:textId="77777777" w:rsidTr="001F6427">
        <w:tc>
          <w:tcPr>
            <w:tcW w:w="2800" w:type="dxa"/>
          </w:tcPr>
          <w:p w14:paraId="45CA7BF0" w14:textId="77777777" w:rsidR="003C755E" w:rsidRPr="001F6427" w:rsidRDefault="003C755E" w:rsidP="009B4490">
            <w:pPr>
              <w:jc w:val="both"/>
              <w:rPr>
                <w:rFonts w:ascii="Nunito" w:hAnsi="Nunito"/>
                <w:sz w:val="16"/>
                <w:szCs w:val="16"/>
              </w:rPr>
            </w:pPr>
            <w:r w:rsidRPr="001F6427">
              <w:rPr>
                <w:rFonts w:ascii="Nunito" w:eastAsia="Arial" w:hAnsi="Nunito" w:cs="Arial"/>
                <w:color w:val="2D2D2D"/>
                <w:sz w:val="16"/>
                <w:szCs w:val="16"/>
              </w:rPr>
              <w:t>Cost investiții</w:t>
            </w:r>
          </w:p>
        </w:tc>
        <w:tc>
          <w:tcPr>
            <w:tcW w:w="2100" w:type="dxa"/>
          </w:tcPr>
          <w:p w14:paraId="04016E46" w14:textId="77777777" w:rsidR="003C755E" w:rsidRPr="001F6427" w:rsidRDefault="003C755E" w:rsidP="009B4490">
            <w:pPr>
              <w:jc w:val="both"/>
              <w:rPr>
                <w:rFonts w:ascii="Nunito" w:hAnsi="Nunito"/>
                <w:sz w:val="16"/>
                <w:szCs w:val="16"/>
              </w:rPr>
            </w:pPr>
            <w:r w:rsidRPr="001F6427">
              <w:rPr>
                <w:rFonts w:ascii="Nunito" w:eastAsia="Arial" w:hAnsi="Nunito" w:cs="Arial"/>
                <w:color w:val="C0392B"/>
                <w:sz w:val="16"/>
                <w:szCs w:val="16"/>
              </w:rPr>
              <w:t>–</w:t>
            </w:r>
          </w:p>
        </w:tc>
        <w:tc>
          <w:tcPr>
            <w:tcW w:w="2026" w:type="dxa"/>
          </w:tcPr>
          <w:p w14:paraId="45F01CDD" w14:textId="77777777" w:rsidR="003C755E" w:rsidRPr="001F6427" w:rsidRDefault="003C755E" w:rsidP="009B4490">
            <w:pPr>
              <w:jc w:val="both"/>
              <w:rPr>
                <w:rFonts w:ascii="Nunito" w:hAnsi="Nunito"/>
                <w:sz w:val="16"/>
                <w:szCs w:val="16"/>
              </w:rPr>
            </w:pPr>
            <w:r w:rsidRPr="001F6427">
              <w:rPr>
                <w:rFonts w:ascii="Nunito" w:eastAsia="Arial" w:hAnsi="Nunito" w:cs="Arial"/>
                <w:color w:val="2E75B6"/>
                <w:sz w:val="16"/>
                <w:szCs w:val="16"/>
              </w:rPr>
              <w:t>2.596 mil. €</w:t>
            </w:r>
          </w:p>
        </w:tc>
        <w:tc>
          <w:tcPr>
            <w:tcW w:w="2100" w:type="dxa"/>
          </w:tcPr>
          <w:p w14:paraId="27903549" w14:textId="77777777" w:rsidR="003C755E" w:rsidRPr="001F6427" w:rsidRDefault="003C755E" w:rsidP="009B4490">
            <w:pPr>
              <w:jc w:val="both"/>
              <w:rPr>
                <w:rFonts w:ascii="Nunito" w:hAnsi="Nunito"/>
                <w:sz w:val="16"/>
                <w:szCs w:val="16"/>
              </w:rPr>
            </w:pPr>
            <w:r w:rsidRPr="001F6427">
              <w:rPr>
                <w:rFonts w:ascii="Nunito" w:eastAsia="Arial" w:hAnsi="Nunito" w:cs="Arial"/>
                <w:color w:val="217346"/>
                <w:sz w:val="16"/>
                <w:szCs w:val="16"/>
              </w:rPr>
              <w:t>2.023 mil. €</w:t>
            </w:r>
          </w:p>
        </w:tc>
      </w:tr>
      <w:tr w:rsidR="003C755E" w:rsidRPr="001F6427" w14:paraId="047072D2" w14:textId="77777777" w:rsidTr="001F6427">
        <w:tc>
          <w:tcPr>
            <w:tcW w:w="2800" w:type="dxa"/>
          </w:tcPr>
          <w:p w14:paraId="098942F7" w14:textId="77777777" w:rsidR="003C755E" w:rsidRPr="001F6427" w:rsidRDefault="003C755E" w:rsidP="009B4490">
            <w:pPr>
              <w:jc w:val="both"/>
              <w:rPr>
                <w:rFonts w:ascii="Nunito" w:hAnsi="Nunito"/>
                <w:sz w:val="16"/>
                <w:szCs w:val="16"/>
              </w:rPr>
            </w:pPr>
            <w:r w:rsidRPr="001F6427">
              <w:rPr>
                <w:rFonts w:ascii="Nunito" w:eastAsia="Arial" w:hAnsi="Nunito" w:cs="Arial"/>
                <w:color w:val="2D2D2D"/>
                <w:sz w:val="16"/>
                <w:szCs w:val="16"/>
              </w:rPr>
              <w:t>Rată depozitare 2035</w:t>
            </w:r>
          </w:p>
        </w:tc>
        <w:tc>
          <w:tcPr>
            <w:tcW w:w="2100" w:type="dxa"/>
          </w:tcPr>
          <w:p w14:paraId="71DAAEA8" w14:textId="77777777" w:rsidR="003C755E" w:rsidRPr="001F6427" w:rsidRDefault="003C755E" w:rsidP="009B4490">
            <w:pPr>
              <w:jc w:val="both"/>
              <w:rPr>
                <w:rFonts w:ascii="Nunito" w:hAnsi="Nunito"/>
                <w:sz w:val="16"/>
                <w:szCs w:val="16"/>
              </w:rPr>
            </w:pPr>
            <w:r w:rsidRPr="001F6427">
              <w:rPr>
                <w:rFonts w:ascii="Nunito" w:eastAsia="Arial" w:hAnsi="Nunito" w:cs="Arial"/>
                <w:color w:val="C0392B"/>
                <w:sz w:val="16"/>
                <w:szCs w:val="16"/>
              </w:rPr>
              <w:t>~74%</w:t>
            </w:r>
          </w:p>
        </w:tc>
        <w:tc>
          <w:tcPr>
            <w:tcW w:w="2026" w:type="dxa"/>
          </w:tcPr>
          <w:p w14:paraId="6D6B5452" w14:textId="77777777" w:rsidR="003C755E" w:rsidRPr="001F6427" w:rsidRDefault="003C755E" w:rsidP="009B4490">
            <w:pPr>
              <w:jc w:val="both"/>
              <w:rPr>
                <w:rFonts w:ascii="Nunito" w:hAnsi="Nunito"/>
                <w:sz w:val="16"/>
                <w:szCs w:val="16"/>
              </w:rPr>
            </w:pPr>
            <w:r w:rsidRPr="001F6427">
              <w:rPr>
                <w:rFonts w:ascii="Nunito" w:eastAsia="Arial" w:hAnsi="Nunito" w:cs="Arial"/>
                <w:color w:val="2E75B6"/>
                <w:sz w:val="16"/>
                <w:szCs w:val="16"/>
              </w:rPr>
              <w:t>&lt; 10%</w:t>
            </w:r>
          </w:p>
        </w:tc>
        <w:tc>
          <w:tcPr>
            <w:tcW w:w="2100" w:type="dxa"/>
          </w:tcPr>
          <w:p w14:paraId="498EC034" w14:textId="77777777" w:rsidR="003C755E" w:rsidRPr="001F6427" w:rsidRDefault="003C755E" w:rsidP="009B4490">
            <w:pPr>
              <w:jc w:val="both"/>
              <w:rPr>
                <w:rFonts w:ascii="Nunito" w:hAnsi="Nunito"/>
                <w:sz w:val="16"/>
                <w:szCs w:val="16"/>
              </w:rPr>
            </w:pPr>
            <w:r w:rsidRPr="001F6427">
              <w:rPr>
                <w:rFonts w:ascii="Nunito" w:eastAsia="Arial" w:hAnsi="Nunito" w:cs="Arial"/>
                <w:color w:val="217346"/>
                <w:sz w:val="16"/>
                <w:szCs w:val="16"/>
              </w:rPr>
              <w:t>&lt; 5%</w:t>
            </w:r>
          </w:p>
        </w:tc>
      </w:tr>
      <w:tr w:rsidR="003C755E" w:rsidRPr="001F6427" w14:paraId="2095AC9D" w14:textId="77777777" w:rsidTr="001F6427">
        <w:tc>
          <w:tcPr>
            <w:tcW w:w="2800" w:type="dxa"/>
          </w:tcPr>
          <w:p w14:paraId="68F1934A" w14:textId="77777777" w:rsidR="003C755E" w:rsidRPr="001F6427" w:rsidRDefault="003C755E" w:rsidP="009B4490">
            <w:pPr>
              <w:jc w:val="both"/>
              <w:rPr>
                <w:rFonts w:ascii="Nunito" w:hAnsi="Nunito"/>
                <w:sz w:val="16"/>
                <w:szCs w:val="16"/>
              </w:rPr>
            </w:pPr>
            <w:r w:rsidRPr="001F6427">
              <w:rPr>
                <w:rFonts w:ascii="Nunito" w:eastAsia="Arial" w:hAnsi="Nunito" w:cs="Arial"/>
                <w:color w:val="2D2D2D"/>
                <w:sz w:val="16"/>
                <w:szCs w:val="16"/>
              </w:rPr>
              <w:t>Reducere emisii CO₂e/an</w:t>
            </w:r>
          </w:p>
        </w:tc>
        <w:tc>
          <w:tcPr>
            <w:tcW w:w="2100" w:type="dxa"/>
          </w:tcPr>
          <w:p w14:paraId="16AC7625" w14:textId="77777777" w:rsidR="003C755E" w:rsidRPr="001F6427" w:rsidRDefault="003C755E" w:rsidP="009B4490">
            <w:pPr>
              <w:jc w:val="both"/>
              <w:rPr>
                <w:rFonts w:ascii="Nunito" w:hAnsi="Nunito"/>
                <w:sz w:val="16"/>
                <w:szCs w:val="16"/>
              </w:rPr>
            </w:pPr>
            <w:r w:rsidRPr="001F6427">
              <w:rPr>
                <w:rFonts w:ascii="Nunito" w:eastAsia="Arial" w:hAnsi="Nunito" w:cs="Arial"/>
                <w:color w:val="C0392B"/>
                <w:sz w:val="16"/>
                <w:szCs w:val="16"/>
              </w:rPr>
              <w:t>0</w:t>
            </w:r>
          </w:p>
        </w:tc>
        <w:tc>
          <w:tcPr>
            <w:tcW w:w="2026" w:type="dxa"/>
          </w:tcPr>
          <w:p w14:paraId="713D315F" w14:textId="77777777" w:rsidR="003C755E" w:rsidRPr="001F6427" w:rsidRDefault="003C755E" w:rsidP="009B4490">
            <w:pPr>
              <w:jc w:val="both"/>
              <w:rPr>
                <w:rFonts w:ascii="Nunito" w:hAnsi="Nunito"/>
                <w:sz w:val="16"/>
                <w:szCs w:val="16"/>
              </w:rPr>
            </w:pPr>
            <w:r w:rsidRPr="001F6427">
              <w:rPr>
                <w:rFonts w:ascii="Nunito" w:eastAsia="Arial" w:hAnsi="Nunito" w:cs="Arial"/>
                <w:color w:val="2E75B6"/>
                <w:sz w:val="16"/>
                <w:szCs w:val="16"/>
              </w:rPr>
              <w:t>600–700 kt</w:t>
            </w:r>
          </w:p>
        </w:tc>
        <w:tc>
          <w:tcPr>
            <w:tcW w:w="2100" w:type="dxa"/>
          </w:tcPr>
          <w:p w14:paraId="539BF1BC" w14:textId="77777777" w:rsidR="003C755E" w:rsidRPr="001F6427" w:rsidRDefault="003C755E" w:rsidP="009B4490">
            <w:pPr>
              <w:jc w:val="both"/>
              <w:rPr>
                <w:rFonts w:ascii="Nunito" w:hAnsi="Nunito"/>
                <w:sz w:val="16"/>
                <w:szCs w:val="16"/>
              </w:rPr>
            </w:pPr>
            <w:r w:rsidRPr="001F6427">
              <w:rPr>
                <w:rFonts w:ascii="Nunito" w:eastAsia="Arial" w:hAnsi="Nunito" w:cs="Arial"/>
                <w:color w:val="217346"/>
                <w:sz w:val="16"/>
                <w:szCs w:val="16"/>
              </w:rPr>
              <w:t>~1.100 kt</w:t>
            </w:r>
          </w:p>
        </w:tc>
      </w:tr>
      <w:tr w:rsidR="003C755E" w:rsidRPr="001F6427" w14:paraId="6C7DBC98" w14:textId="77777777" w:rsidTr="001F6427">
        <w:tc>
          <w:tcPr>
            <w:tcW w:w="2800" w:type="dxa"/>
          </w:tcPr>
          <w:p w14:paraId="290BCB6B" w14:textId="77777777" w:rsidR="003C755E" w:rsidRPr="001F6427" w:rsidRDefault="003C755E" w:rsidP="009B4490">
            <w:pPr>
              <w:jc w:val="both"/>
              <w:rPr>
                <w:rFonts w:ascii="Nunito" w:hAnsi="Nunito"/>
                <w:sz w:val="16"/>
                <w:szCs w:val="16"/>
              </w:rPr>
            </w:pPr>
            <w:r w:rsidRPr="001F6427">
              <w:rPr>
                <w:rFonts w:ascii="Nunito" w:eastAsia="Arial" w:hAnsi="Nunito" w:cs="Arial"/>
                <w:color w:val="2D2D2D"/>
                <w:sz w:val="16"/>
                <w:szCs w:val="16"/>
              </w:rPr>
              <w:t>Cumulat CO₂e 2025–2035</w:t>
            </w:r>
          </w:p>
        </w:tc>
        <w:tc>
          <w:tcPr>
            <w:tcW w:w="2100" w:type="dxa"/>
          </w:tcPr>
          <w:p w14:paraId="44878D2E" w14:textId="77777777" w:rsidR="003C755E" w:rsidRPr="001F6427" w:rsidRDefault="003C755E" w:rsidP="009B4490">
            <w:pPr>
              <w:jc w:val="both"/>
              <w:rPr>
                <w:rFonts w:ascii="Nunito" w:hAnsi="Nunito"/>
                <w:sz w:val="16"/>
                <w:szCs w:val="16"/>
              </w:rPr>
            </w:pPr>
            <w:r w:rsidRPr="001F6427">
              <w:rPr>
                <w:rFonts w:ascii="Nunito" w:eastAsia="Arial" w:hAnsi="Nunito" w:cs="Arial"/>
                <w:color w:val="C0392B"/>
                <w:sz w:val="16"/>
                <w:szCs w:val="16"/>
              </w:rPr>
              <w:t>0</w:t>
            </w:r>
          </w:p>
        </w:tc>
        <w:tc>
          <w:tcPr>
            <w:tcW w:w="2026" w:type="dxa"/>
          </w:tcPr>
          <w:p w14:paraId="1F3FF83A" w14:textId="77777777" w:rsidR="003C755E" w:rsidRPr="001F6427" w:rsidRDefault="003C755E" w:rsidP="009B4490">
            <w:pPr>
              <w:jc w:val="both"/>
              <w:rPr>
                <w:rFonts w:ascii="Nunito" w:hAnsi="Nunito"/>
                <w:sz w:val="16"/>
                <w:szCs w:val="16"/>
              </w:rPr>
            </w:pPr>
            <w:r w:rsidRPr="001F6427">
              <w:rPr>
                <w:rFonts w:ascii="Nunito" w:eastAsia="Arial" w:hAnsi="Nunito" w:cs="Arial"/>
                <w:color w:val="2E75B6"/>
                <w:sz w:val="16"/>
                <w:szCs w:val="16"/>
              </w:rPr>
              <w:t>~7 Mt</w:t>
            </w:r>
          </w:p>
        </w:tc>
        <w:tc>
          <w:tcPr>
            <w:tcW w:w="2100" w:type="dxa"/>
          </w:tcPr>
          <w:p w14:paraId="74228CBA" w14:textId="77777777" w:rsidR="003C755E" w:rsidRPr="001F6427" w:rsidRDefault="003C755E" w:rsidP="009B4490">
            <w:pPr>
              <w:jc w:val="both"/>
              <w:rPr>
                <w:rFonts w:ascii="Nunito" w:hAnsi="Nunito"/>
                <w:sz w:val="16"/>
                <w:szCs w:val="16"/>
              </w:rPr>
            </w:pPr>
            <w:r w:rsidRPr="001F6427">
              <w:rPr>
                <w:rFonts w:ascii="Nunito" w:eastAsia="Arial" w:hAnsi="Nunito" w:cs="Arial"/>
                <w:color w:val="217346"/>
                <w:sz w:val="16"/>
                <w:szCs w:val="16"/>
              </w:rPr>
              <w:t>~12,15 Mt</w:t>
            </w:r>
          </w:p>
        </w:tc>
      </w:tr>
      <w:tr w:rsidR="003C755E" w:rsidRPr="001F6427" w14:paraId="372F1239" w14:textId="77777777" w:rsidTr="001F6427">
        <w:tc>
          <w:tcPr>
            <w:tcW w:w="2800" w:type="dxa"/>
          </w:tcPr>
          <w:p w14:paraId="2EB90B55" w14:textId="77777777" w:rsidR="003C755E" w:rsidRPr="001F6427" w:rsidRDefault="003C755E" w:rsidP="009B4490">
            <w:pPr>
              <w:jc w:val="both"/>
              <w:rPr>
                <w:rFonts w:ascii="Nunito" w:hAnsi="Nunito"/>
                <w:sz w:val="16"/>
                <w:szCs w:val="16"/>
              </w:rPr>
            </w:pPr>
            <w:r w:rsidRPr="001F6427">
              <w:rPr>
                <w:rFonts w:ascii="Nunito" w:eastAsia="Arial" w:hAnsi="Nunito" w:cs="Arial"/>
                <w:color w:val="2D2D2D"/>
                <w:sz w:val="16"/>
                <w:szCs w:val="16"/>
              </w:rPr>
              <w:t>Transport intermediar</w:t>
            </w:r>
          </w:p>
        </w:tc>
        <w:tc>
          <w:tcPr>
            <w:tcW w:w="2100" w:type="dxa"/>
          </w:tcPr>
          <w:p w14:paraId="0BF475F4" w14:textId="77777777" w:rsidR="003C755E" w:rsidRPr="001F6427" w:rsidRDefault="003C755E" w:rsidP="009B4490">
            <w:pPr>
              <w:jc w:val="both"/>
              <w:rPr>
                <w:rFonts w:ascii="Nunito" w:hAnsi="Nunito"/>
                <w:sz w:val="16"/>
                <w:szCs w:val="16"/>
              </w:rPr>
            </w:pPr>
            <w:r w:rsidRPr="001F6427">
              <w:rPr>
                <w:rFonts w:ascii="Nunito" w:eastAsia="Arial" w:hAnsi="Nunito" w:cs="Arial"/>
                <w:color w:val="C0392B"/>
                <w:sz w:val="16"/>
                <w:szCs w:val="16"/>
              </w:rPr>
              <w:t>Neschimbat</w:t>
            </w:r>
          </w:p>
        </w:tc>
        <w:tc>
          <w:tcPr>
            <w:tcW w:w="2026" w:type="dxa"/>
          </w:tcPr>
          <w:p w14:paraId="3C5DBC5A" w14:textId="77777777" w:rsidR="003C755E" w:rsidRPr="001F6427" w:rsidRDefault="003C755E" w:rsidP="009B4490">
            <w:pPr>
              <w:jc w:val="both"/>
              <w:rPr>
                <w:rFonts w:ascii="Nunito" w:hAnsi="Nunito"/>
                <w:sz w:val="16"/>
                <w:szCs w:val="16"/>
              </w:rPr>
            </w:pPr>
            <w:r w:rsidRPr="001F6427">
              <w:rPr>
                <w:rFonts w:ascii="Nunito" w:eastAsia="Arial" w:hAnsi="Nunito" w:cs="Arial"/>
                <w:color w:val="2E75B6"/>
                <w:sz w:val="16"/>
                <w:szCs w:val="16"/>
              </w:rPr>
              <w:t>+15–25%</w:t>
            </w:r>
          </w:p>
        </w:tc>
        <w:tc>
          <w:tcPr>
            <w:tcW w:w="2100" w:type="dxa"/>
          </w:tcPr>
          <w:p w14:paraId="730F90B3" w14:textId="77777777" w:rsidR="003C755E" w:rsidRPr="001F6427" w:rsidRDefault="003C755E" w:rsidP="009B4490">
            <w:pPr>
              <w:jc w:val="both"/>
              <w:rPr>
                <w:rFonts w:ascii="Nunito" w:hAnsi="Nunito"/>
                <w:sz w:val="16"/>
                <w:szCs w:val="16"/>
              </w:rPr>
            </w:pPr>
            <w:r w:rsidRPr="001F6427">
              <w:rPr>
                <w:rFonts w:ascii="Nunito" w:eastAsia="Arial" w:hAnsi="Nunito" w:cs="Arial"/>
                <w:color w:val="217346"/>
                <w:sz w:val="16"/>
                <w:szCs w:val="16"/>
              </w:rPr>
              <w:t>−30–40%</w:t>
            </w:r>
          </w:p>
        </w:tc>
      </w:tr>
      <w:tr w:rsidR="003C755E" w:rsidRPr="001F6427" w14:paraId="4C4B92DD" w14:textId="77777777" w:rsidTr="001F6427">
        <w:tc>
          <w:tcPr>
            <w:tcW w:w="2800" w:type="dxa"/>
          </w:tcPr>
          <w:p w14:paraId="23DADD77" w14:textId="77777777" w:rsidR="003C755E" w:rsidRPr="001F6427" w:rsidRDefault="003C755E" w:rsidP="009B4490">
            <w:pPr>
              <w:jc w:val="both"/>
              <w:rPr>
                <w:rFonts w:ascii="Nunito" w:hAnsi="Nunito"/>
                <w:sz w:val="16"/>
                <w:szCs w:val="16"/>
              </w:rPr>
            </w:pPr>
            <w:r w:rsidRPr="001F6427">
              <w:rPr>
                <w:rFonts w:ascii="Nunito" w:eastAsia="Arial" w:hAnsi="Nunito" w:cs="Arial"/>
                <w:color w:val="2D2D2D"/>
                <w:sz w:val="16"/>
                <w:szCs w:val="16"/>
              </w:rPr>
              <w:t>Nr. amplasamente noi</w:t>
            </w:r>
          </w:p>
        </w:tc>
        <w:tc>
          <w:tcPr>
            <w:tcW w:w="2100" w:type="dxa"/>
          </w:tcPr>
          <w:p w14:paraId="1E6EE005" w14:textId="77777777" w:rsidR="003C755E" w:rsidRPr="001F6427" w:rsidRDefault="003C755E" w:rsidP="009B4490">
            <w:pPr>
              <w:jc w:val="both"/>
              <w:rPr>
                <w:rFonts w:ascii="Nunito" w:hAnsi="Nunito"/>
                <w:sz w:val="16"/>
                <w:szCs w:val="16"/>
              </w:rPr>
            </w:pPr>
            <w:r w:rsidRPr="001F6427">
              <w:rPr>
                <w:rFonts w:ascii="Nunito" w:eastAsia="Arial" w:hAnsi="Nunito" w:cs="Arial"/>
                <w:color w:val="C0392B"/>
                <w:sz w:val="16"/>
                <w:szCs w:val="16"/>
              </w:rPr>
              <w:t>0</w:t>
            </w:r>
          </w:p>
        </w:tc>
        <w:tc>
          <w:tcPr>
            <w:tcW w:w="2026" w:type="dxa"/>
          </w:tcPr>
          <w:p w14:paraId="1E94E5BA" w14:textId="77777777" w:rsidR="003C755E" w:rsidRPr="001F6427" w:rsidRDefault="003C755E" w:rsidP="009B4490">
            <w:pPr>
              <w:jc w:val="both"/>
              <w:rPr>
                <w:rFonts w:ascii="Nunito" w:hAnsi="Nunito"/>
                <w:sz w:val="16"/>
                <w:szCs w:val="16"/>
              </w:rPr>
            </w:pPr>
            <w:r w:rsidRPr="001F6427">
              <w:rPr>
                <w:rFonts w:ascii="Nunito" w:eastAsia="Arial" w:hAnsi="Nunito" w:cs="Arial"/>
                <w:color w:val="2E75B6"/>
                <w:sz w:val="16"/>
                <w:szCs w:val="16"/>
              </w:rPr>
              <w:t>42+</w:t>
            </w:r>
          </w:p>
        </w:tc>
        <w:tc>
          <w:tcPr>
            <w:tcW w:w="2100" w:type="dxa"/>
          </w:tcPr>
          <w:p w14:paraId="513DD61A" w14:textId="77777777" w:rsidR="003C755E" w:rsidRPr="001F6427" w:rsidRDefault="003C755E" w:rsidP="009B4490">
            <w:pPr>
              <w:jc w:val="both"/>
              <w:rPr>
                <w:rFonts w:ascii="Nunito" w:hAnsi="Nunito"/>
                <w:sz w:val="16"/>
                <w:szCs w:val="16"/>
              </w:rPr>
            </w:pPr>
            <w:r w:rsidRPr="001F6427">
              <w:rPr>
                <w:rFonts w:ascii="Nunito" w:eastAsia="Arial" w:hAnsi="Nunito" w:cs="Arial"/>
                <w:color w:val="217346"/>
                <w:sz w:val="16"/>
                <w:szCs w:val="16"/>
              </w:rPr>
              <w:t>Mai puține</w:t>
            </w:r>
          </w:p>
        </w:tc>
      </w:tr>
      <w:tr w:rsidR="003C755E" w:rsidRPr="001F6427" w14:paraId="12E9D2A5" w14:textId="77777777" w:rsidTr="001F6427">
        <w:tc>
          <w:tcPr>
            <w:tcW w:w="2800" w:type="dxa"/>
          </w:tcPr>
          <w:p w14:paraId="0A4E05F3" w14:textId="77777777" w:rsidR="003C755E" w:rsidRPr="001F6427" w:rsidRDefault="003C755E" w:rsidP="009B4490">
            <w:pPr>
              <w:jc w:val="both"/>
              <w:rPr>
                <w:rFonts w:ascii="Nunito" w:hAnsi="Nunito"/>
                <w:sz w:val="16"/>
                <w:szCs w:val="16"/>
              </w:rPr>
            </w:pPr>
            <w:r w:rsidRPr="001F6427">
              <w:rPr>
                <w:rFonts w:ascii="Nunito" w:eastAsia="Arial" w:hAnsi="Nunito" w:cs="Arial"/>
                <w:color w:val="2D2D2D"/>
                <w:sz w:val="16"/>
                <w:szCs w:val="16"/>
              </w:rPr>
              <w:t>Recuperare materiale</w:t>
            </w:r>
          </w:p>
        </w:tc>
        <w:tc>
          <w:tcPr>
            <w:tcW w:w="2100" w:type="dxa"/>
          </w:tcPr>
          <w:p w14:paraId="6E46F0B3" w14:textId="77777777" w:rsidR="003C755E" w:rsidRPr="001F6427" w:rsidRDefault="003C755E" w:rsidP="009B4490">
            <w:pPr>
              <w:jc w:val="both"/>
              <w:rPr>
                <w:rFonts w:ascii="Nunito" w:hAnsi="Nunito"/>
                <w:sz w:val="16"/>
                <w:szCs w:val="16"/>
              </w:rPr>
            </w:pPr>
            <w:r w:rsidRPr="001F6427">
              <w:rPr>
                <w:rFonts w:ascii="Nunito" w:eastAsia="Arial" w:hAnsi="Nunito" w:cs="Arial"/>
                <w:color w:val="C0392B"/>
                <w:sz w:val="16"/>
                <w:szCs w:val="16"/>
              </w:rPr>
              <w:t>10–15%</w:t>
            </w:r>
          </w:p>
        </w:tc>
        <w:tc>
          <w:tcPr>
            <w:tcW w:w="2026" w:type="dxa"/>
          </w:tcPr>
          <w:p w14:paraId="328CF06C" w14:textId="77777777" w:rsidR="003C755E" w:rsidRPr="001F6427" w:rsidRDefault="003C755E" w:rsidP="009B4490">
            <w:pPr>
              <w:jc w:val="both"/>
              <w:rPr>
                <w:rFonts w:ascii="Nunito" w:hAnsi="Nunito"/>
                <w:sz w:val="16"/>
                <w:szCs w:val="16"/>
              </w:rPr>
            </w:pPr>
            <w:r w:rsidRPr="001F6427">
              <w:rPr>
                <w:rFonts w:ascii="Nunito" w:eastAsia="Arial" w:hAnsi="Nunito" w:cs="Arial"/>
                <w:color w:val="2E75B6"/>
                <w:sz w:val="16"/>
                <w:szCs w:val="16"/>
              </w:rPr>
              <w:t>Standard</w:t>
            </w:r>
          </w:p>
        </w:tc>
        <w:tc>
          <w:tcPr>
            <w:tcW w:w="2100" w:type="dxa"/>
          </w:tcPr>
          <w:p w14:paraId="63F04090" w14:textId="77777777" w:rsidR="003C755E" w:rsidRPr="001F6427" w:rsidRDefault="003C755E" w:rsidP="009B4490">
            <w:pPr>
              <w:jc w:val="both"/>
              <w:rPr>
                <w:rFonts w:ascii="Nunito" w:hAnsi="Nunito"/>
                <w:sz w:val="16"/>
                <w:szCs w:val="16"/>
              </w:rPr>
            </w:pPr>
            <w:r w:rsidRPr="001F6427">
              <w:rPr>
                <w:rFonts w:ascii="Nunito" w:eastAsia="Arial" w:hAnsi="Nunito" w:cs="Arial"/>
                <w:color w:val="217346"/>
                <w:sz w:val="16"/>
                <w:szCs w:val="16"/>
              </w:rPr>
              <w:t>+10–15 pp</w:t>
            </w:r>
          </w:p>
        </w:tc>
      </w:tr>
      <w:tr w:rsidR="003C755E" w:rsidRPr="001F6427" w14:paraId="7BA21A8B" w14:textId="77777777" w:rsidTr="001F6427">
        <w:tc>
          <w:tcPr>
            <w:tcW w:w="2800" w:type="dxa"/>
          </w:tcPr>
          <w:p w14:paraId="2F42C0DC" w14:textId="77777777" w:rsidR="003C755E" w:rsidRPr="001F6427" w:rsidRDefault="003C755E" w:rsidP="009B4490">
            <w:pPr>
              <w:jc w:val="both"/>
              <w:rPr>
                <w:rFonts w:ascii="Nunito" w:hAnsi="Nunito"/>
                <w:sz w:val="16"/>
                <w:szCs w:val="16"/>
              </w:rPr>
            </w:pPr>
            <w:r w:rsidRPr="001F6427">
              <w:rPr>
                <w:rFonts w:ascii="Nunito" w:eastAsia="Arial" w:hAnsi="Nunito" w:cs="Arial"/>
                <w:color w:val="2D2D2D"/>
                <w:sz w:val="16"/>
                <w:szCs w:val="16"/>
              </w:rPr>
              <w:t>Captare biogaz</w:t>
            </w:r>
          </w:p>
        </w:tc>
        <w:tc>
          <w:tcPr>
            <w:tcW w:w="2100" w:type="dxa"/>
          </w:tcPr>
          <w:p w14:paraId="2EED8540" w14:textId="77777777" w:rsidR="003C755E" w:rsidRPr="001F6427" w:rsidRDefault="003C755E" w:rsidP="009B4490">
            <w:pPr>
              <w:jc w:val="both"/>
              <w:rPr>
                <w:rFonts w:ascii="Nunito" w:hAnsi="Nunito"/>
                <w:sz w:val="16"/>
                <w:szCs w:val="16"/>
              </w:rPr>
            </w:pPr>
            <w:r w:rsidRPr="001F6427">
              <w:rPr>
                <w:rFonts w:ascii="Nunito" w:eastAsia="Arial" w:hAnsi="Nunito" w:cs="Arial"/>
                <w:color w:val="C0392B"/>
                <w:sz w:val="16"/>
                <w:szCs w:val="16"/>
              </w:rPr>
              <w:t>0</w:t>
            </w:r>
          </w:p>
        </w:tc>
        <w:tc>
          <w:tcPr>
            <w:tcW w:w="2026" w:type="dxa"/>
          </w:tcPr>
          <w:p w14:paraId="691DAD1B" w14:textId="77777777" w:rsidR="003C755E" w:rsidRPr="001F6427" w:rsidRDefault="003C755E" w:rsidP="009B4490">
            <w:pPr>
              <w:jc w:val="both"/>
              <w:rPr>
                <w:rFonts w:ascii="Nunito" w:hAnsi="Nunito"/>
                <w:sz w:val="16"/>
                <w:szCs w:val="16"/>
              </w:rPr>
            </w:pPr>
            <w:r w:rsidRPr="001F6427">
              <w:rPr>
                <w:rFonts w:ascii="Nunito" w:eastAsia="Arial" w:hAnsi="Nunito" w:cs="Arial"/>
                <w:color w:val="2E75B6"/>
                <w:sz w:val="16"/>
                <w:szCs w:val="16"/>
              </w:rPr>
              <w:t>60–70%</w:t>
            </w:r>
          </w:p>
        </w:tc>
        <w:tc>
          <w:tcPr>
            <w:tcW w:w="2100" w:type="dxa"/>
          </w:tcPr>
          <w:p w14:paraId="3286E23D" w14:textId="77777777" w:rsidR="003C755E" w:rsidRPr="001F6427" w:rsidRDefault="003C755E" w:rsidP="009B4490">
            <w:pPr>
              <w:jc w:val="both"/>
              <w:rPr>
                <w:rFonts w:ascii="Nunito" w:hAnsi="Nunito"/>
                <w:sz w:val="16"/>
                <w:szCs w:val="16"/>
              </w:rPr>
            </w:pPr>
            <w:r w:rsidRPr="001F6427">
              <w:rPr>
                <w:rFonts w:ascii="Nunito" w:eastAsia="Arial" w:hAnsi="Nunito" w:cs="Arial"/>
                <w:color w:val="217346"/>
                <w:sz w:val="16"/>
                <w:szCs w:val="16"/>
              </w:rPr>
              <w:t>80–90%</w:t>
            </w:r>
          </w:p>
        </w:tc>
      </w:tr>
      <w:tr w:rsidR="003C755E" w:rsidRPr="001F6427" w14:paraId="49A10FD3" w14:textId="77777777" w:rsidTr="001F6427">
        <w:tc>
          <w:tcPr>
            <w:tcW w:w="2800" w:type="dxa"/>
          </w:tcPr>
          <w:p w14:paraId="14E14547" w14:textId="77777777" w:rsidR="003C755E" w:rsidRPr="001F6427" w:rsidRDefault="003C755E" w:rsidP="009B4490">
            <w:pPr>
              <w:jc w:val="both"/>
              <w:rPr>
                <w:rFonts w:ascii="Nunito" w:hAnsi="Nunito"/>
                <w:sz w:val="16"/>
                <w:szCs w:val="16"/>
              </w:rPr>
            </w:pPr>
            <w:r w:rsidRPr="001F6427">
              <w:rPr>
                <w:rFonts w:ascii="Nunito" w:eastAsia="Arial" w:hAnsi="Nunito" w:cs="Arial"/>
                <w:color w:val="2D2D2D"/>
                <w:sz w:val="16"/>
                <w:szCs w:val="16"/>
              </w:rPr>
              <w:t>Obiective superioare</w:t>
            </w:r>
          </w:p>
        </w:tc>
        <w:tc>
          <w:tcPr>
            <w:tcW w:w="2100" w:type="dxa"/>
          </w:tcPr>
          <w:p w14:paraId="212B7529" w14:textId="77777777" w:rsidR="003C755E" w:rsidRPr="001F6427" w:rsidRDefault="003C755E" w:rsidP="009B4490">
            <w:pPr>
              <w:jc w:val="both"/>
              <w:rPr>
                <w:rFonts w:ascii="Nunito" w:hAnsi="Nunito"/>
                <w:sz w:val="16"/>
                <w:szCs w:val="16"/>
              </w:rPr>
            </w:pPr>
            <w:r w:rsidRPr="001F6427">
              <w:rPr>
                <w:rFonts w:ascii="Nunito" w:eastAsia="Arial" w:hAnsi="Nunito" w:cs="Arial"/>
                <w:color w:val="C0392B"/>
                <w:sz w:val="16"/>
                <w:szCs w:val="16"/>
              </w:rPr>
              <w:t>0 din 17</w:t>
            </w:r>
          </w:p>
        </w:tc>
        <w:tc>
          <w:tcPr>
            <w:tcW w:w="2026" w:type="dxa"/>
          </w:tcPr>
          <w:p w14:paraId="1B3A5A7F" w14:textId="77777777" w:rsidR="003C755E" w:rsidRPr="001F6427" w:rsidRDefault="003C755E" w:rsidP="009B4490">
            <w:pPr>
              <w:jc w:val="both"/>
              <w:rPr>
                <w:rFonts w:ascii="Nunito" w:hAnsi="Nunito"/>
                <w:sz w:val="16"/>
                <w:szCs w:val="16"/>
              </w:rPr>
            </w:pPr>
            <w:r w:rsidRPr="001F6427">
              <w:rPr>
                <w:rFonts w:ascii="Nunito" w:eastAsia="Arial" w:hAnsi="Nunito" w:cs="Arial"/>
                <w:color w:val="2E75B6"/>
                <w:sz w:val="16"/>
                <w:szCs w:val="16"/>
              </w:rPr>
              <w:t>0 din 17</w:t>
            </w:r>
          </w:p>
        </w:tc>
        <w:tc>
          <w:tcPr>
            <w:tcW w:w="2100" w:type="dxa"/>
          </w:tcPr>
          <w:p w14:paraId="28AE813F" w14:textId="77777777" w:rsidR="003C755E" w:rsidRPr="001F6427" w:rsidRDefault="003C755E" w:rsidP="009B4490">
            <w:pPr>
              <w:jc w:val="both"/>
              <w:rPr>
                <w:rFonts w:ascii="Nunito" w:hAnsi="Nunito"/>
                <w:sz w:val="16"/>
                <w:szCs w:val="16"/>
              </w:rPr>
            </w:pPr>
            <w:r w:rsidRPr="001F6427">
              <w:rPr>
                <w:rFonts w:ascii="Nunito" w:eastAsia="Arial" w:hAnsi="Nunito" w:cs="Arial"/>
                <w:color w:val="217346"/>
                <w:sz w:val="16"/>
                <w:szCs w:val="16"/>
              </w:rPr>
              <w:t>12 din 17</w:t>
            </w:r>
          </w:p>
        </w:tc>
      </w:tr>
    </w:tbl>
    <w:p w14:paraId="7BB91CCA" w14:textId="77777777" w:rsidR="003C755E" w:rsidRPr="001F6427" w:rsidRDefault="003C755E" w:rsidP="003C755E">
      <w:pPr>
        <w:pBdr>
          <w:bottom w:val="single" w:sz="3" w:space="2" w:color="D6E8F7"/>
        </w:pBdr>
        <w:spacing w:before="200" w:after="100"/>
        <w:jc w:val="both"/>
        <w:rPr>
          <w:rFonts w:ascii="Nunito" w:hAnsi="Nunito"/>
          <w:color w:val="00B0F0"/>
        </w:rPr>
      </w:pPr>
      <w:r w:rsidRPr="001F6427">
        <w:rPr>
          <w:rFonts w:ascii="Nunito" w:eastAsia="Arial" w:hAnsi="Nunito" w:cs="Arial"/>
          <w:b/>
          <w:bCs/>
          <w:color w:val="00B0F0"/>
        </w:rPr>
        <w:t>Ce este o Instalație Integrată (IITD)?</w:t>
      </w:r>
    </w:p>
    <w:p w14:paraId="0792618E" w14:textId="77777777" w:rsidR="003C755E" w:rsidRPr="001F6427" w:rsidRDefault="003C755E" w:rsidP="003C755E">
      <w:pPr>
        <w:spacing w:after="160"/>
        <w:jc w:val="both"/>
        <w:rPr>
          <w:rFonts w:ascii="Nunito" w:hAnsi="Nunito"/>
        </w:rPr>
      </w:pPr>
      <w:r w:rsidRPr="001F6427">
        <w:rPr>
          <w:rFonts w:ascii="Nunito" w:eastAsia="Arial" w:hAnsi="Nunito" w:cs="Arial"/>
          <w:color w:val="2D2D2D"/>
        </w:rPr>
        <w:t>IITD reunește într-un singur amplasament toate procesele: sortare automatizată (senzori NIR, inteligență artificială), tratare biologică (aerobă și/sau anaerobă), pregătire combustibil din deșeuri (RDF/SRF). Avantaj principal: materialele trec direct dintr-un proces în altul, fără transport intermediar, fără manipulare care le degradează calitatea. Acest concept corespunde tendinței europene documentate în BREF pentru Tratarea Deșeurilor (JRC, 2018) și este deja operațional în Austria (Zistersdorf), Germania (Kassel) și Danemarca (Amager Bakke).</w:t>
      </w:r>
    </w:p>
    <w:p w14:paraId="63BBD4EA" w14:textId="16DDE0C7" w:rsidR="003C755E" w:rsidRPr="001F6427" w:rsidRDefault="003C755E" w:rsidP="003C755E">
      <w:pPr>
        <w:pBdr>
          <w:bottom w:val="single" w:sz="3" w:space="2" w:color="D6E8F7"/>
        </w:pBdr>
        <w:spacing w:before="200" w:after="100"/>
        <w:jc w:val="both"/>
        <w:rPr>
          <w:rFonts w:ascii="Nunito" w:hAnsi="Nunito"/>
          <w:color w:val="00B0F0"/>
        </w:rPr>
      </w:pPr>
      <w:r w:rsidRPr="001F6427">
        <w:rPr>
          <w:rFonts w:ascii="Nunito" w:eastAsia="Arial" w:hAnsi="Nunito" w:cs="Arial"/>
          <w:b/>
          <w:bCs/>
          <w:color w:val="00B0F0"/>
        </w:rPr>
        <w:t xml:space="preserve">De ce </w:t>
      </w:r>
      <w:r w:rsidR="001F6427">
        <w:rPr>
          <w:rFonts w:ascii="Nunito" w:eastAsia="Arial" w:hAnsi="Nunito" w:cs="Arial"/>
          <w:b/>
          <w:bCs/>
          <w:color w:val="00B0F0"/>
        </w:rPr>
        <w:t xml:space="preserve">Alternativa 2 cu </w:t>
      </w:r>
      <w:r w:rsidRPr="001F6427">
        <w:rPr>
          <w:rFonts w:ascii="Nunito" w:eastAsia="Arial" w:hAnsi="Nunito" w:cs="Arial"/>
          <w:b/>
          <w:bCs/>
          <w:color w:val="00B0F0"/>
        </w:rPr>
        <w:t>soluția integrată este superioară?</w:t>
      </w:r>
    </w:p>
    <w:p w14:paraId="37E40207" w14:textId="77777777" w:rsidR="003C755E" w:rsidRPr="001F6427" w:rsidRDefault="003C755E" w:rsidP="003C755E">
      <w:pPr>
        <w:pStyle w:val="ListParagraph"/>
        <w:numPr>
          <w:ilvl w:val="0"/>
          <w:numId w:val="361"/>
        </w:numPr>
        <w:spacing w:after="80" w:line="240" w:lineRule="auto"/>
        <w:contextualSpacing w:val="0"/>
        <w:jc w:val="both"/>
        <w:rPr>
          <w:rFonts w:ascii="Nunito" w:hAnsi="Nunito"/>
        </w:rPr>
      </w:pPr>
      <w:r w:rsidRPr="001F6427">
        <w:rPr>
          <w:rFonts w:ascii="Nunito" w:eastAsia="Arial" w:hAnsi="Nunito" w:cs="Arial"/>
          <w:color w:val="2D2D2D"/>
        </w:rPr>
        <w:t>Scor de mediu dublu: +26 vs +13 pe 17 obiective; superioară pe 12, echivalentă pe 5</w:t>
      </w:r>
    </w:p>
    <w:p w14:paraId="412EAB66" w14:textId="77777777" w:rsidR="003C755E" w:rsidRPr="001F6427" w:rsidRDefault="003C755E" w:rsidP="003C755E">
      <w:pPr>
        <w:pStyle w:val="ListParagraph"/>
        <w:numPr>
          <w:ilvl w:val="0"/>
          <w:numId w:val="361"/>
        </w:numPr>
        <w:spacing w:after="80" w:line="240" w:lineRule="auto"/>
        <w:contextualSpacing w:val="0"/>
        <w:jc w:val="both"/>
        <w:rPr>
          <w:rFonts w:ascii="Nunito" w:hAnsi="Nunito"/>
        </w:rPr>
      </w:pPr>
      <w:r w:rsidRPr="001F6427">
        <w:rPr>
          <w:rFonts w:ascii="Nunito" w:eastAsia="Arial" w:hAnsi="Nunito" w:cs="Arial"/>
          <w:color w:val="2D2D2D"/>
        </w:rPr>
        <w:t>573 milioane € economie de investiții (22% mai puțin) – fără compromis pe performanță</w:t>
      </w:r>
    </w:p>
    <w:p w14:paraId="36722E43" w14:textId="77777777" w:rsidR="003C755E" w:rsidRPr="001F6427" w:rsidRDefault="003C755E" w:rsidP="003C755E">
      <w:pPr>
        <w:pStyle w:val="ListParagraph"/>
        <w:numPr>
          <w:ilvl w:val="0"/>
          <w:numId w:val="361"/>
        </w:numPr>
        <w:spacing w:after="80" w:line="240" w:lineRule="auto"/>
        <w:contextualSpacing w:val="0"/>
        <w:jc w:val="both"/>
        <w:rPr>
          <w:rFonts w:ascii="Nunito" w:hAnsi="Nunito"/>
        </w:rPr>
      </w:pPr>
      <w:r w:rsidRPr="001F6427">
        <w:rPr>
          <w:rFonts w:ascii="Nunito" w:eastAsia="Arial" w:hAnsi="Nunito" w:cs="Arial"/>
          <w:color w:val="2D2D2D"/>
        </w:rPr>
        <w:t>Reducere emisii CO₂ cu 1,1 Mt/an (vs 0,6–0,7 Mt) – diferență de 400–500 kt CO₂e/an</w:t>
      </w:r>
    </w:p>
    <w:p w14:paraId="5565A1BF" w14:textId="77777777" w:rsidR="003C755E" w:rsidRPr="001F6427" w:rsidRDefault="003C755E" w:rsidP="003C755E">
      <w:pPr>
        <w:pStyle w:val="ListParagraph"/>
        <w:numPr>
          <w:ilvl w:val="0"/>
          <w:numId w:val="361"/>
        </w:numPr>
        <w:spacing w:after="80" w:line="240" w:lineRule="auto"/>
        <w:contextualSpacing w:val="0"/>
        <w:jc w:val="both"/>
        <w:rPr>
          <w:rFonts w:ascii="Nunito" w:hAnsi="Nunito"/>
        </w:rPr>
      </w:pPr>
      <w:r w:rsidRPr="001F6427">
        <w:rPr>
          <w:rFonts w:ascii="Nunito" w:eastAsia="Arial" w:hAnsi="Nunito" w:cs="Arial"/>
          <w:color w:val="2D2D2D"/>
        </w:rPr>
        <w:t>Eliminarea transportului intermediar (−30–40% tonaj-km) – transformă impactul pe OM16 din negativ în pozitiv</w:t>
      </w:r>
    </w:p>
    <w:p w14:paraId="36FAFB52" w14:textId="77777777" w:rsidR="003C755E" w:rsidRPr="001F6427" w:rsidRDefault="003C755E" w:rsidP="003C755E">
      <w:pPr>
        <w:pStyle w:val="ListParagraph"/>
        <w:numPr>
          <w:ilvl w:val="0"/>
          <w:numId w:val="361"/>
        </w:numPr>
        <w:spacing w:after="80" w:line="240" w:lineRule="auto"/>
        <w:contextualSpacing w:val="0"/>
        <w:jc w:val="both"/>
        <w:rPr>
          <w:rFonts w:ascii="Nunito" w:hAnsi="Nunito"/>
        </w:rPr>
      </w:pPr>
      <w:r w:rsidRPr="001F6427">
        <w:rPr>
          <w:rFonts w:ascii="Nunito" w:eastAsia="Arial" w:hAnsi="Nunito" w:cs="Arial"/>
          <w:color w:val="2D2D2D"/>
        </w:rPr>
        <w:t>Sortare automatizată recuperează cu 10–15% mai multe materiale</w:t>
      </w:r>
    </w:p>
    <w:p w14:paraId="558857F2" w14:textId="77777777" w:rsidR="003C755E" w:rsidRPr="001F6427" w:rsidRDefault="003C755E" w:rsidP="003C755E">
      <w:pPr>
        <w:pStyle w:val="ListParagraph"/>
        <w:numPr>
          <w:ilvl w:val="0"/>
          <w:numId w:val="361"/>
        </w:numPr>
        <w:spacing w:after="80" w:line="240" w:lineRule="auto"/>
        <w:contextualSpacing w:val="0"/>
        <w:jc w:val="both"/>
        <w:rPr>
          <w:rFonts w:ascii="Nunito" w:hAnsi="Nunito"/>
        </w:rPr>
      </w:pPr>
      <w:r w:rsidRPr="001F6427">
        <w:rPr>
          <w:rFonts w:ascii="Nunito" w:eastAsia="Arial" w:hAnsi="Nunito" w:cs="Arial"/>
          <w:color w:val="2D2D2D"/>
        </w:rPr>
        <w:t>Un singur sistem centralizat de captare și monitorizare emisii – mai eficient și mai ușor de controlat</w:t>
      </w:r>
    </w:p>
    <w:p w14:paraId="6AA2D2FA" w14:textId="77777777" w:rsidR="003C755E" w:rsidRPr="001F6427" w:rsidRDefault="003C755E" w:rsidP="003C755E">
      <w:pPr>
        <w:pStyle w:val="ListParagraph"/>
        <w:numPr>
          <w:ilvl w:val="0"/>
          <w:numId w:val="361"/>
        </w:numPr>
        <w:spacing w:after="80" w:line="240" w:lineRule="auto"/>
        <w:contextualSpacing w:val="0"/>
        <w:jc w:val="both"/>
        <w:rPr>
          <w:rFonts w:ascii="Nunito" w:hAnsi="Nunito"/>
        </w:rPr>
      </w:pPr>
      <w:r w:rsidRPr="001F6427">
        <w:rPr>
          <w:rFonts w:ascii="Nunito" w:eastAsia="Arial" w:hAnsi="Nunito" w:cs="Arial"/>
          <w:color w:val="2D2D2D"/>
        </w:rPr>
        <w:t>Amprentă spațială cu 30–40% mai mică – mai puțin teren ocupat, impact vizual redus</w:t>
      </w:r>
    </w:p>
    <w:p w14:paraId="0384A886" w14:textId="77777777" w:rsidR="003C755E" w:rsidRPr="001F6427" w:rsidRDefault="003C755E" w:rsidP="003C755E">
      <w:pPr>
        <w:pStyle w:val="ListParagraph"/>
        <w:numPr>
          <w:ilvl w:val="0"/>
          <w:numId w:val="361"/>
        </w:numPr>
        <w:spacing w:after="80" w:line="240" w:lineRule="auto"/>
        <w:contextualSpacing w:val="0"/>
        <w:jc w:val="both"/>
        <w:rPr>
          <w:rFonts w:ascii="Nunito" w:hAnsi="Nunito"/>
        </w:rPr>
      </w:pPr>
      <w:r w:rsidRPr="001F6427">
        <w:rPr>
          <w:rFonts w:ascii="Nunito" w:eastAsia="Arial" w:hAnsi="Nunito" w:cs="Arial"/>
          <w:color w:val="2D2D2D"/>
        </w:rPr>
        <w:lastRenderedPageBreak/>
        <w:t>Producție de biometan viabilă doar la scara IITD – autosuficiență energetică posibilă</w:t>
      </w:r>
    </w:p>
    <w:p w14:paraId="1341DF25" w14:textId="77777777" w:rsidR="003C755E" w:rsidRPr="001F6427" w:rsidRDefault="003C755E" w:rsidP="003C755E">
      <w:pPr>
        <w:spacing w:before="80"/>
        <w:jc w:val="both"/>
        <w:rPr>
          <w:rFonts w:ascii="Nunito" w:hAnsi="Nuni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755E" w:rsidRPr="001F6427" w14:paraId="25AC34F0" w14:textId="77777777" w:rsidTr="001F6427">
        <w:tc>
          <w:tcPr>
            <w:tcW w:w="9026" w:type="dxa"/>
            <w:tcBorders>
              <w:top w:val="none" w:sz="0" w:space="0" w:color="FFFFFF"/>
              <w:left w:val="none" w:sz="0" w:space="0" w:color="FFFFFF"/>
              <w:bottom w:val="none" w:sz="0" w:space="0" w:color="FFFFFF"/>
              <w:right w:val="none" w:sz="0" w:space="0" w:color="FFFFFF"/>
            </w:tcBorders>
            <w:shd w:val="clear" w:color="auto" w:fill="D9D9D9" w:themeFill="background1" w:themeFillShade="D9"/>
            <w:tcMar>
              <w:top w:w="120" w:type="dxa"/>
              <w:left w:w="200" w:type="dxa"/>
              <w:bottom w:w="120" w:type="dxa"/>
              <w:right w:w="200" w:type="dxa"/>
            </w:tcMar>
          </w:tcPr>
          <w:p w14:paraId="611A4656" w14:textId="77777777" w:rsidR="003C755E" w:rsidRPr="001F6427" w:rsidRDefault="003C755E" w:rsidP="009B4490">
            <w:pPr>
              <w:spacing w:after="80"/>
              <w:jc w:val="both"/>
              <w:rPr>
                <w:rFonts w:ascii="Nunito" w:hAnsi="Nunito"/>
              </w:rPr>
            </w:pPr>
            <w:r w:rsidRPr="001F6427">
              <w:rPr>
                <w:rFonts w:ascii="Nunito" w:eastAsia="Arial" w:hAnsi="Nunito" w:cs="Arial"/>
                <w:b/>
                <w:bCs/>
                <w:color w:val="217346"/>
              </w:rPr>
              <w:t>RECOMANDAREA EVALUĂRII: ALTERNATIVA 2 – IITD</w:t>
            </w:r>
          </w:p>
          <w:p w14:paraId="48093E6A" w14:textId="77777777" w:rsidR="003C755E" w:rsidRPr="001F6427" w:rsidRDefault="003C755E" w:rsidP="009B4490">
            <w:pPr>
              <w:jc w:val="both"/>
              <w:rPr>
                <w:rFonts w:ascii="Nunito" w:hAnsi="Nunito"/>
              </w:rPr>
            </w:pPr>
            <w:r w:rsidRPr="001F6427">
              <w:rPr>
                <w:rFonts w:ascii="Nunito" w:eastAsia="Arial" w:hAnsi="Nunito" w:cs="Arial"/>
                <w:color w:val="2D2D2D"/>
              </w:rPr>
              <w:t>Bazată pe: performanță de mediu superioară (scor +26 vs +13), cost mai mic (2.023 vs 2.596 mil. €), reducere GES semnificativ mai mare (1,1 vs 0,7 Mt CO₂e/an). Implementarea va fi însoțită de 65 de măsuri de prevenire și 90 de indicatori de monitorizare.</w:t>
            </w:r>
          </w:p>
        </w:tc>
      </w:tr>
    </w:tbl>
    <w:p w14:paraId="5A779927" w14:textId="77777777" w:rsidR="003C755E" w:rsidRPr="001F6427" w:rsidRDefault="003C755E" w:rsidP="003C755E">
      <w:pPr>
        <w:spacing w:before="60"/>
        <w:jc w:val="both"/>
        <w:rPr>
          <w:rFonts w:ascii="Nunito" w:hAnsi="Nunito"/>
        </w:rPr>
      </w:pPr>
    </w:p>
    <w:tbl>
      <w:tblPr>
        <w:tblW w:w="9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7"/>
      </w:tblGrid>
      <w:tr w:rsidR="001F6427" w:rsidRPr="001F6427" w14:paraId="5DD1B14E" w14:textId="77777777" w:rsidTr="001F6427">
        <w:trPr>
          <w:trHeight w:val="341"/>
        </w:trPr>
        <w:tc>
          <w:tcPr>
            <w:tcW w:w="9477" w:type="dxa"/>
            <w:tcBorders>
              <w:top w:val="none" w:sz="0" w:space="0" w:color="FFFFFF"/>
              <w:left w:val="none" w:sz="0" w:space="0" w:color="FFFFFF"/>
              <w:bottom w:val="none" w:sz="0" w:space="0" w:color="FFFFFF"/>
              <w:right w:val="none" w:sz="0" w:space="0" w:color="FFFFFF"/>
            </w:tcBorders>
            <w:shd w:val="clear" w:color="auto" w:fill="FDF0E6"/>
            <w:tcMar>
              <w:top w:w="80" w:type="dxa"/>
              <w:left w:w="160" w:type="dxa"/>
              <w:bottom w:w="80" w:type="dxa"/>
              <w:right w:w="160" w:type="dxa"/>
            </w:tcMar>
            <w:vAlign w:val="center"/>
          </w:tcPr>
          <w:p w14:paraId="335EFB0B" w14:textId="6607B7DA" w:rsidR="001F6427" w:rsidRPr="001F6427" w:rsidRDefault="001F6427" w:rsidP="009B4490">
            <w:pPr>
              <w:jc w:val="both"/>
              <w:rPr>
                <w:rFonts w:ascii="Nunito" w:hAnsi="Nunito"/>
              </w:rPr>
            </w:pPr>
            <w:r w:rsidRPr="001F6427">
              <w:rPr>
                <w:rFonts w:ascii="Nunito" w:eastAsia="Arial" w:hAnsi="Nunito" w:cs="Arial"/>
                <w:color w:val="2D2D2D"/>
              </w:rPr>
              <w:t>Soluția integrată costă mai puțin și protejează mediul mai bine. Nu există niciun obiectiv în care varianta modulară ar fi preferabilă.</w:t>
            </w:r>
          </w:p>
        </w:tc>
      </w:tr>
    </w:tbl>
    <w:p w14:paraId="508BF525" w14:textId="0BB03DC4" w:rsidR="003C755E" w:rsidRPr="00284CF4" w:rsidRDefault="003C755E" w:rsidP="003C755E">
      <w:pPr>
        <w:jc w:val="both"/>
        <w:rPr>
          <w:rFonts w:ascii="Nunito" w:hAnsi="Nunito"/>
        </w:rPr>
      </w:pPr>
    </w:p>
    <w:p w14:paraId="373789B3" w14:textId="77777777" w:rsidR="005E281E" w:rsidRDefault="005E281E" w:rsidP="002C6059">
      <w:pPr>
        <w:rPr>
          <w:bCs/>
          <w:lang w:val="ro-RO"/>
        </w:rPr>
      </w:pPr>
    </w:p>
    <w:p w14:paraId="6B699FA4" w14:textId="64B860AE" w:rsidR="005E281E" w:rsidRPr="001F6427" w:rsidRDefault="001F6427" w:rsidP="001F6427">
      <w:pPr>
        <w:pStyle w:val="ListParagraph"/>
        <w:numPr>
          <w:ilvl w:val="0"/>
          <w:numId w:val="363"/>
        </w:numPr>
        <w:spacing w:after="160"/>
        <w:ind w:left="567" w:hanging="567"/>
        <w:rPr>
          <w:b/>
          <w:color w:val="00B0F0"/>
          <w:lang w:val="ro-RO"/>
        </w:rPr>
      </w:pPr>
      <w:r w:rsidRPr="001F6427">
        <w:rPr>
          <w:b/>
          <w:color w:val="00B0F0"/>
          <w:lang w:val="ro-RO"/>
        </w:rPr>
        <w:t>Concluzii. Ce trebuie reținut</w:t>
      </w:r>
    </w:p>
    <w:p w14:paraId="1172392A" w14:textId="77777777" w:rsidR="001F6427" w:rsidRDefault="001F6427" w:rsidP="002C6059">
      <w:pPr>
        <w:rPr>
          <w:bCs/>
          <w:lang w:val="ro-RO"/>
        </w:rPr>
      </w:pPr>
    </w:p>
    <w:p w14:paraId="1CEDE748"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Raportul de Mediu a evaluat în detaliu efectele pe care Planul Național de Gestionare a Deșeurilor le-ar putea avea asupra mediului înconjurător, analizând 136 de acțiuni în raport cu 17 obiective de protecție a mediului, comparând trei alternative de implementare și propunând măsuri pentru prevenirea și reducerea oricăror efecte negative.</w:t>
      </w:r>
    </w:p>
    <w:p w14:paraId="24E3E5C1" w14:textId="77777777" w:rsidR="001F6427" w:rsidRPr="001F6427" w:rsidRDefault="001F6427" w:rsidP="001F6427">
      <w:pPr>
        <w:pBdr>
          <w:bottom w:val="single" w:sz="3" w:space="2" w:color="D6E8F7"/>
        </w:pBdr>
        <w:spacing w:before="200" w:after="100"/>
        <w:jc w:val="both"/>
        <w:rPr>
          <w:rFonts w:ascii="Nunito" w:hAnsi="Nunito"/>
          <w:color w:val="00B0F0"/>
        </w:rPr>
      </w:pPr>
      <w:r w:rsidRPr="001F6427">
        <w:rPr>
          <w:rFonts w:ascii="Nunito" w:eastAsia="Arial" w:hAnsi="Nunito" w:cs="Arial"/>
          <w:b/>
          <w:bCs/>
          <w:color w:val="00B0F0"/>
        </w:rPr>
        <w:t>Starea mediului impune acțiune urgentă</w:t>
      </w:r>
    </w:p>
    <w:p w14:paraId="55F1ED83"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Analiza stării actuale a mediului confirmă că gestionarea deficitară a deșeurilor produce deja efecte negative grave și măsurabile. Aproape două treimi din apele de suprafață monitorizate nu ating calitatea ecologică bună, peste 60% din soluri sunt considerate nesănătoase, iar sectorul deșeurilor este singurul sector major în care emisiile de gaze cu efect de seră cresc în termeni absoluți. Poluarea mediului este corelată cu aproximativ 34.700 de decese premature pe an, iar depozitările ilegale au explodat de 84 de ori într-un singur an. Aceste cifre demonstrează că menținerea situației actuale nu este o opțiune viabilă.</w:t>
      </w:r>
    </w:p>
    <w:p w14:paraId="3185783B" w14:textId="77777777" w:rsidR="001F6427" w:rsidRPr="001F6427" w:rsidRDefault="001F6427" w:rsidP="001F6427">
      <w:pPr>
        <w:pBdr>
          <w:bottom w:val="single" w:sz="3" w:space="2" w:color="D6E8F7"/>
        </w:pBdr>
        <w:spacing w:before="200" w:after="100"/>
        <w:jc w:val="both"/>
        <w:rPr>
          <w:rFonts w:ascii="Nunito" w:hAnsi="Nunito"/>
          <w:color w:val="00B0F0"/>
        </w:rPr>
      </w:pPr>
      <w:r w:rsidRPr="001F6427">
        <w:rPr>
          <w:rFonts w:ascii="Nunito" w:eastAsia="Arial" w:hAnsi="Nunito" w:cs="Arial"/>
          <w:b/>
          <w:bCs/>
          <w:color w:val="00B0F0"/>
        </w:rPr>
        <w:t>Planul aduce beneficii clare și măsurabile pentru mediu</w:t>
      </w:r>
    </w:p>
    <w:p w14:paraId="686234D1"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Evaluarea strategică arată că implementarea PNGD va avea un efect net pozitiv asupra mediului, cu un raport de 4 efecte pozitive la fiecare efect negativ. Cele mai importante beneficii includ: închiderea celor 9 depozite neconforme (care va reduce simultan poluarea apei, solului și aerului), extinderea colectării separate și a tratării biologice a biodeșeurilor (care va diminua drastic emisiile de metan și va produce compost util pentru agricultura românească), și asigurarea acoperirii universale cu servicii de salubritate (care va elimina arderile necontrolate și abandonul de deșeuri în natură). Din punct de vedere climatic, varianta de implementare recomandată ar reduce emisiile cu aproximativ 1,1 milioane de tone de CO₂ echivalent pe an, ceea ce înseamnă o contribuție semnificativă la îndeplinirea angajamentelor României față de Uniunea Europeană.</w:t>
      </w:r>
    </w:p>
    <w:p w14:paraId="4B3BD6AF" w14:textId="77777777" w:rsidR="001F6427" w:rsidRPr="001F6427" w:rsidRDefault="001F6427" w:rsidP="001F6427">
      <w:pPr>
        <w:pBdr>
          <w:bottom w:val="single" w:sz="3" w:space="2" w:color="D6E8F7"/>
        </w:pBdr>
        <w:spacing w:before="200" w:after="100"/>
        <w:jc w:val="both"/>
        <w:rPr>
          <w:rFonts w:ascii="Nunito" w:eastAsia="Arial" w:hAnsi="Nunito" w:cs="Arial"/>
          <w:b/>
          <w:bCs/>
          <w:color w:val="00B0F0"/>
        </w:rPr>
      </w:pPr>
      <w:r w:rsidRPr="001F6427">
        <w:rPr>
          <w:rFonts w:ascii="Nunito" w:eastAsia="Arial" w:hAnsi="Nunito" w:cs="Arial"/>
          <w:b/>
          <w:bCs/>
          <w:color w:val="00B0F0"/>
        </w:rPr>
        <w:t>Efectele negative sunt puține și controlabile</w:t>
      </w:r>
    </w:p>
    <w:p w14:paraId="51A7D29D"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Din totalul evaluărilor realizate, sub 1% au identificat efecte negative semnificative. Acestea privesc în principal emisiile în aer ale viitoarelor instalații de valorificare energetică, ocuparea de teren pentru noile instalații și impactul vizual cumulat al infrastrucurii de deșeuri. Pentru fiecare dintre aceste efecte, raportul propune măsuri obligatorii și bune practici concrete, cu termene, responsabili și indicatori de verificare. Cele 65 de măsuri de prevenire și 90 de indicatori de monitorizare asigură că efectele negative sunt gestionate pe întreaga durată a planului și dincolo de aceasta.</w:t>
      </w:r>
    </w:p>
    <w:p w14:paraId="0CAFD95B" w14:textId="77777777" w:rsidR="001F6427" w:rsidRPr="001F6427" w:rsidRDefault="001F6427" w:rsidP="001F6427">
      <w:pPr>
        <w:pBdr>
          <w:bottom w:val="single" w:sz="3" w:space="2" w:color="D6E8F7"/>
        </w:pBdr>
        <w:spacing w:before="200" w:after="100"/>
        <w:jc w:val="both"/>
        <w:rPr>
          <w:rFonts w:ascii="Nunito" w:eastAsia="Arial" w:hAnsi="Nunito" w:cs="Arial"/>
          <w:b/>
          <w:bCs/>
          <w:color w:val="00B0F0"/>
        </w:rPr>
      </w:pPr>
      <w:r w:rsidRPr="001F6427">
        <w:rPr>
          <w:rFonts w:ascii="Nunito" w:eastAsia="Arial" w:hAnsi="Nunito" w:cs="Arial"/>
          <w:b/>
          <w:bCs/>
          <w:color w:val="00B0F0"/>
        </w:rPr>
        <w:t>Soluția integrată (IITD) este cea mai performantă</w:t>
      </w:r>
    </w:p>
    <w:p w14:paraId="513225EA"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Compararea celor trei alternative de implementare a demonstrat cu claritate că soluția bazată pe Instalații Integrate de Tratare a Deșeurilor (IITD) este superioară pe toate planurile. Ea obține un scor de mediu dublu față de varianta modulară (+26 vs +13), costă cu 573 milioane de euro mai puțin, reduce emisiile de gaze cu efect de seră cu aproape jumătate în plus (1,1 vs 0,7 milioane tone CO₂e/an), diminuează transportul intermediar cu 30–40% și recuperează cu 10–15 puncte procentuale mai multe materiale reciclabile. Nu există niciun obiectiv de mediu în care varianta modulară ar fi preferabilă celei integrate.</w:t>
      </w:r>
    </w:p>
    <w:p w14:paraId="79F2DAA3" w14:textId="77777777" w:rsidR="001F6427" w:rsidRPr="001F6427" w:rsidRDefault="001F6427" w:rsidP="001F6427">
      <w:pPr>
        <w:pBdr>
          <w:bottom w:val="single" w:sz="3" w:space="2" w:color="D6E8F7"/>
        </w:pBdr>
        <w:spacing w:before="200" w:after="100"/>
        <w:jc w:val="both"/>
        <w:rPr>
          <w:rFonts w:ascii="Nunito" w:hAnsi="Nunito"/>
          <w:b/>
          <w:bCs/>
          <w:color w:val="00B0F0"/>
        </w:rPr>
      </w:pPr>
      <w:r w:rsidRPr="001F6427">
        <w:rPr>
          <w:rFonts w:ascii="Nunito" w:hAnsi="Nunito"/>
          <w:b/>
          <w:bCs/>
          <w:color w:val="00B0F0"/>
        </w:rPr>
        <w:lastRenderedPageBreak/>
        <w:t>Nu există efecte transfrontaliere semnificative</w:t>
      </w:r>
    </w:p>
    <w:p w14:paraId="74BA9E11"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Analiza a confirmat că implementarea planului nu va genera efecte negative semnificative asupra mediului din țările vecine. Dimpotrivă, reducerea poluării apelor și aerului pe teritoriul României va avea efecte pozitive și pentru statele din aval, în special Bulgaria, care este integral situată în aval pe cursul Dunării.</w:t>
      </w:r>
    </w:p>
    <w:p w14:paraId="0AF224CE" w14:textId="77777777" w:rsidR="001F6427" w:rsidRPr="001F6427" w:rsidRDefault="001F6427" w:rsidP="001F6427">
      <w:pPr>
        <w:pBdr>
          <w:bottom w:val="single" w:sz="3" w:space="2" w:color="D6E8F7"/>
        </w:pBdr>
        <w:spacing w:before="200" w:after="100"/>
        <w:jc w:val="both"/>
        <w:rPr>
          <w:rFonts w:ascii="Nunito" w:hAnsi="Nunito"/>
          <w:b/>
          <w:bCs/>
          <w:color w:val="00B0F0"/>
        </w:rPr>
      </w:pPr>
      <w:r w:rsidRPr="001F6427">
        <w:rPr>
          <w:rFonts w:ascii="Nunito" w:hAnsi="Nunito"/>
          <w:b/>
          <w:bCs/>
          <w:color w:val="00B0F0"/>
        </w:rPr>
        <w:t>Neimplementarea planului are consecințe grave</w:t>
      </w:r>
    </w:p>
    <w:p w14:paraId="067A96CE"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Scenariul fără plan (Alternativa 0) generează efecte negative pe 13 din 17 obiective de mediu, cu un scor agregat de −25. Menținerea situației actuale ar însemna continuarea depozitării a 74% din deșeuri, perpetuarea poluării apelor și solului, acumularea a peste 12 milioane de tone de emisii de CO₂ evitabile pe orizontul 2025–2035, și expunerea României la penalități europene estimate la 200.000–800.000 de euro pe zi, precum și la pierderea finanțărilor PNRR. Costurile neacționării depășesc cu mult costurile implementării integrale a planului.</w:t>
      </w:r>
    </w:p>
    <w:p w14:paraId="73AA9251" w14:textId="77777777" w:rsidR="001F6427" w:rsidRPr="001F6427" w:rsidRDefault="001F6427" w:rsidP="001F6427">
      <w:pPr>
        <w:spacing w:before="120"/>
        <w:rPr>
          <w:rFonts w:ascii="Nunito" w:hAnsi="Nunito"/>
          <w:b/>
          <w:bCs/>
          <w:color w:val="00B0F0"/>
        </w:rPr>
      </w:pPr>
      <w:r w:rsidRPr="001F6427">
        <w:rPr>
          <w:rFonts w:ascii="Nunito" w:hAnsi="Nunito"/>
          <w:b/>
          <w:bCs/>
          <w:color w:val="00B0F0"/>
        </w:rPr>
        <w:t>Recomandarea evaluării strategice de mediu</w:t>
      </w:r>
    </w:p>
    <w:p w14:paraId="71BC2130" w14:textId="77777777" w:rsidR="001F6427" w:rsidRPr="001F6427" w:rsidRDefault="001F6427" w:rsidP="001F6427">
      <w:pPr>
        <w:spacing w:after="160"/>
        <w:jc w:val="both"/>
        <w:rPr>
          <w:rFonts w:ascii="Nunito" w:hAnsi="Nunito"/>
        </w:rPr>
      </w:pPr>
      <w:r w:rsidRPr="001F6427">
        <w:rPr>
          <w:rFonts w:ascii="Nunito" w:eastAsia="Arial" w:hAnsi="Nunito" w:cs="Arial"/>
          <w:color w:val="2D2D2D"/>
        </w:rPr>
        <w:t>Pe baza tuturor analizelor prezentate, evaluarea strategică de mediu recomandă adoptarea Planului Național de Gestionare a Deșeurilor 2026–2035, cu implementarea prin Alternativa 2 – Instalații Integrate de Tratare a Deșeurilor (IITD). Această recomandare se întemeiază pe convergența a trei argumente: performanța de mediu superioară, costul de investiții mai redus și reducerea semnificativ mai mare a emisiilor de gaze cu efect de seră. Implementarea va fi însoțită de cele 65 de măsuri de prevenire și de programul de monitorizare cu 90 de indicatori, care asigură că tranziția către un sistem modern de gestionare a deșeurilor se va face protejând mediul înconjurător și sănătatea populației.</w:t>
      </w:r>
    </w:p>
    <w:p w14:paraId="733868FA" w14:textId="41506DE0" w:rsidR="001F6427" w:rsidRPr="001F6427" w:rsidRDefault="001F6427" w:rsidP="001F6427">
      <w:pPr>
        <w:spacing w:before="120"/>
        <w:rPr>
          <w:rFonts w:ascii="Nunito" w:hAnsi="Nunito"/>
          <w:b/>
          <w:bCs/>
          <w:color w:val="00B0F0"/>
        </w:rPr>
      </w:pPr>
      <w:r w:rsidRPr="001F6427">
        <w:rPr>
          <w:rFonts w:ascii="Nunito" w:hAnsi="Nunito"/>
          <w:b/>
          <w:bCs/>
          <w:color w:val="00B0F0"/>
        </w:rPr>
        <w:t>Sinteză – 8 puncte esențiale</w:t>
      </w:r>
    </w:p>
    <w:p w14:paraId="0200AAF2" w14:textId="77777777" w:rsidR="001F6427" w:rsidRPr="001F6427" w:rsidRDefault="001F6427" w:rsidP="001F6427">
      <w:pPr>
        <w:spacing w:before="120"/>
        <w:rPr>
          <w:b/>
          <w:bCs/>
          <w:color w:val="00B0F0"/>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
        <w:gridCol w:w="9112"/>
      </w:tblGrid>
      <w:tr w:rsidR="001F6427" w:rsidRPr="001F6427" w14:paraId="714B3C2D" w14:textId="77777777" w:rsidTr="001F6427">
        <w:trPr>
          <w:trHeight w:val="496"/>
        </w:trPr>
        <w:tc>
          <w:tcPr>
            <w:tcW w:w="648" w:type="dxa"/>
            <w:tcBorders>
              <w:top w:val="none" w:sz="0" w:space="0" w:color="FFFFFF"/>
              <w:left w:val="none" w:sz="0" w:space="0" w:color="FFFFFF"/>
              <w:bottom w:val="none" w:sz="0" w:space="0" w:color="FFFFFF"/>
              <w:right w:val="none" w:sz="0" w:space="0" w:color="FFFFFF"/>
            </w:tcBorders>
            <w:shd w:val="clear" w:color="auto" w:fill="1B3A5C"/>
            <w:tcMar>
              <w:top w:w="80" w:type="dxa"/>
              <w:left w:w="160" w:type="dxa"/>
              <w:bottom w:w="80" w:type="dxa"/>
              <w:right w:w="160" w:type="dxa"/>
            </w:tcMar>
            <w:vAlign w:val="center"/>
          </w:tcPr>
          <w:p w14:paraId="56203428" w14:textId="77777777" w:rsidR="001F6427" w:rsidRPr="001F6427" w:rsidRDefault="001F6427" w:rsidP="009B4490">
            <w:pPr>
              <w:jc w:val="center"/>
              <w:rPr>
                <w:rFonts w:asciiTheme="majorHAnsi" w:hAnsiTheme="majorHAnsi"/>
                <w:sz w:val="16"/>
                <w:szCs w:val="16"/>
              </w:rPr>
            </w:pPr>
            <w:r w:rsidRPr="001F6427">
              <w:rPr>
                <w:rFonts w:ascii="Cambria Math" w:eastAsia="Arial" w:hAnsi="Cambria Math" w:cs="Cambria Math"/>
                <w:b/>
                <w:bCs/>
                <w:color w:val="FFFFFF"/>
                <w:sz w:val="16"/>
                <w:szCs w:val="16"/>
              </w:rPr>
              <w:t>①</w:t>
            </w:r>
          </w:p>
        </w:tc>
        <w:tc>
          <w:tcPr>
            <w:tcW w:w="9112" w:type="dxa"/>
            <w:tcBorders>
              <w:top w:val="none" w:sz="0" w:space="0" w:color="FFFFFF"/>
              <w:left w:val="none" w:sz="0" w:space="0" w:color="FFFFFF"/>
              <w:bottom w:val="none" w:sz="0" w:space="0" w:color="FFFFFF"/>
              <w:right w:val="none" w:sz="0" w:space="0" w:color="FFFFFF"/>
            </w:tcBorders>
            <w:shd w:val="clear" w:color="auto" w:fill="EBF3FA"/>
            <w:tcMar>
              <w:top w:w="120" w:type="dxa"/>
              <w:left w:w="200" w:type="dxa"/>
              <w:bottom w:w="120" w:type="dxa"/>
              <w:right w:w="200" w:type="dxa"/>
            </w:tcMar>
            <w:vAlign w:val="center"/>
          </w:tcPr>
          <w:p w14:paraId="2C7DCDC1" w14:textId="77777777" w:rsidR="001F6427" w:rsidRPr="001F6427" w:rsidRDefault="001F6427" w:rsidP="009B4490">
            <w:pPr>
              <w:rPr>
                <w:rFonts w:asciiTheme="majorHAnsi" w:hAnsiTheme="majorHAnsi"/>
                <w:sz w:val="16"/>
                <w:szCs w:val="16"/>
              </w:rPr>
            </w:pPr>
            <w:r w:rsidRPr="001F6427">
              <w:rPr>
                <w:rFonts w:asciiTheme="majorHAnsi" w:eastAsia="Arial" w:hAnsiTheme="majorHAnsi" w:cs="Arial"/>
                <w:color w:val="2D2D2D"/>
                <w:sz w:val="16"/>
                <w:szCs w:val="16"/>
              </w:rPr>
              <w:t>Mediul suferă deja: 68% din ape sub calitate, 60% din soluri degradate, singurul sector cu emisii GES în creștere, 34.700 decese premature/an din poluare.</w:t>
            </w:r>
          </w:p>
        </w:tc>
      </w:tr>
      <w:tr w:rsidR="001F6427" w:rsidRPr="001F6427" w14:paraId="2EEB5ECF" w14:textId="77777777" w:rsidTr="001F6427">
        <w:trPr>
          <w:trHeight w:val="482"/>
        </w:trPr>
        <w:tc>
          <w:tcPr>
            <w:tcW w:w="648" w:type="dxa"/>
            <w:tcBorders>
              <w:top w:val="none" w:sz="0" w:space="0" w:color="FFFFFF"/>
              <w:left w:val="none" w:sz="0" w:space="0" w:color="FFFFFF"/>
              <w:bottom w:val="none" w:sz="0" w:space="0" w:color="FFFFFF"/>
              <w:right w:val="none" w:sz="0" w:space="0" w:color="FFFFFF"/>
            </w:tcBorders>
            <w:shd w:val="clear" w:color="auto" w:fill="2E75B6"/>
            <w:tcMar>
              <w:top w:w="80" w:type="dxa"/>
              <w:left w:w="160" w:type="dxa"/>
              <w:bottom w:w="80" w:type="dxa"/>
              <w:right w:w="160" w:type="dxa"/>
            </w:tcMar>
            <w:vAlign w:val="center"/>
          </w:tcPr>
          <w:p w14:paraId="6E508D18" w14:textId="77777777" w:rsidR="001F6427" w:rsidRPr="001F6427" w:rsidRDefault="001F6427" w:rsidP="009B4490">
            <w:pPr>
              <w:jc w:val="center"/>
              <w:rPr>
                <w:rFonts w:asciiTheme="majorHAnsi" w:hAnsiTheme="majorHAnsi"/>
                <w:sz w:val="16"/>
                <w:szCs w:val="16"/>
              </w:rPr>
            </w:pPr>
            <w:r w:rsidRPr="001F6427">
              <w:rPr>
                <w:rFonts w:ascii="Cambria Math" w:eastAsia="Arial" w:hAnsi="Cambria Math" w:cs="Cambria Math"/>
                <w:b/>
                <w:bCs/>
                <w:color w:val="FFFFFF"/>
                <w:sz w:val="16"/>
                <w:szCs w:val="16"/>
              </w:rPr>
              <w:t>②</w:t>
            </w:r>
          </w:p>
        </w:tc>
        <w:tc>
          <w:tcPr>
            <w:tcW w:w="9112"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vAlign w:val="center"/>
          </w:tcPr>
          <w:p w14:paraId="2341D093" w14:textId="77777777" w:rsidR="001F6427" w:rsidRPr="001F6427" w:rsidRDefault="001F6427" w:rsidP="009B4490">
            <w:pPr>
              <w:rPr>
                <w:rFonts w:asciiTheme="majorHAnsi" w:hAnsiTheme="majorHAnsi"/>
                <w:sz w:val="16"/>
                <w:szCs w:val="16"/>
              </w:rPr>
            </w:pPr>
            <w:r w:rsidRPr="001F6427">
              <w:rPr>
                <w:rFonts w:asciiTheme="majorHAnsi" w:eastAsia="Arial" w:hAnsiTheme="majorHAnsi" w:cs="Arial"/>
                <w:color w:val="2D2D2D"/>
                <w:sz w:val="16"/>
                <w:szCs w:val="16"/>
              </w:rPr>
              <w:t>Implementarea PNGD va aduce beneficii majore: 4 efecte pozitive la fiecare efect negativ; reducere de 1,1 milioane tone CO₂e/an.</w:t>
            </w:r>
          </w:p>
        </w:tc>
      </w:tr>
      <w:tr w:rsidR="001F6427" w:rsidRPr="001F6427" w14:paraId="4403CFEE" w14:textId="77777777" w:rsidTr="001F6427">
        <w:trPr>
          <w:trHeight w:val="496"/>
        </w:trPr>
        <w:tc>
          <w:tcPr>
            <w:tcW w:w="648" w:type="dxa"/>
            <w:tcBorders>
              <w:top w:val="none" w:sz="0" w:space="0" w:color="FFFFFF"/>
              <w:left w:val="none" w:sz="0" w:space="0" w:color="FFFFFF"/>
              <w:bottom w:val="none" w:sz="0" w:space="0" w:color="FFFFFF"/>
              <w:right w:val="none" w:sz="0" w:space="0" w:color="FFFFFF"/>
            </w:tcBorders>
            <w:shd w:val="clear" w:color="auto" w:fill="1B3A5C"/>
            <w:tcMar>
              <w:top w:w="80" w:type="dxa"/>
              <w:left w:w="160" w:type="dxa"/>
              <w:bottom w:w="80" w:type="dxa"/>
              <w:right w:w="160" w:type="dxa"/>
            </w:tcMar>
            <w:vAlign w:val="center"/>
          </w:tcPr>
          <w:p w14:paraId="16A10903" w14:textId="77777777" w:rsidR="001F6427" w:rsidRPr="001F6427" w:rsidRDefault="001F6427" w:rsidP="009B4490">
            <w:pPr>
              <w:jc w:val="center"/>
              <w:rPr>
                <w:rFonts w:asciiTheme="majorHAnsi" w:hAnsiTheme="majorHAnsi"/>
                <w:sz w:val="16"/>
                <w:szCs w:val="16"/>
              </w:rPr>
            </w:pPr>
            <w:r w:rsidRPr="001F6427">
              <w:rPr>
                <w:rFonts w:ascii="Cambria Math" w:eastAsia="Arial" w:hAnsi="Cambria Math" w:cs="Cambria Math"/>
                <w:b/>
                <w:bCs/>
                <w:color w:val="FFFFFF"/>
                <w:sz w:val="16"/>
                <w:szCs w:val="16"/>
              </w:rPr>
              <w:t>③</w:t>
            </w:r>
          </w:p>
        </w:tc>
        <w:tc>
          <w:tcPr>
            <w:tcW w:w="9112" w:type="dxa"/>
            <w:tcBorders>
              <w:top w:val="none" w:sz="0" w:space="0" w:color="FFFFFF"/>
              <w:left w:val="none" w:sz="0" w:space="0" w:color="FFFFFF"/>
              <w:bottom w:val="none" w:sz="0" w:space="0" w:color="FFFFFF"/>
              <w:right w:val="none" w:sz="0" w:space="0" w:color="FFFFFF"/>
            </w:tcBorders>
            <w:shd w:val="clear" w:color="auto" w:fill="EBF3FA"/>
            <w:tcMar>
              <w:top w:w="120" w:type="dxa"/>
              <w:left w:w="200" w:type="dxa"/>
              <w:bottom w:w="120" w:type="dxa"/>
              <w:right w:w="200" w:type="dxa"/>
            </w:tcMar>
            <w:vAlign w:val="center"/>
          </w:tcPr>
          <w:p w14:paraId="3AE37B73" w14:textId="77777777" w:rsidR="001F6427" w:rsidRPr="001F6427" w:rsidRDefault="001F6427" w:rsidP="009B4490">
            <w:pPr>
              <w:rPr>
                <w:rFonts w:asciiTheme="majorHAnsi" w:hAnsiTheme="majorHAnsi"/>
                <w:sz w:val="16"/>
                <w:szCs w:val="16"/>
              </w:rPr>
            </w:pPr>
            <w:r w:rsidRPr="001F6427">
              <w:rPr>
                <w:rFonts w:asciiTheme="majorHAnsi" w:eastAsia="Arial" w:hAnsiTheme="majorHAnsi" w:cs="Arial"/>
                <w:color w:val="2D2D2D"/>
                <w:sz w:val="16"/>
                <w:szCs w:val="16"/>
              </w:rPr>
              <w:t>Cele 9 depozite neconforme trebuie închise urgent – sunt sursa principală de poluare a apei, solului și aerului, și cauza procedurii de infringement.</w:t>
            </w:r>
          </w:p>
        </w:tc>
      </w:tr>
      <w:tr w:rsidR="001F6427" w:rsidRPr="001F6427" w14:paraId="0418D14F" w14:textId="77777777" w:rsidTr="001F6427">
        <w:trPr>
          <w:trHeight w:val="496"/>
        </w:trPr>
        <w:tc>
          <w:tcPr>
            <w:tcW w:w="648" w:type="dxa"/>
            <w:tcBorders>
              <w:top w:val="none" w:sz="0" w:space="0" w:color="FFFFFF"/>
              <w:left w:val="none" w:sz="0" w:space="0" w:color="FFFFFF"/>
              <w:bottom w:val="none" w:sz="0" w:space="0" w:color="FFFFFF"/>
              <w:right w:val="none" w:sz="0" w:space="0" w:color="FFFFFF"/>
            </w:tcBorders>
            <w:shd w:val="clear" w:color="auto" w:fill="2E75B6"/>
            <w:tcMar>
              <w:top w:w="80" w:type="dxa"/>
              <w:left w:w="160" w:type="dxa"/>
              <w:bottom w:w="80" w:type="dxa"/>
              <w:right w:w="160" w:type="dxa"/>
            </w:tcMar>
            <w:vAlign w:val="center"/>
          </w:tcPr>
          <w:p w14:paraId="614CBF8A" w14:textId="77777777" w:rsidR="001F6427" w:rsidRPr="001F6427" w:rsidRDefault="001F6427" w:rsidP="009B4490">
            <w:pPr>
              <w:jc w:val="center"/>
              <w:rPr>
                <w:rFonts w:asciiTheme="majorHAnsi" w:hAnsiTheme="majorHAnsi"/>
                <w:sz w:val="16"/>
                <w:szCs w:val="16"/>
              </w:rPr>
            </w:pPr>
            <w:r w:rsidRPr="001F6427">
              <w:rPr>
                <w:rFonts w:ascii="Cambria Math" w:eastAsia="Arial" w:hAnsi="Cambria Math" w:cs="Cambria Math"/>
                <w:b/>
                <w:bCs/>
                <w:color w:val="FFFFFF"/>
                <w:sz w:val="16"/>
                <w:szCs w:val="16"/>
              </w:rPr>
              <w:t>④</w:t>
            </w:r>
          </w:p>
        </w:tc>
        <w:tc>
          <w:tcPr>
            <w:tcW w:w="9112"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vAlign w:val="center"/>
          </w:tcPr>
          <w:p w14:paraId="585D086B" w14:textId="77777777" w:rsidR="001F6427" w:rsidRPr="001F6427" w:rsidRDefault="001F6427" w:rsidP="009B4490">
            <w:pPr>
              <w:rPr>
                <w:rFonts w:asciiTheme="majorHAnsi" w:hAnsiTheme="majorHAnsi"/>
                <w:sz w:val="16"/>
                <w:szCs w:val="16"/>
              </w:rPr>
            </w:pPr>
            <w:r w:rsidRPr="001F6427">
              <w:rPr>
                <w:rFonts w:asciiTheme="majorHAnsi" w:eastAsia="Arial" w:hAnsiTheme="majorHAnsi" w:cs="Arial"/>
                <w:color w:val="2D2D2D"/>
                <w:sz w:val="16"/>
                <w:szCs w:val="16"/>
              </w:rPr>
              <w:t>Colectarea separată și tratarea biodeșeurilor este prioritatea nr. 1 – rezolvă simultan problemele de climă, apă, sol și energie.</w:t>
            </w:r>
          </w:p>
        </w:tc>
      </w:tr>
      <w:tr w:rsidR="001F6427" w:rsidRPr="001F6427" w14:paraId="0744F301" w14:textId="77777777" w:rsidTr="001F6427">
        <w:trPr>
          <w:trHeight w:val="482"/>
        </w:trPr>
        <w:tc>
          <w:tcPr>
            <w:tcW w:w="648" w:type="dxa"/>
            <w:tcBorders>
              <w:top w:val="none" w:sz="0" w:space="0" w:color="FFFFFF"/>
              <w:left w:val="none" w:sz="0" w:space="0" w:color="FFFFFF"/>
              <w:bottom w:val="none" w:sz="0" w:space="0" w:color="FFFFFF"/>
              <w:right w:val="none" w:sz="0" w:space="0" w:color="FFFFFF"/>
            </w:tcBorders>
            <w:shd w:val="clear" w:color="auto" w:fill="1B3A5C"/>
            <w:tcMar>
              <w:top w:w="80" w:type="dxa"/>
              <w:left w:w="160" w:type="dxa"/>
              <w:bottom w:w="80" w:type="dxa"/>
              <w:right w:w="160" w:type="dxa"/>
            </w:tcMar>
            <w:vAlign w:val="center"/>
          </w:tcPr>
          <w:p w14:paraId="47226E69" w14:textId="77777777" w:rsidR="001F6427" w:rsidRPr="001F6427" w:rsidRDefault="001F6427" w:rsidP="009B4490">
            <w:pPr>
              <w:jc w:val="center"/>
              <w:rPr>
                <w:rFonts w:asciiTheme="majorHAnsi" w:hAnsiTheme="majorHAnsi"/>
                <w:sz w:val="16"/>
                <w:szCs w:val="16"/>
              </w:rPr>
            </w:pPr>
            <w:r w:rsidRPr="001F6427">
              <w:rPr>
                <w:rFonts w:ascii="Cambria Math" w:eastAsia="Arial" w:hAnsi="Cambria Math" w:cs="Cambria Math"/>
                <w:b/>
                <w:bCs/>
                <w:color w:val="FFFFFF"/>
                <w:sz w:val="16"/>
                <w:szCs w:val="16"/>
              </w:rPr>
              <w:t>⑤</w:t>
            </w:r>
          </w:p>
        </w:tc>
        <w:tc>
          <w:tcPr>
            <w:tcW w:w="9112" w:type="dxa"/>
            <w:tcBorders>
              <w:top w:val="none" w:sz="0" w:space="0" w:color="FFFFFF"/>
              <w:left w:val="none" w:sz="0" w:space="0" w:color="FFFFFF"/>
              <w:bottom w:val="none" w:sz="0" w:space="0" w:color="FFFFFF"/>
              <w:right w:val="none" w:sz="0" w:space="0" w:color="FFFFFF"/>
            </w:tcBorders>
            <w:shd w:val="clear" w:color="auto" w:fill="EBF3FA"/>
            <w:tcMar>
              <w:top w:w="120" w:type="dxa"/>
              <w:left w:w="200" w:type="dxa"/>
              <w:bottom w:w="120" w:type="dxa"/>
              <w:right w:w="200" w:type="dxa"/>
            </w:tcMar>
            <w:vAlign w:val="center"/>
          </w:tcPr>
          <w:p w14:paraId="0EF27A27" w14:textId="77777777" w:rsidR="001F6427" w:rsidRPr="001F6427" w:rsidRDefault="001F6427" w:rsidP="009B4490">
            <w:pPr>
              <w:rPr>
                <w:rFonts w:asciiTheme="majorHAnsi" w:hAnsiTheme="majorHAnsi"/>
                <w:sz w:val="16"/>
                <w:szCs w:val="16"/>
              </w:rPr>
            </w:pPr>
            <w:r w:rsidRPr="001F6427">
              <w:rPr>
                <w:rFonts w:asciiTheme="majorHAnsi" w:eastAsia="Arial" w:hAnsiTheme="majorHAnsi" w:cs="Arial"/>
                <w:color w:val="2D2D2D"/>
                <w:sz w:val="16"/>
                <w:szCs w:val="16"/>
              </w:rPr>
              <w:t>Extinderea serviciilor în rural elimină arderile necontrolate și abandonul – cel mai mare câștig de sănătate publică.</w:t>
            </w:r>
          </w:p>
        </w:tc>
      </w:tr>
      <w:tr w:rsidR="001F6427" w:rsidRPr="001F6427" w14:paraId="5EA2C1C2" w14:textId="77777777" w:rsidTr="001F6427">
        <w:trPr>
          <w:trHeight w:val="496"/>
        </w:trPr>
        <w:tc>
          <w:tcPr>
            <w:tcW w:w="648" w:type="dxa"/>
            <w:tcBorders>
              <w:top w:val="none" w:sz="0" w:space="0" w:color="FFFFFF"/>
              <w:left w:val="none" w:sz="0" w:space="0" w:color="FFFFFF"/>
              <w:bottom w:val="none" w:sz="0" w:space="0" w:color="FFFFFF"/>
              <w:right w:val="none" w:sz="0" w:space="0" w:color="FFFFFF"/>
            </w:tcBorders>
            <w:shd w:val="clear" w:color="auto" w:fill="2E75B6"/>
            <w:tcMar>
              <w:top w:w="80" w:type="dxa"/>
              <w:left w:w="160" w:type="dxa"/>
              <w:bottom w:w="80" w:type="dxa"/>
              <w:right w:w="160" w:type="dxa"/>
            </w:tcMar>
            <w:vAlign w:val="center"/>
          </w:tcPr>
          <w:p w14:paraId="7B2B0FC1" w14:textId="77777777" w:rsidR="001F6427" w:rsidRPr="001F6427" w:rsidRDefault="001F6427" w:rsidP="009B4490">
            <w:pPr>
              <w:jc w:val="center"/>
              <w:rPr>
                <w:rFonts w:asciiTheme="majorHAnsi" w:hAnsiTheme="majorHAnsi"/>
                <w:sz w:val="16"/>
                <w:szCs w:val="16"/>
              </w:rPr>
            </w:pPr>
            <w:r w:rsidRPr="001F6427">
              <w:rPr>
                <w:rFonts w:ascii="Cambria Math" w:eastAsia="Arial" w:hAnsi="Cambria Math" w:cs="Cambria Math"/>
                <w:b/>
                <w:bCs/>
                <w:color w:val="FFFFFF"/>
                <w:sz w:val="16"/>
                <w:szCs w:val="16"/>
              </w:rPr>
              <w:t>⑥</w:t>
            </w:r>
          </w:p>
        </w:tc>
        <w:tc>
          <w:tcPr>
            <w:tcW w:w="9112"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vAlign w:val="center"/>
          </w:tcPr>
          <w:p w14:paraId="3E084744" w14:textId="77777777" w:rsidR="001F6427" w:rsidRPr="001F6427" w:rsidRDefault="001F6427" w:rsidP="009B4490">
            <w:pPr>
              <w:rPr>
                <w:rFonts w:asciiTheme="majorHAnsi" w:hAnsiTheme="majorHAnsi"/>
                <w:sz w:val="16"/>
                <w:szCs w:val="16"/>
              </w:rPr>
            </w:pPr>
            <w:r w:rsidRPr="001F6427">
              <w:rPr>
                <w:rFonts w:asciiTheme="majorHAnsi" w:eastAsia="Arial" w:hAnsiTheme="majorHAnsi" w:cs="Arial"/>
                <w:color w:val="2D2D2D"/>
                <w:sz w:val="16"/>
                <w:szCs w:val="16"/>
              </w:rPr>
              <w:t>Soluția integrată (IITD) este cea mai bună: performanță de mediu dublă la cost cu 22% mai mic (economie de 573 mil. €).</w:t>
            </w:r>
          </w:p>
        </w:tc>
      </w:tr>
      <w:tr w:rsidR="001F6427" w:rsidRPr="001F6427" w14:paraId="050E49CA" w14:textId="77777777" w:rsidTr="001F6427">
        <w:trPr>
          <w:trHeight w:val="496"/>
        </w:trPr>
        <w:tc>
          <w:tcPr>
            <w:tcW w:w="648" w:type="dxa"/>
            <w:tcBorders>
              <w:top w:val="none" w:sz="0" w:space="0" w:color="FFFFFF"/>
              <w:left w:val="none" w:sz="0" w:space="0" w:color="FFFFFF"/>
              <w:bottom w:val="none" w:sz="0" w:space="0" w:color="FFFFFF"/>
              <w:right w:val="none" w:sz="0" w:space="0" w:color="FFFFFF"/>
            </w:tcBorders>
            <w:shd w:val="clear" w:color="auto" w:fill="1B3A5C"/>
            <w:tcMar>
              <w:top w:w="80" w:type="dxa"/>
              <w:left w:w="160" w:type="dxa"/>
              <w:bottom w:w="80" w:type="dxa"/>
              <w:right w:w="160" w:type="dxa"/>
            </w:tcMar>
            <w:vAlign w:val="center"/>
          </w:tcPr>
          <w:p w14:paraId="24F02950" w14:textId="77777777" w:rsidR="001F6427" w:rsidRPr="001F6427" w:rsidRDefault="001F6427" w:rsidP="009B4490">
            <w:pPr>
              <w:jc w:val="center"/>
              <w:rPr>
                <w:rFonts w:asciiTheme="majorHAnsi" w:hAnsiTheme="majorHAnsi"/>
                <w:sz w:val="16"/>
                <w:szCs w:val="16"/>
              </w:rPr>
            </w:pPr>
            <w:r w:rsidRPr="001F6427">
              <w:rPr>
                <w:rFonts w:ascii="Cambria Math" w:eastAsia="Arial" w:hAnsi="Cambria Math" w:cs="Cambria Math"/>
                <w:b/>
                <w:bCs/>
                <w:color w:val="FFFFFF"/>
                <w:sz w:val="16"/>
                <w:szCs w:val="16"/>
              </w:rPr>
              <w:t>⑦</w:t>
            </w:r>
          </w:p>
        </w:tc>
        <w:tc>
          <w:tcPr>
            <w:tcW w:w="9112" w:type="dxa"/>
            <w:tcBorders>
              <w:top w:val="none" w:sz="0" w:space="0" w:color="FFFFFF"/>
              <w:left w:val="none" w:sz="0" w:space="0" w:color="FFFFFF"/>
              <w:bottom w:val="none" w:sz="0" w:space="0" w:color="FFFFFF"/>
              <w:right w:val="none" w:sz="0" w:space="0" w:color="FFFFFF"/>
            </w:tcBorders>
            <w:shd w:val="clear" w:color="auto" w:fill="EBF3FA"/>
            <w:tcMar>
              <w:top w:w="120" w:type="dxa"/>
              <w:left w:w="200" w:type="dxa"/>
              <w:bottom w:w="120" w:type="dxa"/>
              <w:right w:w="200" w:type="dxa"/>
            </w:tcMar>
            <w:vAlign w:val="center"/>
          </w:tcPr>
          <w:p w14:paraId="2C6DA2E1" w14:textId="77777777" w:rsidR="001F6427" w:rsidRPr="001F6427" w:rsidRDefault="001F6427" w:rsidP="009B4490">
            <w:pPr>
              <w:rPr>
                <w:rFonts w:asciiTheme="majorHAnsi" w:hAnsiTheme="majorHAnsi"/>
                <w:sz w:val="16"/>
                <w:szCs w:val="16"/>
              </w:rPr>
            </w:pPr>
            <w:r w:rsidRPr="001F6427">
              <w:rPr>
                <w:rFonts w:asciiTheme="majorHAnsi" w:eastAsia="Arial" w:hAnsiTheme="majorHAnsi" w:cs="Arial"/>
                <w:color w:val="2D2D2D"/>
                <w:sz w:val="16"/>
                <w:szCs w:val="16"/>
              </w:rPr>
              <w:t>Cele 65 de măsuri de prevenire și 90 de indicatori asigură că efectele negative sunt controlate și monitorizate continuu.</w:t>
            </w:r>
          </w:p>
        </w:tc>
      </w:tr>
      <w:tr w:rsidR="001F6427" w:rsidRPr="001F6427" w14:paraId="7F0BAA0A" w14:textId="77777777" w:rsidTr="001F6427">
        <w:trPr>
          <w:trHeight w:val="482"/>
        </w:trPr>
        <w:tc>
          <w:tcPr>
            <w:tcW w:w="648" w:type="dxa"/>
            <w:tcBorders>
              <w:top w:val="none" w:sz="0" w:space="0" w:color="FFFFFF"/>
              <w:left w:val="none" w:sz="0" w:space="0" w:color="FFFFFF"/>
              <w:bottom w:val="none" w:sz="0" w:space="0" w:color="FFFFFF"/>
              <w:right w:val="none" w:sz="0" w:space="0" w:color="FFFFFF"/>
            </w:tcBorders>
            <w:shd w:val="clear" w:color="auto" w:fill="2E75B6"/>
            <w:tcMar>
              <w:top w:w="80" w:type="dxa"/>
              <w:left w:w="160" w:type="dxa"/>
              <w:bottom w:w="80" w:type="dxa"/>
              <w:right w:w="160" w:type="dxa"/>
            </w:tcMar>
            <w:vAlign w:val="center"/>
          </w:tcPr>
          <w:p w14:paraId="103178C4" w14:textId="77777777" w:rsidR="001F6427" w:rsidRPr="001F6427" w:rsidRDefault="001F6427" w:rsidP="009B4490">
            <w:pPr>
              <w:jc w:val="center"/>
              <w:rPr>
                <w:rFonts w:asciiTheme="majorHAnsi" w:hAnsiTheme="majorHAnsi"/>
                <w:sz w:val="16"/>
                <w:szCs w:val="16"/>
              </w:rPr>
            </w:pPr>
            <w:r w:rsidRPr="001F6427">
              <w:rPr>
                <w:rFonts w:ascii="Cambria Math" w:eastAsia="Arial" w:hAnsi="Cambria Math" w:cs="Cambria Math"/>
                <w:b/>
                <w:bCs/>
                <w:color w:val="FFFFFF"/>
                <w:sz w:val="16"/>
                <w:szCs w:val="16"/>
              </w:rPr>
              <w:t>⑧</w:t>
            </w:r>
          </w:p>
        </w:tc>
        <w:tc>
          <w:tcPr>
            <w:tcW w:w="9112"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vAlign w:val="center"/>
          </w:tcPr>
          <w:p w14:paraId="54F2BB63" w14:textId="77777777" w:rsidR="001F6427" w:rsidRPr="001F6427" w:rsidRDefault="001F6427" w:rsidP="009B4490">
            <w:pPr>
              <w:rPr>
                <w:rFonts w:asciiTheme="majorHAnsi" w:hAnsiTheme="majorHAnsi"/>
                <w:sz w:val="16"/>
                <w:szCs w:val="16"/>
              </w:rPr>
            </w:pPr>
            <w:r w:rsidRPr="001F6427">
              <w:rPr>
                <w:rFonts w:asciiTheme="majorHAnsi" w:eastAsia="Arial" w:hAnsiTheme="majorHAnsi" w:cs="Arial"/>
                <w:color w:val="2D2D2D"/>
                <w:sz w:val="16"/>
                <w:szCs w:val="16"/>
              </w:rPr>
              <w:t>Fără plan, România riscă penalități de 200.000–800.000 €/zi, pierderea PNRR și acumularea a 12+ milioane tone CO₂e emisii evitabile.</w:t>
            </w:r>
          </w:p>
        </w:tc>
      </w:tr>
    </w:tbl>
    <w:p w14:paraId="7D87431B" w14:textId="77777777" w:rsidR="001F6427" w:rsidRDefault="001F6427" w:rsidP="001F6427"/>
    <w:p w14:paraId="4E1E441F" w14:textId="77777777" w:rsidR="005E281E" w:rsidRDefault="005E281E" w:rsidP="002C6059">
      <w:pPr>
        <w:rPr>
          <w:bCs/>
          <w:lang w:val="ro-RO"/>
        </w:rPr>
      </w:pPr>
    </w:p>
    <w:p w14:paraId="7A2848AD" w14:textId="77777777" w:rsidR="005E281E" w:rsidRDefault="005E281E" w:rsidP="002C6059">
      <w:pPr>
        <w:rPr>
          <w:bCs/>
          <w:lang w:val="ro-RO"/>
        </w:rPr>
      </w:pPr>
    </w:p>
    <w:p w14:paraId="767918DE" w14:textId="77777777" w:rsidR="005E281E" w:rsidRDefault="005E281E" w:rsidP="002C6059">
      <w:pPr>
        <w:rPr>
          <w:bCs/>
          <w:lang w:val="ro-RO"/>
        </w:rPr>
      </w:pPr>
    </w:p>
    <w:p w14:paraId="1EBBFEF3" w14:textId="77777777" w:rsidR="005E281E" w:rsidRDefault="005E281E" w:rsidP="002C6059">
      <w:pPr>
        <w:rPr>
          <w:bCs/>
          <w:lang w:val="ro-RO"/>
        </w:rPr>
      </w:pPr>
    </w:p>
    <w:p w14:paraId="0FAD5136" w14:textId="77777777" w:rsidR="005E281E" w:rsidRDefault="005E281E" w:rsidP="002C6059">
      <w:pPr>
        <w:rPr>
          <w:bCs/>
          <w:lang w:val="ro-RO"/>
        </w:rPr>
      </w:pPr>
    </w:p>
    <w:p w14:paraId="07114B94" w14:textId="77777777" w:rsidR="005E281E" w:rsidRPr="002C6059" w:rsidRDefault="005E281E" w:rsidP="002C6059">
      <w:pPr>
        <w:rPr>
          <w:rFonts w:eastAsiaTheme="majorEastAsia" w:cstheme="majorBidi"/>
          <w:b/>
          <w:color w:val="009DF0" w:themeColor="text2"/>
          <w:sz w:val="28"/>
          <w:szCs w:val="28"/>
          <w:lang w:val="ro-RO"/>
        </w:rPr>
      </w:pPr>
    </w:p>
    <w:sectPr w:rsidR="005E281E" w:rsidRPr="002C6059" w:rsidSect="0026487B">
      <w:headerReference w:type="default" r:id="rId11"/>
      <w:footerReference w:type="even" r:id="rId12"/>
      <w:footerReference w:type="default" r:id="rId13"/>
      <w:footerReference w:type="first" r:id="rId14"/>
      <w:pgSz w:w="11906" w:h="16838" w:code="9"/>
      <w:pgMar w:top="1418" w:right="1133" w:bottom="1418" w:left="1191" w:header="83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33253" w14:textId="77777777" w:rsidR="00FD066C" w:rsidRDefault="00FD066C" w:rsidP="009E4B94">
      <w:pPr>
        <w:spacing w:line="240" w:lineRule="auto"/>
      </w:pPr>
      <w:r>
        <w:separator/>
      </w:r>
    </w:p>
  </w:endnote>
  <w:endnote w:type="continuationSeparator" w:id="0">
    <w:p w14:paraId="1C80B99D" w14:textId="77777777" w:rsidR="00FD066C" w:rsidRDefault="00FD066C" w:rsidP="009E4B94">
      <w:pPr>
        <w:spacing w:line="240" w:lineRule="auto"/>
      </w:pPr>
      <w:r>
        <w:continuationSeparator/>
      </w:r>
    </w:p>
  </w:endnote>
  <w:endnote w:type="continuationNotice" w:id="1">
    <w:p w14:paraId="4C6899C6" w14:textId="77777777" w:rsidR="00FD066C" w:rsidRDefault="00FD066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0BE2" w14:textId="77777777" w:rsidR="00B10C6D" w:rsidRDefault="00B10C6D">
    <w:pPr>
      <w:pStyle w:val="Footer"/>
    </w:pPr>
    <w:r>
      <w:rPr>
        <w:noProof/>
      </w:rPr>
      <mc:AlternateContent>
        <mc:Choice Requires="wps">
          <w:drawing>
            <wp:anchor distT="0" distB="0" distL="0" distR="0" simplePos="0" relativeHeight="251658265" behindDoc="0" locked="0" layoutInCell="1" allowOverlap="1" wp14:anchorId="68E99035" wp14:editId="1DA708A5">
              <wp:simplePos x="635" y="635"/>
              <wp:positionH relativeFrom="page">
                <wp:align>center</wp:align>
              </wp:positionH>
              <wp:positionV relativeFrom="page">
                <wp:align>bottom</wp:align>
              </wp:positionV>
              <wp:extent cx="443865" cy="443865"/>
              <wp:effectExtent l="0" t="0" r="3175" b="0"/>
              <wp:wrapNone/>
              <wp:docPr id="1864615065" name="Text Box 2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A6B661" w14:textId="77777777"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E99035" id="_x0000_t202" coordsize="21600,21600" o:spt="202" path="m,l,21600r21600,l21600,xe">
              <v:stroke joinstyle="miter"/>
              <v:path gradientshapeok="t" o:connecttype="rect"/>
            </v:shapetype>
            <v:shape id="Text Box 23" o:spid="_x0000_s1026" type="#_x0000_t202" alt="Confidential" style="position:absolute;margin-left:0;margin-top:0;width:34.95pt;height:34.95pt;z-index:25165826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07A6B661" w14:textId="77777777"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994682"/>
      <w:docPartObj>
        <w:docPartGallery w:val="Page Numbers (Bottom of Page)"/>
        <w:docPartUnique/>
      </w:docPartObj>
    </w:sdtPr>
    <w:sdtEndPr>
      <w:rPr>
        <w:noProof/>
      </w:rPr>
    </w:sdtEndPr>
    <w:sdtContent>
      <w:p w14:paraId="48514314" w14:textId="77777777" w:rsidR="00C8792F" w:rsidRDefault="00C879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873592" w14:textId="77777777" w:rsidR="00845BCE" w:rsidRDefault="00845B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732A" w14:textId="77777777" w:rsidR="00B10C6D" w:rsidRDefault="00B10C6D">
    <w:pPr>
      <w:pStyle w:val="Footer"/>
    </w:pPr>
    <w:r>
      <w:rPr>
        <w:noProof/>
      </w:rPr>
      <mc:AlternateContent>
        <mc:Choice Requires="wps">
          <w:drawing>
            <wp:anchor distT="0" distB="0" distL="0" distR="0" simplePos="0" relativeHeight="251658264" behindDoc="0" locked="0" layoutInCell="1" allowOverlap="1" wp14:anchorId="2AD08985" wp14:editId="7F2B1549">
              <wp:simplePos x="635" y="635"/>
              <wp:positionH relativeFrom="page">
                <wp:align>center</wp:align>
              </wp:positionH>
              <wp:positionV relativeFrom="page">
                <wp:align>bottom</wp:align>
              </wp:positionV>
              <wp:extent cx="443865" cy="443865"/>
              <wp:effectExtent l="0" t="0" r="3175" b="0"/>
              <wp:wrapNone/>
              <wp:docPr id="2124007739" name="Text Box 2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EF5D320" w14:textId="77777777"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D08985" id="_x0000_t202" coordsize="21600,21600" o:spt="202" path="m,l,21600r21600,l21600,xe">
              <v:stroke joinstyle="miter"/>
              <v:path gradientshapeok="t" o:connecttype="rect"/>
            </v:shapetype>
            <v:shape id="Text Box 22" o:spid="_x0000_s1027" type="#_x0000_t202" alt="Confidential" style="position:absolute;margin-left:0;margin-top:0;width:34.95pt;height:34.95pt;z-index:251658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5EF5D320" w14:textId="77777777"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1715F" w14:textId="77777777" w:rsidR="00FD066C" w:rsidRDefault="00FD066C" w:rsidP="009E4B94">
      <w:pPr>
        <w:spacing w:line="240" w:lineRule="auto"/>
      </w:pPr>
    </w:p>
  </w:footnote>
  <w:footnote w:type="continuationSeparator" w:id="0">
    <w:p w14:paraId="67B6437F" w14:textId="77777777" w:rsidR="00FD066C" w:rsidRDefault="00FD066C" w:rsidP="009E4B94">
      <w:pPr>
        <w:spacing w:line="240" w:lineRule="auto"/>
      </w:pPr>
    </w:p>
  </w:footnote>
  <w:footnote w:type="continuationNotice" w:id="1">
    <w:p w14:paraId="319B1CFC" w14:textId="77777777" w:rsidR="00FD066C" w:rsidRDefault="00FD066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237A" w14:textId="2479C5F4" w:rsidR="00436638" w:rsidRDefault="00436638">
    <w:pPr>
      <w:pStyle w:val="Header"/>
    </w:pPr>
    <w:r w:rsidRPr="00436638">
      <w:t xml:space="preserve">            </w:t>
    </w:r>
    <w:r>
      <w:rPr>
        <w:noProof/>
      </w:rPr>
      <w:drawing>
        <wp:anchor distT="0" distB="0" distL="0" distR="0" simplePos="0" relativeHeight="251660313" behindDoc="0" locked="0" layoutInCell="1" allowOverlap="1" wp14:anchorId="04DA5BA8" wp14:editId="47FADC7A">
          <wp:simplePos x="0" y="0"/>
          <wp:positionH relativeFrom="margin">
            <wp:posOffset>0</wp:posOffset>
          </wp:positionH>
          <wp:positionV relativeFrom="page">
            <wp:posOffset>532130</wp:posOffset>
          </wp:positionV>
          <wp:extent cx="590550" cy="161925"/>
          <wp:effectExtent l="0" t="0" r="0" b="0"/>
          <wp:wrapNone/>
          <wp:docPr id="840848292" name="Picture 840848292"/>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rcRect r="67511" b="59109"/>
                  <a:stretch>
                    <a:fillRect/>
                  </a:stretch>
                </pic:blipFill>
                <pic:spPr>
                  <a:xfrm>
                    <a:off x="0" y="0"/>
                    <a:ext cx="590550" cy="161925"/>
                  </a:xfrm>
                  <a:prstGeom prst="rect">
                    <a:avLst/>
                  </a:prstGeom>
                  <a:ln>
                    <a:noFill/>
                  </a:ln>
                </pic:spPr>
              </pic:pic>
            </a:graphicData>
          </a:graphic>
        </wp:anchor>
      </w:drawing>
    </w:r>
    <w:r w:rsidRPr="00436638">
      <w:t xml:space="preserve">  Raport </w:t>
    </w:r>
    <w:r w:rsidR="00E927A3">
      <w:t xml:space="preserve">de </w:t>
    </w:r>
    <w:r w:rsidRPr="00436638">
      <w:t>Mediu – PLANUL NAȚIONAL DE GESTIUNE A DEȘERILOR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B0DD50"/>
    <w:lvl w:ilvl="0">
      <w:start w:val="1"/>
      <w:numFmt w:val="decimal"/>
      <w:pStyle w:val="ListNumber5"/>
      <w:lvlText w:val="%1."/>
      <w:lvlJc w:val="left"/>
      <w:pPr>
        <w:tabs>
          <w:tab w:val="num" w:pos="3193"/>
        </w:tabs>
        <w:ind w:left="3193" w:hanging="360"/>
      </w:pPr>
    </w:lvl>
  </w:abstractNum>
  <w:abstractNum w:abstractNumId="1" w15:restartNumberingAfterBreak="0">
    <w:nsid w:val="FFFFFF7D"/>
    <w:multiLevelType w:val="singleLevel"/>
    <w:tmpl w:val="303A92D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6EC75C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C08CF4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D60DF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148C66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6D2936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314849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0405368"/>
    <w:multiLevelType w:val="multilevel"/>
    <w:tmpl w:val="5BDED2D4"/>
    <w:lvl w:ilvl="0">
      <w:start w:val="1"/>
      <w:numFmt w:val="decimal"/>
      <w:lvlText w:val="%1."/>
      <w:lvlJc w:val="left"/>
      <w:pPr>
        <w:ind w:left="720" w:hanging="360"/>
      </w:pPr>
    </w:lvl>
    <w:lvl w:ilvl="1">
      <w:start w:val="1"/>
      <w:numFmt w:val="decimal"/>
      <w:isLgl/>
      <w:lvlText w:val="%1.%2."/>
      <w:lvlJc w:val="left"/>
      <w:pPr>
        <w:ind w:left="1560" w:hanging="800"/>
      </w:pPr>
      <w:rPr>
        <w:rFonts w:hint="default"/>
      </w:rPr>
    </w:lvl>
    <w:lvl w:ilvl="2">
      <w:start w:val="3"/>
      <w:numFmt w:val="decimal"/>
      <w:isLgl/>
      <w:lvlText w:val="%1.%2.%3."/>
      <w:lvlJc w:val="left"/>
      <w:pPr>
        <w:ind w:left="1960" w:hanging="800"/>
      </w:pPr>
      <w:rPr>
        <w:rFonts w:hint="default"/>
      </w:rPr>
    </w:lvl>
    <w:lvl w:ilvl="3">
      <w:start w:val="2"/>
      <w:numFmt w:val="decimal"/>
      <w:isLgl/>
      <w:lvlText w:val="%1.%2.%3.%4."/>
      <w:lvlJc w:val="left"/>
      <w:pPr>
        <w:ind w:left="2640" w:hanging="1080"/>
      </w:pPr>
      <w:rPr>
        <w:rFonts w:hint="default"/>
      </w:rPr>
    </w:lvl>
    <w:lvl w:ilvl="4">
      <w:start w:val="1"/>
      <w:numFmt w:val="decimal"/>
      <w:isLgl/>
      <w:lvlText w:val="%1.%2.%3.%4.%5."/>
      <w:lvlJc w:val="left"/>
      <w:pPr>
        <w:ind w:left="3400" w:hanging="1440"/>
      </w:pPr>
      <w:rPr>
        <w:rFonts w:hint="default"/>
      </w:rPr>
    </w:lvl>
    <w:lvl w:ilvl="5">
      <w:start w:val="1"/>
      <w:numFmt w:val="decimal"/>
      <w:isLgl/>
      <w:lvlText w:val="%1.%2.%3.%4.%5.%6."/>
      <w:lvlJc w:val="left"/>
      <w:pPr>
        <w:ind w:left="3800" w:hanging="1440"/>
      </w:pPr>
      <w:rPr>
        <w:rFonts w:hint="default"/>
      </w:rPr>
    </w:lvl>
    <w:lvl w:ilvl="6">
      <w:start w:val="1"/>
      <w:numFmt w:val="decimal"/>
      <w:isLgl/>
      <w:lvlText w:val="%1.%2.%3.%4.%5.%6.%7."/>
      <w:lvlJc w:val="left"/>
      <w:pPr>
        <w:ind w:left="4560" w:hanging="1800"/>
      </w:pPr>
      <w:rPr>
        <w:rFonts w:hint="default"/>
      </w:rPr>
    </w:lvl>
    <w:lvl w:ilvl="7">
      <w:start w:val="1"/>
      <w:numFmt w:val="decimal"/>
      <w:isLgl/>
      <w:lvlText w:val="%1.%2.%3.%4.%5.%6.%7.%8."/>
      <w:lvlJc w:val="left"/>
      <w:pPr>
        <w:ind w:left="4960" w:hanging="1800"/>
      </w:pPr>
      <w:rPr>
        <w:rFonts w:hint="default"/>
      </w:rPr>
    </w:lvl>
    <w:lvl w:ilvl="8">
      <w:start w:val="1"/>
      <w:numFmt w:val="decimal"/>
      <w:isLgl/>
      <w:lvlText w:val="%1.%2.%3.%4.%5.%6.%7.%8.%9."/>
      <w:lvlJc w:val="left"/>
      <w:pPr>
        <w:ind w:left="5720" w:hanging="2160"/>
      </w:pPr>
      <w:rPr>
        <w:rFonts w:hint="default"/>
      </w:rPr>
    </w:lvl>
  </w:abstractNum>
  <w:abstractNum w:abstractNumId="9" w15:restartNumberingAfterBreak="0">
    <w:nsid w:val="00463691"/>
    <w:multiLevelType w:val="multilevel"/>
    <w:tmpl w:val="D2D0268C"/>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096B90"/>
    <w:multiLevelType w:val="hybridMultilevel"/>
    <w:tmpl w:val="9ABCB77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014E4D60"/>
    <w:multiLevelType w:val="hybridMultilevel"/>
    <w:tmpl w:val="3D740DC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016B01EE"/>
    <w:multiLevelType w:val="hybridMultilevel"/>
    <w:tmpl w:val="485679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01C46232"/>
    <w:multiLevelType w:val="hybridMultilevel"/>
    <w:tmpl w:val="E4788D10"/>
    <w:lvl w:ilvl="0" w:tplc="38A6B53E">
      <w:start w:val="1"/>
      <w:numFmt w:val="bullet"/>
      <w:lvlText w:val="•"/>
      <w:lvlJc w:val="left"/>
      <w:pPr>
        <w:ind w:left="720" w:hanging="360"/>
      </w:pPr>
    </w:lvl>
    <w:lvl w:ilvl="1" w:tplc="8B827B38">
      <w:numFmt w:val="decimal"/>
      <w:lvlText w:val=""/>
      <w:lvlJc w:val="left"/>
    </w:lvl>
    <w:lvl w:ilvl="2" w:tplc="9196A84C">
      <w:numFmt w:val="decimal"/>
      <w:lvlText w:val=""/>
      <w:lvlJc w:val="left"/>
    </w:lvl>
    <w:lvl w:ilvl="3" w:tplc="1BCE3280">
      <w:numFmt w:val="decimal"/>
      <w:lvlText w:val=""/>
      <w:lvlJc w:val="left"/>
    </w:lvl>
    <w:lvl w:ilvl="4" w:tplc="A1108932">
      <w:numFmt w:val="decimal"/>
      <w:lvlText w:val=""/>
      <w:lvlJc w:val="left"/>
    </w:lvl>
    <w:lvl w:ilvl="5" w:tplc="A43ADC58">
      <w:numFmt w:val="decimal"/>
      <w:lvlText w:val=""/>
      <w:lvlJc w:val="left"/>
    </w:lvl>
    <w:lvl w:ilvl="6" w:tplc="994EEB1A">
      <w:numFmt w:val="decimal"/>
      <w:lvlText w:val=""/>
      <w:lvlJc w:val="left"/>
    </w:lvl>
    <w:lvl w:ilvl="7" w:tplc="C568BEE6">
      <w:numFmt w:val="decimal"/>
      <w:lvlText w:val=""/>
      <w:lvlJc w:val="left"/>
    </w:lvl>
    <w:lvl w:ilvl="8" w:tplc="2A48972E">
      <w:numFmt w:val="decimal"/>
      <w:lvlText w:val=""/>
      <w:lvlJc w:val="left"/>
    </w:lvl>
  </w:abstractNum>
  <w:abstractNum w:abstractNumId="14" w15:restartNumberingAfterBreak="0">
    <w:nsid w:val="02470B7D"/>
    <w:multiLevelType w:val="hybridMultilevel"/>
    <w:tmpl w:val="2C5A011A"/>
    <w:lvl w:ilvl="0" w:tplc="0A20E92E">
      <w:numFmt w:val="bullet"/>
      <w:lvlText w:val="-"/>
      <w:lvlJc w:val="left"/>
      <w:pPr>
        <w:ind w:left="720" w:hanging="360"/>
      </w:pPr>
      <w:rPr>
        <w:rFonts w:ascii="Verdana" w:eastAsiaTheme="minorHAnsi" w:hAnsi="Verdana"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02A52742"/>
    <w:multiLevelType w:val="hybridMultilevel"/>
    <w:tmpl w:val="8DB49CE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02D677BA"/>
    <w:multiLevelType w:val="hybridMultilevel"/>
    <w:tmpl w:val="CD26BE8C"/>
    <w:lvl w:ilvl="0" w:tplc="04180001">
      <w:start w:val="1"/>
      <w:numFmt w:val="bullet"/>
      <w:lvlText w:val=""/>
      <w:lvlJc w:val="left"/>
      <w:pPr>
        <w:ind w:left="1003" w:hanging="360"/>
      </w:pPr>
      <w:rPr>
        <w:rFonts w:ascii="Symbol" w:hAnsi="Symbol" w:hint="default"/>
      </w:rPr>
    </w:lvl>
    <w:lvl w:ilvl="1" w:tplc="04180003" w:tentative="1">
      <w:start w:val="1"/>
      <w:numFmt w:val="bullet"/>
      <w:lvlText w:val="o"/>
      <w:lvlJc w:val="left"/>
      <w:pPr>
        <w:ind w:left="1723" w:hanging="360"/>
      </w:pPr>
      <w:rPr>
        <w:rFonts w:ascii="Courier New" w:hAnsi="Courier New" w:cs="Courier New" w:hint="default"/>
      </w:rPr>
    </w:lvl>
    <w:lvl w:ilvl="2" w:tplc="04180005" w:tentative="1">
      <w:start w:val="1"/>
      <w:numFmt w:val="bullet"/>
      <w:lvlText w:val=""/>
      <w:lvlJc w:val="left"/>
      <w:pPr>
        <w:ind w:left="2443" w:hanging="360"/>
      </w:pPr>
      <w:rPr>
        <w:rFonts w:ascii="Wingdings" w:hAnsi="Wingdings" w:hint="default"/>
      </w:rPr>
    </w:lvl>
    <w:lvl w:ilvl="3" w:tplc="04180001" w:tentative="1">
      <w:start w:val="1"/>
      <w:numFmt w:val="bullet"/>
      <w:lvlText w:val=""/>
      <w:lvlJc w:val="left"/>
      <w:pPr>
        <w:ind w:left="3163" w:hanging="360"/>
      </w:pPr>
      <w:rPr>
        <w:rFonts w:ascii="Symbol" w:hAnsi="Symbol" w:hint="default"/>
      </w:rPr>
    </w:lvl>
    <w:lvl w:ilvl="4" w:tplc="04180003" w:tentative="1">
      <w:start w:val="1"/>
      <w:numFmt w:val="bullet"/>
      <w:lvlText w:val="o"/>
      <w:lvlJc w:val="left"/>
      <w:pPr>
        <w:ind w:left="3883" w:hanging="360"/>
      </w:pPr>
      <w:rPr>
        <w:rFonts w:ascii="Courier New" w:hAnsi="Courier New" w:cs="Courier New" w:hint="default"/>
      </w:rPr>
    </w:lvl>
    <w:lvl w:ilvl="5" w:tplc="04180005" w:tentative="1">
      <w:start w:val="1"/>
      <w:numFmt w:val="bullet"/>
      <w:lvlText w:val=""/>
      <w:lvlJc w:val="left"/>
      <w:pPr>
        <w:ind w:left="4603" w:hanging="360"/>
      </w:pPr>
      <w:rPr>
        <w:rFonts w:ascii="Wingdings" w:hAnsi="Wingdings" w:hint="default"/>
      </w:rPr>
    </w:lvl>
    <w:lvl w:ilvl="6" w:tplc="04180001" w:tentative="1">
      <w:start w:val="1"/>
      <w:numFmt w:val="bullet"/>
      <w:lvlText w:val=""/>
      <w:lvlJc w:val="left"/>
      <w:pPr>
        <w:ind w:left="5323" w:hanging="360"/>
      </w:pPr>
      <w:rPr>
        <w:rFonts w:ascii="Symbol" w:hAnsi="Symbol" w:hint="default"/>
      </w:rPr>
    </w:lvl>
    <w:lvl w:ilvl="7" w:tplc="04180003" w:tentative="1">
      <w:start w:val="1"/>
      <w:numFmt w:val="bullet"/>
      <w:lvlText w:val="o"/>
      <w:lvlJc w:val="left"/>
      <w:pPr>
        <w:ind w:left="6043" w:hanging="360"/>
      </w:pPr>
      <w:rPr>
        <w:rFonts w:ascii="Courier New" w:hAnsi="Courier New" w:cs="Courier New" w:hint="default"/>
      </w:rPr>
    </w:lvl>
    <w:lvl w:ilvl="8" w:tplc="04180005" w:tentative="1">
      <w:start w:val="1"/>
      <w:numFmt w:val="bullet"/>
      <w:lvlText w:val=""/>
      <w:lvlJc w:val="left"/>
      <w:pPr>
        <w:ind w:left="6763" w:hanging="360"/>
      </w:pPr>
      <w:rPr>
        <w:rFonts w:ascii="Wingdings" w:hAnsi="Wingdings" w:hint="default"/>
      </w:rPr>
    </w:lvl>
  </w:abstractNum>
  <w:abstractNum w:abstractNumId="17" w15:restartNumberingAfterBreak="0">
    <w:nsid w:val="03306C04"/>
    <w:multiLevelType w:val="hybridMultilevel"/>
    <w:tmpl w:val="5FC0C4F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15:restartNumberingAfterBreak="0">
    <w:nsid w:val="044B7165"/>
    <w:multiLevelType w:val="hybridMultilevel"/>
    <w:tmpl w:val="0DCE1AEE"/>
    <w:lvl w:ilvl="0" w:tplc="04180015">
      <w:start w:val="1"/>
      <w:numFmt w:val="upp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15:restartNumberingAfterBreak="0">
    <w:nsid w:val="06883038"/>
    <w:multiLevelType w:val="hybridMultilevel"/>
    <w:tmpl w:val="1B2CE30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087E6E50"/>
    <w:multiLevelType w:val="hybridMultilevel"/>
    <w:tmpl w:val="FEDA840C"/>
    <w:lvl w:ilvl="0" w:tplc="48F2EE0C">
      <w:start w:val="1"/>
      <w:numFmt w:val="bullet"/>
      <w:lvlText w:val=""/>
      <w:lvlJc w:val="left"/>
      <w:pPr>
        <w:ind w:left="720" w:hanging="360"/>
      </w:pPr>
      <w:rPr>
        <w:rFonts w:ascii="Symbol" w:hAnsi="Symbol" w:hint="default"/>
        <w:sz w:val="16"/>
        <w:szCs w:val="16"/>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08B945EE"/>
    <w:multiLevelType w:val="hybridMultilevel"/>
    <w:tmpl w:val="22CAF41A"/>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22" w15:restartNumberingAfterBreak="0">
    <w:nsid w:val="08C774E0"/>
    <w:multiLevelType w:val="hybridMultilevel"/>
    <w:tmpl w:val="2EAE1756"/>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23" w15:restartNumberingAfterBreak="0">
    <w:nsid w:val="09787906"/>
    <w:multiLevelType w:val="hybridMultilevel"/>
    <w:tmpl w:val="34C01D48"/>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24" w15:restartNumberingAfterBreak="0">
    <w:nsid w:val="098E477F"/>
    <w:multiLevelType w:val="hybridMultilevel"/>
    <w:tmpl w:val="255CAA4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09DD1289"/>
    <w:multiLevelType w:val="hybridMultilevel"/>
    <w:tmpl w:val="7F6A6CC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0C042E70"/>
    <w:multiLevelType w:val="hybridMultilevel"/>
    <w:tmpl w:val="6668201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7" w15:restartNumberingAfterBreak="0">
    <w:nsid w:val="0D203A3C"/>
    <w:multiLevelType w:val="hybridMultilevel"/>
    <w:tmpl w:val="8A243178"/>
    <w:lvl w:ilvl="0" w:tplc="2FD0BCF8">
      <w:start w:val="1"/>
      <w:numFmt w:val="bullet"/>
      <w:lvlText w:val=""/>
      <w:lvlJc w:val="left"/>
      <w:pPr>
        <w:ind w:left="720" w:hanging="360"/>
      </w:pPr>
      <w:rPr>
        <w:rFonts w:ascii="Symbol" w:hAnsi="Symbol"/>
      </w:rPr>
    </w:lvl>
    <w:lvl w:ilvl="1" w:tplc="2B1051B8">
      <w:start w:val="1"/>
      <w:numFmt w:val="bullet"/>
      <w:lvlText w:val=""/>
      <w:lvlJc w:val="left"/>
      <w:pPr>
        <w:ind w:left="720" w:hanging="360"/>
      </w:pPr>
      <w:rPr>
        <w:rFonts w:ascii="Symbol" w:hAnsi="Symbol"/>
      </w:rPr>
    </w:lvl>
    <w:lvl w:ilvl="2" w:tplc="558A1960">
      <w:start w:val="1"/>
      <w:numFmt w:val="bullet"/>
      <w:lvlText w:val=""/>
      <w:lvlJc w:val="left"/>
      <w:pPr>
        <w:ind w:left="720" w:hanging="360"/>
      </w:pPr>
      <w:rPr>
        <w:rFonts w:ascii="Symbol" w:hAnsi="Symbol"/>
      </w:rPr>
    </w:lvl>
    <w:lvl w:ilvl="3" w:tplc="C49ADEA6">
      <w:start w:val="1"/>
      <w:numFmt w:val="bullet"/>
      <w:lvlText w:val=""/>
      <w:lvlJc w:val="left"/>
      <w:pPr>
        <w:ind w:left="720" w:hanging="360"/>
      </w:pPr>
      <w:rPr>
        <w:rFonts w:ascii="Symbol" w:hAnsi="Symbol"/>
      </w:rPr>
    </w:lvl>
    <w:lvl w:ilvl="4" w:tplc="19065582">
      <w:start w:val="1"/>
      <w:numFmt w:val="bullet"/>
      <w:lvlText w:val=""/>
      <w:lvlJc w:val="left"/>
      <w:pPr>
        <w:ind w:left="720" w:hanging="360"/>
      </w:pPr>
      <w:rPr>
        <w:rFonts w:ascii="Symbol" w:hAnsi="Symbol"/>
      </w:rPr>
    </w:lvl>
    <w:lvl w:ilvl="5" w:tplc="E88617C4">
      <w:start w:val="1"/>
      <w:numFmt w:val="bullet"/>
      <w:lvlText w:val=""/>
      <w:lvlJc w:val="left"/>
      <w:pPr>
        <w:ind w:left="720" w:hanging="360"/>
      </w:pPr>
      <w:rPr>
        <w:rFonts w:ascii="Symbol" w:hAnsi="Symbol"/>
      </w:rPr>
    </w:lvl>
    <w:lvl w:ilvl="6" w:tplc="30BE471E">
      <w:start w:val="1"/>
      <w:numFmt w:val="bullet"/>
      <w:lvlText w:val=""/>
      <w:lvlJc w:val="left"/>
      <w:pPr>
        <w:ind w:left="720" w:hanging="360"/>
      </w:pPr>
      <w:rPr>
        <w:rFonts w:ascii="Symbol" w:hAnsi="Symbol"/>
      </w:rPr>
    </w:lvl>
    <w:lvl w:ilvl="7" w:tplc="A2D07BB2">
      <w:start w:val="1"/>
      <w:numFmt w:val="bullet"/>
      <w:lvlText w:val=""/>
      <w:lvlJc w:val="left"/>
      <w:pPr>
        <w:ind w:left="720" w:hanging="360"/>
      </w:pPr>
      <w:rPr>
        <w:rFonts w:ascii="Symbol" w:hAnsi="Symbol"/>
      </w:rPr>
    </w:lvl>
    <w:lvl w:ilvl="8" w:tplc="C2A6FA4E">
      <w:start w:val="1"/>
      <w:numFmt w:val="bullet"/>
      <w:lvlText w:val=""/>
      <w:lvlJc w:val="left"/>
      <w:pPr>
        <w:ind w:left="720" w:hanging="360"/>
      </w:pPr>
      <w:rPr>
        <w:rFonts w:ascii="Symbol" w:hAnsi="Symbol"/>
      </w:rPr>
    </w:lvl>
  </w:abstractNum>
  <w:abstractNum w:abstractNumId="28" w15:restartNumberingAfterBreak="0">
    <w:nsid w:val="0D8E20CB"/>
    <w:multiLevelType w:val="hybridMultilevel"/>
    <w:tmpl w:val="7A7C501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9" w15:restartNumberingAfterBreak="0">
    <w:nsid w:val="0E9F1124"/>
    <w:multiLevelType w:val="hybridMultilevel"/>
    <w:tmpl w:val="6F442520"/>
    <w:lvl w:ilvl="0" w:tplc="04180009">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0" w15:restartNumberingAfterBreak="0">
    <w:nsid w:val="0F3F058E"/>
    <w:multiLevelType w:val="hybridMultilevel"/>
    <w:tmpl w:val="119CEC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0F958AD"/>
    <w:multiLevelType w:val="hybridMultilevel"/>
    <w:tmpl w:val="38E2B720"/>
    <w:lvl w:ilvl="0" w:tplc="2A042378">
      <w:start w:val="1"/>
      <w:numFmt w:val="low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119F234E"/>
    <w:multiLevelType w:val="hybridMultilevel"/>
    <w:tmpl w:val="94565024"/>
    <w:lvl w:ilvl="0" w:tplc="04180015">
      <w:start w:val="1"/>
      <w:numFmt w:val="upp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3" w15:restartNumberingAfterBreak="0">
    <w:nsid w:val="12725DF9"/>
    <w:multiLevelType w:val="hybridMultilevel"/>
    <w:tmpl w:val="A6024924"/>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4" w15:restartNumberingAfterBreak="0">
    <w:nsid w:val="129D4DC7"/>
    <w:multiLevelType w:val="hybridMultilevel"/>
    <w:tmpl w:val="390841C2"/>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35" w15:restartNumberingAfterBreak="0">
    <w:nsid w:val="12E35491"/>
    <w:multiLevelType w:val="multilevel"/>
    <w:tmpl w:val="ECDEBD24"/>
    <w:lvl w:ilvl="0">
      <w:start w:val="9"/>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36" w15:restartNumberingAfterBreak="0">
    <w:nsid w:val="130F6D80"/>
    <w:multiLevelType w:val="hybridMultilevel"/>
    <w:tmpl w:val="2B20E082"/>
    <w:lvl w:ilvl="0" w:tplc="2228CC86">
      <w:start w:val="1"/>
      <w:numFmt w:val="bullet"/>
      <w:lvlText w:val="•"/>
      <w:lvlJc w:val="left"/>
      <w:pPr>
        <w:ind w:left="1080" w:hanging="360"/>
      </w:p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7" w15:restartNumberingAfterBreak="0">
    <w:nsid w:val="13D80285"/>
    <w:multiLevelType w:val="hybridMultilevel"/>
    <w:tmpl w:val="B560AA2A"/>
    <w:lvl w:ilvl="0" w:tplc="04180015">
      <w:start w:val="1"/>
      <w:numFmt w:val="upp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8" w15:restartNumberingAfterBreak="0">
    <w:nsid w:val="13EC013F"/>
    <w:multiLevelType w:val="hybridMultilevel"/>
    <w:tmpl w:val="AD7271E6"/>
    <w:lvl w:ilvl="0" w:tplc="FAB0CDAA">
      <w:start w:val="1"/>
      <w:numFmt w:val="lowerLetter"/>
      <w:lvlText w:val="%1."/>
      <w:lvlJc w:val="left"/>
      <w:pPr>
        <w:ind w:left="720" w:hanging="360"/>
      </w:pPr>
      <w:rPr>
        <w:rFonts w:hint="default"/>
        <w:b/>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9" w15:restartNumberingAfterBreak="0">
    <w:nsid w:val="13F41C92"/>
    <w:multiLevelType w:val="multilevel"/>
    <w:tmpl w:val="15FE1764"/>
    <w:lvl w:ilvl="0">
      <w:start w:val="1"/>
      <w:numFmt w:val="decimal"/>
      <w:pStyle w:val="Heading1"/>
      <w:suff w:val="space"/>
      <w:lvlText w:val="%1."/>
      <w:lvlJc w:val="left"/>
      <w:pPr>
        <w:ind w:left="0" w:firstLine="0"/>
      </w:pPr>
      <w:rPr>
        <w:rFonts w:hint="default"/>
        <w:b/>
        <w:bCs w:val="0"/>
      </w:rPr>
    </w:lvl>
    <w:lvl w:ilvl="1">
      <w:start w:val="1"/>
      <w:numFmt w:val="decimal"/>
      <w:pStyle w:val="Heading2"/>
      <w:suff w:val="space"/>
      <w:lvlText w:val="%1.%2"/>
      <w:lvlJc w:val="left"/>
      <w:pPr>
        <w:ind w:left="1277" w:firstLine="0"/>
      </w:pPr>
    </w:lvl>
    <w:lvl w:ilvl="2">
      <w:start w:val="1"/>
      <w:numFmt w:val="decimal"/>
      <w:pStyle w:val="Heading3"/>
      <w:suff w:val="space"/>
      <w:lvlText w:val="%1.%2.%3"/>
      <w:lvlJc w:val="left"/>
      <w:pPr>
        <w:ind w:left="284" w:firstLine="0"/>
      </w:pPr>
      <w:rPr>
        <w:rFonts w:hint="default"/>
      </w:rPr>
    </w:lvl>
    <w:lvl w:ilvl="3">
      <w:start w:val="1"/>
      <w:numFmt w:val="decimal"/>
      <w:pStyle w:val="Heading4"/>
      <w:suff w:val="space"/>
      <w:lvlText w:val="%1.%2.%3.%4"/>
      <w:lvlJc w:val="left"/>
      <w:pPr>
        <w:ind w:left="993" w:firstLine="0"/>
      </w:pPr>
      <w:rPr>
        <w:rFonts w:hint="default"/>
      </w:rPr>
    </w:lvl>
    <w:lvl w:ilvl="4">
      <w:start w:val="1"/>
      <w:numFmt w:val="none"/>
      <w:pStyle w:val="Heading5"/>
      <w:suff w:val="space"/>
      <w:lvlText w:val=""/>
      <w:lvlJc w:val="left"/>
      <w:pPr>
        <w:ind w:left="0" w:firstLine="0"/>
      </w:pPr>
      <w:rPr>
        <w:rFonts w:hint="default"/>
      </w:rPr>
    </w:lvl>
    <w:lvl w:ilvl="5">
      <w:start w:val="1"/>
      <w:numFmt w:val="none"/>
      <w:pStyle w:val="Heading6"/>
      <w:suff w:val="space"/>
      <w:lvlText w:val=""/>
      <w:lvlJc w:val="left"/>
      <w:pPr>
        <w:ind w:left="0" w:firstLine="0"/>
      </w:pPr>
      <w:rPr>
        <w:rFonts w:hint="default"/>
      </w:rPr>
    </w:lvl>
    <w:lvl w:ilvl="6">
      <w:start w:val="1"/>
      <w:numFmt w:val="none"/>
      <w:pStyle w:val="Heading7"/>
      <w:suff w:val="space"/>
      <w:lvlText w:val=""/>
      <w:lvlJc w:val="left"/>
      <w:pPr>
        <w:ind w:left="0" w:firstLine="0"/>
      </w:pPr>
      <w:rPr>
        <w:rFonts w:hint="default"/>
      </w:rPr>
    </w:lvl>
    <w:lvl w:ilvl="7">
      <w:start w:val="1"/>
      <w:numFmt w:val="none"/>
      <w:pStyle w:val="Heading8"/>
      <w:suff w:val="space"/>
      <w:lvlText w:val=""/>
      <w:lvlJc w:val="left"/>
      <w:pPr>
        <w:ind w:left="0" w:firstLine="0"/>
      </w:pPr>
      <w:rPr>
        <w:rFonts w:hint="default"/>
      </w:rPr>
    </w:lvl>
    <w:lvl w:ilvl="8">
      <w:start w:val="1"/>
      <w:numFmt w:val="none"/>
      <w:pStyle w:val="Heading9"/>
      <w:suff w:val="space"/>
      <w:lvlText w:val=""/>
      <w:lvlJc w:val="left"/>
      <w:pPr>
        <w:ind w:left="0" w:firstLine="0"/>
      </w:pPr>
      <w:rPr>
        <w:rFonts w:hint="default"/>
      </w:rPr>
    </w:lvl>
  </w:abstractNum>
  <w:abstractNum w:abstractNumId="40" w15:restartNumberingAfterBreak="0">
    <w:nsid w:val="13F84470"/>
    <w:multiLevelType w:val="hybridMultilevel"/>
    <w:tmpl w:val="A296D23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1" w15:restartNumberingAfterBreak="0">
    <w:nsid w:val="14DA3460"/>
    <w:multiLevelType w:val="hybridMultilevel"/>
    <w:tmpl w:val="FC90DAF0"/>
    <w:lvl w:ilvl="0" w:tplc="D2DE0DFC">
      <w:start w:val="1"/>
      <w:numFmt w:val="bullet"/>
      <w:lvlText w:val=""/>
      <w:lvlJc w:val="left"/>
      <w:pPr>
        <w:ind w:left="1080" w:hanging="360"/>
      </w:pPr>
      <w:rPr>
        <w:rFonts w:ascii="Symbol" w:hAnsi="Symbol"/>
      </w:rPr>
    </w:lvl>
    <w:lvl w:ilvl="1" w:tplc="B9A0B014">
      <w:start w:val="1"/>
      <w:numFmt w:val="bullet"/>
      <w:lvlText w:val=""/>
      <w:lvlJc w:val="left"/>
      <w:pPr>
        <w:ind w:left="1080" w:hanging="360"/>
      </w:pPr>
      <w:rPr>
        <w:rFonts w:ascii="Symbol" w:hAnsi="Symbol"/>
      </w:rPr>
    </w:lvl>
    <w:lvl w:ilvl="2" w:tplc="8480C8BA">
      <w:start w:val="1"/>
      <w:numFmt w:val="bullet"/>
      <w:lvlText w:val=""/>
      <w:lvlJc w:val="left"/>
      <w:pPr>
        <w:ind w:left="1080" w:hanging="360"/>
      </w:pPr>
      <w:rPr>
        <w:rFonts w:ascii="Symbol" w:hAnsi="Symbol"/>
      </w:rPr>
    </w:lvl>
    <w:lvl w:ilvl="3" w:tplc="0BF654F8">
      <w:start w:val="1"/>
      <w:numFmt w:val="bullet"/>
      <w:lvlText w:val=""/>
      <w:lvlJc w:val="left"/>
      <w:pPr>
        <w:ind w:left="1080" w:hanging="360"/>
      </w:pPr>
      <w:rPr>
        <w:rFonts w:ascii="Symbol" w:hAnsi="Symbol"/>
      </w:rPr>
    </w:lvl>
    <w:lvl w:ilvl="4" w:tplc="3432B642">
      <w:start w:val="1"/>
      <w:numFmt w:val="bullet"/>
      <w:lvlText w:val=""/>
      <w:lvlJc w:val="left"/>
      <w:pPr>
        <w:ind w:left="1080" w:hanging="360"/>
      </w:pPr>
      <w:rPr>
        <w:rFonts w:ascii="Symbol" w:hAnsi="Symbol"/>
      </w:rPr>
    </w:lvl>
    <w:lvl w:ilvl="5" w:tplc="B47099F8">
      <w:start w:val="1"/>
      <w:numFmt w:val="bullet"/>
      <w:lvlText w:val=""/>
      <w:lvlJc w:val="left"/>
      <w:pPr>
        <w:ind w:left="1080" w:hanging="360"/>
      </w:pPr>
      <w:rPr>
        <w:rFonts w:ascii="Symbol" w:hAnsi="Symbol"/>
      </w:rPr>
    </w:lvl>
    <w:lvl w:ilvl="6" w:tplc="2376CB4E">
      <w:start w:val="1"/>
      <w:numFmt w:val="bullet"/>
      <w:lvlText w:val=""/>
      <w:lvlJc w:val="left"/>
      <w:pPr>
        <w:ind w:left="1080" w:hanging="360"/>
      </w:pPr>
      <w:rPr>
        <w:rFonts w:ascii="Symbol" w:hAnsi="Symbol"/>
      </w:rPr>
    </w:lvl>
    <w:lvl w:ilvl="7" w:tplc="1E8C43AC">
      <w:start w:val="1"/>
      <w:numFmt w:val="bullet"/>
      <w:lvlText w:val=""/>
      <w:lvlJc w:val="left"/>
      <w:pPr>
        <w:ind w:left="1080" w:hanging="360"/>
      </w:pPr>
      <w:rPr>
        <w:rFonts w:ascii="Symbol" w:hAnsi="Symbol"/>
      </w:rPr>
    </w:lvl>
    <w:lvl w:ilvl="8" w:tplc="6EA2DD0E">
      <w:start w:val="1"/>
      <w:numFmt w:val="bullet"/>
      <w:lvlText w:val=""/>
      <w:lvlJc w:val="left"/>
      <w:pPr>
        <w:ind w:left="1080" w:hanging="360"/>
      </w:pPr>
      <w:rPr>
        <w:rFonts w:ascii="Symbol" w:hAnsi="Symbol"/>
      </w:rPr>
    </w:lvl>
  </w:abstractNum>
  <w:abstractNum w:abstractNumId="42" w15:restartNumberingAfterBreak="0">
    <w:nsid w:val="16351DD8"/>
    <w:multiLevelType w:val="hybridMultilevel"/>
    <w:tmpl w:val="695EA0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645171B"/>
    <w:multiLevelType w:val="hybridMultilevel"/>
    <w:tmpl w:val="2ED882D6"/>
    <w:lvl w:ilvl="0" w:tplc="B9B003AE">
      <w:start w:val="1"/>
      <w:numFmt w:val="bullet"/>
      <w:lvlText w:val=""/>
      <w:lvlJc w:val="left"/>
      <w:pPr>
        <w:ind w:left="720" w:hanging="360"/>
      </w:pPr>
      <w:rPr>
        <w:rFonts w:ascii="Symbol" w:hAnsi="Symbol"/>
      </w:rPr>
    </w:lvl>
    <w:lvl w:ilvl="1" w:tplc="8A70699A">
      <w:start w:val="1"/>
      <w:numFmt w:val="bullet"/>
      <w:lvlText w:val=""/>
      <w:lvlJc w:val="left"/>
      <w:pPr>
        <w:ind w:left="720" w:hanging="360"/>
      </w:pPr>
      <w:rPr>
        <w:rFonts w:ascii="Symbol" w:hAnsi="Symbol"/>
      </w:rPr>
    </w:lvl>
    <w:lvl w:ilvl="2" w:tplc="AB1E4CD4">
      <w:start w:val="1"/>
      <w:numFmt w:val="bullet"/>
      <w:lvlText w:val=""/>
      <w:lvlJc w:val="left"/>
      <w:pPr>
        <w:ind w:left="720" w:hanging="360"/>
      </w:pPr>
      <w:rPr>
        <w:rFonts w:ascii="Symbol" w:hAnsi="Symbol"/>
      </w:rPr>
    </w:lvl>
    <w:lvl w:ilvl="3" w:tplc="BAEC6DDA">
      <w:start w:val="1"/>
      <w:numFmt w:val="bullet"/>
      <w:lvlText w:val=""/>
      <w:lvlJc w:val="left"/>
      <w:pPr>
        <w:ind w:left="720" w:hanging="360"/>
      </w:pPr>
      <w:rPr>
        <w:rFonts w:ascii="Symbol" w:hAnsi="Symbol"/>
      </w:rPr>
    </w:lvl>
    <w:lvl w:ilvl="4" w:tplc="DAAA490E">
      <w:start w:val="1"/>
      <w:numFmt w:val="bullet"/>
      <w:lvlText w:val=""/>
      <w:lvlJc w:val="left"/>
      <w:pPr>
        <w:ind w:left="720" w:hanging="360"/>
      </w:pPr>
      <w:rPr>
        <w:rFonts w:ascii="Symbol" w:hAnsi="Symbol"/>
      </w:rPr>
    </w:lvl>
    <w:lvl w:ilvl="5" w:tplc="F20AF780">
      <w:start w:val="1"/>
      <w:numFmt w:val="bullet"/>
      <w:lvlText w:val=""/>
      <w:lvlJc w:val="left"/>
      <w:pPr>
        <w:ind w:left="720" w:hanging="360"/>
      </w:pPr>
      <w:rPr>
        <w:rFonts w:ascii="Symbol" w:hAnsi="Symbol"/>
      </w:rPr>
    </w:lvl>
    <w:lvl w:ilvl="6" w:tplc="9B241A5A">
      <w:start w:val="1"/>
      <w:numFmt w:val="bullet"/>
      <w:lvlText w:val=""/>
      <w:lvlJc w:val="left"/>
      <w:pPr>
        <w:ind w:left="720" w:hanging="360"/>
      </w:pPr>
      <w:rPr>
        <w:rFonts w:ascii="Symbol" w:hAnsi="Symbol"/>
      </w:rPr>
    </w:lvl>
    <w:lvl w:ilvl="7" w:tplc="67324FC0">
      <w:start w:val="1"/>
      <w:numFmt w:val="bullet"/>
      <w:lvlText w:val=""/>
      <w:lvlJc w:val="left"/>
      <w:pPr>
        <w:ind w:left="720" w:hanging="360"/>
      </w:pPr>
      <w:rPr>
        <w:rFonts w:ascii="Symbol" w:hAnsi="Symbol"/>
      </w:rPr>
    </w:lvl>
    <w:lvl w:ilvl="8" w:tplc="F4E218E6">
      <w:start w:val="1"/>
      <w:numFmt w:val="bullet"/>
      <w:lvlText w:val=""/>
      <w:lvlJc w:val="left"/>
      <w:pPr>
        <w:ind w:left="720" w:hanging="360"/>
      </w:pPr>
      <w:rPr>
        <w:rFonts w:ascii="Symbol" w:hAnsi="Symbol"/>
      </w:rPr>
    </w:lvl>
  </w:abstractNum>
  <w:abstractNum w:abstractNumId="44" w15:restartNumberingAfterBreak="0">
    <w:nsid w:val="17E26867"/>
    <w:multiLevelType w:val="hybridMultilevel"/>
    <w:tmpl w:val="02C49798"/>
    <w:lvl w:ilvl="0" w:tplc="04180015">
      <w:start w:val="1"/>
      <w:numFmt w:val="upp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5" w15:restartNumberingAfterBreak="0">
    <w:nsid w:val="18273B74"/>
    <w:multiLevelType w:val="hybridMultilevel"/>
    <w:tmpl w:val="3D4A916C"/>
    <w:lvl w:ilvl="0" w:tplc="0418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9AC156A"/>
    <w:multiLevelType w:val="hybridMultilevel"/>
    <w:tmpl w:val="5D1699C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7" w15:restartNumberingAfterBreak="0">
    <w:nsid w:val="19D36699"/>
    <w:multiLevelType w:val="hybridMultilevel"/>
    <w:tmpl w:val="E7FAEFCA"/>
    <w:lvl w:ilvl="0" w:tplc="04180001">
      <w:start w:val="1"/>
      <w:numFmt w:val="bullet"/>
      <w:lvlText w:val=""/>
      <w:lvlJc w:val="left"/>
      <w:pPr>
        <w:ind w:left="643"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8" w15:restartNumberingAfterBreak="0">
    <w:nsid w:val="1A1F49FD"/>
    <w:multiLevelType w:val="hybridMultilevel"/>
    <w:tmpl w:val="4FC84250"/>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9" w15:restartNumberingAfterBreak="0">
    <w:nsid w:val="1AF56575"/>
    <w:multiLevelType w:val="hybridMultilevel"/>
    <w:tmpl w:val="754A0F6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0" w15:restartNumberingAfterBreak="0">
    <w:nsid w:val="1B6E0D86"/>
    <w:multiLevelType w:val="hybridMultilevel"/>
    <w:tmpl w:val="DE18FBE8"/>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51" w15:restartNumberingAfterBreak="0">
    <w:nsid w:val="1B9B51EE"/>
    <w:multiLevelType w:val="hybridMultilevel"/>
    <w:tmpl w:val="B9F8F45C"/>
    <w:lvl w:ilvl="0" w:tplc="0B16B594">
      <w:start w:val="1"/>
      <w:numFmt w:val="bullet"/>
      <w:lvlText w:val="•"/>
      <w:lvlJc w:val="left"/>
      <w:pPr>
        <w:ind w:left="720" w:hanging="360"/>
      </w:pPr>
    </w:lvl>
    <w:lvl w:ilvl="1" w:tplc="7298BDD6">
      <w:start w:val="1"/>
      <w:numFmt w:val="bullet"/>
      <w:lvlText w:val="○"/>
      <w:lvlJc w:val="left"/>
      <w:pPr>
        <w:ind w:left="1440" w:hanging="360"/>
      </w:pPr>
    </w:lvl>
    <w:lvl w:ilvl="2" w:tplc="332457D4">
      <w:numFmt w:val="decimal"/>
      <w:lvlText w:val=""/>
      <w:lvlJc w:val="left"/>
    </w:lvl>
    <w:lvl w:ilvl="3" w:tplc="BB4CF18A">
      <w:numFmt w:val="decimal"/>
      <w:lvlText w:val=""/>
      <w:lvlJc w:val="left"/>
    </w:lvl>
    <w:lvl w:ilvl="4" w:tplc="0088CFD2">
      <w:numFmt w:val="decimal"/>
      <w:lvlText w:val=""/>
      <w:lvlJc w:val="left"/>
    </w:lvl>
    <w:lvl w:ilvl="5" w:tplc="559C9FFC">
      <w:numFmt w:val="decimal"/>
      <w:lvlText w:val=""/>
      <w:lvlJc w:val="left"/>
    </w:lvl>
    <w:lvl w:ilvl="6" w:tplc="0812F48E">
      <w:numFmt w:val="decimal"/>
      <w:lvlText w:val=""/>
      <w:lvlJc w:val="left"/>
    </w:lvl>
    <w:lvl w:ilvl="7" w:tplc="B510A1BA">
      <w:numFmt w:val="decimal"/>
      <w:lvlText w:val=""/>
      <w:lvlJc w:val="left"/>
    </w:lvl>
    <w:lvl w:ilvl="8" w:tplc="06E03CFA">
      <w:numFmt w:val="decimal"/>
      <w:lvlText w:val=""/>
      <w:lvlJc w:val="left"/>
    </w:lvl>
  </w:abstractNum>
  <w:abstractNum w:abstractNumId="52" w15:restartNumberingAfterBreak="0">
    <w:nsid w:val="1B9F6AFB"/>
    <w:multiLevelType w:val="hybridMultilevel"/>
    <w:tmpl w:val="FF1EEDA4"/>
    <w:lvl w:ilvl="0" w:tplc="04180001">
      <w:start w:val="1"/>
      <w:numFmt w:val="bullet"/>
      <w:lvlText w:val=""/>
      <w:lvlJc w:val="left"/>
      <w:pPr>
        <w:ind w:left="926" w:hanging="360"/>
      </w:pPr>
      <w:rPr>
        <w:rFonts w:ascii="Symbol" w:hAnsi="Symbol" w:hint="default"/>
      </w:rPr>
    </w:lvl>
    <w:lvl w:ilvl="1" w:tplc="FFFFFFFF" w:tentative="1">
      <w:start w:val="1"/>
      <w:numFmt w:val="bullet"/>
      <w:lvlText w:val="o"/>
      <w:lvlJc w:val="left"/>
      <w:pPr>
        <w:ind w:left="1723" w:hanging="360"/>
      </w:pPr>
      <w:rPr>
        <w:rFonts w:ascii="Courier New" w:hAnsi="Courier New" w:cs="Courier New" w:hint="default"/>
      </w:rPr>
    </w:lvl>
    <w:lvl w:ilvl="2" w:tplc="FFFFFFFF" w:tentative="1">
      <w:start w:val="1"/>
      <w:numFmt w:val="bullet"/>
      <w:lvlText w:val=""/>
      <w:lvlJc w:val="left"/>
      <w:pPr>
        <w:ind w:left="2443" w:hanging="360"/>
      </w:pPr>
      <w:rPr>
        <w:rFonts w:ascii="Wingdings" w:hAnsi="Wingdings" w:hint="default"/>
      </w:rPr>
    </w:lvl>
    <w:lvl w:ilvl="3" w:tplc="FFFFFFFF" w:tentative="1">
      <w:start w:val="1"/>
      <w:numFmt w:val="bullet"/>
      <w:lvlText w:val=""/>
      <w:lvlJc w:val="left"/>
      <w:pPr>
        <w:ind w:left="3163" w:hanging="360"/>
      </w:pPr>
      <w:rPr>
        <w:rFonts w:ascii="Symbol" w:hAnsi="Symbol" w:hint="default"/>
      </w:rPr>
    </w:lvl>
    <w:lvl w:ilvl="4" w:tplc="FFFFFFFF" w:tentative="1">
      <w:start w:val="1"/>
      <w:numFmt w:val="bullet"/>
      <w:lvlText w:val="o"/>
      <w:lvlJc w:val="left"/>
      <w:pPr>
        <w:ind w:left="3883" w:hanging="360"/>
      </w:pPr>
      <w:rPr>
        <w:rFonts w:ascii="Courier New" w:hAnsi="Courier New" w:cs="Courier New" w:hint="default"/>
      </w:rPr>
    </w:lvl>
    <w:lvl w:ilvl="5" w:tplc="FFFFFFFF" w:tentative="1">
      <w:start w:val="1"/>
      <w:numFmt w:val="bullet"/>
      <w:lvlText w:val=""/>
      <w:lvlJc w:val="left"/>
      <w:pPr>
        <w:ind w:left="4603" w:hanging="360"/>
      </w:pPr>
      <w:rPr>
        <w:rFonts w:ascii="Wingdings" w:hAnsi="Wingdings" w:hint="default"/>
      </w:rPr>
    </w:lvl>
    <w:lvl w:ilvl="6" w:tplc="FFFFFFFF" w:tentative="1">
      <w:start w:val="1"/>
      <w:numFmt w:val="bullet"/>
      <w:lvlText w:val=""/>
      <w:lvlJc w:val="left"/>
      <w:pPr>
        <w:ind w:left="5323" w:hanging="360"/>
      </w:pPr>
      <w:rPr>
        <w:rFonts w:ascii="Symbol" w:hAnsi="Symbol" w:hint="default"/>
      </w:rPr>
    </w:lvl>
    <w:lvl w:ilvl="7" w:tplc="FFFFFFFF" w:tentative="1">
      <w:start w:val="1"/>
      <w:numFmt w:val="bullet"/>
      <w:lvlText w:val="o"/>
      <w:lvlJc w:val="left"/>
      <w:pPr>
        <w:ind w:left="6043" w:hanging="360"/>
      </w:pPr>
      <w:rPr>
        <w:rFonts w:ascii="Courier New" w:hAnsi="Courier New" w:cs="Courier New" w:hint="default"/>
      </w:rPr>
    </w:lvl>
    <w:lvl w:ilvl="8" w:tplc="FFFFFFFF" w:tentative="1">
      <w:start w:val="1"/>
      <w:numFmt w:val="bullet"/>
      <w:lvlText w:val=""/>
      <w:lvlJc w:val="left"/>
      <w:pPr>
        <w:ind w:left="6763" w:hanging="360"/>
      </w:pPr>
      <w:rPr>
        <w:rFonts w:ascii="Wingdings" w:hAnsi="Wingdings" w:hint="default"/>
      </w:rPr>
    </w:lvl>
  </w:abstractNum>
  <w:abstractNum w:abstractNumId="53" w15:restartNumberingAfterBreak="0">
    <w:nsid w:val="1BBA6FA0"/>
    <w:multiLevelType w:val="hybridMultilevel"/>
    <w:tmpl w:val="3FB6744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4" w15:restartNumberingAfterBreak="0">
    <w:nsid w:val="1C5351F5"/>
    <w:multiLevelType w:val="hybridMultilevel"/>
    <w:tmpl w:val="AF9EBC18"/>
    <w:lvl w:ilvl="0" w:tplc="04180015">
      <w:start w:val="1"/>
      <w:numFmt w:val="upp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5" w15:restartNumberingAfterBreak="0">
    <w:nsid w:val="1C954716"/>
    <w:multiLevelType w:val="hybridMultilevel"/>
    <w:tmpl w:val="BE3CA51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6" w15:restartNumberingAfterBreak="0">
    <w:nsid w:val="1C9A660B"/>
    <w:multiLevelType w:val="hybridMultilevel"/>
    <w:tmpl w:val="EF76417E"/>
    <w:lvl w:ilvl="0" w:tplc="0418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7" w15:restartNumberingAfterBreak="0">
    <w:nsid w:val="1E276AD6"/>
    <w:multiLevelType w:val="hybridMultilevel"/>
    <w:tmpl w:val="B9DA8D14"/>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8" w15:restartNumberingAfterBreak="0">
    <w:nsid w:val="20B16E35"/>
    <w:multiLevelType w:val="hybridMultilevel"/>
    <w:tmpl w:val="73DAD2C0"/>
    <w:lvl w:ilvl="0" w:tplc="0418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9" w15:restartNumberingAfterBreak="0">
    <w:nsid w:val="20B85E35"/>
    <w:multiLevelType w:val="hybridMultilevel"/>
    <w:tmpl w:val="C3E0052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0" w15:restartNumberingAfterBreak="0">
    <w:nsid w:val="22264004"/>
    <w:multiLevelType w:val="hybridMultilevel"/>
    <w:tmpl w:val="14DC8E1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1" w15:restartNumberingAfterBreak="0">
    <w:nsid w:val="225B40E4"/>
    <w:multiLevelType w:val="hybridMultilevel"/>
    <w:tmpl w:val="788CF5F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2" w15:restartNumberingAfterBreak="0">
    <w:nsid w:val="22B64D7B"/>
    <w:multiLevelType w:val="hybridMultilevel"/>
    <w:tmpl w:val="DBDC127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3" w15:restartNumberingAfterBreak="0">
    <w:nsid w:val="22FE22BF"/>
    <w:multiLevelType w:val="hybridMultilevel"/>
    <w:tmpl w:val="721AECF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2FF3D07"/>
    <w:multiLevelType w:val="hybridMultilevel"/>
    <w:tmpl w:val="0652F282"/>
    <w:lvl w:ilvl="0" w:tplc="21842B6E">
      <w:numFmt w:val="bullet"/>
      <w:lvlText w:val="-"/>
      <w:lvlJc w:val="left"/>
      <w:pPr>
        <w:ind w:left="720" w:hanging="360"/>
      </w:pPr>
      <w:rPr>
        <w:rFonts w:ascii="Verdana" w:eastAsiaTheme="minorHAnsi" w:hAnsi="Verdana"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5" w15:restartNumberingAfterBreak="0">
    <w:nsid w:val="23D264C9"/>
    <w:multiLevelType w:val="hybridMultilevel"/>
    <w:tmpl w:val="7C1A54E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6" w15:restartNumberingAfterBreak="0">
    <w:nsid w:val="23FF2162"/>
    <w:multiLevelType w:val="multilevel"/>
    <w:tmpl w:val="B776B9A2"/>
    <w:lvl w:ilvl="0">
      <w:start w:val="1"/>
      <w:numFmt w:val="decimal"/>
      <w:lvlText w:val="%1."/>
      <w:lvlJc w:val="left"/>
      <w:pPr>
        <w:ind w:left="2062" w:hanging="360"/>
      </w:pPr>
      <w:rPr>
        <w:rFonts w:hint="default"/>
        <w:b/>
        <w:bCs w:val="0"/>
        <w:color w:val="009DF0" w:themeColor="text2"/>
        <w:sz w:val="32"/>
        <w:szCs w:val="32"/>
      </w:rPr>
    </w:lvl>
    <w:lvl w:ilvl="1">
      <w:start w:val="1"/>
      <w:numFmt w:val="decimal"/>
      <w:isLgl/>
      <w:lvlText w:val="%1.%2."/>
      <w:lvlJc w:val="left"/>
      <w:pPr>
        <w:ind w:left="776" w:hanging="720"/>
      </w:pPr>
      <w:rPr>
        <w:rFonts w:hint="default"/>
        <w:b/>
        <w:color w:val="00B0F0"/>
      </w:rPr>
    </w:lvl>
    <w:lvl w:ilvl="2">
      <w:start w:val="1"/>
      <w:numFmt w:val="decimal"/>
      <w:isLgl/>
      <w:lvlText w:val="%1.%2.%3."/>
      <w:lvlJc w:val="left"/>
      <w:pPr>
        <w:ind w:left="8375" w:hanging="720"/>
      </w:pPr>
      <w:rPr>
        <w:rFonts w:hint="default"/>
        <w:b/>
        <w:bCs/>
        <w:color w:val="00B0F0"/>
        <w:sz w:val="18"/>
        <w:szCs w:val="18"/>
      </w:rPr>
    </w:lvl>
    <w:lvl w:ilvl="3">
      <w:start w:val="1"/>
      <w:numFmt w:val="decimal"/>
      <w:isLgl/>
      <w:lvlText w:val="%1.%2.%3.%4."/>
      <w:lvlJc w:val="left"/>
      <w:pPr>
        <w:ind w:left="4625" w:hanging="1080"/>
      </w:pPr>
      <w:rPr>
        <w:rFonts w:hint="default"/>
      </w:rPr>
    </w:lvl>
    <w:lvl w:ilvl="4">
      <w:start w:val="1"/>
      <w:numFmt w:val="decimal"/>
      <w:isLgl/>
      <w:lvlText w:val="%1.%2.%3.%4.%5."/>
      <w:lvlJc w:val="left"/>
      <w:pPr>
        <w:ind w:left="2150" w:hanging="144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67" w15:restartNumberingAfterBreak="0">
    <w:nsid w:val="25AF56E4"/>
    <w:multiLevelType w:val="multilevel"/>
    <w:tmpl w:val="7422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EB57C2"/>
    <w:multiLevelType w:val="hybridMultilevel"/>
    <w:tmpl w:val="E3608B0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9" w15:restartNumberingAfterBreak="0">
    <w:nsid w:val="25FD1847"/>
    <w:multiLevelType w:val="hybridMultilevel"/>
    <w:tmpl w:val="2EC0E9B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0" w15:restartNumberingAfterBreak="0">
    <w:nsid w:val="27AB0808"/>
    <w:multiLevelType w:val="hybridMultilevel"/>
    <w:tmpl w:val="9F0AB4FA"/>
    <w:lvl w:ilvl="0" w:tplc="04180001">
      <w:start w:val="1"/>
      <w:numFmt w:val="bullet"/>
      <w:lvlText w:val=""/>
      <w:lvlJc w:val="left"/>
      <w:pPr>
        <w:ind w:left="783" w:hanging="360"/>
      </w:pPr>
      <w:rPr>
        <w:rFonts w:ascii="Symbol" w:hAnsi="Symbol" w:hint="default"/>
      </w:rPr>
    </w:lvl>
    <w:lvl w:ilvl="1" w:tplc="04180003" w:tentative="1">
      <w:start w:val="1"/>
      <w:numFmt w:val="bullet"/>
      <w:lvlText w:val="o"/>
      <w:lvlJc w:val="left"/>
      <w:pPr>
        <w:ind w:left="1503" w:hanging="360"/>
      </w:pPr>
      <w:rPr>
        <w:rFonts w:ascii="Courier New" w:hAnsi="Courier New" w:cs="Courier New" w:hint="default"/>
      </w:rPr>
    </w:lvl>
    <w:lvl w:ilvl="2" w:tplc="04180005" w:tentative="1">
      <w:start w:val="1"/>
      <w:numFmt w:val="bullet"/>
      <w:lvlText w:val=""/>
      <w:lvlJc w:val="left"/>
      <w:pPr>
        <w:ind w:left="2223" w:hanging="360"/>
      </w:pPr>
      <w:rPr>
        <w:rFonts w:ascii="Wingdings" w:hAnsi="Wingdings" w:hint="default"/>
      </w:rPr>
    </w:lvl>
    <w:lvl w:ilvl="3" w:tplc="04180001" w:tentative="1">
      <w:start w:val="1"/>
      <w:numFmt w:val="bullet"/>
      <w:lvlText w:val=""/>
      <w:lvlJc w:val="left"/>
      <w:pPr>
        <w:ind w:left="2943" w:hanging="360"/>
      </w:pPr>
      <w:rPr>
        <w:rFonts w:ascii="Symbol" w:hAnsi="Symbol" w:hint="default"/>
      </w:rPr>
    </w:lvl>
    <w:lvl w:ilvl="4" w:tplc="04180003" w:tentative="1">
      <w:start w:val="1"/>
      <w:numFmt w:val="bullet"/>
      <w:lvlText w:val="o"/>
      <w:lvlJc w:val="left"/>
      <w:pPr>
        <w:ind w:left="3663" w:hanging="360"/>
      </w:pPr>
      <w:rPr>
        <w:rFonts w:ascii="Courier New" w:hAnsi="Courier New" w:cs="Courier New" w:hint="default"/>
      </w:rPr>
    </w:lvl>
    <w:lvl w:ilvl="5" w:tplc="04180005" w:tentative="1">
      <w:start w:val="1"/>
      <w:numFmt w:val="bullet"/>
      <w:lvlText w:val=""/>
      <w:lvlJc w:val="left"/>
      <w:pPr>
        <w:ind w:left="4383" w:hanging="360"/>
      </w:pPr>
      <w:rPr>
        <w:rFonts w:ascii="Wingdings" w:hAnsi="Wingdings" w:hint="default"/>
      </w:rPr>
    </w:lvl>
    <w:lvl w:ilvl="6" w:tplc="04180001" w:tentative="1">
      <w:start w:val="1"/>
      <w:numFmt w:val="bullet"/>
      <w:lvlText w:val=""/>
      <w:lvlJc w:val="left"/>
      <w:pPr>
        <w:ind w:left="5103" w:hanging="360"/>
      </w:pPr>
      <w:rPr>
        <w:rFonts w:ascii="Symbol" w:hAnsi="Symbol" w:hint="default"/>
      </w:rPr>
    </w:lvl>
    <w:lvl w:ilvl="7" w:tplc="04180003" w:tentative="1">
      <w:start w:val="1"/>
      <w:numFmt w:val="bullet"/>
      <w:lvlText w:val="o"/>
      <w:lvlJc w:val="left"/>
      <w:pPr>
        <w:ind w:left="5823" w:hanging="360"/>
      </w:pPr>
      <w:rPr>
        <w:rFonts w:ascii="Courier New" w:hAnsi="Courier New" w:cs="Courier New" w:hint="default"/>
      </w:rPr>
    </w:lvl>
    <w:lvl w:ilvl="8" w:tplc="04180005" w:tentative="1">
      <w:start w:val="1"/>
      <w:numFmt w:val="bullet"/>
      <w:lvlText w:val=""/>
      <w:lvlJc w:val="left"/>
      <w:pPr>
        <w:ind w:left="6543" w:hanging="360"/>
      </w:pPr>
      <w:rPr>
        <w:rFonts w:ascii="Wingdings" w:hAnsi="Wingdings" w:hint="default"/>
      </w:rPr>
    </w:lvl>
  </w:abstractNum>
  <w:abstractNum w:abstractNumId="71" w15:restartNumberingAfterBreak="0">
    <w:nsid w:val="28311955"/>
    <w:multiLevelType w:val="hybridMultilevel"/>
    <w:tmpl w:val="297260E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2" w15:restartNumberingAfterBreak="0">
    <w:nsid w:val="29571AD4"/>
    <w:multiLevelType w:val="hybridMultilevel"/>
    <w:tmpl w:val="FAC03C3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3" w15:restartNumberingAfterBreak="0">
    <w:nsid w:val="2A39129D"/>
    <w:multiLevelType w:val="hybridMultilevel"/>
    <w:tmpl w:val="7C02FB26"/>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74" w15:restartNumberingAfterBreak="0">
    <w:nsid w:val="2CBB3306"/>
    <w:multiLevelType w:val="hybridMultilevel"/>
    <w:tmpl w:val="4F48D0B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5" w15:restartNumberingAfterBreak="0">
    <w:nsid w:val="2E5B0A39"/>
    <w:multiLevelType w:val="hybridMultilevel"/>
    <w:tmpl w:val="A0B4BB58"/>
    <w:lvl w:ilvl="0" w:tplc="04180001">
      <w:start w:val="1"/>
      <w:numFmt w:val="bullet"/>
      <w:lvlText w:val=""/>
      <w:lvlJc w:val="left"/>
      <w:pPr>
        <w:ind w:left="926" w:hanging="360"/>
      </w:pPr>
      <w:rPr>
        <w:rFonts w:ascii="Symbol" w:hAnsi="Symbol" w:hint="default"/>
      </w:rPr>
    </w:lvl>
    <w:lvl w:ilvl="1" w:tplc="FFFFFFFF" w:tentative="1">
      <w:start w:val="1"/>
      <w:numFmt w:val="bullet"/>
      <w:lvlText w:val="o"/>
      <w:lvlJc w:val="left"/>
      <w:pPr>
        <w:ind w:left="1723" w:hanging="360"/>
      </w:pPr>
      <w:rPr>
        <w:rFonts w:ascii="Courier New" w:hAnsi="Courier New" w:cs="Courier New" w:hint="default"/>
      </w:rPr>
    </w:lvl>
    <w:lvl w:ilvl="2" w:tplc="FFFFFFFF" w:tentative="1">
      <w:start w:val="1"/>
      <w:numFmt w:val="bullet"/>
      <w:lvlText w:val=""/>
      <w:lvlJc w:val="left"/>
      <w:pPr>
        <w:ind w:left="2443" w:hanging="360"/>
      </w:pPr>
      <w:rPr>
        <w:rFonts w:ascii="Wingdings" w:hAnsi="Wingdings" w:hint="default"/>
      </w:rPr>
    </w:lvl>
    <w:lvl w:ilvl="3" w:tplc="FFFFFFFF" w:tentative="1">
      <w:start w:val="1"/>
      <w:numFmt w:val="bullet"/>
      <w:lvlText w:val=""/>
      <w:lvlJc w:val="left"/>
      <w:pPr>
        <w:ind w:left="3163" w:hanging="360"/>
      </w:pPr>
      <w:rPr>
        <w:rFonts w:ascii="Symbol" w:hAnsi="Symbol" w:hint="default"/>
      </w:rPr>
    </w:lvl>
    <w:lvl w:ilvl="4" w:tplc="FFFFFFFF" w:tentative="1">
      <w:start w:val="1"/>
      <w:numFmt w:val="bullet"/>
      <w:lvlText w:val="o"/>
      <w:lvlJc w:val="left"/>
      <w:pPr>
        <w:ind w:left="3883" w:hanging="360"/>
      </w:pPr>
      <w:rPr>
        <w:rFonts w:ascii="Courier New" w:hAnsi="Courier New" w:cs="Courier New" w:hint="default"/>
      </w:rPr>
    </w:lvl>
    <w:lvl w:ilvl="5" w:tplc="FFFFFFFF" w:tentative="1">
      <w:start w:val="1"/>
      <w:numFmt w:val="bullet"/>
      <w:lvlText w:val=""/>
      <w:lvlJc w:val="left"/>
      <w:pPr>
        <w:ind w:left="4603" w:hanging="360"/>
      </w:pPr>
      <w:rPr>
        <w:rFonts w:ascii="Wingdings" w:hAnsi="Wingdings" w:hint="default"/>
      </w:rPr>
    </w:lvl>
    <w:lvl w:ilvl="6" w:tplc="FFFFFFFF" w:tentative="1">
      <w:start w:val="1"/>
      <w:numFmt w:val="bullet"/>
      <w:lvlText w:val=""/>
      <w:lvlJc w:val="left"/>
      <w:pPr>
        <w:ind w:left="5323" w:hanging="360"/>
      </w:pPr>
      <w:rPr>
        <w:rFonts w:ascii="Symbol" w:hAnsi="Symbol" w:hint="default"/>
      </w:rPr>
    </w:lvl>
    <w:lvl w:ilvl="7" w:tplc="FFFFFFFF" w:tentative="1">
      <w:start w:val="1"/>
      <w:numFmt w:val="bullet"/>
      <w:lvlText w:val="o"/>
      <w:lvlJc w:val="left"/>
      <w:pPr>
        <w:ind w:left="6043" w:hanging="360"/>
      </w:pPr>
      <w:rPr>
        <w:rFonts w:ascii="Courier New" w:hAnsi="Courier New" w:cs="Courier New" w:hint="default"/>
      </w:rPr>
    </w:lvl>
    <w:lvl w:ilvl="8" w:tplc="FFFFFFFF" w:tentative="1">
      <w:start w:val="1"/>
      <w:numFmt w:val="bullet"/>
      <w:lvlText w:val=""/>
      <w:lvlJc w:val="left"/>
      <w:pPr>
        <w:ind w:left="6763" w:hanging="360"/>
      </w:pPr>
      <w:rPr>
        <w:rFonts w:ascii="Wingdings" w:hAnsi="Wingdings" w:hint="default"/>
      </w:rPr>
    </w:lvl>
  </w:abstractNum>
  <w:abstractNum w:abstractNumId="76" w15:restartNumberingAfterBreak="0">
    <w:nsid w:val="2EB63DD7"/>
    <w:multiLevelType w:val="hybridMultilevel"/>
    <w:tmpl w:val="3AB8027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7" w15:restartNumberingAfterBreak="0">
    <w:nsid w:val="301B282E"/>
    <w:multiLevelType w:val="hybridMultilevel"/>
    <w:tmpl w:val="502AD23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8" w15:restartNumberingAfterBreak="0">
    <w:nsid w:val="30BB4337"/>
    <w:multiLevelType w:val="hybridMultilevel"/>
    <w:tmpl w:val="5C12A828"/>
    <w:lvl w:ilvl="0" w:tplc="71D22246">
      <w:start w:val="1"/>
      <w:numFmt w:val="decimal"/>
      <w:lvlText w:val="%1."/>
      <w:lvlJc w:val="left"/>
      <w:pPr>
        <w:ind w:left="720" w:hanging="360"/>
      </w:pPr>
      <w:rPr>
        <w:rFonts w:ascii="Arial" w:eastAsia="Arial" w:hAnsi="Arial" w:cs="Arial" w:hint="default"/>
        <w:b/>
        <w:color w:val="FFFFFF"/>
        <w:sz w:val="28"/>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9" w15:restartNumberingAfterBreak="0">
    <w:nsid w:val="318E4BC9"/>
    <w:multiLevelType w:val="hybridMultilevel"/>
    <w:tmpl w:val="1A00B89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0" w15:restartNumberingAfterBreak="0">
    <w:nsid w:val="327C6A74"/>
    <w:multiLevelType w:val="hybridMultilevel"/>
    <w:tmpl w:val="529CA96E"/>
    <w:lvl w:ilvl="0" w:tplc="570CD0A0">
      <w:start w:val="1"/>
      <w:numFmt w:val="decimal"/>
      <w:lvlText w:val="%1."/>
      <w:lvlJc w:val="left"/>
      <w:pPr>
        <w:ind w:left="278" w:hanging="278"/>
      </w:pPr>
      <w:rPr>
        <w:rFonts w:ascii="Verdana" w:eastAsia="Cambria" w:hAnsi="Verdana" w:cs="Cambria"/>
        <w:b/>
        <w:bCs/>
        <w:i w:val="0"/>
        <w:iCs w:val="0"/>
        <w:color w:val="auto"/>
        <w:spacing w:val="0"/>
        <w:w w:val="95"/>
        <w:sz w:val="19"/>
        <w:szCs w:val="19"/>
        <w:lang w:val="ro-RO" w:eastAsia="en-US" w:bidi="ar-SA"/>
      </w:rPr>
    </w:lvl>
    <w:lvl w:ilvl="1" w:tplc="FFFFFFFF">
      <w:numFmt w:val="bullet"/>
      <w:lvlText w:val="•"/>
      <w:lvlJc w:val="left"/>
      <w:pPr>
        <w:ind w:left="1854" w:hanging="278"/>
      </w:pPr>
      <w:rPr>
        <w:lang w:val="ro-RO" w:eastAsia="en-US" w:bidi="ar-SA"/>
      </w:rPr>
    </w:lvl>
    <w:lvl w:ilvl="2" w:tplc="FFFFFFFF">
      <w:numFmt w:val="bullet"/>
      <w:lvlText w:val="•"/>
      <w:lvlJc w:val="left"/>
      <w:pPr>
        <w:ind w:left="2809" w:hanging="278"/>
      </w:pPr>
      <w:rPr>
        <w:lang w:val="ro-RO" w:eastAsia="en-US" w:bidi="ar-SA"/>
      </w:rPr>
    </w:lvl>
    <w:lvl w:ilvl="3" w:tplc="FFFFFFFF">
      <w:numFmt w:val="bullet"/>
      <w:lvlText w:val="•"/>
      <w:lvlJc w:val="left"/>
      <w:pPr>
        <w:ind w:left="3763" w:hanging="278"/>
      </w:pPr>
      <w:rPr>
        <w:lang w:val="ro-RO" w:eastAsia="en-US" w:bidi="ar-SA"/>
      </w:rPr>
    </w:lvl>
    <w:lvl w:ilvl="4" w:tplc="FFFFFFFF">
      <w:numFmt w:val="bullet"/>
      <w:lvlText w:val="•"/>
      <w:lvlJc w:val="left"/>
      <w:pPr>
        <w:ind w:left="4718" w:hanging="278"/>
      </w:pPr>
      <w:rPr>
        <w:lang w:val="ro-RO" w:eastAsia="en-US" w:bidi="ar-SA"/>
      </w:rPr>
    </w:lvl>
    <w:lvl w:ilvl="5" w:tplc="FFFFFFFF">
      <w:numFmt w:val="bullet"/>
      <w:lvlText w:val="•"/>
      <w:lvlJc w:val="left"/>
      <w:pPr>
        <w:ind w:left="5672" w:hanging="278"/>
      </w:pPr>
      <w:rPr>
        <w:lang w:val="ro-RO" w:eastAsia="en-US" w:bidi="ar-SA"/>
      </w:rPr>
    </w:lvl>
    <w:lvl w:ilvl="6" w:tplc="FFFFFFFF">
      <w:numFmt w:val="bullet"/>
      <w:lvlText w:val="•"/>
      <w:lvlJc w:val="left"/>
      <w:pPr>
        <w:ind w:left="6627" w:hanging="278"/>
      </w:pPr>
      <w:rPr>
        <w:lang w:val="ro-RO" w:eastAsia="en-US" w:bidi="ar-SA"/>
      </w:rPr>
    </w:lvl>
    <w:lvl w:ilvl="7" w:tplc="FFFFFFFF">
      <w:numFmt w:val="bullet"/>
      <w:lvlText w:val="•"/>
      <w:lvlJc w:val="left"/>
      <w:pPr>
        <w:ind w:left="7581" w:hanging="278"/>
      </w:pPr>
      <w:rPr>
        <w:lang w:val="ro-RO" w:eastAsia="en-US" w:bidi="ar-SA"/>
      </w:rPr>
    </w:lvl>
    <w:lvl w:ilvl="8" w:tplc="FFFFFFFF">
      <w:numFmt w:val="bullet"/>
      <w:lvlText w:val="•"/>
      <w:lvlJc w:val="left"/>
      <w:pPr>
        <w:ind w:left="8536" w:hanging="278"/>
      </w:pPr>
      <w:rPr>
        <w:lang w:val="ro-RO" w:eastAsia="en-US" w:bidi="ar-SA"/>
      </w:rPr>
    </w:lvl>
  </w:abstractNum>
  <w:abstractNum w:abstractNumId="81" w15:restartNumberingAfterBreak="0">
    <w:nsid w:val="32D3074A"/>
    <w:multiLevelType w:val="hybridMultilevel"/>
    <w:tmpl w:val="5F72FBE6"/>
    <w:lvl w:ilvl="0" w:tplc="04180001">
      <w:start w:val="1"/>
      <w:numFmt w:val="bullet"/>
      <w:lvlText w:val=""/>
      <w:lvlJc w:val="left"/>
      <w:pPr>
        <w:ind w:left="278" w:hanging="278"/>
      </w:pPr>
      <w:rPr>
        <w:rFonts w:ascii="Symbol" w:hAnsi="Symbol" w:hint="default"/>
        <w:b/>
        <w:bCs/>
        <w:i w:val="0"/>
        <w:iCs w:val="0"/>
        <w:color w:val="auto"/>
        <w:spacing w:val="0"/>
        <w:w w:val="95"/>
        <w:sz w:val="19"/>
        <w:szCs w:val="19"/>
        <w:lang w:val="ro-RO" w:eastAsia="en-US" w:bidi="ar-SA"/>
      </w:rPr>
    </w:lvl>
    <w:lvl w:ilvl="1" w:tplc="FFFFFFFF">
      <w:numFmt w:val="bullet"/>
      <w:lvlText w:val="•"/>
      <w:lvlJc w:val="left"/>
      <w:pPr>
        <w:ind w:left="1854" w:hanging="278"/>
      </w:pPr>
      <w:rPr>
        <w:lang w:val="ro-RO" w:eastAsia="en-US" w:bidi="ar-SA"/>
      </w:rPr>
    </w:lvl>
    <w:lvl w:ilvl="2" w:tplc="FFFFFFFF">
      <w:numFmt w:val="bullet"/>
      <w:lvlText w:val="•"/>
      <w:lvlJc w:val="left"/>
      <w:pPr>
        <w:ind w:left="2809" w:hanging="278"/>
      </w:pPr>
      <w:rPr>
        <w:lang w:val="ro-RO" w:eastAsia="en-US" w:bidi="ar-SA"/>
      </w:rPr>
    </w:lvl>
    <w:lvl w:ilvl="3" w:tplc="FFFFFFFF">
      <w:numFmt w:val="bullet"/>
      <w:lvlText w:val="•"/>
      <w:lvlJc w:val="left"/>
      <w:pPr>
        <w:ind w:left="3763" w:hanging="278"/>
      </w:pPr>
      <w:rPr>
        <w:lang w:val="ro-RO" w:eastAsia="en-US" w:bidi="ar-SA"/>
      </w:rPr>
    </w:lvl>
    <w:lvl w:ilvl="4" w:tplc="FFFFFFFF">
      <w:numFmt w:val="bullet"/>
      <w:lvlText w:val="•"/>
      <w:lvlJc w:val="left"/>
      <w:pPr>
        <w:ind w:left="4718" w:hanging="278"/>
      </w:pPr>
      <w:rPr>
        <w:lang w:val="ro-RO" w:eastAsia="en-US" w:bidi="ar-SA"/>
      </w:rPr>
    </w:lvl>
    <w:lvl w:ilvl="5" w:tplc="FFFFFFFF">
      <w:numFmt w:val="bullet"/>
      <w:lvlText w:val="•"/>
      <w:lvlJc w:val="left"/>
      <w:pPr>
        <w:ind w:left="5672" w:hanging="278"/>
      </w:pPr>
      <w:rPr>
        <w:lang w:val="ro-RO" w:eastAsia="en-US" w:bidi="ar-SA"/>
      </w:rPr>
    </w:lvl>
    <w:lvl w:ilvl="6" w:tplc="FFFFFFFF">
      <w:numFmt w:val="bullet"/>
      <w:lvlText w:val="•"/>
      <w:lvlJc w:val="left"/>
      <w:pPr>
        <w:ind w:left="6627" w:hanging="278"/>
      </w:pPr>
      <w:rPr>
        <w:lang w:val="ro-RO" w:eastAsia="en-US" w:bidi="ar-SA"/>
      </w:rPr>
    </w:lvl>
    <w:lvl w:ilvl="7" w:tplc="FFFFFFFF">
      <w:numFmt w:val="bullet"/>
      <w:lvlText w:val="•"/>
      <w:lvlJc w:val="left"/>
      <w:pPr>
        <w:ind w:left="7581" w:hanging="278"/>
      </w:pPr>
      <w:rPr>
        <w:lang w:val="ro-RO" w:eastAsia="en-US" w:bidi="ar-SA"/>
      </w:rPr>
    </w:lvl>
    <w:lvl w:ilvl="8" w:tplc="FFFFFFFF">
      <w:numFmt w:val="bullet"/>
      <w:lvlText w:val="•"/>
      <w:lvlJc w:val="left"/>
      <w:pPr>
        <w:ind w:left="8536" w:hanging="278"/>
      </w:pPr>
      <w:rPr>
        <w:lang w:val="ro-RO" w:eastAsia="en-US" w:bidi="ar-SA"/>
      </w:rPr>
    </w:lvl>
  </w:abstractNum>
  <w:abstractNum w:abstractNumId="82" w15:restartNumberingAfterBreak="0">
    <w:nsid w:val="33115170"/>
    <w:multiLevelType w:val="multilevel"/>
    <w:tmpl w:val="C126842E"/>
    <w:lvl w:ilvl="0">
      <w:start w:val="1"/>
      <w:numFmt w:val="decimal"/>
      <w:pStyle w:val="H1-NOTTOC"/>
      <w:suff w:val="space"/>
      <w:lvlText w:val="%1."/>
      <w:lvlJc w:val="left"/>
      <w:pPr>
        <w:ind w:left="0" w:firstLine="0"/>
      </w:pPr>
      <w:rPr>
        <w:rFonts w:ascii="Verdana" w:hAnsi="Verdana" w:hint="default"/>
        <w:b w:val="0"/>
        <w:i w:val="0"/>
        <w:color w:val="009DE0"/>
        <w:sz w:val="28"/>
      </w:rPr>
    </w:lvl>
    <w:lvl w:ilvl="1">
      <w:start w:val="1"/>
      <w:numFmt w:val="decimal"/>
      <w:pStyle w:val="H2-NOTTOC"/>
      <w:suff w:val="space"/>
      <w:lvlText w:val="%1.%2"/>
      <w:lvlJc w:val="left"/>
      <w:pPr>
        <w:ind w:left="0" w:firstLine="0"/>
      </w:pPr>
      <w:rPr>
        <w:rFonts w:ascii="Verdana" w:hAnsi="Verdana" w:hint="default"/>
        <w:b w:val="0"/>
        <w:i w:val="0"/>
        <w:color w:val="000000"/>
        <w:sz w:val="18"/>
      </w:rPr>
    </w:lvl>
    <w:lvl w:ilvl="2">
      <w:start w:val="1"/>
      <w:numFmt w:val="decimal"/>
      <w:pStyle w:val="H3-NOTTOC"/>
      <w:suff w:val="space"/>
      <w:lvlText w:val="%1.%2.%3"/>
      <w:lvlJc w:val="left"/>
      <w:pPr>
        <w:ind w:left="0" w:firstLine="0"/>
      </w:pPr>
      <w:rPr>
        <w:rFonts w:ascii="Verdana" w:hAnsi="Verdana" w:hint="default"/>
        <w:b w:val="0"/>
        <w:i w:val="0"/>
        <w:color w:val="000000"/>
        <w:sz w:val="18"/>
      </w:rPr>
    </w:lvl>
    <w:lvl w:ilvl="3">
      <w:start w:val="1"/>
      <w:numFmt w:val="decimal"/>
      <w:pStyle w:val="H4-NOTTOC"/>
      <w:suff w:val="space"/>
      <w:lvlText w:val="%1.%2.%3.%4"/>
      <w:lvlJc w:val="left"/>
      <w:pPr>
        <w:ind w:left="0" w:firstLine="0"/>
      </w:pPr>
      <w:rPr>
        <w:rFonts w:ascii="Verdana" w:hAnsi="Verdana" w:hint="default"/>
        <w:b w:val="0"/>
        <w:i w:val="0"/>
        <w:color w:val="auto"/>
        <w:sz w:val="18"/>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83" w15:restartNumberingAfterBreak="0">
    <w:nsid w:val="33CA0FE7"/>
    <w:multiLevelType w:val="hybridMultilevel"/>
    <w:tmpl w:val="6310C260"/>
    <w:lvl w:ilvl="0" w:tplc="72CA3158">
      <w:start w:val="1"/>
      <w:numFmt w:val="upp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4" w15:restartNumberingAfterBreak="0">
    <w:nsid w:val="374062B3"/>
    <w:multiLevelType w:val="hybridMultilevel"/>
    <w:tmpl w:val="DD0A7492"/>
    <w:lvl w:ilvl="0" w:tplc="0418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78F1626"/>
    <w:multiLevelType w:val="hybridMultilevel"/>
    <w:tmpl w:val="459E0C5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381777D8"/>
    <w:multiLevelType w:val="hybridMultilevel"/>
    <w:tmpl w:val="C7FA63A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7" w15:restartNumberingAfterBreak="0">
    <w:nsid w:val="398A1ADC"/>
    <w:multiLevelType w:val="hybridMultilevel"/>
    <w:tmpl w:val="28EC39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8" w15:restartNumberingAfterBreak="0">
    <w:nsid w:val="3AAA5E7A"/>
    <w:multiLevelType w:val="hybridMultilevel"/>
    <w:tmpl w:val="71C06DD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9" w15:restartNumberingAfterBreak="0">
    <w:nsid w:val="3AD25145"/>
    <w:multiLevelType w:val="hybridMultilevel"/>
    <w:tmpl w:val="452876FA"/>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3B3F2539"/>
    <w:multiLevelType w:val="hybridMultilevel"/>
    <w:tmpl w:val="8578D7D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1" w15:restartNumberingAfterBreak="0">
    <w:nsid w:val="3B655773"/>
    <w:multiLevelType w:val="hybridMultilevel"/>
    <w:tmpl w:val="48706CE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2" w15:restartNumberingAfterBreak="0">
    <w:nsid w:val="3BA03416"/>
    <w:multiLevelType w:val="multilevel"/>
    <w:tmpl w:val="0062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C63648"/>
    <w:multiLevelType w:val="hybridMultilevel"/>
    <w:tmpl w:val="2E14008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4" w15:restartNumberingAfterBreak="0">
    <w:nsid w:val="3DC318C6"/>
    <w:multiLevelType w:val="hybridMultilevel"/>
    <w:tmpl w:val="64022DDC"/>
    <w:lvl w:ilvl="0" w:tplc="C860B1BE">
      <w:start w:val="10"/>
      <w:numFmt w:val="decimal"/>
      <w:lvlText w:val="%1"/>
      <w:lvlJc w:val="left"/>
      <w:pPr>
        <w:ind w:left="502" w:hanging="360"/>
      </w:pPr>
      <w:rPr>
        <w:rFonts w:hint="default"/>
      </w:rPr>
    </w:lvl>
    <w:lvl w:ilvl="1" w:tplc="04180019" w:tentative="1">
      <w:start w:val="1"/>
      <w:numFmt w:val="lowerLetter"/>
      <w:lvlText w:val="%2."/>
      <w:lvlJc w:val="left"/>
      <w:pPr>
        <w:ind w:left="1222" w:hanging="360"/>
      </w:pPr>
    </w:lvl>
    <w:lvl w:ilvl="2" w:tplc="0418001B" w:tentative="1">
      <w:start w:val="1"/>
      <w:numFmt w:val="lowerRoman"/>
      <w:lvlText w:val="%3."/>
      <w:lvlJc w:val="right"/>
      <w:pPr>
        <w:ind w:left="1942" w:hanging="180"/>
      </w:pPr>
    </w:lvl>
    <w:lvl w:ilvl="3" w:tplc="0418000F" w:tentative="1">
      <w:start w:val="1"/>
      <w:numFmt w:val="decimal"/>
      <w:lvlText w:val="%4."/>
      <w:lvlJc w:val="left"/>
      <w:pPr>
        <w:ind w:left="2662" w:hanging="360"/>
      </w:pPr>
    </w:lvl>
    <w:lvl w:ilvl="4" w:tplc="04180019" w:tentative="1">
      <w:start w:val="1"/>
      <w:numFmt w:val="lowerLetter"/>
      <w:lvlText w:val="%5."/>
      <w:lvlJc w:val="left"/>
      <w:pPr>
        <w:ind w:left="3382" w:hanging="360"/>
      </w:pPr>
    </w:lvl>
    <w:lvl w:ilvl="5" w:tplc="0418001B" w:tentative="1">
      <w:start w:val="1"/>
      <w:numFmt w:val="lowerRoman"/>
      <w:lvlText w:val="%6."/>
      <w:lvlJc w:val="right"/>
      <w:pPr>
        <w:ind w:left="4102" w:hanging="180"/>
      </w:pPr>
    </w:lvl>
    <w:lvl w:ilvl="6" w:tplc="0418000F" w:tentative="1">
      <w:start w:val="1"/>
      <w:numFmt w:val="decimal"/>
      <w:lvlText w:val="%7."/>
      <w:lvlJc w:val="left"/>
      <w:pPr>
        <w:ind w:left="4822" w:hanging="360"/>
      </w:pPr>
    </w:lvl>
    <w:lvl w:ilvl="7" w:tplc="04180019" w:tentative="1">
      <w:start w:val="1"/>
      <w:numFmt w:val="lowerLetter"/>
      <w:lvlText w:val="%8."/>
      <w:lvlJc w:val="left"/>
      <w:pPr>
        <w:ind w:left="5542" w:hanging="360"/>
      </w:pPr>
    </w:lvl>
    <w:lvl w:ilvl="8" w:tplc="0418001B" w:tentative="1">
      <w:start w:val="1"/>
      <w:numFmt w:val="lowerRoman"/>
      <w:lvlText w:val="%9."/>
      <w:lvlJc w:val="right"/>
      <w:pPr>
        <w:ind w:left="6262" w:hanging="180"/>
      </w:pPr>
    </w:lvl>
  </w:abstractNum>
  <w:abstractNum w:abstractNumId="95" w15:restartNumberingAfterBreak="0">
    <w:nsid w:val="3F1426F7"/>
    <w:multiLevelType w:val="hybridMultilevel"/>
    <w:tmpl w:val="87F4109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02E6DDF"/>
    <w:multiLevelType w:val="hybridMultilevel"/>
    <w:tmpl w:val="9CD2B720"/>
    <w:lvl w:ilvl="0" w:tplc="803AB590">
      <w:numFmt w:val="bullet"/>
      <w:lvlText w:val="-"/>
      <w:lvlJc w:val="left"/>
      <w:pPr>
        <w:ind w:left="720" w:hanging="360"/>
      </w:pPr>
      <w:rPr>
        <w:rFonts w:ascii="Verdana" w:eastAsiaTheme="minorHAnsi" w:hAnsi="Verdana" w:cstheme="minorBidi" w:hint="default"/>
        <w:b/>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7" w15:restartNumberingAfterBreak="0">
    <w:nsid w:val="40511A3F"/>
    <w:multiLevelType w:val="hybridMultilevel"/>
    <w:tmpl w:val="133EA01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8" w15:restartNumberingAfterBreak="0">
    <w:nsid w:val="406D5237"/>
    <w:multiLevelType w:val="hybridMultilevel"/>
    <w:tmpl w:val="7F80EDA4"/>
    <w:lvl w:ilvl="0" w:tplc="21842B6E">
      <w:numFmt w:val="bullet"/>
      <w:lvlText w:val="-"/>
      <w:lvlJc w:val="left"/>
      <w:pPr>
        <w:ind w:left="720" w:hanging="360"/>
      </w:pPr>
      <w:rPr>
        <w:rFonts w:ascii="Verdana" w:eastAsiaTheme="minorHAnsi" w:hAnsi="Verdana"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9" w15:restartNumberingAfterBreak="0">
    <w:nsid w:val="4077496E"/>
    <w:multiLevelType w:val="hybridMultilevel"/>
    <w:tmpl w:val="6BFE8DC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0" w15:restartNumberingAfterBreak="0">
    <w:nsid w:val="41757886"/>
    <w:multiLevelType w:val="hybridMultilevel"/>
    <w:tmpl w:val="94680338"/>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E6D412AC">
      <w:start w:val="3"/>
      <w:numFmt w:val="bullet"/>
      <w:lvlText w:val="—"/>
      <w:lvlJc w:val="left"/>
      <w:pPr>
        <w:ind w:left="2160" w:hanging="360"/>
      </w:pPr>
      <w:rPr>
        <w:rFonts w:ascii="Nunito" w:eastAsiaTheme="minorHAnsi" w:hAnsi="Nunito" w:cstheme="minorBidi"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1" w15:restartNumberingAfterBreak="0">
    <w:nsid w:val="4243364B"/>
    <w:multiLevelType w:val="hybridMultilevel"/>
    <w:tmpl w:val="396EB3AE"/>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02" w15:restartNumberingAfterBreak="0">
    <w:nsid w:val="42B60B53"/>
    <w:multiLevelType w:val="multilevel"/>
    <w:tmpl w:val="1DB0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346C2B"/>
    <w:multiLevelType w:val="hybridMultilevel"/>
    <w:tmpl w:val="E04E9852"/>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04" w15:restartNumberingAfterBreak="0">
    <w:nsid w:val="43501194"/>
    <w:multiLevelType w:val="hybridMultilevel"/>
    <w:tmpl w:val="119CEC4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5" w15:restartNumberingAfterBreak="0">
    <w:nsid w:val="436A690C"/>
    <w:multiLevelType w:val="hybridMultilevel"/>
    <w:tmpl w:val="7F706B5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6" w15:restartNumberingAfterBreak="0">
    <w:nsid w:val="460C0518"/>
    <w:multiLevelType w:val="multilevel"/>
    <w:tmpl w:val="54189C88"/>
    <w:lvl w:ilvl="0">
      <w:start w:val="9"/>
      <w:numFmt w:val="decimal"/>
      <w:lvlText w:val="%1"/>
      <w:lvlJc w:val="left"/>
      <w:pPr>
        <w:ind w:left="360" w:hanging="360"/>
      </w:pPr>
      <w:rPr>
        <w:rFonts w:hint="default"/>
      </w:rPr>
    </w:lvl>
    <w:lvl w:ilvl="1">
      <w:start w:val="1"/>
      <w:numFmt w:val="decimal"/>
      <w:lvlText w:val="%1.%2"/>
      <w:lvlJc w:val="left"/>
      <w:pPr>
        <w:ind w:left="1288" w:hanging="720"/>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740" w:hanging="144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2250" w:hanging="1800"/>
      </w:pPr>
      <w:rPr>
        <w:rFonts w:hint="default"/>
      </w:rPr>
    </w:lvl>
    <w:lvl w:ilvl="7">
      <w:start w:val="1"/>
      <w:numFmt w:val="decimal"/>
      <w:lvlText w:val="%1.%2.%3.%4.%5.%6.%7.%8"/>
      <w:lvlJc w:val="left"/>
      <w:pPr>
        <w:ind w:left="2685" w:hanging="2160"/>
      </w:pPr>
      <w:rPr>
        <w:rFonts w:hint="default"/>
      </w:rPr>
    </w:lvl>
    <w:lvl w:ilvl="8">
      <w:start w:val="1"/>
      <w:numFmt w:val="decimal"/>
      <w:lvlText w:val="%1.%2.%3.%4.%5.%6.%7.%8.%9"/>
      <w:lvlJc w:val="left"/>
      <w:pPr>
        <w:ind w:left="2760" w:hanging="2160"/>
      </w:pPr>
      <w:rPr>
        <w:rFonts w:hint="default"/>
      </w:rPr>
    </w:lvl>
  </w:abstractNum>
  <w:abstractNum w:abstractNumId="107" w15:restartNumberingAfterBreak="0">
    <w:nsid w:val="463C2929"/>
    <w:multiLevelType w:val="hybridMultilevel"/>
    <w:tmpl w:val="9456502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6422519"/>
    <w:multiLevelType w:val="hybridMultilevel"/>
    <w:tmpl w:val="BE2C0FC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9" w15:restartNumberingAfterBreak="0">
    <w:nsid w:val="473F1202"/>
    <w:multiLevelType w:val="hybridMultilevel"/>
    <w:tmpl w:val="2FD2DFC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0" w15:restartNumberingAfterBreak="0">
    <w:nsid w:val="47A97103"/>
    <w:multiLevelType w:val="hybridMultilevel"/>
    <w:tmpl w:val="A24E2BC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1" w15:restartNumberingAfterBreak="0">
    <w:nsid w:val="47E739BF"/>
    <w:multiLevelType w:val="hybridMultilevel"/>
    <w:tmpl w:val="BC22169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2" w15:restartNumberingAfterBreak="0">
    <w:nsid w:val="49422A58"/>
    <w:multiLevelType w:val="hybridMultilevel"/>
    <w:tmpl w:val="87F41094"/>
    <w:lvl w:ilvl="0" w:tplc="04180015">
      <w:start w:val="1"/>
      <w:numFmt w:val="upp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3" w15:restartNumberingAfterBreak="0">
    <w:nsid w:val="4AD62B61"/>
    <w:multiLevelType w:val="hybridMultilevel"/>
    <w:tmpl w:val="9DF2DCE6"/>
    <w:lvl w:ilvl="0" w:tplc="CCF0C9BA">
      <w:start w:val="10"/>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14" w15:restartNumberingAfterBreak="0">
    <w:nsid w:val="4B652C16"/>
    <w:multiLevelType w:val="hybridMultilevel"/>
    <w:tmpl w:val="1A2C5F6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5" w15:restartNumberingAfterBreak="0">
    <w:nsid w:val="4D2833B2"/>
    <w:multiLevelType w:val="hybridMultilevel"/>
    <w:tmpl w:val="DB0278A6"/>
    <w:lvl w:ilvl="0" w:tplc="04180015">
      <w:start w:val="1"/>
      <w:numFmt w:val="upp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6" w15:restartNumberingAfterBreak="0">
    <w:nsid w:val="4D312082"/>
    <w:multiLevelType w:val="hybridMultilevel"/>
    <w:tmpl w:val="C51E8F28"/>
    <w:lvl w:ilvl="0" w:tplc="97925B96">
      <w:start w:val="1"/>
      <w:numFmt w:val="bullet"/>
      <w:lvlText w:val="•"/>
      <w:lvlJc w:val="left"/>
      <w:pPr>
        <w:ind w:left="720" w:hanging="360"/>
      </w:pPr>
    </w:lvl>
    <w:lvl w:ilvl="1" w:tplc="23B2DB22">
      <w:start w:val="1"/>
      <w:numFmt w:val="bullet"/>
      <w:lvlText w:val="○"/>
      <w:lvlJc w:val="left"/>
      <w:pPr>
        <w:ind w:left="1440" w:hanging="360"/>
      </w:pPr>
    </w:lvl>
    <w:lvl w:ilvl="2" w:tplc="6A8E4F26">
      <w:numFmt w:val="decimal"/>
      <w:lvlText w:val=""/>
      <w:lvlJc w:val="left"/>
    </w:lvl>
    <w:lvl w:ilvl="3" w:tplc="FAC05C6A">
      <w:numFmt w:val="decimal"/>
      <w:lvlText w:val=""/>
      <w:lvlJc w:val="left"/>
    </w:lvl>
    <w:lvl w:ilvl="4" w:tplc="D2E068EC">
      <w:numFmt w:val="decimal"/>
      <w:lvlText w:val=""/>
      <w:lvlJc w:val="left"/>
    </w:lvl>
    <w:lvl w:ilvl="5" w:tplc="C548082E">
      <w:numFmt w:val="decimal"/>
      <w:lvlText w:val=""/>
      <w:lvlJc w:val="left"/>
    </w:lvl>
    <w:lvl w:ilvl="6" w:tplc="36E422A6">
      <w:numFmt w:val="decimal"/>
      <w:lvlText w:val=""/>
      <w:lvlJc w:val="left"/>
    </w:lvl>
    <w:lvl w:ilvl="7" w:tplc="9C7A89FE">
      <w:numFmt w:val="decimal"/>
      <w:lvlText w:val=""/>
      <w:lvlJc w:val="left"/>
    </w:lvl>
    <w:lvl w:ilvl="8" w:tplc="618CC9E8">
      <w:numFmt w:val="decimal"/>
      <w:lvlText w:val=""/>
      <w:lvlJc w:val="left"/>
    </w:lvl>
  </w:abstractNum>
  <w:abstractNum w:abstractNumId="117" w15:restartNumberingAfterBreak="0">
    <w:nsid w:val="4E183C79"/>
    <w:multiLevelType w:val="multilevel"/>
    <w:tmpl w:val="63D8E02C"/>
    <w:lvl w:ilvl="0">
      <w:start w:val="7"/>
      <w:numFmt w:val="decimal"/>
      <w:lvlText w:val="%1"/>
      <w:lvlJc w:val="left"/>
      <w:pPr>
        <w:ind w:left="765" w:hanging="765"/>
      </w:pPr>
      <w:rPr>
        <w:rFonts w:hint="default"/>
      </w:rPr>
    </w:lvl>
    <w:lvl w:ilvl="1">
      <w:start w:val="2"/>
      <w:numFmt w:val="decimal"/>
      <w:lvlText w:val="%1.%2"/>
      <w:lvlJc w:val="left"/>
      <w:pPr>
        <w:ind w:left="765" w:hanging="765"/>
      </w:pPr>
      <w:rPr>
        <w:rFonts w:hint="default"/>
      </w:rPr>
    </w:lvl>
    <w:lvl w:ilvl="2">
      <w:start w:val="2"/>
      <w:numFmt w:val="decimal"/>
      <w:lvlText w:val="%1.%2.%3"/>
      <w:lvlJc w:val="left"/>
      <w:pPr>
        <w:ind w:left="765" w:hanging="765"/>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8" w15:restartNumberingAfterBreak="0">
    <w:nsid w:val="4EF0042F"/>
    <w:multiLevelType w:val="hybridMultilevel"/>
    <w:tmpl w:val="82D6D44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9" w15:restartNumberingAfterBreak="0">
    <w:nsid w:val="4FFF399F"/>
    <w:multiLevelType w:val="hybridMultilevel"/>
    <w:tmpl w:val="AE649F2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0" w15:restartNumberingAfterBreak="0">
    <w:nsid w:val="52747E38"/>
    <w:multiLevelType w:val="hybridMultilevel"/>
    <w:tmpl w:val="ED2C717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1" w15:restartNumberingAfterBreak="0">
    <w:nsid w:val="527C225C"/>
    <w:multiLevelType w:val="hybridMultilevel"/>
    <w:tmpl w:val="9E603A9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2" w15:restartNumberingAfterBreak="0">
    <w:nsid w:val="530F3AD3"/>
    <w:multiLevelType w:val="hybridMultilevel"/>
    <w:tmpl w:val="41C212C4"/>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3" w15:restartNumberingAfterBreak="0">
    <w:nsid w:val="531228FE"/>
    <w:multiLevelType w:val="hybridMultilevel"/>
    <w:tmpl w:val="B2CEF7FC"/>
    <w:lvl w:ilvl="0" w:tplc="04180003">
      <w:start w:val="1"/>
      <w:numFmt w:val="bullet"/>
      <w:lvlText w:val="o"/>
      <w:lvlJc w:val="left"/>
      <w:pPr>
        <w:ind w:left="278" w:hanging="278"/>
      </w:pPr>
      <w:rPr>
        <w:rFonts w:ascii="Courier New" w:hAnsi="Courier New" w:cs="Courier New" w:hint="default"/>
        <w:b/>
        <w:bCs/>
        <w:i w:val="0"/>
        <w:iCs w:val="0"/>
        <w:color w:val="auto"/>
        <w:spacing w:val="0"/>
        <w:w w:val="95"/>
        <w:sz w:val="19"/>
        <w:szCs w:val="19"/>
        <w:lang w:val="ro-RO" w:eastAsia="en-US" w:bidi="ar-SA"/>
      </w:rPr>
    </w:lvl>
    <w:lvl w:ilvl="1" w:tplc="FFFFFFFF">
      <w:numFmt w:val="bullet"/>
      <w:lvlText w:val="•"/>
      <w:lvlJc w:val="left"/>
      <w:pPr>
        <w:ind w:left="1854" w:hanging="278"/>
      </w:pPr>
      <w:rPr>
        <w:lang w:val="ro-RO" w:eastAsia="en-US" w:bidi="ar-SA"/>
      </w:rPr>
    </w:lvl>
    <w:lvl w:ilvl="2" w:tplc="FFFFFFFF">
      <w:numFmt w:val="bullet"/>
      <w:lvlText w:val="•"/>
      <w:lvlJc w:val="left"/>
      <w:pPr>
        <w:ind w:left="2809" w:hanging="278"/>
      </w:pPr>
      <w:rPr>
        <w:lang w:val="ro-RO" w:eastAsia="en-US" w:bidi="ar-SA"/>
      </w:rPr>
    </w:lvl>
    <w:lvl w:ilvl="3" w:tplc="FFFFFFFF">
      <w:numFmt w:val="bullet"/>
      <w:lvlText w:val="•"/>
      <w:lvlJc w:val="left"/>
      <w:pPr>
        <w:ind w:left="3763" w:hanging="278"/>
      </w:pPr>
      <w:rPr>
        <w:lang w:val="ro-RO" w:eastAsia="en-US" w:bidi="ar-SA"/>
      </w:rPr>
    </w:lvl>
    <w:lvl w:ilvl="4" w:tplc="FFFFFFFF">
      <w:numFmt w:val="bullet"/>
      <w:lvlText w:val="•"/>
      <w:lvlJc w:val="left"/>
      <w:pPr>
        <w:ind w:left="4718" w:hanging="278"/>
      </w:pPr>
      <w:rPr>
        <w:lang w:val="ro-RO" w:eastAsia="en-US" w:bidi="ar-SA"/>
      </w:rPr>
    </w:lvl>
    <w:lvl w:ilvl="5" w:tplc="FFFFFFFF">
      <w:numFmt w:val="bullet"/>
      <w:lvlText w:val="•"/>
      <w:lvlJc w:val="left"/>
      <w:pPr>
        <w:ind w:left="5672" w:hanging="278"/>
      </w:pPr>
      <w:rPr>
        <w:lang w:val="ro-RO" w:eastAsia="en-US" w:bidi="ar-SA"/>
      </w:rPr>
    </w:lvl>
    <w:lvl w:ilvl="6" w:tplc="FFFFFFFF">
      <w:numFmt w:val="bullet"/>
      <w:lvlText w:val="•"/>
      <w:lvlJc w:val="left"/>
      <w:pPr>
        <w:ind w:left="6627" w:hanging="278"/>
      </w:pPr>
      <w:rPr>
        <w:lang w:val="ro-RO" w:eastAsia="en-US" w:bidi="ar-SA"/>
      </w:rPr>
    </w:lvl>
    <w:lvl w:ilvl="7" w:tplc="FFFFFFFF">
      <w:numFmt w:val="bullet"/>
      <w:lvlText w:val="•"/>
      <w:lvlJc w:val="left"/>
      <w:pPr>
        <w:ind w:left="7581" w:hanging="278"/>
      </w:pPr>
      <w:rPr>
        <w:lang w:val="ro-RO" w:eastAsia="en-US" w:bidi="ar-SA"/>
      </w:rPr>
    </w:lvl>
    <w:lvl w:ilvl="8" w:tplc="FFFFFFFF">
      <w:numFmt w:val="bullet"/>
      <w:lvlText w:val="•"/>
      <w:lvlJc w:val="left"/>
      <w:pPr>
        <w:ind w:left="8536" w:hanging="278"/>
      </w:pPr>
      <w:rPr>
        <w:lang w:val="ro-RO" w:eastAsia="en-US" w:bidi="ar-SA"/>
      </w:rPr>
    </w:lvl>
  </w:abstractNum>
  <w:abstractNum w:abstractNumId="124" w15:restartNumberingAfterBreak="0">
    <w:nsid w:val="531D4BC2"/>
    <w:multiLevelType w:val="hybridMultilevel"/>
    <w:tmpl w:val="516E54D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5" w15:restartNumberingAfterBreak="0">
    <w:nsid w:val="5383001A"/>
    <w:multiLevelType w:val="multilevel"/>
    <w:tmpl w:val="D4D45F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6" w15:restartNumberingAfterBreak="0">
    <w:nsid w:val="53923FC2"/>
    <w:multiLevelType w:val="hybridMultilevel"/>
    <w:tmpl w:val="47BC737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7" w15:restartNumberingAfterBreak="0">
    <w:nsid w:val="54730F45"/>
    <w:multiLevelType w:val="hybridMultilevel"/>
    <w:tmpl w:val="08588F8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8" w15:restartNumberingAfterBreak="0">
    <w:nsid w:val="54EB78AA"/>
    <w:multiLevelType w:val="hybridMultilevel"/>
    <w:tmpl w:val="D8B0987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9" w15:restartNumberingAfterBreak="0">
    <w:nsid w:val="55915E75"/>
    <w:multiLevelType w:val="multilevel"/>
    <w:tmpl w:val="FD8EE2F4"/>
    <w:lvl w:ilvl="0">
      <w:start w:val="7"/>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7"/>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0" w15:restartNumberingAfterBreak="0">
    <w:nsid w:val="55A738E9"/>
    <w:multiLevelType w:val="hybridMultilevel"/>
    <w:tmpl w:val="E29C406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1" w15:restartNumberingAfterBreak="0">
    <w:nsid w:val="57E526E2"/>
    <w:multiLevelType w:val="hybridMultilevel"/>
    <w:tmpl w:val="DA0468EE"/>
    <w:lvl w:ilvl="0" w:tplc="0BA89CBC">
      <w:start w:val="1"/>
      <w:numFmt w:val="bullet"/>
      <w:lvlText w:val="●"/>
      <w:lvlJc w:val="left"/>
      <w:pPr>
        <w:ind w:left="720" w:hanging="360"/>
      </w:pPr>
    </w:lvl>
    <w:lvl w:ilvl="1" w:tplc="5CA48538">
      <w:start w:val="1"/>
      <w:numFmt w:val="bullet"/>
      <w:lvlText w:val="○"/>
      <w:lvlJc w:val="left"/>
      <w:pPr>
        <w:ind w:left="1440" w:hanging="360"/>
      </w:pPr>
    </w:lvl>
    <w:lvl w:ilvl="2" w:tplc="36A85C3C">
      <w:start w:val="1"/>
      <w:numFmt w:val="bullet"/>
      <w:lvlText w:val="■"/>
      <w:lvlJc w:val="left"/>
      <w:pPr>
        <w:ind w:left="2160" w:hanging="360"/>
      </w:pPr>
    </w:lvl>
    <w:lvl w:ilvl="3" w:tplc="F89E548A">
      <w:start w:val="1"/>
      <w:numFmt w:val="bullet"/>
      <w:lvlText w:val="●"/>
      <w:lvlJc w:val="left"/>
      <w:pPr>
        <w:ind w:left="2880" w:hanging="360"/>
      </w:pPr>
    </w:lvl>
    <w:lvl w:ilvl="4" w:tplc="9E78FF3C">
      <w:start w:val="1"/>
      <w:numFmt w:val="bullet"/>
      <w:lvlText w:val="○"/>
      <w:lvlJc w:val="left"/>
      <w:pPr>
        <w:ind w:left="3600" w:hanging="360"/>
      </w:pPr>
    </w:lvl>
    <w:lvl w:ilvl="5" w:tplc="4426F538">
      <w:start w:val="1"/>
      <w:numFmt w:val="bullet"/>
      <w:lvlText w:val="■"/>
      <w:lvlJc w:val="left"/>
      <w:pPr>
        <w:ind w:left="4320" w:hanging="360"/>
      </w:pPr>
    </w:lvl>
    <w:lvl w:ilvl="6" w:tplc="EAE03C5C">
      <w:start w:val="1"/>
      <w:numFmt w:val="bullet"/>
      <w:lvlText w:val="●"/>
      <w:lvlJc w:val="left"/>
      <w:pPr>
        <w:ind w:left="5040" w:hanging="360"/>
      </w:pPr>
    </w:lvl>
    <w:lvl w:ilvl="7" w:tplc="01EC2108">
      <w:start w:val="1"/>
      <w:numFmt w:val="bullet"/>
      <w:lvlText w:val="●"/>
      <w:lvlJc w:val="left"/>
      <w:pPr>
        <w:ind w:left="5760" w:hanging="360"/>
      </w:pPr>
    </w:lvl>
    <w:lvl w:ilvl="8" w:tplc="ACD4E89E">
      <w:start w:val="1"/>
      <w:numFmt w:val="bullet"/>
      <w:lvlText w:val="●"/>
      <w:lvlJc w:val="left"/>
      <w:pPr>
        <w:ind w:left="6480" w:hanging="360"/>
      </w:pPr>
    </w:lvl>
  </w:abstractNum>
  <w:abstractNum w:abstractNumId="132" w15:restartNumberingAfterBreak="0">
    <w:nsid w:val="57F16E10"/>
    <w:multiLevelType w:val="hybridMultilevel"/>
    <w:tmpl w:val="5FC464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588B256A"/>
    <w:multiLevelType w:val="hybridMultilevel"/>
    <w:tmpl w:val="292E49AE"/>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134" w15:restartNumberingAfterBreak="0">
    <w:nsid w:val="599E4E5E"/>
    <w:multiLevelType w:val="hybridMultilevel"/>
    <w:tmpl w:val="66C8868C"/>
    <w:lvl w:ilvl="0" w:tplc="04180003">
      <w:start w:val="1"/>
      <w:numFmt w:val="bullet"/>
      <w:lvlText w:val="o"/>
      <w:lvlJc w:val="left"/>
      <w:pPr>
        <w:ind w:left="1014" w:hanging="360"/>
      </w:pPr>
      <w:rPr>
        <w:rFonts w:ascii="Courier New" w:hAnsi="Courier New" w:cs="Courier New" w:hint="default"/>
      </w:rPr>
    </w:lvl>
    <w:lvl w:ilvl="1" w:tplc="FFFFFFFF" w:tentative="1">
      <w:start w:val="1"/>
      <w:numFmt w:val="bullet"/>
      <w:lvlText w:val="o"/>
      <w:lvlJc w:val="left"/>
      <w:pPr>
        <w:ind w:left="1734" w:hanging="360"/>
      </w:pPr>
      <w:rPr>
        <w:rFonts w:ascii="Courier New" w:hAnsi="Courier New" w:cs="Courier New" w:hint="default"/>
      </w:rPr>
    </w:lvl>
    <w:lvl w:ilvl="2" w:tplc="FFFFFFFF" w:tentative="1">
      <w:start w:val="1"/>
      <w:numFmt w:val="bullet"/>
      <w:lvlText w:val=""/>
      <w:lvlJc w:val="left"/>
      <w:pPr>
        <w:ind w:left="2454" w:hanging="360"/>
      </w:pPr>
      <w:rPr>
        <w:rFonts w:ascii="Wingdings" w:hAnsi="Wingdings" w:hint="default"/>
      </w:rPr>
    </w:lvl>
    <w:lvl w:ilvl="3" w:tplc="FFFFFFFF" w:tentative="1">
      <w:start w:val="1"/>
      <w:numFmt w:val="bullet"/>
      <w:lvlText w:val=""/>
      <w:lvlJc w:val="left"/>
      <w:pPr>
        <w:ind w:left="3174" w:hanging="360"/>
      </w:pPr>
      <w:rPr>
        <w:rFonts w:ascii="Symbol" w:hAnsi="Symbol" w:hint="default"/>
      </w:rPr>
    </w:lvl>
    <w:lvl w:ilvl="4" w:tplc="FFFFFFFF" w:tentative="1">
      <w:start w:val="1"/>
      <w:numFmt w:val="bullet"/>
      <w:lvlText w:val="o"/>
      <w:lvlJc w:val="left"/>
      <w:pPr>
        <w:ind w:left="3894" w:hanging="360"/>
      </w:pPr>
      <w:rPr>
        <w:rFonts w:ascii="Courier New" w:hAnsi="Courier New" w:cs="Courier New" w:hint="default"/>
      </w:rPr>
    </w:lvl>
    <w:lvl w:ilvl="5" w:tplc="FFFFFFFF" w:tentative="1">
      <w:start w:val="1"/>
      <w:numFmt w:val="bullet"/>
      <w:lvlText w:val=""/>
      <w:lvlJc w:val="left"/>
      <w:pPr>
        <w:ind w:left="4614" w:hanging="360"/>
      </w:pPr>
      <w:rPr>
        <w:rFonts w:ascii="Wingdings" w:hAnsi="Wingdings" w:hint="default"/>
      </w:rPr>
    </w:lvl>
    <w:lvl w:ilvl="6" w:tplc="FFFFFFFF" w:tentative="1">
      <w:start w:val="1"/>
      <w:numFmt w:val="bullet"/>
      <w:lvlText w:val=""/>
      <w:lvlJc w:val="left"/>
      <w:pPr>
        <w:ind w:left="5334" w:hanging="360"/>
      </w:pPr>
      <w:rPr>
        <w:rFonts w:ascii="Symbol" w:hAnsi="Symbol" w:hint="default"/>
      </w:rPr>
    </w:lvl>
    <w:lvl w:ilvl="7" w:tplc="FFFFFFFF" w:tentative="1">
      <w:start w:val="1"/>
      <w:numFmt w:val="bullet"/>
      <w:lvlText w:val="o"/>
      <w:lvlJc w:val="left"/>
      <w:pPr>
        <w:ind w:left="6054" w:hanging="360"/>
      </w:pPr>
      <w:rPr>
        <w:rFonts w:ascii="Courier New" w:hAnsi="Courier New" w:cs="Courier New" w:hint="default"/>
      </w:rPr>
    </w:lvl>
    <w:lvl w:ilvl="8" w:tplc="FFFFFFFF" w:tentative="1">
      <w:start w:val="1"/>
      <w:numFmt w:val="bullet"/>
      <w:lvlText w:val=""/>
      <w:lvlJc w:val="left"/>
      <w:pPr>
        <w:ind w:left="6774" w:hanging="360"/>
      </w:pPr>
      <w:rPr>
        <w:rFonts w:ascii="Wingdings" w:hAnsi="Wingdings" w:hint="default"/>
      </w:rPr>
    </w:lvl>
  </w:abstractNum>
  <w:abstractNum w:abstractNumId="135" w15:restartNumberingAfterBreak="0">
    <w:nsid w:val="5A327F78"/>
    <w:multiLevelType w:val="hybridMultilevel"/>
    <w:tmpl w:val="FC6C3F1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6" w15:restartNumberingAfterBreak="0">
    <w:nsid w:val="5ADD1B5C"/>
    <w:multiLevelType w:val="multilevel"/>
    <w:tmpl w:val="9D32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8B24A1"/>
    <w:multiLevelType w:val="hybridMultilevel"/>
    <w:tmpl w:val="E73C723C"/>
    <w:lvl w:ilvl="0" w:tplc="0418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5BB15187"/>
    <w:multiLevelType w:val="hybridMultilevel"/>
    <w:tmpl w:val="E5E2D1B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9" w15:restartNumberingAfterBreak="0">
    <w:nsid w:val="5CDD5361"/>
    <w:multiLevelType w:val="multilevel"/>
    <w:tmpl w:val="E868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6922E9"/>
    <w:multiLevelType w:val="hybridMultilevel"/>
    <w:tmpl w:val="A83478D0"/>
    <w:lvl w:ilvl="0" w:tplc="66483E16">
      <w:start w:val="1"/>
      <w:numFmt w:val="bullet"/>
      <w:lvlText w:val=""/>
      <w:lvlJc w:val="left"/>
      <w:pPr>
        <w:ind w:left="720" w:hanging="360"/>
      </w:pPr>
      <w:rPr>
        <w:rFonts w:ascii="Symbol" w:hAnsi="Symbol" w:hint="default"/>
        <w:color w:val="000000" w:themeColor="text1"/>
        <w:sz w:val="18"/>
        <w:szCs w:val="18"/>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5EC74D2D"/>
    <w:multiLevelType w:val="hybridMultilevel"/>
    <w:tmpl w:val="1E4CA7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2" w15:restartNumberingAfterBreak="0">
    <w:nsid w:val="5F975CA6"/>
    <w:multiLevelType w:val="hybridMultilevel"/>
    <w:tmpl w:val="43404BB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3" w15:restartNumberingAfterBreak="0">
    <w:nsid w:val="5FA92B6B"/>
    <w:multiLevelType w:val="hybridMultilevel"/>
    <w:tmpl w:val="C42C68D2"/>
    <w:lvl w:ilvl="0" w:tplc="04180001">
      <w:start w:val="1"/>
      <w:numFmt w:val="bullet"/>
      <w:lvlText w:val=""/>
      <w:lvlJc w:val="left"/>
      <w:pPr>
        <w:ind w:left="2520" w:hanging="360"/>
      </w:pPr>
      <w:rPr>
        <w:rFonts w:ascii="Symbol" w:hAnsi="Symbol" w:hint="default"/>
      </w:rPr>
    </w:lvl>
    <w:lvl w:ilvl="1" w:tplc="04180003" w:tentative="1">
      <w:start w:val="1"/>
      <w:numFmt w:val="bullet"/>
      <w:lvlText w:val="o"/>
      <w:lvlJc w:val="left"/>
      <w:pPr>
        <w:ind w:left="3240" w:hanging="360"/>
      </w:pPr>
      <w:rPr>
        <w:rFonts w:ascii="Courier New" w:hAnsi="Courier New" w:cs="Courier New" w:hint="default"/>
      </w:rPr>
    </w:lvl>
    <w:lvl w:ilvl="2" w:tplc="04180005" w:tentative="1">
      <w:start w:val="1"/>
      <w:numFmt w:val="bullet"/>
      <w:lvlText w:val=""/>
      <w:lvlJc w:val="left"/>
      <w:pPr>
        <w:ind w:left="3960" w:hanging="360"/>
      </w:pPr>
      <w:rPr>
        <w:rFonts w:ascii="Wingdings" w:hAnsi="Wingdings" w:hint="default"/>
      </w:rPr>
    </w:lvl>
    <w:lvl w:ilvl="3" w:tplc="04180001" w:tentative="1">
      <w:start w:val="1"/>
      <w:numFmt w:val="bullet"/>
      <w:lvlText w:val=""/>
      <w:lvlJc w:val="left"/>
      <w:pPr>
        <w:ind w:left="4680" w:hanging="360"/>
      </w:pPr>
      <w:rPr>
        <w:rFonts w:ascii="Symbol" w:hAnsi="Symbol" w:hint="default"/>
      </w:rPr>
    </w:lvl>
    <w:lvl w:ilvl="4" w:tplc="04180003" w:tentative="1">
      <w:start w:val="1"/>
      <w:numFmt w:val="bullet"/>
      <w:lvlText w:val="o"/>
      <w:lvlJc w:val="left"/>
      <w:pPr>
        <w:ind w:left="5400" w:hanging="360"/>
      </w:pPr>
      <w:rPr>
        <w:rFonts w:ascii="Courier New" w:hAnsi="Courier New" w:cs="Courier New" w:hint="default"/>
      </w:rPr>
    </w:lvl>
    <w:lvl w:ilvl="5" w:tplc="04180005" w:tentative="1">
      <w:start w:val="1"/>
      <w:numFmt w:val="bullet"/>
      <w:lvlText w:val=""/>
      <w:lvlJc w:val="left"/>
      <w:pPr>
        <w:ind w:left="6120" w:hanging="360"/>
      </w:pPr>
      <w:rPr>
        <w:rFonts w:ascii="Wingdings" w:hAnsi="Wingdings" w:hint="default"/>
      </w:rPr>
    </w:lvl>
    <w:lvl w:ilvl="6" w:tplc="04180001" w:tentative="1">
      <w:start w:val="1"/>
      <w:numFmt w:val="bullet"/>
      <w:lvlText w:val=""/>
      <w:lvlJc w:val="left"/>
      <w:pPr>
        <w:ind w:left="6840" w:hanging="360"/>
      </w:pPr>
      <w:rPr>
        <w:rFonts w:ascii="Symbol" w:hAnsi="Symbol" w:hint="default"/>
      </w:rPr>
    </w:lvl>
    <w:lvl w:ilvl="7" w:tplc="04180003" w:tentative="1">
      <w:start w:val="1"/>
      <w:numFmt w:val="bullet"/>
      <w:lvlText w:val="o"/>
      <w:lvlJc w:val="left"/>
      <w:pPr>
        <w:ind w:left="7560" w:hanging="360"/>
      </w:pPr>
      <w:rPr>
        <w:rFonts w:ascii="Courier New" w:hAnsi="Courier New" w:cs="Courier New" w:hint="default"/>
      </w:rPr>
    </w:lvl>
    <w:lvl w:ilvl="8" w:tplc="04180005" w:tentative="1">
      <w:start w:val="1"/>
      <w:numFmt w:val="bullet"/>
      <w:lvlText w:val=""/>
      <w:lvlJc w:val="left"/>
      <w:pPr>
        <w:ind w:left="8280" w:hanging="360"/>
      </w:pPr>
      <w:rPr>
        <w:rFonts w:ascii="Wingdings" w:hAnsi="Wingdings" w:hint="default"/>
      </w:rPr>
    </w:lvl>
  </w:abstractNum>
  <w:abstractNum w:abstractNumId="144" w15:restartNumberingAfterBreak="0">
    <w:nsid w:val="5FBF5F3F"/>
    <w:multiLevelType w:val="hybridMultilevel"/>
    <w:tmpl w:val="6C64C35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5" w15:restartNumberingAfterBreak="0">
    <w:nsid w:val="60BE2FB7"/>
    <w:multiLevelType w:val="hybridMultilevel"/>
    <w:tmpl w:val="57D4BBDC"/>
    <w:lvl w:ilvl="0" w:tplc="2228CC86">
      <w:start w:val="1"/>
      <w:numFmt w:val="bullet"/>
      <w:lvlText w:val="•"/>
      <w:lvlJc w:val="left"/>
      <w:pPr>
        <w:ind w:left="720" w:hanging="360"/>
      </w:pPr>
    </w:lvl>
    <w:lvl w:ilvl="1" w:tplc="D61C6B34">
      <w:numFmt w:val="decimal"/>
      <w:lvlText w:val=""/>
      <w:lvlJc w:val="left"/>
    </w:lvl>
    <w:lvl w:ilvl="2" w:tplc="236C43CA">
      <w:numFmt w:val="decimal"/>
      <w:lvlText w:val=""/>
      <w:lvlJc w:val="left"/>
    </w:lvl>
    <w:lvl w:ilvl="3" w:tplc="0518DEF4">
      <w:numFmt w:val="decimal"/>
      <w:lvlText w:val=""/>
      <w:lvlJc w:val="left"/>
    </w:lvl>
    <w:lvl w:ilvl="4" w:tplc="B53A2214">
      <w:numFmt w:val="decimal"/>
      <w:lvlText w:val=""/>
      <w:lvlJc w:val="left"/>
    </w:lvl>
    <w:lvl w:ilvl="5" w:tplc="C3365F74">
      <w:numFmt w:val="decimal"/>
      <w:lvlText w:val=""/>
      <w:lvlJc w:val="left"/>
    </w:lvl>
    <w:lvl w:ilvl="6" w:tplc="6504A0CE">
      <w:numFmt w:val="decimal"/>
      <w:lvlText w:val=""/>
      <w:lvlJc w:val="left"/>
    </w:lvl>
    <w:lvl w:ilvl="7" w:tplc="A34AF4E2">
      <w:numFmt w:val="decimal"/>
      <w:lvlText w:val=""/>
      <w:lvlJc w:val="left"/>
    </w:lvl>
    <w:lvl w:ilvl="8" w:tplc="1930CED6">
      <w:numFmt w:val="decimal"/>
      <w:lvlText w:val=""/>
      <w:lvlJc w:val="left"/>
    </w:lvl>
  </w:abstractNum>
  <w:abstractNum w:abstractNumId="146" w15:restartNumberingAfterBreak="0">
    <w:nsid w:val="611E0E22"/>
    <w:multiLevelType w:val="hybridMultilevel"/>
    <w:tmpl w:val="9E9AE6A2"/>
    <w:lvl w:ilvl="0" w:tplc="7D1C0800">
      <w:start w:val="123"/>
      <w:numFmt w:val="bullet"/>
      <w:lvlText w:val="-"/>
      <w:lvlJc w:val="left"/>
      <w:pPr>
        <w:ind w:left="926" w:hanging="360"/>
      </w:pPr>
      <w:rPr>
        <w:rFonts w:ascii="Verdana" w:eastAsiaTheme="minorHAnsi" w:hAnsi="Verdana" w:cstheme="minorBidi" w:hint="default"/>
      </w:rPr>
    </w:lvl>
    <w:lvl w:ilvl="1" w:tplc="04180003" w:tentative="1">
      <w:start w:val="1"/>
      <w:numFmt w:val="bullet"/>
      <w:lvlText w:val="o"/>
      <w:lvlJc w:val="left"/>
      <w:pPr>
        <w:ind w:left="1723" w:hanging="360"/>
      </w:pPr>
      <w:rPr>
        <w:rFonts w:ascii="Courier New" w:hAnsi="Courier New" w:cs="Courier New" w:hint="default"/>
      </w:rPr>
    </w:lvl>
    <w:lvl w:ilvl="2" w:tplc="04180005" w:tentative="1">
      <w:start w:val="1"/>
      <w:numFmt w:val="bullet"/>
      <w:lvlText w:val=""/>
      <w:lvlJc w:val="left"/>
      <w:pPr>
        <w:ind w:left="2443" w:hanging="360"/>
      </w:pPr>
      <w:rPr>
        <w:rFonts w:ascii="Wingdings" w:hAnsi="Wingdings" w:hint="default"/>
      </w:rPr>
    </w:lvl>
    <w:lvl w:ilvl="3" w:tplc="04180001" w:tentative="1">
      <w:start w:val="1"/>
      <w:numFmt w:val="bullet"/>
      <w:lvlText w:val=""/>
      <w:lvlJc w:val="left"/>
      <w:pPr>
        <w:ind w:left="3163" w:hanging="360"/>
      </w:pPr>
      <w:rPr>
        <w:rFonts w:ascii="Symbol" w:hAnsi="Symbol" w:hint="default"/>
      </w:rPr>
    </w:lvl>
    <w:lvl w:ilvl="4" w:tplc="04180003" w:tentative="1">
      <w:start w:val="1"/>
      <w:numFmt w:val="bullet"/>
      <w:lvlText w:val="o"/>
      <w:lvlJc w:val="left"/>
      <w:pPr>
        <w:ind w:left="3883" w:hanging="360"/>
      </w:pPr>
      <w:rPr>
        <w:rFonts w:ascii="Courier New" w:hAnsi="Courier New" w:cs="Courier New" w:hint="default"/>
      </w:rPr>
    </w:lvl>
    <w:lvl w:ilvl="5" w:tplc="04180005" w:tentative="1">
      <w:start w:val="1"/>
      <w:numFmt w:val="bullet"/>
      <w:lvlText w:val=""/>
      <w:lvlJc w:val="left"/>
      <w:pPr>
        <w:ind w:left="4603" w:hanging="360"/>
      </w:pPr>
      <w:rPr>
        <w:rFonts w:ascii="Wingdings" w:hAnsi="Wingdings" w:hint="default"/>
      </w:rPr>
    </w:lvl>
    <w:lvl w:ilvl="6" w:tplc="04180001" w:tentative="1">
      <w:start w:val="1"/>
      <w:numFmt w:val="bullet"/>
      <w:lvlText w:val=""/>
      <w:lvlJc w:val="left"/>
      <w:pPr>
        <w:ind w:left="5323" w:hanging="360"/>
      </w:pPr>
      <w:rPr>
        <w:rFonts w:ascii="Symbol" w:hAnsi="Symbol" w:hint="default"/>
      </w:rPr>
    </w:lvl>
    <w:lvl w:ilvl="7" w:tplc="04180003" w:tentative="1">
      <w:start w:val="1"/>
      <w:numFmt w:val="bullet"/>
      <w:lvlText w:val="o"/>
      <w:lvlJc w:val="left"/>
      <w:pPr>
        <w:ind w:left="6043" w:hanging="360"/>
      </w:pPr>
      <w:rPr>
        <w:rFonts w:ascii="Courier New" w:hAnsi="Courier New" w:cs="Courier New" w:hint="default"/>
      </w:rPr>
    </w:lvl>
    <w:lvl w:ilvl="8" w:tplc="04180005" w:tentative="1">
      <w:start w:val="1"/>
      <w:numFmt w:val="bullet"/>
      <w:lvlText w:val=""/>
      <w:lvlJc w:val="left"/>
      <w:pPr>
        <w:ind w:left="6763" w:hanging="360"/>
      </w:pPr>
      <w:rPr>
        <w:rFonts w:ascii="Wingdings" w:hAnsi="Wingdings" w:hint="default"/>
      </w:rPr>
    </w:lvl>
  </w:abstractNum>
  <w:abstractNum w:abstractNumId="147" w15:restartNumberingAfterBreak="0">
    <w:nsid w:val="614F5B02"/>
    <w:multiLevelType w:val="hybridMultilevel"/>
    <w:tmpl w:val="4B928D72"/>
    <w:lvl w:ilvl="0" w:tplc="DA22C2E2">
      <w:start w:val="1"/>
      <w:numFmt w:val="decimal"/>
      <w:lvlText w:val="%1."/>
      <w:lvlJc w:val="left"/>
      <w:pPr>
        <w:ind w:left="720" w:hanging="360"/>
      </w:pPr>
    </w:lvl>
    <w:lvl w:ilvl="1" w:tplc="DF94AB7A">
      <w:numFmt w:val="decimal"/>
      <w:lvlText w:val=""/>
      <w:lvlJc w:val="left"/>
    </w:lvl>
    <w:lvl w:ilvl="2" w:tplc="DECAAD98">
      <w:numFmt w:val="decimal"/>
      <w:lvlText w:val=""/>
      <w:lvlJc w:val="left"/>
    </w:lvl>
    <w:lvl w:ilvl="3" w:tplc="4DDA2ACE">
      <w:numFmt w:val="decimal"/>
      <w:lvlText w:val=""/>
      <w:lvlJc w:val="left"/>
    </w:lvl>
    <w:lvl w:ilvl="4" w:tplc="A948B240">
      <w:numFmt w:val="decimal"/>
      <w:lvlText w:val=""/>
      <w:lvlJc w:val="left"/>
    </w:lvl>
    <w:lvl w:ilvl="5" w:tplc="F52C4022">
      <w:numFmt w:val="decimal"/>
      <w:lvlText w:val=""/>
      <w:lvlJc w:val="left"/>
    </w:lvl>
    <w:lvl w:ilvl="6" w:tplc="AE4E5F26">
      <w:numFmt w:val="decimal"/>
      <w:lvlText w:val=""/>
      <w:lvlJc w:val="left"/>
    </w:lvl>
    <w:lvl w:ilvl="7" w:tplc="C93446A0">
      <w:numFmt w:val="decimal"/>
      <w:lvlText w:val=""/>
      <w:lvlJc w:val="left"/>
    </w:lvl>
    <w:lvl w:ilvl="8" w:tplc="F6166E2C">
      <w:numFmt w:val="decimal"/>
      <w:lvlText w:val=""/>
      <w:lvlJc w:val="left"/>
    </w:lvl>
  </w:abstractNum>
  <w:abstractNum w:abstractNumId="148" w15:restartNumberingAfterBreak="0">
    <w:nsid w:val="61C75A8C"/>
    <w:multiLevelType w:val="hybridMultilevel"/>
    <w:tmpl w:val="5016B73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9" w15:restartNumberingAfterBreak="0">
    <w:nsid w:val="61E960D5"/>
    <w:multiLevelType w:val="hybridMultilevel"/>
    <w:tmpl w:val="1514EE1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0" w15:restartNumberingAfterBreak="0">
    <w:nsid w:val="61EF4FC2"/>
    <w:multiLevelType w:val="hybridMultilevel"/>
    <w:tmpl w:val="2290405A"/>
    <w:lvl w:ilvl="0" w:tplc="0418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62262215"/>
    <w:multiLevelType w:val="hybridMultilevel"/>
    <w:tmpl w:val="227AEA04"/>
    <w:lvl w:ilvl="0" w:tplc="016CF978">
      <w:numFmt w:val="bullet"/>
      <w:lvlText w:val=""/>
      <w:lvlJc w:val="left"/>
      <w:pPr>
        <w:ind w:left="720" w:hanging="360"/>
      </w:pPr>
      <w:rPr>
        <w:rFonts w:ascii="Symbol" w:eastAsiaTheme="minorHAnsi" w:hAnsi="Symbol"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2" w15:restartNumberingAfterBreak="0">
    <w:nsid w:val="6270384E"/>
    <w:multiLevelType w:val="hybridMultilevel"/>
    <w:tmpl w:val="695EA02E"/>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3" w15:restartNumberingAfterBreak="0">
    <w:nsid w:val="63267D2B"/>
    <w:multiLevelType w:val="hybridMultilevel"/>
    <w:tmpl w:val="4344F404"/>
    <w:lvl w:ilvl="0" w:tplc="04180015">
      <w:start w:val="1"/>
      <w:numFmt w:val="upp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4" w15:restartNumberingAfterBreak="0">
    <w:nsid w:val="64031EE0"/>
    <w:multiLevelType w:val="hybridMultilevel"/>
    <w:tmpl w:val="6DE208D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5" w15:restartNumberingAfterBreak="0">
    <w:nsid w:val="64456A6C"/>
    <w:multiLevelType w:val="hybridMultilevel"/>
    <w:tmpl w:val="F1F0334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6" w15:restartNumberingAfterBreak="0">
    <w:nsid w:val="65390C94"/>
    <w:multiLevelType w:val="hybridMultilevel"/>
    <w:tmpl w:val="00E6B752"/>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157" w15:restartNumberingAfterBreak="0">
    <w:nsid w:val="654C5F01"/>
    <w:multiLevelType w:val="hybridMultilevel"/>
    <w:tmpl w:val="078A7E82"/>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8" w15:restartNumberingAfterBreak="0">
    <w:nsid w:val="65983BC1"/>
    <w:multiLevelType w:val="hybridMultilevel"/>
    <w:tmpl w:val="561604A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9" w15:restartNumberingAfterBreak="0">
    <w:nsid w:val="659A181D"/>
    <w:multiLevelType w:val="hybridMultilevel"/>
    <w:tmpl w:val="AE7A145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0" w15:restartNumberingAfterBreak="0">
    <w:nsid w:val="65AE0938"/>
    <w:multiLevelType w:val="multilevel"/>
    <w:tmpl w:val="A754ED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5F82AEF"/>
    <w:multiLevelType w:val="hybridMultilevel"/>
    <w:tmpl w:val="E670059C"/>
    <w:lvl w:ilvl="0" w:tplc="E89C619A">
      <w:start w:val="67"/>
      <w:numFmt w:val="decimal"/>
      <w:lvlText w:val="%1"/>
      <w:lvlJc w:val="left"/>
      <w:pPr>
        <w:ind w:left="720" w:hanging="360"/>
      </w:pPr>
      <w:rPr>
        <w:rFonts w:hint="default"/>
        <w:b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2" w15:restartNumberingAfterBreak="0">
    <w:nsid w:val="6654755D"/>
    <w:multiLevelType w:val="hybridMultilevel"/>
    <w:tmpl w:val="68588590"/>
    <w:lvl w:ilvl="0" w:tplc="8632C528">
      <w:start w:val="1"/>
      <w:numFmt w:val="bullet"/>
      <w:lvlText w:val="•"/>
      <w:lvlJc w:val="left"/>
      <w:pPr>
        <w:ind w:left="720" w:hanging="360"/>
      </w:pPr>
    </w:lvl>
    <w:lvl w:ilvl="1" w:tplc="4116409E">
      <w:numFmt w:val="decimal"/>
      <w:lvlText w:val=""/>
      <w:lvlJc w:val="left"/>
    </w:lvl>
    <w:lvl w:ilvl="2" w:tplc="4E22C3BE">
      <w:numFmt w:val="decimal"/>
      <w:lvlText w:val=""/>
      <w:lvlJc w:val="left"/>
    </w:lvl>
    <w:lvl w:ilvl="3" w:tplc="C1C41E78">
      <w:numFmt w:val="decimal"/>
      <w:lvlText w:val=""/>
      <w:lvlJc w:val="left"/>
    </w:lvl>
    <w:lvl w:ilvl="4" w:tplc="2F3221B6">
      <w:numFmt w:val="decimal"/>
      <w:lvlText w:val=""/>
      <w:lvlJc w:val="left"/>
    </w:lvl>
    <w:lvl w:ilvl="5" w:tplc="BEF8D51E">
      <w:numFmt w:val="decimal"/>
      <w:lvlText w:val=""/>
      <w:lvlJc w:val="left"/>
    </w:lvl>
    <w:lvl w:ilvl="6" w:tplc="7A38205E">
      <w:numFmt w:val="decimal"/>
      <w:lvlText w:val=""/>
      <w:lvlJc w:val="left"/>
    </w:lvl>
    <w:lvl w:ilvl="7" w:tplc="391C5098">
      <w:numFmt w:val="decimal"/>
      <w:lvlText w:val=""/>
      <w:lvlJc w:val="left"/>
    </w:lvl>
    <w:lvl w:ilvl="8" w:tplc="3306B2BC">
      <w:numFmt w:val="decimal"/>
      <w:lvlText w:val=""/>
      <w:lvlJc w:val="left"/>
    </w:lvl>
  </w:abstractNum>
  <w:abstractNum w:abstractNumId="163" w15:restartNumberingAfterBreak="0">
    <w:nsid w:val="68D45C98"/>
    <w:multiLevelType w:val="multilevel"/>
    <w:tmpl w:val="D73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1C2B8F"/>
    <w:multiLevelType w:val="hybridMultilevel"/>
    <w:tmpl w:val="991078A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5" w15:restartNumberingAfterBreak="0">
    <w:nsid w:val="695D5DAA"/>
    <w:multiLevelType w:val="hybridMultilevel"/>
    <w:tmpl w:val="04BA9C3A"/>
    <w:lvl w:ilvl="0" w:tplc="B30A0660">
      <w:numFmt w:val="bullet"/>
      <w:lvlText w:val="-"/>
      <w:lvlJc w:val="left"/>
      <w:pPr>
        <w:ind w:left="720" w:hanging="360"/>
      </w:pPr>
      <w:rPr>
        <w:rFonts w:ascii="Verdana" w:eastAsiaTheme="minorHAnsi" w:hAnsi="Verdana"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6" w15:restartNumberingAfterBreak="0">
    <w:nsid w:val="6BAD2394"/>
    <w:multiLevelType w:val="hybridMultilevel"/>
    <w:tmpl w:val="495A856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7" w15:restartNumberingAfterBreak="0">
    <w:nsid w:val="6CC93C8F"/>
    <w:multiLevelType w:val="multilevel"/>
    <w:tmpl w:val="D3D0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DA2643"/>
    <w:multiLevelType w:val="hybridMultilevel"/>
    <w:tmpl w:val="05143CF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9" w15:restartNumberingAfterBreak="0">
    <w:nsid w:val="6E796746"/>
    <w:multiLevelType w:val="hybridMultilevel"/>
    <w:tmpl w:val="7F2A01BA"/>
    <w:lvl w:ilvl="0" w:tplc="8D686608">
      <w:start w:val="1"/>
      <w:numFmt w:val="bullet"/>
      <w:lvlText w:val=""/>
      <w:lvlJc w:val="left"/>
      <w:pPr>
        <w:ind w:left="720" w:hanging="360"/>
      </w:pPr>
      <w:rPr>
        <w:rFonts w:ascii="Symbol" w:hAnsi="Symbol"/>
      </w:rPr>
    </w:lvl>
    <w:lvl w:ilvl="1" w:tplc="B6067C82">
      <w:start w:val="1"/>
      <w:numFmt w:val="bullet"/>
      <w:lvlText w:val=""/>
      <w:lvlJc w:val="left"/>
      <w:pPr>
        <w:ind w:left="720" w:hanging="360"/>
      </w:pPr>
      <w:rPr>
        <w:rFonts w:ascii="Symbol" w:hAnsi="Symbol"/>
      </w:rPr>
    </w:lvl>
    <w:lvl w:ilvl="2" w:tplc="ECDEBF62">
      <w:start w:val="1"/>
      <w:numFmt w:val="bullet"/>
      <w:lvlText w:val=""/>
      <w:lvlJc w:val="left"/>
      <w:pPr>
        <w:ind w:left="720" w:hanging="360"/>
      </w:pPr>
      <w:rPr>
        <w:rFonts w:ascii="Symbol" w:hAnsi="Symbol"/>
      </w:rPr>
    </w:lvl>
    <w:lvl w:ilvl="3" w:tplc="9416A4DA">
      <w:start w:val="1"/>
      <w:numFmt w:val="bullet"/>
      <w:lvlText w:val=""/>
      <w:lvlJc w:val="left"/>
      <w:pPr>
        <w:ind w:left="720" w:hanging="360"/>
      </w:pPr>
      <w:rPr>
        <w:rFonts w:ascii="Symbol" w:hAnsi="Symbol"/>
      </w:rPr>
    </w:lvl>
    <w:lvl w:ilvl="4" w:tplc="C9DCA532">
      <w:start w:val="1"/>
      <w:numFmt w:val="bullet"/>
      <w:lvlText w:val=""/>
      <w:lvlJc w:val="left"/>
      <w:pPr>
        <w:ind w:left="720" w:hanging="360"/>
      </w:pPr>
      <w:rPr>
        <w:rFonts w:ascii="Symbol" w:hAnsi="Symbol"/>
      </w:rPr>
    </w:lvl>
    <w:lvl w:ilvl="5" w:tplc="0E74E21A">
      <w:start w:val="1"/>
      <w:numFmt w:val="bullet"/>
      <w:lvlText w:val=""/>
      <w:lvlJc w:val="left"/>
      <w:pPr>
        <w:ind w:left="720" w:hanging="360"/>
      </w:pPr>
      <w:rPr>
        <w:rFonts w:ascii="Symbol" w:hAnsi="Symbol"/>
      </w:rPr>
    </w:lvl>
    <w:lvl w:ilvl="6" w:tplc="7A3A7576">
      <w:start w:val="1"/>
      <w:numFmt w:val="bullet"/>
      <w:lvlText w:val=""/>
      <w:lvlJc w:val="left"/>
      <w:pPr>
        <w:ind w:left="720" w:hanging="360"/>
      </w:pPr>
      <w:rPr>
        <w:rFonts w:ascii="Symbol" w:hAnsi="Symbol"/>
      </w:rPr>
    </w:lvl>
    <w:lvl w:ilvl="7" w:tplc="B5249B8A">
      <w:start w:val="1"/>
      <w:numFmt w:val="bullet"/>
      <w:lvlText w:val=""/>
      <w:lvlJc w:val="left"/>
      <w:pPr>
        <w:ind w:left="720" w:hanging="360"/>
      </w:pPr>
      <w:rPr>
        <w:rFonts w:ascii="Symbol" w:hAnsi="Symbol"/>
      </w:rPr>
    </w:lvl>
    <w:lvl w:ilvl="8" w:tplc="85C68DDC">
      <w:start w:val="1"/>
      <w:numFmt w:val="bullet"/>
      <w:lvlText w:val=""/>
      <w:lvlJc w:val="left"/>
      <w:pPr>
        <w:ind w:left="720" w:hanging="360"/>
      </w:pPr>
      <w:rPr>
        <w:rFonts w:ascii="Symbol" w:hAnsi="Symbol"/>
      </w:rPr>
    </w:lvl>
  </w:abstractNum>
  <w:abstractNum w:abstractNumId="170" w15:restartNumberingAfterBreak="0">
    <w:nsid w:val="6F6714F2"/>
    <w:multiLevelType w:val="hybridMultilevel"/>
    <w:tmpl w:val="70668B06"/>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71" w15:restartNumberingAfterBreak="0">
    <w:nsid w:val="71022E01"/>
    <w:multiLevelType w:val="hybridMultilevel"/>
    <w:tmpl w:val="4A6A3B92"/>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2" w15:restartNumberingAfterBreak="0">
    <w:nsid w:val="71B02D08"/>
    <w:multiLevelType w:val="hybridMultilevel"/>
    <w:tmpl w:val="B3A0942A"/>
    <w:lvl w:ilvl="0" w:tplc="04180015">
      <w:start w:val="1"/>
      <w:numFmt w:val="upp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3" w15:restartNumberingAfterBreak="0">
    <w:nsid w:val="720A374A"/>
    <w:multiLevelType w:val="hybridMultilevel"/>
    <w:tmpl w:val="BE22A7F0"/>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74" w15:restartNumberingAfterBreak="0">
    <w:nsid w:val="735C5EB0"/>
    <w:multiLevelType w:val="hybridMultilevel"/>
    <w:tmpl w:val="B51EC296"/>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175" w15:restartNumberingAfterBreak="0">
    <w:nsid w:val="73FF4A4D"/>
    <w:multiLevelType w:val="hybridMultilevel"/>
    <w:tmpl w:val="1180C42E"/>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6" w15:restartNumberingAfterBreak="0">
    <w:nsid w:val="74EA0108"/>
    <w:multiLevelType w:val="hybridMultilevel"/>
    <w:tmpl w:val="85C4282E"/>
    <w:lvl w:ilvl="0" w:tplc="04180001">
      <w:start w:val="1"/>
      <w:numFmt w:val="bullet"/>
      <w:lvlText w:val=""/>
      <w:lvlJc w:val="left"/>
      <w:pPr>
        <w:ind w:left="777" w:hanging="360"/>
      </w:pPr>
      <w:rPr>
        <w:rFonts w:ascii="Symbol" w:hAnsi="Symbol" w:hint="default"/>
      </w:rPr>
    </w:lvl>
    <w:lvl w:ilvl="1" w:tplc="04180003" w:tentative="1">
      <w:start w:val="1"/>
      <w:numFmt w:val="bullet"/>
      <w:lvlText w:val="o"/>
      <w:lvlJc w:val="left"/>
      <w:pPr>
        <w:ind w:left="1497" w:hanging="360"/>
      </w:pPr>
      <w:rPr>
        <w:rFonts w:ascii="Courier New" w:hAnsi="Courier New" w:cs="Courier New" w:hint="default"/>
      </w:rPr>
    </w:lvl>
    <w:lvl w:ilvl="2" w:tplc="04180005" w:tentative="1">
      <w:start w:val="1"/>
      <w:numFmt w:val="bullet"/>
      <w:lvlText w:val=""/>
      <w:lvlJc w:val="left"/>
      <w:pPr>
        <w:ind w:left="2217" w:hanging="360"/>
      </w:pPr>
      <w:rPr>
        <w:rFonts w:ascii="Wingdings" w:hAnsi="Wingdings" w:hint="default"/>
      </w:rPr>
    </w:lvl>
    <w:lvl w:ilvl="3" w:tplc="04180001" w:tentative="1">
      <w:start w:val="1"/>
      <w:numFmt w:val="bullet"/>
      <w:lvlText w:val=""/>
      <w:lvlJc w:val="left"/>
      <w:pPr>
        <w:ind w:left="2937" w:hanging="360"/>
      </w:pPr>
      <w:rPr>
        <w:rFonts w:ascii="Symbol" w:hAnsi="Symbol" w:hint="default"/>
      </w:rPr>
    </w:lvl>
    <w:lvl w:ilvl="4" w:tplc="04180003" w:tentative="1">
      <w:start w:val="1"/>
      <w:numFmt w:val="bullet"/>
      <w:lvlText w:val="o"/>
      <w:lvlJc w:val="left"/>
      <w:pPr>
        <w:ind w:left="3657" w:hanging="360"/>
      </w:pPr>
      <w:rPr>
        <w:rFonts w:ascii="Courier New" w:hAnsi="Courier New" w:cs="Courier New" w:hint="default"/>
      </w:rPr>
    </w:lvl>
    <w:lvl w:ilvl="5" w:tplc="04180005" w:tentative="1">
      <w:start w:val="1"/>
      <w:numFmt w:val="bullet"/>
      <w:lvlText w:val=""/>
      <w:lvlJc w:val="left"/>
      <w:pPr>
        <w:ind w:left="4377" w:hanging="360"/>
      </w:pPr>
      <w:rPr>
        <w:rFonts w:ascii="Wingdings" w:hAnsi="Wingdings" w:hint="default"/>
      </w:rPr>
    </w:lvl>
    <w:lvl w:ilvl="6" w:tplc="04180001" w:tentative="1">
      <w:start w:val="1"/>
      <w:numFmt w:val="bullet"/>
      <w:lvlText w:val=""/>
      <w:lvlJc w:val="left"/>
      <w:pPr>
        <w:ind w:left="5097" w:hanging="360"/>
      </w:pPr>
      <w:rPr>
        <w:rFonts w:ascii="Symbol" w:hAnsi="Symbol" w:hint="default"/>
      </w:rPr>
    </w:lvl>
    <w:lvl w:ilvl="7" w:tplc="04180003" w:tentative="1">
      <w:start w:val="1"/>
      <w:numFmt w:val="bullet"/>
      <w:lvlText w:val="o"/>
      <w:lvlJc w:val="left"/>
      <w:pPr>
        <w:ind w:left="5817" w:hanging="360"/>
      </w:pPr>
      <w:rPr>
        <w:rFonts w:ascii="Courier New" w:hAnsi="Courier New" w:cs="Courier New" w:hint="default"/>
      </w:rPr>
    </w:lvl>
    <w:lvl w:ilvl="8" w:tplc="04180005" w:tentative="1">
      <w:start w:val="1"/>
      <w:numFmt w:val="bullet"/>
      <w:lvlText w:val=""/>
      <w:lvlJc w:val="left"/>
      <w:pPr>
        <w:ind w:left="6537" w:hanging="360"/>
      </w:pPr>
      <w:rPr>
        <w:rFonts w:ascii="Wingdings" w:hAnsi="Wingdings" w:hint="default"/>
      </w:rPr>
    </w:lvl>
  </w:abstractNum>
  <w:abstractNum w:abstractNumId="177" w15:restartNumberingAfterBreak="0">
    <w:nsid w:val="75434B1F"/>
    <w:multiLevelType w:val="hybridMultilevel"/>
    <w:tmpl w:val="6CB8298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8" w15:restartNumberingAfterBreak="0">
    <w:nsid w:val="75825741"/>
    <w:multiLevelType w:val="multilevel"/>
    <w:tmpl w:val="2DAA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0D2847"/>
    <w:multiLevelType w:val="hybridMultilevel"/>
    <w:tmpl w:val="EDEC339C"/>
    <w:lvl w:ilvl="0" w:tplc="45B8225E">
      <w:start w:val="1"/>
      <w:numFmt w:val="bullet"/>
      <w:lvlText w:val=""/>
      <w:lvlJc w:val="left"/>
      <w:pPr>
        <w:ind w:left="720" w:hanging="360"/>
      </w:pPr>
      <w:rPr>
        <w:rFonts w:ascii="Symbol" w:hAnsi="Symbol"/>
      </w:rPr>
    </w:lvl>
    <w:lvl w:ilvl="1" w:tplc="CA465E7A">
      <w:start w:val="1"/>
      <w:numFmt w:val="bullet"/>
      <w:lvlText w:val=""/>
      <w:lvlJc w:val="left"/>
      <w:pPr>
        <w:ind w:left="720" w:hanging="360"/>
      </w:pPr>
      <w:rPr>
        <w:rFonts w:ascii="Symbol" w:hAnsi="Symbol"/>
      </w:rPr>
    </w:lvl>
    <w:lvl w:ilvl="2" w:tplc="D6DA2468">
      <w:start w:val="1"/>
      <w:numFmt w:val="bullet"/>
      <w:lvlText w:val=""/>
      <w:lvlJc w:val="left"/>
      <w:pPr>
        <w:ind w:left="720" w:hanging="360"/>
      </w:pPr>
      <w:rPr>
        <w:rFonts w:ascii="Symbol" w:hAnsi="Symbol"/>
      </w:rPr>
    </w:lvl>
    <w:lvl w:ilvl="3" w:tplc="F8543F2A">
      <w:start w:val="1"/>
      <w:numFmt w:val="bullet"/>
      <w:lvlText w:val=""/>
      <w:lvlJc w:val="left"/>
      <w:pPr>
        <w:ind w:left="720" w:hanging="360"/>
      </w:pPr>
      <w:rPr>
        <w:rFonts w:ascii="Symbol" w:hAnsi="Symbol"/>
      </w:rPr>
    </w:lvl>
    <w:lvl w:ilvl="4" w:tplc="85DA67F0">
      <w:start w:val="1"/>
      <w:numFmt w:val="bullet"/>
      <w:lvlText w:val=""/>
      <w:lvlJc w:val="left"/>
      <w:pPr>
        <w:ind w:left="720" w:hanging="360"/>
      </w:pPr>
      <w:rPr>
        <w:rFonts w:ascii="Symbol" w:hAnsi="Symbol"/>
      </w:rPr>
    </w:lvl>
    <w:lvl w:ilvl="5" w:tplc="E9ECBC98">
      <w:start w:val="1"/>
      <w:numFmt w:val="bullet"/>
      <w:lvlText w:val=""/>
      <w:lvlJc w:val="left"/>
      <w:pPr>
        <w:ind w:left="720" w:hanging="360"/>
      </w:pPr>
      <w:rPr>
        <w:rFonts w:ascii="Symbol" w:hAnsi="Symbol"/>
      </w:rPr>
    </w:lvl>
    <w:lvl w:ilvl="6" w:tplc="BA60A09E">
      <w:start w:val="1"/>
      <w:numFmt w:val="bullet"/>
      <w:lvlText w:val=""/>
      <w:lvlJc w:val="left"/>
      <w:pPr>
        <w:ind w:left="720" w:hanging="360"/>
      </w:pPr>
      <w:rPr>
        <w:rFonts w:ascii="Symbol" w:hAnsi="Symbol"/>
      </w:rPr>
    </w:lvl>
    <w:lvl w:ilvl="7" w:tplc="7D56CBF4">
      <w:start w:val="1"/>
      <w:numFmt w:val="bullet"/>
      <w:lvlText w:val=""/>
      <w:lvlJc w:val="left"/>
      <w:pPr>
        <w:ind w:left="720" w:hanging="360"/>
      </w:pPr>
      <w:rPr>
        <w:rFonts w:ascii="Symbol" w:hAnsi="Symbol"/>
      </w:rPr>
    </w:lvl>
    <w:lvl w:ilvl="8" w:tplc="EA3A7AE4">
      <w:start w:val="1"/>
      <w:numFmt w:val="bullet"/>
      <w:lvlText w:val=""/>
      <w:lvlJc w:val="left"/>
      <w:pPr>
        <w:ind w:left="720" w:hanging="360"/>
      </w:pPr>
      <w:rPr>
        <w:rFonts w:ascii="Symbol" w:hAnsi="Symbol"/>
      </w:rPr>
    </w:lvl>
  </w:abstractNum>
  <w:abstractNum w:abstractNumId="180" w15:restartNumberingAfterBreak="0">
    <w:nsid w:val="76643E74"/>
    <w:multiLevelType w:val="hybridMultilevel"/>
    <w:tmpl w:val="382A0D08"/>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81" w15:restartNumberingAfterBreak="0">
    <w:nsid w:val="78C31F43"/>
    <w:multiLevelType w:val="hybridMultilevel"/>
    <w:tmpl w:val="2FA0631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2" w15:restartNumberingAfterBreak="0">
    <w:nsid w:val="78E717B9"/>
    <w:multiLevelType w:val="hybridMultilevel"/>
    <w:tmpl w:val="84CAACC6"/>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3" w15:restartNumberingAfterBreak="0">
    <w:nsid w:val="7944734B"/>
    <w:multiLevelType w:val="hybridMultilevel"/>
    <w:tmpl w:val="C47C3C7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4" w15:restartNumberingAfterBreak="0">
    <w:nsid w:val="79AF7DF5"/>
    <w:multiLevelType w:val="hybridMultilevel"/>
    <w:tmpl w:val="6D7A3B3E"/>
    <w:lvl w:ilvl="0" w:tplc="04180001">
      <w:start w:val="1"/>
      <w:numFmt w:val="bullet"/>
      <w:lvlText w:val=""/>
      <w:lvlJc w:val="left"/>
      <w:pPr>
        <w:ind w:left="1068" w:hanging="360"/>
      </w:pPr>
      <w:rPr>
        <w:rFonts w:ascii="Symbol" w:hAnsi="Symbol" w:hint="default"/>
      </w:r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85" w15:restartNumberingAfterBreak="0">
    <w:nsid w:val="7A5901C5"/>
    <w:multiLevelType w:val="hybridMultilevel"/>
    <w:tmpl w:val="0D18B2AC"/>
    <w:lvl w:ilvl="0" w:tplc="803AB590">
      <w:numFmt w:val="bullet"/>
      <w:lvlText w:val="-"/>
      <w:lvlJc w:val="left"/>
      <w:pPr>
        <w:ind w:left="720" w:hanging="360"/>
      </w:pPr>
      <w:rPr>
        <w:rFonts w:ascii="Verdana" w:eastAsiaTheme="minorHAnsi" w:hAnsi="Verdana" w:cstheme="minorBidi" w:hint="default"/>
        <w:b/>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6" w15:restartNumberingAfterBreak="0">
    <w:nsid w:val="7AD216E5"/>
    <w:multiLevelType w:val="hybridMultilevel"/>
    <w:tmpl w:val="FE14EAA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7" w15:restartNumberingAfterBreak="0">
    <w:nsid w:val="7C1349B9"/>
    <w:multiLevelType w:val="hybridMultilevel"/>
    <w:tmpl w:val="E44CBFE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8" w15:restartNumberingAfterBreak="0">
    <w:nsid w:val="7C855C07"/>
    <w:multiLevelType w:val="multilevel"/>
    <w:tmpl w:val="3F9A5836"/>
    <w:lvl w:ilvl="0">
      <w:start w:val="1"/>
      <w:numFmt w:val="decimal"/>
      <w:lvlText w:val="%1."/>
      <w:lvlJc w:val="left"/>
      <w:pPr>
        <w:ind w:left="720" w:hanging="360"/>
      </w:p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9" w15:restartNumberingAfterBreak="0">
    <w:nsid w:val="7CE8203D"/>
    <w:multiLevelType w:val="hybridMultilevel"/>
    <w:tmpl w:val="D578D31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0" w15:restartNumberingAfterBreak="0">
    <w:nsid w:val="7CF22264"/>
    <w:multiLevelType w:val="hybridMultilevel"/>
    <w:tmpl w:val="02EC6066"/>
    <w:lvl w:ilvl="0" w:tplc="04180015">
      <w:start w:val="1"/>
      <w:numFmt w:val="upp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1" w15:restartNumberingAfterBreak="0">
    <w:nsid w:val="7D493D46"/>
    <w:multiLevelType w:val="hybridMultilevel"/>
    <w:tmpl w:val="459E0C5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7E20588C"/>
    <w:multiLevelType w:val="multilevel"/>
    <w:tmpl w:val="F1EA2C2E"/>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193" w15:restartNumberingAfterBreak="0">
    <w:nsid w:val="7FB354B8"/>
    <w:multiLevelType w:val="multilevel"/>
    <w:tmpl w:val="B52AAC72"/>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25644482">
    <w:abstractNumId w:val="82"/>
  </w:num>
  <w:num w:numId="2" w16cid:durableId="1205021078">
    <w:abstractNumId w:val="39"/>
  </w:num>
  <w:num w:numId="3" w16cid:durableId="522015526">
    <w:abstractNumId w:val="193"/>
  </w:num>
  <w:num w:numId="4" w16cid:durableId="639001854">
    <w:abstractNumId w:val="7"/>
  </w:num>
  <w:num w:numId="5" w16cid:durableId="877857891">
    <w:abstractNumId w:val="6"/>
  </w:num>
  <w:num w:numId="6" w16cid:durableId="1450007267">
    <w:abstractNumId w:val="5"/>
  </w:num>
  <w:num w:numId="7" w16cid:durableId="313991465">
    <w:abstractNumId w:val="4"/>
  </w:num>
  <w:num w:numId="8" w16cid:durableId="1712224518">
    <w:abstractNumId w:val="192"/>
  </w:num>
  <w:num w:numId="9" w16cid:durableId="652562637">
    <w:abstractNumId w:val="3"/>
  </w:num>
  <w:num w:numId="10" w16cid:durableId="422260272">
    <w:abstractNumId w:val="2"/>
  </w:num>
  <w:num w:numId="11" w16cid:durableId="898321517">
    <w:abstractNumId w:val="1"/>
  </w:num>
  <w:num w:numId="12" w16cid:durableId="678585821">
    <w:abstractNumId w:val="0"/>
  </w:num>
  <w:num w:numId="13" w16cid:durableId="449056615">
    <w:abstractNumId w:val="156"/>
  </w:num>
  <w:num w:numId="14" w16cid:durableId="397870277">
    <w:abstractNumId w:val="139"/>
  </w:num>
  <w:num w:numId="15" w16cid:durableId="522864677">
    <w:abstractNumId w:val="175"/>
  </w:num>
  <w:num w:numId="16" w16cid:durableId="893471048">
    <w:abstractNumId w:val="8"/>
  </w:num>
  <w:num w:numId="17" w16cid:durableId="1070035241">
    <w:abstractNumId w:val="29"/>
  </w:num>
  <w:num w:numId="18" w16cid:durableId="740179106">
    <w:abstractNumId w:val="124"/>
  </w:num>
  <w:num w:numId="19" w16cid:durableId="742797429">
    <w:abstractNumId w:val="62"/>
  </w:num>
  <w:num w:numId="20" w16cid:durableId="2132236327">
    <w:abstractNumId w:val="65"/>
  </w:num>
  <w:num w:numId="21" w16cid:durableId="984504816">
    <w:abstractNumId w:val="132"/>
  </w:num>
  <w:num w:numId="22" w16cid:durableId="628048661">
    <w:abstractNumId w:val="104"/>
  </w:num>
  <w:num w:numId="23" w16cid:durableId="659885837">
    <w:abstractNumId w:val="63"/>
  </w:num>
  <w:num w:numId="24" w16cid:durableId="207569652">
    <w:abstractNumId w:val="111"/>
  </w:num>
  <w:num w:numId="25" w16cid:durableId="1622687034">
    <w:abstractNumId w:val="32"/>
  </w:num>
  <w:num w:numId="26" w16cid:durableId="1042749768">
    <w:abstractNumId w:val="107"/>
  </w:num>
  <w:num w:numId="27" w16cid:durableId="1227037129">
    <w:abstractNumId w:val="178"/>
  </w:num>
  <w:num w:numId="28" w16cid:durableId="1491369671">
    <w:abstractNumId w:val="167"/>
  </w:num>
  <w:num w:numId="29" w16cid:durableId="619608544">
    <w:abstractNumId w:val="109"/>
  </w:num>
  <w:num w:numId="30" w16cid:durableId="2012103466">
    <w:abstractNumId w:val="128"/>
  </w:num>
  <w:num w:numId="31" w16cid:durableId="1259363345">
    <w:abstractNumId w:val="127"/>
  </w:num>
  <w:num w:numId="32" w16cid:durableId="1309820595">
    <w:abstractNumId w:val="151"/>
  </w:num>
  <w:num w:numId="33" w16cid:durableId="786654806">
    <w:abstractNumId w:val="118"/>
  </w:num>
  <w:num w:numId="34" w16cid:durableId="62917327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70094821">
    <w:abstractNumId w:val="39"/>
  </w:num>
  <w:num w:numId="36" w16cid:durableId="744299900">
    <w:abstractNumId w:val="39"/>
  </w:num>
  <w:num w:numId="37" w16cid:durableId="44254126">
    <w:abstractNumId w:val="39"/>
  </w:num>
  <w:num w:numId="38" w16cid:durableId="747313702">
    <w:abstractNumId w:val="39"/>
  </w:num>
  <w:num w:numId="39" w16cid:durableId="1650555530">
    <w:abstractNumId w:val="39"/>
  </w:num>
  <w:num w:numId="40" w16cid:durableId="451092407">
    <w:abstractNumId w:val="39"/>
  </w:num>
  <w:num w:numId="41" w16cid:durableId="1979145794">
    <w:abstractNumId w:val="39"/>
  </w:num>
  <w:num w:numId="42" w16cid:durableId="1112439583">
    <w:abstractNumId w:val="39"/>
  </w:num>
  <w:num w:numId="43" w16cid:durableId="1449009145">
    <w:abstractNumId w:val="39"/>
  </w:num>
  <w:num w:numId="44" w16cid:durableId="2090927290">
    <w:abstractNumId w:val="39"/>
  </w:num>
  <w:num w:numId="45" w16cid:durableId="2130930022">
    <w:abstractNumId w:val="39"/>
  </w:num>
  <w:num w:numId="46" w16cid:durableId="1382635615">
    <w:abstractNumId w:val="39"/>
  </w:num>
  <w:num w:numId="47" w16cid:durableId="1132482631">
    <w:abstractNumId w:val="39"/>
  </w:num>
  <w:num w:numId="48" w16cid:durableId="1519198289">
    <w:abstractNumId w:val="39"/>
  </w:num>
  <w:num w:numId="49" w16cid:durableId="1356268437">
    <w:abstractNumId w:val="39"/>
  </w:num>
  <w:num w:numId="50" w16cid:durableId="2106875256">
    <w:abstractNumId w:val="39"/>
  </w:num>
  <w:num w:numId="51" w16cid:durableId="1480683537">
    <w:abstractNumId w:val="39"/>
  </w:num>
  <w:num w:numId="52" w16cid:durableId="323708016">
    <w:abstractNumId w:val="39"/>
  </w:num>
  <w:num w:numId="53" w16cid:durableId="206648975">
    <w:abstractNumId w:val="39"/>
  </w:num>
  <w:num w:numId="54" w16cid:durableId="98457608">
    <w:abstractNumId w:val="39"/>
  </w:num>
  <w:num w:numId="55" w16cid:durableId="839005497">
    <w:abstractNumId w:val="39"/>
  </w:num>
  <w:num w:numId="56" w16cid:durableId="865021593">
    <w:abstractNumId w:val="39"/>
  </w:num>
  <w:num w:numId="57" w16cid:durableId="624501371">
    <w:abstractNumId w:val="39"/>
  </w:num>
  <w:num w:numId="58" w16cid:durableId="1088769764">
    <w:abstractNumId w:val="39"/>
  </w:num>
  <w:num w:numId="59" w16cid:durableId="949169558">
    <w:abstractNumId w:val="39"/>
  </w:num>
  <w:num w:numId="60" w16cid:durableId="394859306">
    <w:abstractNumId w:val="39"/>
  </w:num>
  <w:num w:numId="61" w16cid:durableId="963265590">
    <w:abstractNumId w:val="39"/>
  </w:num>
  <w:num w:numId="62" w16cid:durableId="178742154">
    <w:abstractNumId w:val="39"/>
  </w:num>
  <w:num w:numId="63" w16cid:durableId="36783343">
    <w:abstractNumId w:val="39"/>
  </w:num>
  <w:num w:numId="64" w16cid:durableId="526985786">
    <w:abstractNumId w:val="39"/>
  </w:num>
  <w:num w:numId="65" w16cid:durableId="1425111351">
    <w:abstractNumId w:val="39"/>
  </w:num>
  <w:num w:numId="66" w16cid:durableId="2009940318">
    <w:abstractNumId w:val="171"/>
  </w:num>
  <w:num w:numId="67" w16cid:durableId="1986934101">
    <w:abstractNumId w:val="39"/>
  </w:num>
  <w:num w:numId="68" w16cid:durableId="1117875435">
    <w:abstractNumId w:val="126"/>
  </w:num>
  <w:num w:numId="69" w16cid:durableId="437023635">
    <w:abstractNumId w:val="39"/>
  </w:num>
  <w:num w:numId="70" w16cid:durableId="36125263">
    <w:abstractNumId w:val="39"/>
  </w:num>
  <w:num w:numId="71" w16cid:durableId="178936383">
    <w:abstractNumId w:val="39"/>
  </w:num>
  <w:num w:numId="72" w16cid:durableId="1066958214">
    <w:abstractNumId w:val="39"/>
  </w:num>
  <w:num w:numId="73" w16cid:durableId="1745452163">
    <w:abstractNumId w:val="39"/>
  </w:num>
  <w:num w:numId="74" w16cid:durableId="1350522158">
    <w:abstractNumId w:val="39"/>
  </w:num>
  <w:num w:numId="75" w16cid:durableId="1084909623">
    <w:abstractNumId w:val="119"/>
  </w:num>
  <w:num w:numId="76" w16cid:durableId="949898387">
    <w:abstractNumId w:val="39"/>
  </w:num>
  <w:num w:numId="77" w16cid:durableId="437454700">
    <w:abstractNumId w:val="39"/>
  </w:num>
  <w:num w:numId="78" w16cid:durableId="775366498">
    <w:abstractNumId w:val="48"/>
  </w:num>
  <w:num w:numId="79" w16cid:durableId="1490243286">
    <w:abstractNumId w:val="43"/>
  </w:num>
  <w:num w:numId="80" w16cid:durableId="1876187182">
    <w:abstractNumId w:val="179"/>
  </w:num>
  <w:num w:numId="81" w16cid:durableId="1703432587">
    <w:abstractNumId w:val="169"/>
  </w:num>
  <w:num w:numId="82" w16cid:durableId="640312821">
    <w:abstractNumId w:val="27"/>
  </w:num>
  <w:num w:numId="83" w16cid:durableId="1521161320">
    <w:abstractNumId w:val="14"/>
  </w:num>
  <w:num w:numId="84" w16cid:durableId="1638535363">
    <w:abstractNumId w:val="74"/>
  </w:num>
  <w:num w:numId="85" w16cid:durableId="1922792409">
    <w:abstractNumId w:val="17"/>
  </w:num>
  <w:num w:numId="86" w16cid:durableId="410392777">
    <w:abstractNumId w:val="98"/>
  </w:num>
  <w:num w:numId="87" w16cid:durableId="2078167312">
    <w:abstractNumId w:val="102"/>
  </w:num>
  <w:num w:numId="88" w16cid:durableId="1167211116">
    <w:abstractNumId w:val="38"/>
  </w:num>
  <w:num w:numId="89" w16cid:durableId="478618773">
    <w:abstractNumId w:val="122"/>
  </w:num>
  <w:num w:numId="90" w16cid:durableId="1729524817">
    <w:abstractNumId w:val="64"/>
  </w:num>
  <w:num w:numId="91" w16cid:durableId="363942403">
    <w:abstractNumId w:val="161"/>
  </w:num>
  <w:num w:numId="92" w16cid:durableId="694039533">
    <w:abstractNumId w:val="103"/>
  </w:num>
  <w:num w:numId="93" w16cid:durableId="2138528349">
    <w:abstractNumId w:val="137"/>
  </w:num>
  <w:num w:numId="94" w16cid:durableId="274602560">
    <w:abstractNumId w:val="150"/>
  </w:num>
  <w:num w:numId="95" w16cid:durableId="2053114445">
    <w:abstractNumId w:val="113"/>
  </w:num>
  <w:num w:numId="96" w16cid:durableId="1907257224">
    <w:abstractNumId w:val="24"/>
  </w:num>
  <w:num w:numId="97" w16cid:durableId="37435374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95138586">
    <w:abstractNumId w:val="108"/>
  </w:num>
  <w:num w:numId="99" w16cid:durableId="915937869">
    <w:abstractNumId w:val="77"/>
  </w:num>
  <w:num w:numId="100" w16cid:durableId="1110851749">
    <w:abstractNumId w:val="105"/>
  </w:num>
  <w:num w:numId="101" w16cid:durableId="310600797">
    <w:abstractNumId w:val="59"/>
  </w:num>
  <w:num w:numId="102" w16cid:durableId="1798063650">
    <w:abstractNumId w:val="130"/>
  </w:num>
  <w:num w:numId="103" w16cid:durableId="178468810">
    <w:abstractNumId w:val="172"/>
  </w:num>
  <w:num w:numId="104" w16cid:durableId="964576643">
    <w:abstractNumId w:val="30"/>
  </w:num>
  <w:num w:numId="105" w16cid:durableId="120810892">
    <w:abstractNumId w:val="39"/>
  </w:num>
  <w:num w:numId="106" w16cid:durableId="1588535133">
    <w:abstractNumId w:val="39"/>
  </w:num>
  <w:num w:numId="107" w16cid:durableId="13788942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754156173">
    <w:abstractNumId w:val="39"/>
  </w:num>
  <w:num w:numId="109" w16cid:durableId="2015641242">
    <w:abstractNumId w:val="112"/>
  </w:num>
  <w:num w:numId="110" w16cid:durableId="1380547060">
    <w:abstractNumId w:val="154"/>
  </w:num>
  <w:num w:numId="111" w16cid:durableId="788476552">
    <w:abstractNumId w:val="114"/>
  </w:num>
  <w:num w:numId="112" w16cid:durableId="2001810299">
    <w:abstractNumId w:val="39"/>
  </w:num>
  <w:num w:numId="113" w16cid:durableId="802892161">
    <w:abstractNumId w:val="84"/>
  </w:num>
  <w:num w:numId="114" w16cid:durableId="878199325">
    <w:abstractNumId w:val="28"/>
  </w:num>
  <w:num w:numId="115" w16cid:durableId="2108649276">
    <w:abstractNumId w:val="57"/>
  </w:num>
  <w:num w:numId="116" w16cid:durableId="507255690">
    <w:abstractNumId w:val="58"/>
  </w:num>
  <w:num w:numId="117" w16cid:durableId="190143634">
    <w:abstractNumId w:val="56"/>
  </w:num>
  <w:num w:numId="118" w16cid:durableId="1870143156">
    <w:abstractNumId w:val="67"/>
  </w:num>
  <w:num w:numId="119" w16cid:durableId="964968860">
    <w:abstractNumId w:val="134"/>
  </w:num>
  <w:num w:numId="120" w16cid:durableId="1207329582">
    <w:abstractNumId w:val="86"/>
  </w:num>
  <w:num w:numId="121" w16cid:durableId="1217400130">
    <w:abstractNumId w:val="142"/>
  </w:num>
  <w:num w:numId="122" w16cid:durableId="479149976">
    <w:abstractNumId w:val="153"/>
  </w:num>
  <w:num w:numId="123" w16cid:durableId="671645164">
    <w:abstractNumId w:val="25"/>
  </w:num>
  <w:num w:numId="124" w16cid:durableId="2015913393">
    <w:abstractNumId w:val="40"/>
  </w:num>
  <w:num w:numId="125" w16cid:durableId="231742206">
    <w:abstractNumId w:val="99"/>
  </w:num>
  <w:num w:numId="126" w16cid:durableId="471410309">
    <w:abstractNumId w:val="190"/>
  </w:num>
  <w:num w:numId="127" w16cid:durableId="1166626939">
    <w:abstractNumId w:val="90"/>
  </w:num>
  <w:num w:numId="128" w16cid:durableId="329602442">
    <w:abstractNumId w:val="158"/>
  </w:num>
  <w:num w:numId="129" w16cid:durableId="1777946227">
    <w:abstractNumId w:val="141"/>
  </w:num>
  <w:num w:numId="130" w16cid:durableId="437985769">
    <w:abstractNumId w:val="71"/>
  </w:num>
  <w:num w:numId="131" w16cid:durableId="1540783038">
    <w:abstractNumId w:val="39"/>
  </w:num>
  <w:num w:numId="132" w16cid:durableId="1914657737">
    <w:abstractNumId w:val="92"/>
  </w:num>
  <w:num w:numId="133" w16cid:durableId="415589257">
    <w:abstractNumId w:val="97"/>
  </w:num>
  <w:num w:numId="134" w16cid:durableId="1444812618">
    <w:abstractNumId w:val="55"/>
  </w:num>
  <w:num w:numId="135" w16cid:durableId="1726945847">
    <w:abstractNumId w:val="39"/>
  </w:num>
  <w:num w:numId="136" w16cid:durableId="1707484002">
    <w:abstractNumId w:val="39"/>
  </w:num>
  <w:num w:numId="137" w16cid:durableId="953638359">
    <w:abstractNumId w:val="39"/>
  </w:num>
  <w:num w:numId="138" w16cid:durableId="2019962855">
    <w:abstractNumId w:val="39"/>
  </w:num>
  <w:num w:numId="139" w16cid:durableId="496726155">
    <w:abstractNumId w:val="39"/>
  </w:num>
  <w:num w:numId="140" w16cid:durableId="1565094376">
    <w:abstractNumId w:val="39"/>
  </w:num>
  <w:num w:numId="141" w16cid:durableId="1677270111">
    <w:abstractNumId w:val="85"/>
  </w:num>
  <w:num w:numId="142" w16cid:durableId="2000890228">
    <w:abstractNumId w:val="33"/>
  </w:num>
  <w:num w:numId="143" w16cid:durableId="1984117721">
    <w:abstractNumId w:val="39"/>
  </w:num>
  <w:num w:numId="144" w16cid:durableId="1769347253">
    <w:abstractNumId w:val="191"/>
  </w:num>
  <w:num w:numId="145" w16cid:durableId="746196159">
    <w:abstractNumId w:val="39"/>
  </w:num>
  <w:num w:numId="146" w16cid:durableId="2054189472">
    <w:abstractNumId w:val="95"/>
  </w:num>
  <w:num w:numId="147" w16cid:durableId="267584584">
    <w:abstractNumId w:val="152"/>
  </w:num>
  <w:num w:numId="148" w16cid:durableId="1312559585">
    <w:abstractNumId w:val="39"/>
  </w:num>
  <w:num w:numId="149" w16cid:durableId="804740478">
    <w:abstractNumId w:val="42"/>
  </w:num>
  <w:num w:numId="150" w16cid:durableId="1735007620">
    <w:abstractNumId w:val="21"/>
  </w:num>
  <w:num w:numId="151" w16cid:durableId="1639801320">
    <w:abstractNumId w:val="39"/>
  </w:num>
  <w:num w:numId="152" w16cid:durableId="1282611975">
    <w:abstractNumId w:val="54"/>
  </w:num>
  <w:num w:numId="153" w16cid:durableId="41097861">
    <w:abstractNumId w:val="46"/>
  </w:num>
  <w:num w:numId="154" w16cid:durableId="487479395">
    <w:abstractNumId w:val="18"/>
  </w:num>
  <w:num w:numId="155" w16cid:durableId="1806502464">
    <w:abstractNumId w:val="183"/>
  </w:num>
  <w:num w:numId="156" w16cid:durableId="1128862650">
    <w:abstractNumId w:val="26"/>
  </w:num>
  <w:num w:numId="157" w16cid:durableId="445276491">
    <w:abstractNumId w:val="121"/>
  </w:num>
  <w:num w:numId="158" w16cid:durableId="1420558499">
    <w:abstractNumId w:val="37"/>
  </w:num>
  <w:num w:numId="159" w16cid:durableId="1370569764">
    <w:abstractNumId w:val="39"/>
  </w:num>
  <w:num w:numId="160" w16cid:durableId="235478269">
    <w:abstractNumId w:val="39"/>
  </w:num>
  <w:num w:numId="161" w16cid:durableId="1070277270">
    <w:abstractNumId w:val="44"/>
  </w:num>
  <w:num w:numId="162" w16cid:durableId="2058966625">
    <w:abstractNumId w:val="189"/>
  </w:num>
  <w:num w:numId="163" w16cid:durableId="1633242797">
    <w:abstractNumId w:val="182"/>
  </w:num>
  <w:num w:numId="164" w16cid:durableId="159255">
    <w:abstractNumId w:val="72"/>
  </w:num>
  <w:num w:numId="165" w16cid:durableId="425687104">
    <w:abstractNumId w:val="39"/>
  </w:num>
  <w:num w:numId="166" w16cid:durableId="1699625682">
    <w:abstractNumId w:val="115"/>
  </w:num>
  <w:num w:numId="167" w16cid:durableId="294606458">
    <w:abstractNumId w:val="144"/>
  </w:num>
  <w:num w:numId="168" w16cid:durableId="1640457346">
    <w:abstractNumId w:val="39"/>
  </w:num>
  <w:num w:numId="169" w16cid:durableId="1128014663">
    <w:abstractNumId w:val="39"/>
  </w:num>
  <w:num w:numId="170" w16cid:durableId="1653217659">
    <w:abstractNumId w:val="91"/>
  </w:num>
  <w:num w:numId="171" w16cid:durableId="1251739320">
    <w:abstractNumId w:val="166"/>
  </w:num>
  <w:num w:numId="172" w16cid:durableId="910115858">
    <w:abstractNumId w:val="39"/>
  </w:num>
  <w:num w:numId="173" w16cid:durableId="226502179">
    <w:abstractNumId w:val="41"/>
  </w:num>
  <w:num w:numId="174" w16cid:durableId="1016809779">
    <w:abstractNumId w:val="80"/>
  </w:num>
  <w:num w:numId="175" w16cid:durableId="1623224186">
    <w:abstractNumId w:val="123"/>
  </w:num>
  <w:num w:numId="176" w16cid:durableId="1419986175">
    <w:abstractNumId w:val="81"/>
  </w:num>
  <w:num w:numId="177" w16cid:durableId="948468896">
    <w:abstractNumId w:val="188"/>
  </w:num>
  <w:num w:numId="178" w16cid:durableId="1555192713">
    <w:abstractNumId w:val="146"/>
  </w:num>
  <w:num w:numId="179" w16cid:durableId="1812165793">
    <w:abstractNumId w:val="15"/>
  </w:num>
  <w:num w:numId="180" w16cid:durableId="27149946">
    <w:abstractNumId w:val="177"/>
  </w:num>
  <w:num w:numId="181" w16cid:durableId="1913543599">
    <w:abstractNumId w:val="184"/>
  </w:num>
  <w:num w:numId="182" w16cid:durableId="18091559">
    <w:abstractNumId w:val="61"/>
  </w:num>
  <w:num w:numId="183" w16cid:durableId="1594777929">
    <w:abstractNumId w:val="20"/>
  </w:num>
  <w:num w:numId="184" w16cid:durableId="348534470">
    <w:abstractNumId w:val="181"/>
  </w:num>
  <w:num w:numId="185" w16cid:durableId="181214803">
    <w:abstractNumId w:val="140"/>
  </w:num>
  <w:num w:numId="186" w16cid:durableId="984620763">
    <w:abstractNumId w:val="39"/>
  </w:num>
  <w:num w:numId="187" w16cid:durableId="724258200">
    <w:abstractNumId w:val="39"/>
  </w:num>
  <w:num w:numId="188" w16cid:durableId="1730154174">
    <w:abstractNumId w:val="75"/>
  </w:num>
  <w:num w:numId="189" w16cid:durableId="1173957691">
    <w:abstractNumId w:val="12"/>
  </w:num>
  <w:num w:numId="190" w16cid:durableId="1778482711">
    <w:abstractNumId w:val="52"/>
  </w:num>
  <w:num w:numId="191" w16cid:durableId="306790449">
    <w:abstractNumId w:val="149"/>
  </w:num>
  <w:num w:numId="192" w16cid:durableId="1577861184">
    <w:abstractNumId w:val="70"/>
  </w:num>
  <w:num w:numId="193" w16cid:durableId="1417551663">
    <w:abstractNumId w:val="11"/>
  </w:num>
  <w:num w:numId="194" w16cid:durableId="1819417680">
    <w:abstractNumId w:val="39"/>
  </w:num>
  <w:num w:numId="195" w16cid:durableId="1032196409">
    <w:abstractNumId w:val="66"/>
  </w:num>
  <w:num w:numId="196" w16cid:durableId="784151682">
    <w:abstractNumId w:val="39"/>
  </w:num>
  <w:num w:numId="197" w16cid:durableId="1918783705">
    <w:abstractNumId w:val="39"/>
  </w:num>
  <w:num w:numId="198" w16cid:durableId="130906243">
    <w:abstractNumId w:val="39"/>
  </w:num>
  <w:num w:numId="199" w16cid:durableId="662512727">
    <w:abstractNumId w:val="39"/>
    <w:lvlOverride w:ilvl="0">
      <w:startOverride w:val="5"/>
    </w:lvlOverride>
    <w:lvlOverride w:ilvl="1">
      <w:startOverride w:val="2"/>
    </w:lvlOverride>
    <w:lvlOverride w:ilvl="2">
      <w:startOverride w:val="1"/>
    </w:lvlOverride>
  </w:num>
  <w:num w:numId="200" w16cid:durableId="573663202">
    <w:abstractNumId w:val="39"/>
  </w:num>
  <w:num w:numId="201" w16cid:durableId="163975283">
    <w:abstractNumId w:val="83"/>
  </w:num>
  <w:num w:numId="202" w16cid:durableId="1025987776">
    <w:abstractNumId w:val="47"/>
  </w:num>
  <w:num w:numId="203" w16cid:durableId="904070060">
    <w:abstractNumId w:val="16"/>
  </w:num>
  <w:num w:numId="204" w16cid:durableId="2140681844">
    <w:abstractNumId w:val="9"/>
  </w:num>
  <w:num w:numId="205" w16cid:durableId="1079593489">
    <w:abstractNumId w:val="163"/>
  </w:num>
  <w:num w:numId="206" w16cid:durableId="182402604">
    <w:abstractNumId w:val="135"/>
  </w:num>
  <w:num w:numId="207" w16cid:durableId="1092774110">
    <w:abstractNumId w:val="138"/>
  </w:num>
  <w:num w:numId="208" w16cid:durableId="712735453">
    <w:abstractNumId w:val="39"/>
  </w:num>
  <w:num w:numId="209" w16cid:durableId="1058671542">
    <w:abstractNumId w:val="186"/>
  </w:num>
  <w:num w:numId="210" w16cid:durableId="1958945496">
    <w:abstractNumId w:val="39"/>
  </w:num>
  <w:num w:numId="211" w16cid:durableId="2112891515">
    <w:abstractNumId w:val="170"/>
  </w:num>
  <w:num w:numId="212" w16cid:durableId="382409233">
    <w:abstractNumId w:val="101"/>
  </w:num>
  <w:num w:numId="213" w16cid:durableId="1470124290">
    <w:abstractNumId w:val="39"/>
  </w:num>
  <w:num w:numId="214" w16cid:durableId="933249538">
    <w:abstractNumId w:val="10"/>
  </w:num>
  <w:num w:numId="215" w16cid:durableId="275799070">
    <w:abstractNumId w:val="73"/>
  </w:num>
  <w:num w:numId="216" w16cid:durableId="1253852126">
    <w:abstractNumId w:val="39"/>
  </w:num>
  <w:num w:numId="217" w16cid:durableId="1752004745">
    <w:abstractNumId w:val="39"/>
  </w:num>
  <w:num w:numId="218" w16cid:durableId="579289296">
    <w:abstractNumId w:val="39"/>
  </w:num>
  <w:num w:numId="219" w16cid:durableId="285081847">
    <w:abstractNumId w:val="39"/>
  </w:num>
  <w:num w:numId="220" w16cid:durableId="1512796666">
    <w:abstractNumId w:val="100"/>
  </w:num>
  <w:num w:numId="221" w16cid:durableId="1778669358">
    <w:abstractNumId w:val="49"/>
  </w:num>
  <w:num w:numId="222" w16cid:durableId="671876211">
    <w:abstractNumId w:val="39"/>
  </w:num>
  <w:num w:numId="223" w16cid:durableId="845242401">
    <w:abstractNumId w:val="50"/>
  </w:num>
  <w:num w:numId="224" w16cid:durableId="2003921837">
    <w:abstractNumId w:val="39"/>
  </w:num>
  <w:num w:numId="225" w16cid:durableId="1707415039">
    <w:abstractNumId w:val="34"/>
  </w:num>
  <w:num w:numId="226" w16cid:durableId="188492064">
    <w:abstractNumId w:val="143"/>
  </w:num>
  <w:num w:numId="227" w16cid:durableId="579951047">
    <w:abstractNumId w:val="39"/>
  </w:num>
  <w:num w:numId="228" w16cid:durableId="1338993566">
    <w:abstractNumId w:val="39"/>
  </w:num>
  <w:num w:numId="229" w16cid:durableId="673648152">
    <w:abstractNumId w:val="39"/>
  </w:num>
  <w:num w:numId="230" w16cid:durableId="727724266">
    <w:abstractNumId w:val="39"/>
  </w:num>
  <w:num w:numId="231" w16cid:durableId="1139572070">
    <w:abstractNumId w:val="51"/>
    <w:lvlOverride w:ilvl="0">
      <w:startOverride w:val="1"/>
    </w:lvlOverride>
  </w:num>
  <w:num w:numId="232" w16cid:durableId="1746604623">
    <w:abstractNumId w:val="147"/>
    <w:lvlOverride w:ilvl="0">
      <w:startOverride w:val="1"/>
    </w:lvlOverride>
  </w:num>
  <w:num w:numId="233" w16cid:durableId="131288849">
    <w:abstractNumId w:val="180"/>
  </w:num>
  <w:num w:numId="234" w16cid:durableId="139427260">
    <w:abstractNumId w:val="39"/>
  </w:num>
  <w:num w:numId="235" w16cid:durableId="1469130759">
    <w:abstractNumId w:val="39"/>
  </w:num>
  <w:num w:numId="236" w16cid:durableId="1020593242">
    <w:abstractNumId w:val="39"/>
  </w:num>
  <w:num w:numId="237" w16cid:durableId="774249857">
    <w:abstractNumId w:val="39"/>
  </w:num>
  <w:num w:numId="238" w16cid:durableId="1241985239">
    <w:abstractNumId w:val="39"/>
  </w:num>
  <w:num w:numId="239" w16cid:durableId="512383578">
    <w:abstractNumId w:val="39"/>
  </w:num>
  <w:num w:numId="240" w16cid:durableId="911624237">
    <w:abstractNumId w:val="39"/>
  </w:num>
  <w:num w:numId="241" w16cid:durableId="704520239">
    <w:abstractNumId w:val="39"/>
  </w:num>
  <w:num w:numId="242" w16cid:durableId="1263565084">
    <w:abstractNumId w:val="39"/>
  </w:num>
  <w:num w:numId="243" w16cid:durableId="1219171703">
    <w:abstractNumId w:val="39"/>
  </w:num>
  <w:num w:numId="244" w16cid:durableId="546187654">
    <w:abstractNumId w:val="129"/>
  </w:num>
  <w:num w:numId="245" w16cid:durableId="473333557">
    <w:abstractNumId w:val="173"/>
  </w:num>
  <w:num w:numId="246" w16cid:durableId="1074816750">
    <w:abstractNumId w:val="116"/>
    <w:lvlOverride w:ilvl="0">
      <w:startOverride w:val="1"/>
    </w:lvlOverride>
  </w:num>
  <w:num w:numId="247" w16cid:durableId="1064647546">
    <w:abstractNumId w:val="159"/>
  </w:num>
  <w:num w:numId="248" w16cid:durableId="1118379458">
    <w:abstractNumId w:val="39"/>
  </w:num>
  <w:num w:numId="249" w16cid:durableId="256867497">
    <w:abstractNumId w:val="39"/>
  </w:num>
  <w:num w:numId="250" w16cid:durableId="717625442">
    <w:abstractNumId w:val="39"/>
  </w:num>
  <w:num w:numId="251" w16cid:durableId="2060082213">
    <w:abstractNumId w:val="39"/>
  </w:num>
  <w:num w:numId="252" w16cid:durableId="942961431">
    <w:abstractNumId w:val="39"/>
  </w:num>
  <w:num w:numId="253" w16cid:durableId="1585994905">
    <w:abstractNumId w:val="39"/>
  </w:num>
  <w:num w:numId="254" w16cid:durableId="1442408248">
    <w:abstractNumId w:val="39"/>
  </w:num>
  <w:num w:numId="255" w16cid:durableId="1946570641">
    <w:abstractNumId w:val="39"/>
  </w:num>
  <w:num w:numId="256" w16cid:durableId="1036387771">
    <w:abstractNumId w:val="117"/>
  </w:num>
  <w:num w:numId="257" w16cid:durableId="126776379">
    <w:abstractNumId w:val="120"/>
  </w:num>
  <w:num w:numId="258" w16cid:durableId="567306309">
    <w:abstractNumId w:val="165"/>
  </w:num>
  <w:num w:numId="259" w16cid:durableId="95635221">
    <w:abstractNumId w:val="89"/>
  </w:num>
  <w:num w:numId="260" w16cid:durableId="309946731">
    <w:abstractNumId w:val="22"/>
  </w:num>
  <w:num w:numId="261" w16cid:durableId="492065107">
    <w:abstractNumId w:val="53"/>
  </w:num>
  <w:num w:numId="262" w16cid:durableId="879587541">
    <w:abstractNumId w:val="187"/>
  </w:num>
  <w:num w:numId="263" w16cid:durableId="1249391339">
    <w:abstractNumId w:val="31"/>
  </w:num>
  <w:num w:numId="264" w16cid:durableId="793407177">
    <w:abstractNumId w:val="39"/>
  </w:num>
  <w:num w:numId="265" w16cid:durableId="111559382">
    <w:abstractNumId w:val="39"/>
  </w:num>
  <w:num w:numId="266" w16cid:durableId="1670910448">
    <w:abstractNumId w:val="39"/>
  </w:num>
  <w:num w:numId="267" w16cid:durableId="357974067">
    <w:abstractNumId w:val="39"/>
  </w:num>
  <w:num w:numId="268" w16cid:durableId="1255435507">
    <w:abstractNumId w:val="39"/>
  </w:num>
  <w:num w:numId="269" w16cid:durableId="1756977537">
    <w:abstractNumId w:val="155"/>
  </w:num>
  <w:num w:numId="270" w16cid:durableId="1767536531">
    <w:abstractNumId w:val="19"/>
  </w:num>
  <w:num w:numId="271" w16cid:durableId="1887796860">
    <w:abstractNumId w:val="185"/>
  </w:num>
  <w:num w:numId="272" w16cid:durableId="1679960364">
    <w:abstractNumId w:val="96"/>
  </w:num>
  <w:num w:numId="273" w16cid:durableId="165479607">
    <w:abstractNumId w:val="45"/>
  </w:num>
  <w:num w:numId="274" w16cid:durableId="1994024594">
    <w:abstractNumId w:val="39"/>
  </w:num>
  <w:num w:numId="275" w16cid:durableId="1992060598">
    <w:abstractNumId w:val="39"/>
  </w:num>
  <w:num w:numId="276" w16cid:durableId="677461538">
    <w:abstractNumId w:val="164"/>
  </w:num>
  <w:num w:numId="277" w16cid:durableId="601258457">
    <w:abstractNumId w:val="39"/>
  </w:num>
  <w:num w:numId="278" w16cid:durableId="57095191">
    <w:abstractNumId w:val="39"/>
  </w:num>
  <w:num w:numId="279" w16cid:durableId="1537889353">
    <w:abstractNumId w:val="39"/>
  </w:num>
  <w:num w:numId="280" w16cid:durableId="2084376072">
    <w:abstractNumId w:val="39"/>
  </w:num>
  <w:num w:numId="281" w16cid:durableId="230232434">
    <w:abstractNumId w:val="39"/>
  </w:num>
  <w:num w:numId="282" w16cid:durableId="1796408072">
    <w:abstractNumId w:val="39"/>
  </w:num>
  <w:num w:numId="283" w16cid:durableId="1463813908">
    <w:abstractNumId w:val="39"/>
  </w:num>
  <w:num w:numId="284" w16cid:durableId="1628586126">
    <w:abstractNumId w:val="160"/>
  </w:num>
  <w:num w:numId="285" w16cid:durableId="1584990258">
    <w:abstractNumId w:val="23"/>
  </w:num>
  <w:num w:numId="286" w16cid:durableId="2091147429">
    <w:abstractNumId w:val="39"/>
  </w:num>
  <w:num w:numId="287" w16cid:durableId="433601641">
    <w:abstractNumId w:val="39"/>
  </w:num>
  <w:num w:numId="288" w16cid:durableId="2031300328">
    <w:abstractNumId w:val="39"/>
  </w:num>
  <w:num w:numId="289" w16cid:durableId="234435032">
    <w:abstractNumId w:val="39"/>
  </w:num>
  <w:num w:numId="290" w16cid:durableId="335110593">
    <w:abstractNumId w:val="39"/>
  </w:num>
  <w:num w:numId="291" w16cid:durableId="1050805923">
    <w:abstractNumId w:val="39"/>
  </w:num>
  <w:num w:numId="292" w16cid:durableId="1599823599">
    <w:abstractNumId w:val="39"/>
  </w:num>
  <w:num w:numId="293" w16cid:durableId="1119181321">
    <w:abstractNumId w:val="39"/>
  </w:num>
  <w:num w:numId="294" w16cid:durableId="1829637829">
    <w:abstractNumId w:val="39"/>
  </w:num>
  <w:num w:numId="295" w16cid:durableId="950934237">
    <w:abstractNumId w:val="39"/>
  </w:num>
  <w:num w:numId="296" w16cid:durableId="1403983177">
    <w:abstractNumId w:val="39"/>
  </w:num>
  <w:num w:numId="297" w16cid:durableId="416289331">
    <w:abstractNumId w:val="39"/>
  </w:num>
  <w:num w:numId="298" w16cid:durableId="163786996">
    <w:abstractNumId w:val="39"/>
  </w:num>
  <w:num w:numId="299" w16cid:durableId="984316388">
    <w:abstractNumId w:val="39"/>
  </w:num>
  <w:num w:numId="300" w16cid:durableId="1634478355">
    <w:abstractNumId w:val="39"/>
  </w:num>
  <w:num w:numId="301" w16cid:durableId="561794374">
    <w:abstractNumId w:val="39"/>
  </w:num>
  <w:num w:numId="302" w16cid:durableId="304050595">
    <w:abstractNumId w:val="39"/>
  </w:num>
  <w:num w:numId="303" w16cid:durableId="2116367917">
    <w:abstractNumId w:val="39"/>
  </w:num>
  <w:num w:numId="304" w16cid:durableId="1372879154">
    <w:abstractNumId w:val="39"/>
  </w:num>
  <w:num w:numId="305" w16cid:durableId="698429048">
    <w:abstractNumId w:val="176"/>
  </w:num>
  <w:num w:numId="306" w16cid:durableId="1829201118">
    <w:abstractNumId w:val="133"/>
  </w:num>
  <w:num w:numId="307" w16cid:durableId="1495027272">
    <w:abstractNumId w:val="174"/>
  </w:num>
  <w:num w:numId="308" w16cid:durableId="267738680">
    <w:abstractNumId w:val="39"/>
  </w:num>
  <w:num w:numId="309" w16cid:durableId="522745536">
    <w:abstractNumId w:val="136"/>
  </w:num>
  <w:num w:numId="310" w16cid:durableId="952977253">
    <w:abstractNumId w:val="93"/>
  </w:num>
  <w:num w:numId="311" w16cid:durableId="1484927924">
    <w:abstractNumId w:val="87"/>
  </w:num>
  <w:num w:numId="312" w16cid:durableId="352999288">
    <w:abstractNumId w:val="39"/>
  </w:num>
  <w:num w:numId="313" w16cid:durableId="329871166">
    <w:abstractNumId w:val="39"/>
  </w:num>
  <w:num w:numId="314" w16cid:durableId="288316646">
    <w:abstractNumId w:val="76"/>
  </w:num>
  <w:num w:numId="315" w16cid:durableId="689918497">
    <w:abstractNumId w:val="39"/>
  </w:num>
  <w:num w:numId="316" w16cid:durableId="1361930381">
    <w:abstractNumId w:val="39"/>
  </w:num>
  <w:num w:numId="317" w16cid:durableId="64802189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727731941">
    <w:abstractNumId w:val="39"/>
  </w:num>
  <w:num w:numId="319" w16cid:durableId="457845693">
    <w:abstractNumId w:val="39"/>
  </w:num>
  <w:num w:numId="320" w16cid:durableId="2127236816">
    <w:abstractNumId w:val="39"/>
  </w:num>
  <w:num w:numId="321" w16cid:durableId="258291244">
    <w:abstractNumId w:val="39"/>
  </w:num>
  <w:num w:numId="322" w16cid:durableId="933393283">
    <w:abstractNumId w:val="88"/>
  </w:num>
  <w:num w:numId="323" w16cid:durableId="2073767213">
    <w:abstractNumId w:val="39"/>
  </w:num>
  <w:num w:numId="324" w16cid:durableId="1986811002">
    <w:abstractNumId w:val="39"/>
  </w:num>
  <w:num w:numId="325" w16cid:durableId="1290277836">
    <w:abstractNumId w:val="68"/>
  </w:num>
  <w:num w:numId="326" w16cid:durableId="912860856">
    <w:abstractNumId w:val="39"/>
  </w:num>
  <w:num w:numId="327" w16cid:durableId="649166606">
    <w:abstractNumId w:val="39"/>
  </w:num>
  <w:num w:numId="328" w16cid:durableId="1002315461">
    <w:abstractNumId w:val="69"/>
  </w:num>
  <w:num w:numId="329" w16cid:durableId="4789381">
    <w:abstractNumId w:val="39"/>
  </w:num>
  <w:num w:numId="330" w16cid:durableId="369767861">
    <w:abstractNumId w:val="39"/>
  </w:num>
  <w:num w:numId="331" w16cid:durableId="1401322162">
    <w:abstractNumId w:val="148"/>
  </w:num>
  <w:num w:numId="332" w16cid:durableId="206617676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16cid:durableId="1499036458">
    <w:abstractNumId w:val="110"/>
  </w:num>
  <w:num w:numId="334" w16cid:durableId="635451949">
    <w:abstractNumId w:val="131"/>
    <w:lvlOverride w:ilvl="0">
      <w:startOverride w:val="1"/>
    </w:lvlOverride>
  </w:num>
  <w:num w:numId="335" w16cid:durableId="892887427">
    <w:abstractNumId w:val="79"/>
  </w:num>
  <w:num w:numId="336" w16cid:durableId="1189223246">
    <w:abstractNumId w:val="39"/>
  </w:num>
  <w:num w:numId="337" w16cid:durableId="397214199">
    <w:abstractNumId w:val="145"/>
  </w:num>
  <w:num w:numId="338" w16cid:durableId="308242839">
    <w:abstractNumId w:val="145"/>
  </w:num>
  <w:num w:numId="339" w16cid:durableId="313072041">
    <w:abstractNumId w:val="36"/>
  </w:num>
  <w:num w:numId="340" w16cid:durableId="97802427">
    <w:abstractNumId w:val="39"/>
  </w:num>
  <w:num w:numId="341" w16cid:durableId="107505700">
    <w:abstractNumId w:val="39"/>
  </w:num>
  <w:num w:numId="342" w16cid:durableId="1215502673">
    <w:abstractNumId w:val="35"/>
  </w:num>
  <w:num w:numId="343" w16cid:durableId="988705513">
    <w:abstractNumId w:val="106"/>
  </w:num>
  <w:num w:numId="344" w16cid:durableId="1229684254">
    <w:abstractNumId w:val="39"/>
  </w:num>
  <w:num w:numId="345" w16cid:durableId="243808770">
    <w:abstractNumId w:val="39"/>
  </w:num>
  <w:num w:numId="346" w16cid:durableId="857542361">
    <w:abstractNumId w:val="39"/>
  </w:num>
  <w:num w:numId="347" w16cid:durableId="350028808">
    <w:abstractNumId w:val="39"/>
  </w:num>
  <w:num w:numId="348" w16cid:durableId="1977755785">
    <w:abstractNumId w:val="39"/>
  </w:num>
  <w:num w:numId="349" w16cid:durableId="1029570902">
    <w:abstractNumId w:val="39"/>
  </w:num>
  <w:num w:numId="350" w16cid:durableId="1068917891">
    <w:abstractNumId w:val="39"/>
  </w:num>
  <w:num w:numId="351" w16cid:durableId="777679531">
    <w:abstractNumId w:val="39"/>
  </w:num>
  <w:num w:numId="352" w16cid:durableId="1650790424">
    <w:abstractNumId w:val="39"/>
  </w:num>
  <w:num w:numId="353" w16cid:durableId="1695880219">
    <w:abstractNumId w:val="39"/>
  </w:num>
  <w:num w:numId="354" w16cid:durableId="1965233047">
    <w:abstractNumId w:val="39"/>
  </w:num>
  <w:num w:numId="355" w16cid:durableId="1508519193">
    <w:abstractNumId w:val="39"/>
  </w:num>
  <w:num w:numId="356" w16cid:durableId="1216117835">
    <w:abstractNumId w:val="39"/>
  </w:num>
  <w:num w:numId="357" w16cid:durableId="1483619532">
    <w:abstractNumId w:val="39"/>
  </w:num>
  <w:num w:numId="358" w16cid:durableId="523397116">
    <w:abstractNumId w:val="39"/>
  </w:num>
  <w:num w:numId="359" w16cid:durableId="314531443">
    <w:abstractNumId w:val="60"/>
  </w:num>
  <w:num w:numId="360" w16cid:durableId="1790978049">
    <w:abstractNumId w:val="94"/>
  </w:num>
  <w:num w:numId="361" w16cid:durableId="1304189770">
    <w:abstractNumId w:val="13"/>
    <w:lvlOverride w:ilvl="0">
      <w:startOverride w:val="1"/>
    </w:lvlOverride>
  </w:num>
  <w:num w:numId="362" w16cid:durableId="939072701">
    <w:abstractNumId w:val="78"/>
  </w:num>
  <w:num w:numId="363" w16cid:durableId="199057764">
    <w:abstractNumId w:val="125"/>
  </w:num>
  <w:num w:numId="364" w16cid:durableId="80491145">
    <w:abstractNumId w:val="162"/>
    <w:lvlOverride w:ilvl="0">
      <w:startOverride w:val="1"/>
    </w:lvlOverride>
  </w:num>
  <w:num w:numId="365" w16cid:durableId="22366785">
    <w:abstractNumId w:val="168"/>
  </w:num>
  <w:num w:numId="366" w16cid:durableId="860167312">
    <w:abstractNumId w:val="157"/>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D66"/>
    <w:rsid w:val="00000F4B"/>
    <w:rsid w:val="00001BF9"/>
    <w:rsid w:val="00002019"/>
    <w:rsid w:val="00002383"/>
    <w:rsid w:val="000023F8"/>
    <w:rsid w:val="000026E3"/>
    <w:rsid w:val="00002869"/>
    <w:rsid w:val="00002EDA"/>
    <w:rsid w:val="00003175"/>
    <w:rsid w:val="00003A0C"/>
    <w:rsid w:val="00003B68"/>
    <w:rsid w:val="00004865"/>
    <w:rsid w:val="00005318"/>
    <w:rsid w:val="0000565D"/>
    <w:rsid w:val="00005CA2"/>
    <w:rsid w:val="00006015"/>
    <w:rsid w:val="00006719"/>
    <w:rsid w:val="0000694B"/>
    <w:rsid w:val="00007E2A"/>
    <w:rsid w:val="000101EC"/>
    <w:rsid w:val="00010804"/>
    <w:rsid w:val="0001088B"/>
    <w:rsid w:val="00011291"/>
    <w:rsid w:val="000117D6"/>
    <w:rsid w:val="00011B5D"/>
    <w:rsid w:val="00011EC0"/>
    <w:rsid w:val="00012259"/>
    <w:rsid w:val="0001265E"/>
    <w:rsid w:val="0001306E"/>
    <w:rsid w:val="00014DB7"/>
    <w:rsid w:val="00014E8D"/>
    <w:rsid w:val="00014FD3"/>
    <w:rsid w:val="000150A8"/>
    <w:rsid w:val="000162D0"/>
    <w:rsid w:val="00016958"/>
    <w:rsid w:val="00016AD9"/>
    <w:rsid w:val="00016D91"/>
    <w:rsid w:val="00016DBD"/>
    <w:rsid w:val="000174AB"/>
    <w:rsid w:val="000177C4"/>
    <w:rsid w:val="000178B0"/>
    <w:rsid w:val="00017967"/>
    <w:rsid w:val="000179E8"/>
    <w:rsid w:val="00017AF0"/>
    <w:rsid w:val="00017BC5"/>
    <w:rsid w:val="00020124"/>
    <w:rsid w:val="000206BC"/>
    <w:rsid w:val="000212EB"/>
    <w:rsid w:val="000216CC"/>
    <w:rsid w:val="000221FC"/>
    <w:rsid w:val="00022442"/>
    <w:rsid w:val="00022B80"/>
    <w:rsid w:val="00022BAC"/>
    <w:rsid w:val="00023269"/>
    <w:rsid w:val="00023EDA"/>
    <w:rsid w:val="00024059"/>
    <w:rsid w:val="00024833"/>
    <w:rsid w:val="00024BDD"/>
    <w:rsid w:val="00025411"/>
    <w:rsid w:val="00025683"/>
    <w:rsid w:val="0002587F"/>
    <w:rsid w:val="00025B0D"/>
    <w:rsid w:val="000266E4"/>
    <w:rsid w:val="00026756"/>
    <w:rsid w:val="00027189"/>
    <w:rsid w:val="000275D6"/>
    <w:rsid w:val="00027911"/>
    <w:rsid w:val="0002796A"/>
    <w:rsid w:val="000305CC"/>
    <w:rsid w:val="00032498"/>
    <w:rsid w:val="00032B7D"/>
    <w:rsid w:val="00033451"/>
    <w:rsid w:val="00034046"/>
    <w:rsid w:val="00034181"/>
    <w:rsid w:val="00034247"/>
    <w:rsid w:val="000354F4"/>
    <w:rsid w:val="000360C6"/>
    <w:rsid w:val="00036754"/>
    <w:rsid w:val="00036861"/>
    <w:rsid w:val="0003686F"/>
    <w:rsid w:val="00036D38"/>
    <w:rsid w:val="000408D6"/>
    <w:rsid w:val="0004102A"/>
    <w:rsid w:val="00041683"/>
    <w:rsid w:val="00041B19"/>
    <w:rsid w:val="00041B76"/>
    <w:rsid w:val="00042393"/>
    <w:rsid w:val="00042E64"/>
    <w:rsid w:val="0004321D"/>
    <w:rsid w:val="000439ED"/>
    <w:rsid w:val="00043DCE"/>
    <w:rsid w:val="000444C9"/>
    <w:rsid w:val="0004498F"/>
    <w:rsid w:val="00044A18"/>
    <w:rsid w:val="00045C01"/>
    <w:rsid w:val="000473E6"/>
    <w:rsid w:val="00047667"/>
    <w:rsid w:val="00047F19"/>
    <w:rsid w:val="00050582"/>
    <w:rsid w:val="00050588"/>
    <w:rsid w:val="00050A13"/>
    <w:rsid w:val="00050E33"/>
    <w:rsid w:val="00051AE8"/>
    <w:rsid w:val="00051D7B"/>
    <w:rsid w:val="000532BF"/>
    <w:rsid w:val="0005351C"/>
    <w:rsid w:val="00053AE3"/>
    <w:rsid w:val="00053E7C"/>
    <w:rsid w:val="000542D2"/>
    <w:rsid w:val="00054910"/>
    <w:rsid w:val="00054B8D"/>
    <w:rsid w:val="00054F6C"/>
    <w:rsid w:val="000550A3"/>
    <w:rsid w:val="000557F2"/>
    <w:rsid w:val="000559DC"/>
    <w:rsid w:val="000567EE"/>
    <w:rsid w:val="0005683E"/>
    <w:rsid w:val="00057093"/>
    <w:rsid w:val="000571B0"/>
    <w:rsid w:val="000572BC"/>
    <w:rsid w:val="00057D86"/>
    <w:rsid w:val="00057E5D"/>
    <w:rsid w:val="00057F31"/>
    <w:rsid w:val="00060946"/>
    <w:rsid w:val="00061C3B"/>
    <w:rsid w:val="00061C92"/>
    <w:rsid w:val="00062A2B"/>
    <w:rsid w:val="00062A9B"/>
    <w:rsid w:val="00062E65"/>
    <w:rsid w:val="00063530"/>
    <w:rsid w:val="00063798"/>
    <w:rsid w:val="00063E48"/>
    <w:rsid w:val="00064226"/>
    <w:rsid w:val="000642B5"/>
    <w:rsid w:val="000644F0"/>
    <w:rsid w:val="0006492C"/>
    <w:rsid w:val="00064938"/>
    <w:rsid w:val="00064BDC"/>
    <w:rsid w:val="0006515B"/>
    <w:rsid w:val="00065C32"/>
    <w:rsid w:val="00065C3C"/>
    <w:rsid w:val="0006626D"/>
    <w:rsid w:val="00066424"/>
    <w:rsid w:val="00066591"/>
    <w:rsid w:val="00066747"/>
    <w:rsid w:val="00066BDA"/>
    <w:rsid w:val="00066E5C"/>
    <w:rsid w:val="00067B64"/>
    <w:rsid w:val="000713F6"/>
    <w:rsid w:val="00071497"/>
    <w:rsid w:val="0007167E"/>
    <w:rsid w:val="00071A87"/>
    <w:rsid w:val="0007237C"/>
    <w:rsid w:val="000731B3"/>
    <w:rsid w:val="00073EF9"/>
    <w:rsid w:val="000741C3"/>
    <w:rsid w:val="00074ABE"/>
    <w:rsid w:val="00075228"/>
    <w:rsid w:val="000752BA"/>
    <w:rsid w:val="00075388"/>
    <w:rsid w:val="00075452"/>
    <w:rsid w:val="00075596"/>
    <w:rsid w:val="00076780"/>
    <w:rsid w:val="00076D04"/>
    <w:rsid w:val="00077C1A"/>
    <w:rsid w:val="00077E97"/>
    <w:rsid w:val="000802F7"/>
    <w:rsid w:val="00080E23"/>
    <w:rsid w:val="00081679"/>
    <w:rsid w:val="00081827"/>
    <w:rsid w:val="00081DE3"/>
    <w:rsid w:val="0008223F"/>
    <w:rsid w:val="00082A0A"/>
    <w:rsid w:val="00082A0C"/>
    <w:rsid w:val="00083566"/>
    <w:rsid w:val="00083780"/>
    <w:rsid w:val="000839E4"/>
    <w:rsid w:val="00083D17"/>
    <w:rsid w:val="00084285"/>
    <w:rsid w:val="00084A93"/>
    <w:rsid w:val="00084AB9"/>
    <w:rsid w:val="00084D74"/>
    <w:rsid w:val="00085060"/>
    <w:rsid w:val="000854C0"/>
    <w:rsid w:val="00085FB4"/>
    <w:rsid w:val="0008683E"/>
    <w:rsid w:val="00086990"/>
    <w:rsid w:val="00086BA6"/>
    <w:rsid w:val="00086D33"/>
    <w:rsid w:val="00087A73"/>
    <w:rsid w:val="00087ED9"/>
    <w:rsid w:val="00090843"/>
    <w:rsid w:val="0009128C"/>
    <w:rsid w:val="0009272F"/>
    <w:rsid w:val="00092C74"/>
    <w:rsid w:val="00093537"/>
    <w:rsid w:val="0009353C"/>
    <w:rsid w:val="000937A1"/>
    <w:rsid w:val="00093AEE"/>
    <w:rsid w:val="00093AFD"/>
    <w:rsid w:val="000944D6"/>
    <w:rsid w:val="000948AF"/>
    <w:rsid w:val="00094A0E"/>
    <w:rsid w:val="00094ABD"/>
    <w:rsid w:val="00095648"/>
    <w:rsid w:val="00095AAD"/>
    <w:rsid w:val="00095B44"/>
    <w:rsid w:val="00096A5E"/>
    <w:rsid w:val="00096E8A"/>
    <w:rsid w:val="00096FA0"/>
    <w:rsid w:val="0009730F"/>
    <w:rsid w:val="0009750A"/>
    <w:rsid w:val="00097CEF"/>
    <w:rsid w:val="000A0BED"/>
    <w:rsid w:val="000A0DC3"/>
    <w:rsid w:val="000A142E"/>
    <w:rsid w:val="000A1547"/>
    <w:rsid w:val="000A1894"/>
    <w:rsid w:val="000A1A2D"/>
    <w:rsid w:val="000A20F7"/>
    <w:rsid w:val="000A2AB5"/>
    <w:rsid w:val="000A2D9D"/>
    <w:rsid w:val="000A39C0"/>
    <w:rsid w:val="000A4502"/>
    <w:rsid w:val="000A492D"/>
    <w:rsid w:val="000A5F02"/>
    <w:rsid w:val="000A67CB"/>
    <w:rsid w:val="000A6846"/>
    <w:rsid w:val="000A68D1"/>
    <w:rsid w:val="000A69BC"/>
    <w:rsid w:val="000A775F"/>
    <w:rsid w:val="000A7969"/>
    <w:rsid w:val="000A7CA6"/>
    <w:rsid w:val="000B020B"/>
    <w:rsid w:val="000B06E4"/>
    <w:rsid w:val="000B13A7"/>
    <w:rsid w:val="000B2421"/>
    <w:rsid w:val="000B287B"/>
    <w:rsid w:val="000B2E75"/>
    <w:rsid w:val="000B3CAD"/>
    <w:rsid w:val="000B3FEE"/>
    <w:rsid w:val="000B4E56"/>
    <w:rsid w:val="000B4E9D"/>
    <w:rsid w:val="000B4FE1"/>
    <w:rsid w:val="000B58E9"/>
    <w:rsid w:val="000B5E9B"/>
    <w:rsid w:val="000B6D60"/>
    <w:rsid w:val="000B7619"/>
    <w:rsid w:val="000B7BC1"/>
    <w:rsid w:val="000B7E47"/>
    <w:rsid w:val="000C02B4"/>
    <w:rsid w:val="000C05A4"/>
    <w:rsid w:val="000C0EE8"/>
    <w:rsid w:val="000C15B8"/>
    <w:rsid w:val="000C170D"/>
    <w:rsid w:val="000C21E7"/>
    <w:rsid w:val="000C2358"/>
    <w:rsid w:val="000C2378"/>
    <w:rsid w:val="000C362B"/>
    <w:rsid w:val="000C3BE7"/>
    <w:rsid w:val="000C3F99"/>
    <w:rsid w:val="000C50A0"/>
    <w:rsid w:val="000C51B6"/>
    <w:rsid w:val="000C6A96"/>
    <w:rsid w:val="000C6E56"/>
    <w:rsid w:val="000C76CC"/>
    <w:rsid w:val="000D0AD1"/>
    <w:rsid w:val="000D0F78"/>
    <w:rsid w:val="000D2738"/>
    <w:rsid w:val="000D40C9"/>
    <w:rsid w:val="000D4E53"/>
    <w:rsid w:val="000D4E9C"/>
    <w:rsid w:val="000D5085"/>
    <w:rsid w:val="000D5465"/>
    <w:rsid w:val="000D566B"/>
    <w:rsid w:val="000D56D8"/>
    <w:rsid w:val="000D5A7D"/>
    <w:rsid w:val="000D6329"/>
    <w:rsid w:val="000D634C"/>
    <w:rsid w:val="000D64FB"/>
    <w:rsid w:val="000D6509"/>
    <w:rsid w:val="000D683D"/>
    <w:rsid w:val="000D6E4E"/>
    <w:rsid w:val="000D6FC8"/>
    <w:rsid w:val="000D71B5"/>
    <w:rsid w:val="000D72EF"/>
    <w:rsid w:val="000D77AD"/>
    <w:rsid w:val="000E00CD"/>
    <w:rsid w:val="000E07B0"/>
    <w:rsid w:val="000E0E8B"/>
    <w:rsid w:val="000E1190"/>
    <w:rsid w:val="000E13BE"/>
    <w:rsid w:val="000E13D8"/>
    <w:rsid w:val="000E19AB"/>
    <w:rsid w:val="000E258B"/>
    <w:rsid w:val="000E284A"/>
    <w:rsid w:val="000E295D"/>
    <w:rsid w:val="000E2AAD"/>
    <w:rsid w:val="000E2D04"/>
    <w:rsid w:val="000E3763"/>
    <w:rsid w:val="000E39C2"/>
    <w:rsid w:val="000E3E6D"/>
    <w:rsid w:val="000E3F44"/>
    <w:rsid w:val="000E40B3"/>
    <w:rsid w:val="000E4D32"/>
    <w:rsid w:val="000E50EF"/>
    <w:rsid w:val="000E5D25"/>
    <w:rsid w:val="000E6791"/>
    <w:rsid w:val="000E694D"/>
    <w:rsid w:val="000E73B7"/>
    <w:rsid w:val="000E75F6"/>
    <w:rsid w:val="000E7C59"/>
    <w:rsid w:val="000F0BCB"/>
    <w:rsid w:val="000F119B"/>
    <w:rsid w:val="000F1247"/>
    <w:rsid w:val="000F1B17"/>
    <w:rsid w:val="000F1D86"/>
    <w:rsid w:val="000F22C7"/>
    <w:rsid w:val="000F22CD"/>
    <w:rsid w:val="000F27DE"/>
    <w:rsid w:val="000F37CE"/>
    <w:rsid w:val="000F3FF4"/>
    <w:rsid w:val="000F4E10"/>
    <w:rsid w:val="000F4EE1"/>
    <w:rsid w:val="000F556D"/>
    <w:rsid w:val="000F5CF1"/>
    <w:rsid w:val="000F6497"/>
    <w:rsid w:val="000F65D1"/>
    <w:rsid w:val="000F685F"/>
    <w:rsid w:val="000F6A0C"/>
    <w:rsid w:val="000F6A42"/>
    <w:rsid w:val="000F716D"/>
    <w:rsid w:val="000F774E"/>
    <w:rsid w:val="001006BD"/>
    <w:rsid w:val="001008D0"/>
    <w:rsid w:val="001009D3"/>
    <w:rsid w:val="0010113F"/>
    <w:rsid w:val="0010125E"/>
    <w:rsid w:val="001016DB"/>
    <w:rsid w:val="00101B29"/>
    <w:rsid w:val="00101E69"/>
    <w:rsid w:val="00101FBD"/>
    <w:rsid w:val="0010215A"/>
    <w:rsid w:val="00102743"/>
    <w:rsid w:val="0010284B"/>
    <w:rsid w:val="001035B6"/>
    <w:rsid w:val="0010362B"/>
    <w:rsid w:val="00103957"/>
    <w:rsid w:val="00103A8E"/>
    <w:rsid w:val="00103E3F"/>
    <w:rsid w:val="00103F0B"/>
    <w:rsid w:val="001043A6"/>
    <w:rsid w:val="00104989"/>
    <w:rsid w:val="00104B4E"/>
    <w:rsid w:val="00104C79"/>
    <w:rsid w:val="00104CA9"/>
    <w:rsid w:val="001056CD"/>
    <w:rsid w:val="00105CA7"/>
    <w:rsid w:val="00106B3D"/>
    <w:rsid w:val="001072F3"/>
    <w:rsid w:val="00107B56"/>
    <w:rsid w:val="00107C80"/>
    <w:rsid w:val="00107E90"/>
    <w:rsid w:val="0011040B"/>
    <w:rsid w:val="00112EDD"/>
    <w:rsid w:val="00113390"/>
    <w:rsid w:val="00113A47"/>
    <w:rsid w:val="00113FC2"/>
    <w:rsid w:val="001144FA"/>
    <w:rsid w:val="001145FD"/>
    <w:rsid w:val="001149A1"/>
    <w:rsid w:val="00114EF2"/>
    <w:rsid w:val="0011527A"/>
    <w:rsid w:val="001159A4"/>
    <w:rsid w:val="0011633B"/>
    <w:rsid w:val="00116C0F"/>
    <w:rsid w:val="00117DFE"/>
    <w:rsid w:val="001203F6"/>
    <w:rsid w:val="001207E0"/>
    <w:rsid w:val="00121A0C"/>
    <w:rsid w:val="00122459"/>
    <w:rsid w:val="00122A44"/>
    <w:rsid w:val="00122A6E"/>
    <w:rsid w:val="00122B3D"/>
    <w:rsid w:val="00122C6A"/>
    <w:rsid w:val="00122F31"/>
    <w:rsid w:val="00123154"/>
    <w:rsid w:val="001235C2"/>
    <w:rsid w:val="001250DC"/>
    <w:rsid w:val="001251C9"/>
    <w:rsid w:val="0012534C"/>
    <w:rsid w:val="0012574E"/>
    <w:rsid w:val="00125F09"/>
    <w:rsid w:val="0012689E"/>
    <w:rsid w:val="001269B4"/>
    <w:rsid w:val="00126D44"/>
    <w:rsid w:val="001275F8"/>
    <w:rsid w:val="00130A06"/>
    <w:rsid w:val="00130AC0"/>
    <w:rsid w:val="00130E3D"/>
    <w:rsid w:val="00130F67"/>
    <w:rsid w:val="00131DB6"/>
    <w:rsid w:val="001323E0"/>
    <w:rsid w:val="0013244F"/>
    <w:rsid w:val="00132CCC"/>
    <w:rsid w:val="00132D45"/>
    <w:rsid w:val="00132EAE"/>
    <w:rsid w:val="00133115"/>
    <w:rsid w:val="001333AE"/>
    <w:rsid w:val="001338CB"/>
    <w:rsid w:val="0013403A"/>
    <w:rsid w:val="001344B2"/>
    <w:rsid w:val="00134AD2"/>
    <w:rsid w:val="00134B61"/>
    <w:rsid w:val="00134F89"/>
    <w:rsid w:val="00135DF2"/>
    <w:rsid w:val="0013628F"/>
    <w:rsid w:val="00137898"/>
    <w:rsid w:val="00137BCA"/>
    <w:rsid w:val="001402E7"/>
    <w:rsid w:val="00140356"/>
    <w:rsid w:val="001407A2"/>
    <w:rsid w:val="00140967"/>
    <w:rsid w:val="00140B33"/>
    <w:rsid w:val="00140E1F"/>
    <w:rsid w:val="001412B5"/>
    <w:rsid w:val="0014191D"/>
    <w:rsid w:val="00141CF4"/>
    <w:rsid w:val="0014228A"/>
    <w:rsid w:val="00142D64"/>
    <w:rsid w:val="00142ED0"/>
    <w:rsid w:val="00142F21"/>
    <w:rsid w:val="001433B0"/>
    <w:rsid w:val="0014345B"/>
    <w:rsid w:val="001437C0"/>
    <w:rsid w:val="0014451A"/>
    <w:rsid w:val="001447F2"/>
    <w:rsid w:val="0014537A"/>
    <w:rsid w:val="001453FA"/>
    <w:rsid w:val="00145544"/>
    <w:rsid w:val="00145F49"/>
    <w:rsid w:val="00146903"/>
    <w:rsid w:val="00146EAD"/>
    <w:rsid w:val="00146F1E"/>
    <w:rsid w:val="00147140"/>
    <w:rsid w:val="00147BF1"/>
    <w:rsid w:val="001501FB"/>
    <w:rsid w:val="001502DF"/>
    <w:rsid w:val="00150678"/>
    <w:rsid w:val="001527B3"/>
    <w:rsid w:val="001529BD"/>
    <w:rsid w:val="001533E7"/>
    <w:rsid w:val="0015375C"/>
    <w:rsid w:val="001538B3"/>
    <w:rsid w:val="00153B18"/>
    <w:rsid w:val="0015482E"/>
    <w:rsid w:val="001551EE"/>
    <w:rsid w:val="00155E97"/>
    <w:rsid w:val="001562D8"/>
    <w:rsid w:val="00156BA2"/>
    <w:rsid w:val="00156CD2"/>
    <w:rsid w:val="00157359"/>
    <w:rsid w:val="00157E67"/>
    <w:rsid w:val="00160733"/>
    <w:rsid w:val="001610BB"/>
    <w:rsid w:val="00161FD6"/>
    <w:rsid w:val="0016209C"/>
    <w:rsid w:val="001627F7"/>
    <w:rsid w:val="00163516"/>
    <w:rsid w:val="00164251"/>
    <w:rsid w:val="0016490E"/>
    <w:rsid w:val="0016507B"/>
    <w:rsid w:val="00165172"/>
    <w:rsid w:val="00165B31"/>
    <w:rsid w:val="00165CED"/>
    <w:rsid w:val="00165E26"/>
    <w:rsid w:val="00166654"/>
    <w:rsid w:val="00166676"/>
    <w:rsid w:val="00166E8D"/>
    <w:rsid w:val="001673CD"/>
    <w:rsid w:val="00167775"/>
    <w:rsid w:val="00167E65"/>
    <w:rsid w:val="00171484"/>
    <w:rsid w:val="001714CC"/>
    <w:rsid w:val="0017191F"/>
    <w:rsid w:val="001720CC"/>
    <w:rsid w:val="00172B1A"/>
    <w:rsid w:val="00172C70"/>
    <w:rsid w:val="00172E92"/>
    <w:rsid w:val="00173217"/>
    <w:rsid w:val="00173BDB"/>
    <w:rsid w:val="00173DE1"/>
    <w:rsid w:val="00173E96"/>
    <w:rsid w:val="001743C6"/>
    <w:rsid w:val="001745D3"/>
    <w:rsid w:val="00174EEF"/>
    <w:rsid w:val="0017505D"/>
    <w:rsid w:val="00175A1A"/>
    <w:rsid w:val="00177201"/>
    <w:rsid w:val="0018007F"/>
    <w:rsid w:val="00180A24"/>
    <w:rsid w:val="00180E51"/>
    <w:rsid w:val="00181134"/>
    <w:rsid w:val="00181556"/>
    <w:rsid w:val="001818F6"/>
    <w:rsid w:val="00181AC6"/>
    <w:rsid w:val="00181B3E"/>
    <w:rsid w:val="00181D89"/>
    <w:rsid w:val="00182212"/>
    <w:rsid w:val="00182651"/>
    <w:rsid w:val="00182FD9"/>
    <w:rsid w:val="00183470"/>
    <w:rsid w:val="00183DE7"/>
    <w:rsid w:val="00184221"/>
    <w:rsid w:val="001846C3"/>
    <w:rsid w:val="001848F7"/>
    <w:rsid w:val="001849D8"/>
    <w:rsid w:val="00185EC2"/>
    <w:rsid w:val="001870D4"/>
    <w:rsid w:val="00187607"/>
    <w:rsid w:val="0019034B"/>
    <w:rsid w:val="001908BB"/>
    <w:rsid w:val="00190D69"/>
    <w:rsid w:val="00191239"/>
    <w:rsid w:val="00191DA9"/>
    <w:rsid w:val="00191FA2"/>
    <w:rsid w:val="0019264E"/>
    <w:rsid w:val="00193076"/>
    <w:rsid w:val="00194114"/>
    <w:rsid w:val="00194EA3"/>
    <w:rsid w:val="00195045"/>
    <w:rsid w:val="0019563E"/>
    <w:rsid w:val="00196218"/>
    <w:rsid w:val="001968CD"/>
    <w:rsid w:val="00196A5E"/>
    <w:rsid w:val="00196CC6"/>
    <w:rsid w:val="00197147"/>
    <w:rsid w:val="00197792"/>
    <w:rsid w:val="00197C80"/>
    <w:rsid w:val="00197D3F"/>
    <w:rsid w:val="001A0936"/>
    <w:rsid w:val="001A0FF0"/>
    <w:rsid w:val="001A18E5"/>
    <w:rsid w:val="001A19E5"/>
    <w:rsid w:val="001A22AD"/>
    <w:rsid w:val="001A26E5"/>
    <w:rsid w:val="001A377E"/>
    <w:rsid w:val="001A3C4A"/>
    <w:rsid w:val="001A4148"/>
    <w:rsid w:val="001A43CE"/>
    <w:rsid w:val="001A46BA"/>
    <w:rsid w:val="001A5023"/>
    <w:rsid w:val="001A5131"/>
    <w:rsid w:val="001A5694"/>
    <w:rsid w:val="001A5EFF"/>
    <w:rsid w:val="001A61FD"/>
    <w:rsid w:val="001A622A"/>
    <w:rsid w:val="001A63F5"/>
    <w:rsid w:val="001A6577"/>
    <w:rsid w:val="001A73EC"/>
    <w:rsid w:val="001A792B"/>
    <w:rsid w:val="001B0334"/>
    <w:rsid w:val="001B0531"/>
    <w:rsid w:val="001B053E"/>
    <w:rsid w:val="001B09A2"/>
    <w:rsid w:val="001B1099"/>
    <w:rsid w:val="001B17FD"/>
    <w:rsid w:val="001B1B64"/>
    <w:rsid w:val="001B20AF"/>
    <w:rsid w:val="001B2341"/>
    <w:rsid w:val="001B2688"/>
    <w:rsid w:val="001B28F6"/>
    <w:rsid w:val="001B323E"/>
    <w:rsid w:val="001B3332"/>
    <w:rsid w:val="001B36F6"/>
    <w:rsid w:val="001B3960"/>
    <w:rsid w:val="001B3B20"/>
    <w:rsid w:val="001B4AE7"/>
    <w:rsid w:val="001B622B"/>
    <w:rsid w:val="001B6CF4"/>
    <w:rsid w:val="001B7F09"/>
    <w:rsid w:val="001C0044"/>
    <w:rsid w:val="001C0C66"/>
    <w:rsid w:val="001C1290"/>
    <w:rsid w:val="001C168A"/>
    <w:rsid w:val="001C2147"/>
    <w:rsid w:val="001C2F81"/>
    <w:rsid w:val="001C3EF4"/>
    <w:rsid w:val="001C4240"/>
    <w:rsid w:val="001C4618"/>
    <w:rsid w:val="001C489D"/>
    <w:rsid w:val="001C54C8"/>
    <w:rsid w:val="001C5DBD"/>
    <w:rsid w:val="001C5F36"/>
    <w:rsid w:val="001C5FFF"/>
    <w:rsid w:val="001C6235"/>
    <w:rsid w:val="001C7E26"/>
    <w:rsid w:val="001D0686"/>
    <w:rsid w:val="001D161E"/>
    <w:rsid w:val="001D1A38"/>
    <w:rsid w:val="001D328D"/>
    <w:rsid w:val="001D32FE"/>
    <w:rsid w:val="001D3583"/>
    <w:rsid w:val="001D3917"/>
    <w:rsid w:val="001D4507"/>
    <w:rsid w:val="001D4947"/>
    <w:rsid w:val="001D5BB5"/>
    <w:rsid w:val="001D651F"/>
    <w:rsid w:val="001D78C4"/>
    <w:rsid w:val="001D7A18"/>
    <w:rsid w:val="001E07C3"/>
    <w:rsid w:val="001E09E4"/>
    <w:rsid w:val="001E0C42"/>
    <w:rsid w:val="001E0DEF"/>
    <w:rsid w:val="001E1303"/>
    <w:rsid w:val="001E1890"/>
    <w:rsid w:val="001E1B37"/>
    <w:rsid w:val="001E292A"/>
    <w:rsid w:val="001E3272"/>
    <w:rsid w:val="001E3DD3"/>
    <w:rsid w:val="001E3DEA"/>
    <w:rsid w:val="001E416B"/>
    <w:rsid w:val="001E44DF"/>
    <w:rsid w:val="001E4788"/>
    <w:rsid w:val="001E50C3"/>
    <w:rsid w:val="001E6781"/>
    <w:rsid w:val="001E71BC"/>
    <w:rsid w:val="001E7260"/>
    <w:rsid w:val="001E740C"/>
    <w:rsid w:val="001E7B2B"/>
    <w:rsid w:val="001E7BBE"/>
    <w:rsid w:val="001F093A"/>
    <w:rsid w:val="001F0B3D"/>
    <w:rsid w:val="001F12B0"/>
    <w:rsid w:val="001F139C"/>
    <w:rsid w:val="001F1859"/>
    <w:rsid w:val="001F1D6E"/>
    <w:rsid w:val="001F245F"/>
    <w:rsid w:val="001F2A78"/>
    <w:rsid w:val="001F2BD5"/>
    <w:rsid w:val="001F350D"/>
    <w:rsid w:val="001F3C90"/>
    <w:rsid w:val="001F463A"/>
    <w:rsid w:val="001F477C"/>
    <w:rsid w:val="001F4888"/>
    <w:rsid w:val="001F50CC"/>
    <w:rsid w:val="001F54CC"/>
    <w:rsid w:val="001F59AA"/>
    <w:rsid w:val="001F5A05"/>
    <w:rsid w:val="001F6427"/>
    <w:rsid w:val="001F7511"/>
    <w:rsid w:val="001F7909"/>
    <w:rsid w:val="001F7A89"/>
    <w:rsid w:val="001F7CF1"/>
    <w:rsid w:val="00200046"/>
    <w:rsid w:val="00200077"/>
    <w:rsid w:val="0020052F"/>
    <w:rsid w:val="00201638"/>
    <w:rsid w:val="00201713"/>
    <w:rsid w:val="00201780"/>
    <w:rsid w:val="00204160"/>
    <w:rsid w:val="0020426C"/>
    <w:rsid w:val="00205A43"/>
    <w:rsid w:val="00205AC9"/>
    <w:rsid w:val="00205F89"/>
    <w:rsid w:val="0020656A"/>
    <w:rsid w:val="00206730"/>
    <w:rsid w:val="00206E8F"/>
    <w:rsid w:val="00206EC3"/>
    <w:rsid w:val="00206EF3"/>
    <w:rsid w:val="0020747B"/>
    <w:rsid w:val="00207DCF"/>
    <w:rsid w:val="00207F12"/>
    <w:rsid w:val="00207F3C"/>
    <w:rsid w:val="00211082"/>
    <w:rsid w:val="00211723"/>
    <w:rsid w:val="002132EE"/>
    <w:rsid w:val="0021395A"/>
    <w:rsid w:val="00214335"/>
    <w:rsid w:val="00214468"/>
    <w:rsid w:val="00214642"/>
    <w:rsid w:val="002156A6"/>
    <w:rsid w:val="0021644B"/>
    <w:rsid w:val="002164C1"/>
    <w:rsid w:val="002167E9"/>
    <w:rsid w:val="00216988"/>
    <w:rsid w:val="00216E67"/>
    <w:rsid w:val="002170DE"/>
    <w:rsid w:val="0021735E"/>
    <w:rsid w:val="00217446"/>
    <w:rsid w:val="002176E5"/>
    <w:rsid w:val="00220379"/>
    <w:rsid w:val="00221023"/>
    <w:rsid w:val="0022110C"/>
    <w:rsid w:val="0022226C"/>
    <w:rsid w:val="00222799"/>
    <w:rsid w:val="00222DAA"/>
    <w:rsid w:val="00223163"/>
    <w:rsid w:val="00223B95"/>
    <w:rsid w:val="00224435"/>
    <w:rsid w:val="00224AAC"/>
    <w:rsid w:val="00224B6E"/>
    <w:rsid w:val="00224C64"/>
    <w:rsid w:val="00226622"/>
    <w:rsid w:val="00227213"/>
    <w:rsid w:val="00227296"/>
    <w:rsid w:val="002308BB"/>
    <w:rsid w:val="00230A53"/>
    <w:rsid w:val="002314A9"/>
    <w:rsid w:val="00231974"/>
    <w:rsid w:val="002319F3"/>
    <w:rsid w:val="00231A6B"/>
    <w:rsid w:val="00231F82"/>
    <w:rsid w:val="002323C4"/>
    <w:rsid w:val="00232EC9"/>
    <w:rsid w:val="00233198"/>
    <w:rsid w:val="002336B6"/>
    <w:rsid w:val="0023431D"/>
    <w:rsid w:val="0023461C"/>
    <w:rsid w:val="00234762"/>
    <w:rsid w:val="00234B95"/>
    <w:rsid w:val="00234FEB"/>
    <w:rsid w:val="002352C6"/>
    <w:rsid w:val="00235F64"/>
    <w:rsid w:val="002360DD"/>
    <w:rsid w:val="00236307"/>
    <w:rsid w:val="00236357"/>
    <w:rsid w:val="00236383"/>
    <w:rsid w:val="0023683B"/>
    <w:rsid w:val="002378C5"/>
    <w:rsid w:val="00237976"/>
    <w:rsid w:val="00240825"/>
    <w:rsid w:val="00240D99"/>
    <w:rsid w:val="00240E83"/>
    <w:rsid w:val="00241411"/>
    <w:rsid w:val="002415B7"/>
    <w:rsid w:val="00241C7E"/>
    <w:rsid w:val="00242830"/>
    <w:rsid w:val="00242A6E"/>
    <w:rsid w:val="00243DE5"/>
    <w:rsid w:val="002445BD"/>
    <w:rsid w:val="002449BB"/>
    <w:rsid w:val="00244D70"/>
    <w:rsid w:val="00245BF8"/>
    <w:rsid w:val="00245C61"/>
    <w:rsid w:val="00245DDF"/>
    <w:rsid w:val="00246B28"/>
    <w:rsid w:val="002476FF"/>
    <w:rsid w:val="00247B28"/>
    <w:rsid w:val="00250237"/>
    <w:rsid w:val="002516A8"/>
    <w:rsid w:val="00251722"/>
    <w:rsid w:val="002518D1"/>
    <w:rsid w:val="00251B4D"/>
    <w:rsid w:val="0025216A"/>
    <w:rsid w:val="00252C37"/>
    <w:rsid w:val="002537E4"/>
    <w:rsid w:val="00253CCD"/>
    <w:rsid w:val="002542A8"/>
    <w:rsid w:val="00254C41"/>
    <w:rsid w:val="002550B8"/>
    <w:rsid w:val="002551D1"/>
    <w:rsid w:val="00255ADB"/>
    <w:rsid w:val="002572AB"/>
    <w:rsid w:val="00257602"/>
    <w:rsid w:val="002603A1"/>
    <w:rsid w:val="002603E0"/>
    <w:rsid w:val="002605A8"/>
    <w:rsid w:val="00261211"/>
    <w:rsid w:val="002613C9"/>
    <w:rsid w:val="00261E9A"/>
    <w:rsid w:val="00261FC8"/>
    <w:rsid w:val="002620FC"/>
    <w:rsid w:val="00262315"/>
    <w:rsid w:val="00262407"/>
    <w:rsid w:val="00262E3A"/>
    <w:rsid w:val="002634FE"/>
    <w:rsid w:val="00263606"/>
    <w:rsid w:val="0026408D"/>
    <w:rsid w:val="0026449E"/>
    <w:rsid w:val="00264638"/>
    <w:rsid w:val="00264744"/>
    <w:rsid w:val="0026487B"/>
    <w:rsid w:val="00264F4E"/>
    <w:rsid w:val="00265D25"/>
    <w:rsid w:val="002660BC"/>
    <w:rsid w:val="00266899"/>
    <w:rsid w:val="002668A9"/>
    <w:rsid w:val="0026709F"/>
    <w:rsid w:val="0026796D"/>
    <w:rsid w:val="00270115"/>
    <w:rsid w:val="0027053D"/>
    <w:rsid w:val="002707F2"/>
    <w:rsid w:val="00270A46"/>
    <w:rsid w:val="00270C04"/>
    <w:rsid w:val="00270CC6"/>
    <w:rsid w:val="00272587"/>
    <w:rsid w:val="00272980"/>
    <w:rsid w:val="00272B8A"/>
    <w:rsid w:val="0027348B"/>
    <w:rsid w:val="002737FC"/>
    <w:rsid w:val="00273C77"/>
    <w:rsid w:val="00273F92"/>
    <w:rsid w:val="0027404D"/>
    <w:rsid w:val="002743F2"/>
    <w:rsid w:val="00274837"/>
    <w:rsid w:val="00274A1C"/>
    <w:rsid w:val="00275035"/>
    <w:rsid w:val="0027530F"/>
    <w:rsid w:val="00275E16"/>
    <w:rsid w:val="00276268"/>
    <w:rsid w:val="00276A9F"/>
    <w:rsid w:val="00277879"/>
    <w:rsid w:val="00277C0A"/>
    <w:rsid w:val="00281160"/>
    <w:rsid w:val="00281AB5"/>
    <w:rsid w:val="00281E53"/>
    <w:rsid w:val="00282094"/>
    <w:rsid w:val="00282B3B"/>
    <w:rsid w:val="00284385"/>
    <w:rsid w:val="002848C8"/>
    <w:rsid w:val="00284CE9"/>
    <w:rsid w:val="0028522C"/>
    <w:rsid w:val="00285A15"/>
    <w:rsid w:val="00285D61"/>
    <w:rsid w:val="00286245"/>
    <w:rsid w:val="00286313"/>
    <w:rsid w:val="00286347"/>
    <w:rsid w:val="00287B90"/>
    <w:rsid w:val="00287C0A"/>
    <w:rsid w:val="00287ED5"/>
    <w:rsid w:val="00290808"/>
    <w:rsid w:val="00291A97"/>
    <w:rsid w:val="0029246D"/>
    <w:rsid w:val="00292536"/>
    <w:rsid w:val="00292630"/>
    <w:rsid w:val="002935F6"/>
    <w:rsid w:val="00293AD0"/>
    <w:rsid w:val="00295B06"/>
    <w:rsid w:val="00296551"/>
    <w:rsid w:val="0029658B"/>
    <w:rsid w:val="00296BEA"/>
    <w:rsid w:val="00297493"/>
    <w:rsid w:val="00297698"/>
    <w:rsid w:val="00297787"/>
    <w:rsid w:val="002979BA"/>
    <w:rsid w:val="00297CE0"/>
    <w:rsid w:val="002A0039"/>
    <w:rsid w:val="002A0E02"/>
    <w:rsid w:val="002A0E9D"/>
    <w:rsid w:val="002A1612"/>
    <w:rsid w:val="002A28D3"/>
    <w:rsid w:val="002A33A3"/>
    <w:rsid w:val="002A4079"/>
    <w:rsid w:val="002A4EF0"/>
    <w:rsid w:val="002A521B"/>
    <w:rsid w:val="002A5334"/>
    <w:rsid w:val="002A56FD"/>
    <w:rsid w:val="002A7572"/>
    <w:rsid w:val="002A785E"/>
    <w:rsid w:val="002A78D4"/>
    <w:rsid w:val="002A78FC"/>
    <w:rsid w:val="002A7B3A"/>
    <w:rsid w:val="002A7FFC"/>
    <w:rsid w:val="002B03EA"/>
    <w:rsid w:val="002B0B92"/>
    <w:rsid w:val="002B19A6"/>
    <w:rsid w:val="002B1B07"/>
    <w:rsid w:val="002B23B0"/>
    <w:rsid w:val="002B2863"/>
    <w:rsid w:val="002B3634"/>
    <w:rsid w:val="002B4250"/>
    <w:rsid w:val="002B44D5"/>
    <w:rsid w:val="002B4A12"/>
    <w:rsid w:val="002B4C06"/>
    <w:rsid w:val="002B4E99"/>
    <w:rsid w:val="002B4FC2"/>
    <w:rsid w:val="002B5167"/>
    <w:rsid w:val="002B5852"/>
    <w:rsid w:val="002B6528"/>
    <w:rsid w:val="002B6E02"/>
    <w:rsid w:val="002B71E2"/>
    <w:rsid w:val="002B72B0"/>
    <w:rsid w:val="002B76F5"/>
    <w:rsid w:val="002B7C2C"/>
    <w:rsid w:val="002B7E3C"/>
    <w:rsid w:val="002B7F2D"/>
    <w:rsid w:val="002B7FD2"/>
    <w:rsid w:val="002C0ED0"/>
    <w:rsid w:val="002C276E"/>
    <w:rsid w:val="002C3110"/>
    <w:rsid w:val="002C3931"/>
    <w:rsid w:val="002C402E"/>
    <w:rsid w:val="002C42ED"/>
    <w:rsid w:val="002C5297"/>
    <w:rsid w:val="002C53C6"/>
    <w:rsid w:val="002C5734"/>
    <w:rsid w:val="002C5A77"/>
    <w:rsid w:val="002C5C6C"/>
    <w:rsid w:val="002C5CE0"/>
    <w:rsid w:val="002C6059"/>
    <w:rsid w:val="002C69E7"/>
    <w:rsid w:val="002C6C1F"/>
    <w:rsid w:val="002C7003"/>
    <w:rsid w:val="002C76B3"/>
    <w:rsid w:val="002D0121"/>
    <w:rsid w:val="002D06A8"/>
    <w:rsid w:val="002D0742"/>
    <w:rsid w:val="002D0F01"/>
    <w:rsid w:val="002D10F4"/>
    <w:rsid w:val="002D1FCD"/>
    <w:rsid w:val="002D4133"/>
    <w:rsid w:val="002D4521"/>
    <w:rsid w:val="002D4CF3"/>
    <w:rsid w:val="002D51B2"/>
    <w:rsid w:val="002D5275"/>
    <w:rsid w:val="002D539E"/>
    <w:rsid w:val="002D5562"/>
    <w:rsid w:val="002D5617"/>
    <w:rsid w:val="002D5983"/>
    <w:rsid w:val="002D60BA"/>
    <w:rsid w:val="002D63F7"/>
    <w:rsid w:val="002D64C3"/>
    <w:rsid w:val="002D670C"/>
    <w:rsid w:val="002D7BE0"/>
    <w:rsid w:val="002E17BB"/>
    <w:rsid w:val="002E1821"/>
    <w:rsid w:val="002E2157"/>
    <w:rsid w:val="002E2465"/>
    <w:rsid w:val="002E27B6"/>
    <w:rsid w:val="002E4314"/>
    <w:rsid w:val="002E5EC9"/>
    <w:rsid w:val="002E65B7"/>
    <w:rsid w:val="002E74A4"/>
    <w:rsid w:val="002E7A0A"/>
    <w:rsid w:val="002F026F"/>
    <w:rsid w:val="002F02B5"/>
    <w:rsid w:val="002F0527"/>
    <w:rsid w:val="002F0872"/>
    <w:rsid w:val="002F0C4D"/>
    <w:rsid w:val="002F0E1E"/>
    <w:rsid w:val="002F1553"/>
    <w:rsid w:val="002F1ED2"/>
    <w:rsid w:val="002F2435"/>
    <w:rsid w:val="002F2474"/>
    <w:rsid w:val="002F2C78"/>
    <w:rsid w:val="002F35FD"/>
    <w:rsid w:val="002F3985"/>
    <w:rsid w:val="002F3CCD"/>
    <w:rsid w:val="002F3DAD"/>
    <w:rsid w:val="002F3E6A"/>
    <w:rsid w:val="002F4301"/>
    <w:rsid w:val="002F4384"/>
    <w:rsid w:val="002F447F"/>
    <w:rsid w:val="002F46F4"/>
    <w:rsid w:val="002F4DE5"/>
    <w:rsid w:val="002F5844"/>
    <w:rsid w:val="002F5B54"/>
    <w:rsid w:val="002F5F2E"/>
    <w:rsid w:val="002F6AC0"/>
    <w:rsid w:val="00300AF9"/>
    <w:rsid w:val="0030102E"/>
    <w:rsid w:val="0030113C"/>
    <w:rsid w:val="00301CA8"/>
    <w:rsid w:val="00301E86"/>
    <w:rsid w:val="00301EE6"/>
    <w:rsid w:val="0030221C"/>
    <w:rsid w:val="0030227E"/>
    <w:rsid w:val="00302EE6"/>
    <w:rsid w:val="00304404"/>
    <w:rsid w:val="0030448F"/>
    <w:rsid w:val="003047D7"/>
    <w:rsid w:val="00304A46"/>
    <w:rsid w:val="00305018"/>
    <w:rsid w:val="0030526E"/>
    <w:rsid w:val="003054DE"/>
    <w:rsid w:val="0031076D"/>
    <w:rsid w:val="003109D3"/>
    <w:rsid w:val="003109D5"/>
    <w:rsid w:val="00310A63"/>
    <w:rsid w:val="00310B68"/>
    <w:rsid w:val="00311438"/>
    <w:rsid w:val="0031290B"/>
    <w:rsid w:val="00313835"/>
    <w:rsid w:val="00313DE7"/>
    <w:rsid w:val="00313E69"/>
    <w:rsid w:val="00315836"/>
    <w:rsid w:val="00316B0F"/>
    <w:rsid w:val="00316DA1"/>
    <w:rsid w:val="00316FA1"/>
    <w:rsid w:val="00317712"/>
    <w:rsid w:val="00317C79"/>
    <w:rsid w:val="003206D1"/>
    <w:rsid w:val="00320821"/>
    <w:rsid w:val="003212FE"/>
    <w:rsid w:val="0032140B"/>
    <w:rsid w:val="003215BE"/>
    <w:rsid w:val="003226A7"/>
    <w:rsid w:val="00322D79"/>
    <w:rsid w:val="00322EF5"/>
    <w:rsid w:val="00323519"/>
    <w:rsid w:val="00323915"/>
    <w:rsid w:val="00323ABD"/>
    <w:rsid w:val="00323ABF"/>
    <w:rsid w:val="00324180"/>
    <w:rsid w:val="00324B49"/>
    <w:rsid w:val="00325527"/>
    <w:rsid w:val="003256FD"/>
    <w:rsid w:val="003259AB"/>
    <w:rsid w:val="0032649B"/>
    <w:rsid w:val="00326543"/>
    <w:rsid w:val="003265D5"/>
    <w:rsid w:val="00326A19"/>
    <w:rsid w:val="00326D0B"/>
    <w:rsid w:val="003271C5"/>
    <w:rsid w:val="00327611"/>
    <w:rsid w:val="00330497"/>
    <w:rsid w:val="00330B28"/>
    <w:rsid w:val="00331263"/>
    <w:rsid w:val="00331DFE"/>
    <w:rsid w:val="00332159"/>
    <w:rsid w:val="003327D9"/>
    <w:rsid w:val="00332ABF"/>
    <w:rsid w:val="00333208"/>
    <w:rsid w:val="003336F7"/>
    <w:rsid w:val="00333789"/>
    <w:rsid w:val="003338E9"/>
    <w:rsid w:val="003351AC"/>
    <w:rsid w:val="0033571B"/>
    <w:rsid w:val="003374B0"/>
    <w:rsid w:val="003377A6"/>
    <w:rsid w:val="00337D54"/>
    <w:rsid w:val="003405CD"/>
    <w:rsid w:val="003407A2"/>
    <w:rsid w:val="00340932"/>
    <w:rsid w:val="003409FF"/>
    <w:rsid w:val="00340B08"/>
    <w:rsid w:val="00340E12"/>
    <w:rsid w:val="00340FE3"/>
    <w:rsid w:val="003410B6"/>
    <w:rsid w:val="00341BBB"/>
    <w:rsid w:val="003420D6"/>
    <w:rsid w:val="0034222A"/>
    <w:rsid w:val="00342652"/>
    <w:rsid w:val="00342BCC"/>
    <w:rsid w:val="00343819"/>
    <w:rsid w:val="00343A15"/>
    <w:rsid w:val="00344134"/>
    <w:rsid w:val="003442EC"/>
    <w:rsid w:val="0034448F"/>
    <w:rsid w:val="0034450D"/>
    <w:rsid w:val="00344D97"/>
    <w:rsid w:val="003453D9"/>
    <w:rsid w:val="00345A9C"/>
    <w:rsid w:val="00346B73"/>
    <w:rsid w:val="00346C66"/>
    <w:rsid w:val="0034752E"/>
    <w:rsid w:val="00347EAC"/>
    <w:rsid w:val="00351558"/>
    <w:rsid w:val="0035177E"/>
    <w:rsid w:val="00351869"/>
    <w:rsid w:val="00351C1D"/>
    <w:rsid w:val="0035202A"/>
    <w:rsid w:val="00352062"/>
    <w:rsid w:val="003525C9"/>
    <w:rsid w:val="003526EC"/>
    <w:rsid w:val="003534D2"/>
    <w:rsid w:val="0035377C"/>
    <w:rsid w:val="00354044"/>
    <w:rsid w:val="003543D0"/>
    <w:rsid w:val="003545CA"/>
    <w:rsid w:val="00354746"/>
    <w:rsid w:val="00355131"/>
    <w:rsid w:val="003552F2"/>
    <w:rsid w:val="0035570D"/>
    <w:rsid w:val="00356100"/>
    <w:rsid w:val="003564A8"/>
    <w:rsid w:val="00356512"/>
    <w:rsid w:val="003566FE"/>
    <w:rsid w:val="00356ED8"/>
    <w:rsid w:val="00357859"/>
    <w:rsid w:val="00357B25"/>
    <w:rsid w:val="00357DEF"/>
    <w:rsid w:val="0036122F"/>
    <w:rsid w:val="003614B4"/>
    <w:rsid w:val="003621B8"/>
    <w:rsid w:val="003621FE"/>
    <w:rsid w:val="00362373"/>
    <w:rsid w:val="00362876"/>
    <w:rsid w:val="003633F2"/>
    <w:rsid w:val="00363597"/>
    <w:rsid w:val="00363A3E"/>
    <w:rsid w:val="00365AC7"/>
    <w:rsid w:val="0036757B"/>
    <w:rsid w:val="00367633"/>
    <w:rsid w:val="00367744"/>
    <w:rsid w:val="00367EFB"/>
    <w:rsid w:val="003706F3"/>
    <w:rsid w:val="00370998"/>
    <w:rsid w:val="00370C4B"/>
    <w:rsid w:val="00371041"/>
    <w:rsid w:val="003710E1"/>
    <w:rsid w:val="00371A0B"/>
    <w:rsid w:val="00371E0E"/>
    <w:rsid w:val="00372610"/>
    <w:rsid w:val="003728B8"/>
    <w:rsid w:val="003728FE"/>
    <w:rsid w:val="00372AB5"/>
    <w:rsid w:val="00372B29"/>
    <w:rsid w:val="003731BF"/>
    <w:rsid w:val="00373625"/>
    <w:rsid w:val="00373A69"/>
    <w:rsid w:val="00373E57"/>
    <w:rsid w:val="0037412A"/>
    <w:rsid w:val="00374432"/>
    <w:rsid w:val="00374805"/>
    <w:rsid w:val="00374944"/>
    <w:rsid w:val="00374B12"/>
    <w:rsid w:val="00374F9B"/>
    <w:rsid w:val="0037536F"/>
    <w:rsid w:val="00375639"/>
    <w:rsid w:val="0037567A"/>
    <w:rsid w:val="00375A76"/>
    <w:rsid w:val="00375D54"/>
    <w:rsid w:val="00375DC2"/>
    <w:rsid w:val="00375E3C"/>
    <w:rsid w:val="0037607E"/>
    <w:rsid w:val="00376288"/>
    <w:rsid w:val="00376E9C"/>
    <w:rsid w:val="0037710D"/>
    <w:rsid w:val="0037759E"/>
    <w:rsid w:val="003779AF"/>
    <w:rsid w:val="00377F3A"/>
    <w:rsid w:val="00377FCC"/>
    <w:rsid w:val="0038085F"/>
    <w:rsid w:val="00380CA3"/>
    <w:rsid w:val="00381F72"/>
    <w:rsid w:val="00383319"/>
    <w:rsid w:val="003835D4"/>
    <w:rsid w:val="00383AFB"/>
    <w:rsid w:val="00383D27"/>
    <w:rsid w:val="00383DC3"/>
    <w:rsid w:val="0038418E"/>
    <w:rsid w:val="003848E2"/>
    <w:rsid w:val="00384BE5"/>
    <w:rsid w:val="00385D41"/>
    <w:rsid w:val="00385FB1"/>
    <w:rsid w:val="00386037"/>
    <w:rsid w:val="00386228"/>
    <w:rsid w:val="003869C5"/>
    <w:rsid w:val="00386E37"/>
    <w:rsid w:val="00387540"/>
    <w:rsid w:val="00387561"/>
    <w:rsid w:val="003879B2"/>
    <w:rsid w:val="00387E72"/>
    <w:rsid w:val="0039072F"/>
    <w:rsid w:val="00390F87"/>
    <w:rsid w:val="00391123"/>
    <w:rsid w:val="00391583"/>
    <w:rsid w:val="00391623"/>
    <w:rsid w:val="0039231E"/>
    <w:rsid w:val="0039269D"/>
    <w:rsid w:val="00393659"/>
    <w:rsid w:val="00394192"/>
    <w:rsid w:val="003941C8"/>
    <w:rsid w:val="003956C9"/>
    <w:rsid w:val="00395D8E"/>
    <w:rsid w:val="003968BC"/>
    <w:rsid w:val="00397DA3"/>
    <w:rsid w:val="003A099E"/>
    <w:rsid w:val="003A0C28"/>
    <w:rsid w:val="003A0DDB"/>
    <w:rsid w:val="003A1059"/>
    <w:rsid w:val="003A14DE"/>
    <w:rsid w:val="003A19E0"/>
    <w:rsid w:val="003A2845"/>
    <w:rsid w:val="003A2AA4"/>
    <w:rsid w:val="003A357F"/>
    <w:rsid w:val="003A42F0"/>
    <w:rsid w:val="003A4740"/>
    <w:rsid w:val="003A5942"/>
    <w:rsid w:val="003A668D"/>
    <w:rsid w:val="003A722C"/>
    <w:rsid w:val="003A767B"/>
    <w:rsid w:val="003B00D6"/>
    <w:rsid w:val="003B0673"/>
    <w:rsid w:val="003B0F22"/>
    <w:rsid w:val="003B1011"/>
    <w:rsid w:val="003B12D1"/>
    <w:rsid w:val="003B14A6"/>
    <w:rsid w:val="003B153F"/>
    <w:rsid w:val="003B1869"/>
    <w:rsid w:val="003B204D"/>
    <w:rsid w:val="003B34A3"/>
    <w:rsid w:val="003B35B0"/>
    <w:rsid w:val="003B3850"/>
    <w:rsid w:val="003B391B"/>
    <w:rsid w:val="003B3D9E"/>
    <w:rsid w:val="003B4BB5"/>
    <w:rsid w:val="003B4DD9"/>
    <w:rsid w:val="003B4E66"/>
    <w:rsid w:val="003B4FB3"/>
    <w:rsid w:val="003B52C3"/>
    <w:rsid w:val="003B66FA"/>
    <w:rsid w:val="003B6C20"/>
    <w:rsid w:val="003B6F75"/>
    <w:rsid w:val="003B7184"/>
    <w:rsid w:val="003B7970"/>
    <w:rsid w:val="003B7DC3"/>
    <w:rsid w:val="003C0255"/>
    <w:rsid w:val="003C037C"/>
    <w:rsid w:val="003C076F"/>
    <w:rsid w:val="003C0CC5"/>
    <w:rsid w:val="003C0FDB"/>
    <w:rsid w:val="003C109D"/>
    <w:rsid w:val="003C17CF"/>
    <w:rsid w:val="003C1854"/>
    <w:rsid w:val="003C1D8E"/>
    <w:rsid w:val="003C1F92"/>
    <w:rsid w:val="003C239D"/>
    <w:rsid w:val="003C31AB"/>
    <w:rsid w:val="003C3B80"/>
    <w:rsid w:val="003C474A"/>
    <w:rsid w:val="003C4E18"/>
    <w:rsid w:val="003C4F9F"/>
    <w:rsid w:val="003C50EC"/>
    <w:rsid w:val="003C5450"/>
    <w:rsid w:val="003C60F1"/>
    <w:rsid w:val="003C6AFF"/>
    <w:rsid w:val="003C744B"/>
    <w:rsid w:val="003C755E"/>
    <w:rsid w:val="003C76CE"/>
    <w:rsid w:val="003C7748"/>
    <w:rsid w:val="003C77F3"/>
    <w:rsid w:val="003C78A3"/>
    <w:rsid w:val="003D0891"/>
    <w:rsid w:val="003D0975"/>
    <w:rsid w:val="003D0E00"/>
    <w:rsid w:val="003D1116"/>
    <w:rsid w:val="003D12B1"/>
    <w:rsid w:val="003D1B38"/>
    <w:rsid w:val="003D269A"/>
    <w:rsid w:val="003D2D79"/>
    <w:rsid w:val="003D45C4"/>
    <w:rsid w:val="003D4694"/>
    <w:rsid w:val="003D562B"/>
    <w:rsid w:val="003D5A20"/>
    <w:rsid w:val="003D6456"/>
    <w:rsid w:val="003D73C7"/>
    <w:rsid w:val="003D7470"/>
    <w:rsid w:val="003D79A6"/>
    <w:rsid w:val="003D7A06"/>
    <w:rsid w:val="003D7A27"/>
    <w:rsid w:val="003E04E3"/>
    <w:rsid w:val="003E06D5"/>
    <w:rsid w:val="003E0AE8"/>
    <w:rsid w:val="003E0B62"/>
    <w:rsid w:val="003E0F5E"/>
    <w:rsid w:val="003E23C1"/>
    <w:rsid w:val="003E26F5"/>
    <w:rsid w:val="003E2850"/>
    <w:rsid w:val="003E2C30"/>
    <w:rsid w:val="003E2E80"/>
    <w:rsid w:val="003E36A0"/>
    <w:rsid w:val="003E374E"/>
    <w:rsid w:val="003E3F60"/>
    <w:rsid w:val="003E4566"/>
    <w:rsid w:val="003E4920"/>
    <w:rsid w:val="003E4B2E"/>
    <w:rsid w:val="003E5118"/>
    <w:rsid w:val="003E6021"/>
    <w:rsid w:val="003E6303"/>
    <w:rsid w:val="003E650A"/>
    <w:rsid w:val="003E6ABA"/>
    <w:rsid w:val="003E6BA6"/>
    <w:rsid w:val="003E778C"/>
    <w:rsid w:val="003E7A71"/>
    <w:rsid w:val="003E7AD9"/>
    <w:rsid w:val="003E7FA3"/>
    <w:rsid w:val="003F00B1"/>
    <w:rsid w:val="003F0621"/>
    <w:rsid w:val="003F08B0"/>
    <w:rsid w:val="003F1659"/>
    <w:rsid w:val="003F1F49"/>
    <w:rsid w:val="003F2363"/>
    <w:rsid w:val="003F24C0"/>
    <w:rsid w:val="003F2AFA"/>
    <w:rsid w:val="003F2F53"/>
    <w:rsid w:val="003F319F"/>
    <w:rsid w:val="003F3A9B"/>
    <w:rsid w:val="003F4EB7"/>
    <w:rsid w:val="003F4F80"/>
    <w:rsid w:val="003F5389"/>
    <w:rsid w:val="003F558C"/>
    <w:rsid w:val="003F561A"/>
    <w:rsid w:val="003F574A"/>
    <w:rsid w:val="003F59BD"/>
    <w:rsid w:val="003F6388"/>
    <w:rsid w:val="003F63F4"/>
    <w:rsid w:val="003F6895"/>
    <w:rsid w:val="003F7543"/>
    <w:rsid w:val="003F7DA0"/>
    <w:rsid w:val="003F7FF1"/>
    <w:rsid w:val="004007FC"/>
    <w:rsid w:val="00400D7E"/>
    <w:rsid w:val="0040228E"/>
    <w:rsid w:val="0040248E"/>
    <w:rsid w:val="004025A4"/>
    <w:rsid w:val="004026E5"/>
    <w:rsid w:val="00402794"/>
    <w:rsid w:val="004029A4"/>
    <w:rsid w:val="0040325D"/>
    <w:rsid w:val="00404693"/>
    <w:rsid w:val="004047E9"/>
    <w:rsid w:val="00405084"/>
    <w:rsid w:val="00405EF7"/>
    <w:rsid w:val="0040607E"/>
    <w:rsid w:val="0040653D"/>
    <w:rsid w:val="00406651"/>
    <w:rsid w:val="00406E97"/>
    <w:rsid w:val="0040705D"/>
    <w:rsid w:val="004071A4"/>
    <w:rsid w:val="00407FCE"/>
    <w:rsid w:val="00410C38"/>
    <w:rsid w:val="0041142D"/>
    <w:rsid w:val="00411504"/>
    <w:rsid w:val="004117A1"/>
    <w:rsid w:val="00412000"/>
    <w:rsid w:val="004120A6"/>
    <w:rsid w:val="004124C5"/>
    <w:rsid w:val="00412983"/>
    <w:rsid w:val="0041381E"/>
    <w:rsid w:val="00413944"/>
    <w:rsid w:val="00413B14"/>
    <w:rsid w:val="00413FBC"/>
    <w:rsid w:val="00414021"/>
    <w:rsid w:val="00414049"/>
    <w:rsid w:val="00414E2F"/>
    <w:rsid w:val="00414EFF"/>
    <w:rsid w:val="00415557"/>
    <w:rsid w:val="00415DFF"/>
    <w:rsid w:val="00416DE3"/>
    <w:rsid w:val="004170D1"/>
    <w:rsid w:val="00417B80"/>
    <w:rsid w:val="00420155"/>
    <w:rsid w:val="004201E5"/>
    <w:rsid w:val="004203AA"/>
    <w:rsid w:val="00420890"/>
    <w:rsid w:val="00420B6E"/>
    <w:rsid w:val="00420FDF"/>
    <w:rsid w:val="00421075"/>
    <w:rsid w:val="00421B94"/>
    <w:rsid w:val="00421C94"/>
    <w:rsid w:val="00422416"/>
    <w:rsid w:val="00422D94"/>
    <w:rsid w:val="004236DD"/>
    <w:rsid w:val="00423BBE"/>
    <w:rsid w:val="00423F82"/>
    <w:rsid w:val="00424047"/>
    <w:rsid w:val="00424373"/>
    <w:rsid w:val="00424709"/>
    <w:rsid w:val="004248F6"/>
    <w:rsid w:val="00424AD9"/>
    <w:rsid w:val="00425380"/>
    <w:rsid w:val="00427164"/>
    <w:rsid w:val="0042761A"/>
    <w:rsid w:val="00430635"/>
    <w:rsid w:val="00430730"/>
    <w:rsid w:val="00430A0F"/>
    <w:rsid w:val="00430CEB"/>
    <w:rsid w:val="00431C94"/>
    <w:rsid w:val="004327EC"/>
    <w:rsid w:val="00432A20"/>
    <w:rsid w:val="0043301C"/>
    <w:rsid w:val="004337A3"/>
    <w:rsid w:val="00433ABC"/>
    <w:rsid w:val="00433DE8"/>
    <w:rsid w:val="0043440B"/>
    <w:rsid w:val="004348EF"/>
    <w:rsid w:val="00434FBF"/>
    <w:rsid w:val="00435695"/>
    <w:rsid w:val="004359AE"/>
    <w:rsid w:val="00436638"/>
    <w:rsid w:val="00437DD3"/>
    <w:rsid w:val="00437E4F"/>
    <w:rsid w:val="004404D8"/>
    <w:rsid w:val="004405A2"/>
    <w:rsid w:val="00440717"/>
    <w:rsid w:val="0044123D"/>
    <w:rsid w:val="00441988"/>
    <w:rsid w:val="004420B2"/>
    <w:rsid w:val="0044270A"/>
    <w:rsid w:val="0044277F"/>
    <w:rsid w:val="00442CD0"/>
    <w:rsid w:val="00442E6E"/>
    <w:rsid w:val="004432A1"/>
    <w:rsid w:val="0044376F"/>
    <w:rsid w:val="00443A70"/>
    <w:rsid w:val="004441CD"/>
    <w:rsid w:val="004443FE"/>
    <w:rsid w:val="004452CA"/>
    <w:rsid w:val="00445796"/>
    <w:rsid w:val="00445ECD"/>
    <w:rsid w:val="0044658D"/>
    <w:rsid w:val="004465CD"/>
    <w:rsid w:val="00446B9B"/>
    <w:rsid w:val="00447646"/>
    <w:rsid w:val="00447942"/>
    <w:rsid w:val="00450788"/>
    <w:rsid w:val="00450837"/>
    <w:rsid w:val="004511E7"/>
    <w:rsid w:val="004518BC"/>
    <w:rsid w:val="00451FA5"/>
    <w:rsid w:val="00452447"/>
    <w:rsid w:val="00453014"/>
    <w:rsid w:val="004530BD"/>
    <w:rsid w:val="00453658"/>
    <w:rsid w:val="00453BBA"/>
    <w:rsid w:val="00453CA2"/>
    <w:rsid w:val="0045404F"/>
    <w:rsid w:val="0045493C"/>
    <w:rsid w:val="00454D30"/>
    <w:rsid w:val="00455283"/>
    <w:rsid w:val="00455365"/>
    <w:rsid w:val="0045545F"/>
    <w:rsid w:val="004556D8"/>
    <w:rsid w:val="00455B6F"/>
    <w:rsid w:val="00455CE9"/>
    <w:rsid w:val="0045618F"/>
    <w:rsid w:val="0045623D"/>
    <w:rsid w:val="00456BB7"/>
    <w:rsid w:val="00456E1C"/>
    <w:rsid w:val="00457644"/>
    <w:rsid w:val="00460007"/>
    <w:rsid w:val="00460C0D"/>
    <w:rsid w:val="00460F22"/>
    <w:rsid w:val="00460F5D"/>
    <w:rsid w:val="004624F6"/>
    <w:rsid w:val="0046251D"/>
    <w:rsid w:val="00462E4B"/>
    <w:rsid w:val="0046353B"/>
    <w:rsid w:val="00463E39"/>
    <w:rsid w:val="00464701"/>
    <w:rsid w:val="00464823"/>
    <w:rsid w:val="00464B10"/>
    <w:rsid w:val="00464C71"/>
    <w:rsid w:val="00464EEC"/>
    <w:rsid w:val="0046523F"/>
    <w:rsid w:val="00465D99"/>
    <w:rsid w:val="00465E04"/>
    <w:rsid w:val="0046669B"/>
    <w:rsid w:val="00466A09"/>
    <w:rsid w:val="00471740"/>
    <w:rsid w:val="00471AA2"/>
    <w:rsid w:val="00471F4E"/>
    <w:rsid w:val="00472694"/>
    <w:rsid w:val="00473517"/>
    <w:rsid w:val="00473654"/>
    <w:rsid w:val="00473BCF"/>
    <w:rsid w:val="00474259"/>
    <w:rsid w:val="00474B34"/>
    <w:rsid w:val="00474F99"/>
    <w:rsid w:val="0047514C"/>
    <w:rsid w:val="0047526D"/>
    <w:rsid w:val="004758D0"/>
    <w:rsid w:val="00475CAB"/>
    <w:rsid w:val="004767D7"/>
    <w:rsid w:val="00476C52"/>
    <w:rsid w:val="00481553"/>
    <w:rsid w:val="00481DBD"/>
    <w:rsid w:val="00481EAF"/>
    <w:rsid w:val="0048235C"/>
    <w:rsid w:val="00482ADD"/>
    <w:rsid w:val="00483235"/>
    <w:rsid w:val="0048537C"/>
    <w:rsid w:val="00485679"/>
    <w:rsid w:val="004859DD"/>
    <w:rsid w:val="00486017"/>
    <w:rsid w:val="00486080"/>
    <w:rsid w:val="004864F6"/>
    <w:rsid w:val="00486591"/>
    <w:rsid w:val="004869B0"/>
    <w:rsid w:val="00486D97"/>
    <w:rsid w:val="004879C9"/>
    <w:rsid w:val="00491CC5"/>
    <w:rsid w:val="00491E55"/>
    <w:rsid w:val="00491F55"/>
    <w:rsid w:val="00492A18"/>
    <w:rsid w:val="00492BE1"/>
    <w:rsid w:val="00492C63"/>
    <w:rsid w:val="004932DC"/>
    <w:rsid w:val="00493357"/>
    <w:rsid w:val="00493987"/>
    <w:rsid w:val="00493C16"/>
    <w:rsid w:val="00493C58"/>
    <w:rsid w:val="004944DC"/>
    <w:rsid w:val="00494F1D"/>
    <w:rsid w:val="00495441"/>
    <w:rsid w:val="00495F16"/>
    <w:rsid w:val="00496448"/>
    <w:rsid w:val="004969C4"/>
    <w:rsid w:val="00496BA8"/>
    <w:rsid w:val="00496D95"/>
    <w:rsid w:val="00496F82"/>
    <w:rsid w:val="00497708"/>
    <w:rsid w:val="00497992"/>
    <w:rsid w:val="004979F3"/>
    <w:rsid w:val="00497F03"/>
    <w:rsid w:val="004A0A58"/>
    <w:rsid w:val="004A0B8B"/>
    <w:rsid w:val="004A0C91"/>
    <w:rsid w:val="004A1081"/>
    <w:rsid w:val="004A1511"/>
    <w:rsid w:val="004A1969"/>
    <w:rsid w:val="004A1B47"/>
    <w:rsid w:val="004A227D"/>
    <w:rsid w:val="004A2AD7"/>
    <w:rsid w:val="004A3C46"/>
    <w:rsid w:val="004A42BB"/>
    <w:rsid w:val="004A4327"/>
    <w:rsid w:val="004A47EA"/>
    <w:rsid w:val="004A5138"/>
    <w:rsid w:val="004A5311"/>
    <w:rsid w:val="004A5967"/>
    <w:rsid w:val="004A5FFD"/>
    <w:rsid w:val="004A6B71"/>
    <w:rsid w:val="004A77FA"/>
    <w:rsid w:val="004A78D4"/>
    <w:rsid w:val="004A79CF"/>
    <w:rsid w:val="004A7C16"/>
    <w:rsid w:val="004B098F"/>
    <w:rsid w:val="004B09EC"/>
    <w:rsid w:val="004B0B46"/>
    <w:rsid w:val="004B1627"/>
    <w:rsid w:val="004B22ED"/>
    <w:rsid w:val="004B29C7"/>
    <w:rsid w:val="004B2A88"/>
    <w:rsid w:val="004B3789"/>
    <w:rsid w:val="004B37EB"/>
    <w:rsid w:val="004B3AB6"/>
    <w:rsid w:val="004B400B"/>
    <w:rsid w:val="004B43A1"/>
    <w:rsid w:val="004B4910"/>
    <w:rsid w:val="004B50F0"/>
    <w:rsid w:val="004B57AB"/>
    <w:rsid w:val="004B5DD0"/>
    <w:rsid w:val="004B5E99"/>
    <w:rsid w:val="004B61A3"/>
    <w:rsid w:val="004B6653"/>
    <w:rsid w:val="004B6B20"/>
    <w:rsid w:val="004B70CC"/>
    <w:rsid w:val="004B76F2"/>
    <w:rsid w:val="004B7A71"/>
    <w:rsid w:val="004B7BA6"/>
    <w:rsid w:val="004C0154"/>
    <w:rsid w:val="004C01B2"/>
    <w:rsid w:val="004C0E43"/>
    <w:rsid w:val="004C12F4"/>
    <w:rsid w:val="004C1C33"/>
    <w:rsid w:val="004C272B"/>
    <w:rsid w:val="004C27FE"/>
    <w:rsid w:val="004C34F0"/>
    <w:rsid w:val="004C3A3D"/>
    <w:rsid w:val="004C3DAF"/>
    <w:rsid w:val="004C3EF8"/>
    <w:rsid w:val="004C48C7"/>
    <w:rsid w:val="004C4EB0"/>
    <w:rsid w:val="004C5B5C"/>
    <w:rsid w:val="004C5F0C"/>
    <w:rsid w:val="004C6391"/>
    <w:rsid w:val="004C6438"/>
    <w:rsid w:val="004C6C83"/>
    <w:rsid w:val="004C6E8F"/>
    <w:rsid w:val="004C7194"/>
    <w:rsid w:val="004C728D"/>
    <w:rsid w:val="004C7B73"/>
    <w:rsid w:val="004C7E82"/>
    <w:rsid w:val="004D0EB4"/>
    <w:rsid w:val="004D10DB"/>
    <w:rsid w:val="004D143E"/>
    <w:rsid w:val="004D159A"/>
    <w:rsid w:val="004D26D2"/>
    <w:rsid w:val="004D2CDA"/>
    <w:rsid w:val="004D2D0C"/>
    <w:rsid w:val="004D31EB"/>
    <w:rsid w:val="004D3509"/>
    <w:rsid w:val="004D3EFD"/>
    <w:rsid w:val="004D52C7"/>
    <w:rsid w:val="004D5795"/>
    <w:rsid w:val="004D60E9"/>
    <w:rsid w:val="004D649D"/>
    <w:rsid w:val="004D7017"/>
    <w:rsid w:val="004D72C8"/>
    <w:rsid w:val="004D73AD"/>
    <w:rsid w:val="004D779D"/>
    <w:rsid w:val="004D7DE4"/>
    <w:rsid w:val="004E10E7"/>
    <w:rsid w:val="004E166F"/>
    <w:rsid w:val="004E17FD"/>
    <w:rsid w:val="004E32FB"/>
    <w:rsid w:val="004E3461"/>
    <w:rsid w:val="004E3C25"/>
    <w:rsid w:val="004E4C65"/>
    <w:rsid w:val="004E4E84"/>
    <w:rsid w:val="004E5304"/>
    <w:rsid w:val="004E586D"/>
    <w:rsid w:val="004E5A82"/>
    <w:rsid w:val="004E5AA0"/>
    <w:rsid w:val="004E5E64"/>
    <w:rsid w:val="004E6179"/>
    <w:rsid w:val="004E6211"/>
    <w:rsid w:val="004E640E"/>
    <w:rsid w:val="004E749A"/>
    <w:rsid w:val="004E7660"/>
    <w:rsid w:val="004F1733"/>
    <w:rsid w:val="004F1ED7"/>
    <w:rsid w:val="004F1ED8"/>
    <w:rsid w:val="004F306E"/>
    <w:rsid w:val="004F3582"/>
    <w:rsid w:val="004F3900"/>
    <w:rsid w:val="004F3F51"/>
    <w:rsid w:val="004F47ED"/>
    <w:rsid w:val="004F5407"/>
    <w:rsid w:val="004F6121"/>
    <w:rsid w:val="004F6710"/>
    <w:rsid w:val="004F7566"/>
    <w:rsid w:val="004F7750"/>
    <w:rsid w:val="005000EB"/>
    <w:rsid w:val="005008E1"/>
    <w:rsid w:val="00500A40"/>
    <w:rsid w:val="00500DFF"/>
    <w:rsid w:val="00500ECF"/>
    <w:rsid w:val="005014C0"/>
    <w:rsid w:val="005019ED"/>
    <w:rsid w:val="005019FB"/>
    <w:rsid w:val="00502CC2"/>
    <w:rsid w:val="00502E69"/>
    <w:rsid w:val="00502E79"/>
    <w:rsid w:val="00502F65"/>
    <w:rsid w:val="005035C5"/>
    <w:rsid w:val="0050369C"/>
    <w:rsid w:val="0050393B"/>
    <w:rsid w:val="00503A1E"/>
    <w:rsid w:val="005046EA"/>
    <w:rsid w:val="00504F13"/>
    <w:rsid w:val="00504F3B"/>
    <w:rsid w:val="005058F4"/>
    <w:rsid w:val="00505EF9"/>
    <w:rsid w:val="00507056"/>
    <w:rsid w:val="0050710A"/>
    <w:rsid w:val="00507F17"/>
    <w:rsid w:val="005100BF"/>
    <w:rsid w:val="0051032E"/>
    <w:rsid w:val="005106B8"/>
    <w:rsid w:val="00510855"/>
    <w:rsid w:val="005110E2"/>
    <w:rsid w:val="00511FAB"/>
    <w:rsid w:val="00512249"/>
    <w:rsid w:val="00513B63"/>
    <w:rsid w:val="005140CF"/>
    <w:rsid w:val="00514EC2"/>
    <w:rsid w:val="00515262"/>
    <w:rsid w:val="00515C94"/>
    <w:rsid w:val="00515D8A"/>
    <w:rsid w:val="00515F76"/>
    <w:rsid w:val="00516BC1"/>
    <w:rsid w:val="0051730B"/>
    <w:rsid w:val="0051734F"/>
    <w:rsid w:val="005178A7"/>
    <w:rsid w:val="005203AF"/>
    <w:rsid w:val="00520618"/>
    <w:rsid w:val="0052170A"/>
    <w:rsid w:val="00521931"/>
    <w:rsid w:val="00522A97"/>
    <w:rsid w:val="00522DEF"/>
    <w:rsid w:val="00523760"/>
    <w:rsid w:val="005241F9"/>
    <w:rsid w:val="005242B7"/>
    <w:rsid w:val="00524D38"/>
    <w:rsid w:val="00525036"/>
    <w:rsid w:val="00525476"/>
    <w:rsid w:val="00525C71"/>
    <w:rsid w:val="00525E80"/>
    <w:rsid w:val="00525EBE"/>
    <w:rsid w:val="0052610B"/>
    <w:rsid w:val="00526A71"/>
    <w:rsid w:val="00527205"/>
    <w:rsid w:val="005273E8"/>
    <w:rsid w:val="00527767"/>
    <w:rsid w:val="005300D1"/>
    <w:rsid w:val="005305CB"/>
    <w:rsid w:val="0053079A"/>
    <w:rsid w:val="00530914"/>
    <w:rsid w:val="00531AAA"/>
    <w:rsid w:val="00531ED4"/>
    <w:rsid w:val="00532040"/>
    <w:rsid w:val="005328A3"/>
    <w:rsid w:val="00533897"/>
    <w:rsid w:val="00533F0A"/>
    <w:rsid w:val="00534155"/>
    <w:rsid w:val="00534577"/>
    <w:rsid w:val="0053546D"/>
    <w:rsid w:val="0053564A"/>
    <w:rsid w:val="00535DEA"/>
    <w:rsid w:val="005364C6"/>
    <w:rsid w:val="005365B4"/>
    <w:rsid w:val="00536738"/>
    <w:rsid w:val="00536893"/>
    <w:rsid w:val="0053740A"/>
    <w:rsid w:val="005401FE"/>
    <w:rsid w:val="00540C78"/>
    <w:rsid w:val="0054196B"/>
    <w:rsid w:val="00541BBC"/>
    <w:rsid w:val="00542168"/>
    <w:rsid w:val="00542307"/>
    <w:rsid w:val="00543029"/>
    <w:rsid w:val="0054375C"/>
    <w:rsid w:val="0054378C"/>
    <w:rsid w:val="00543CE6"/>
    <w:rsid w:val="00543EF2"/>
    <w:rsid w:val="0054522B"/>
    <w:rsid w:val="00545B56"/>
    <w:rsid w:val="005461F4"/>
    <w:rsid w:val="00546C46"/>
    <w:rsid w:val="005470B1"/>
    <w:rsid w:val="00547DA3"/>
    <w:rsid w:val="0055063E"/>
    <w:rsid w:val="005506CA"/>
    <w:rsid w:val="00550C19"/>
    <w:rsid w:val="00550FAB"/>
    <w:rsid w:val="00550FF4"/>
    <w:rsid w:val="005510E4"/>
    <w:rsid w:val="00551164"/>
    <w:rsid w:val="0055126D"/>
    <w:rsid w:val="005524A0"/>
    <w:rsid w:val="005524F5"/>
    <w:rsid w:val="00552542"/>
    <w:rsid w:val="0055259F"/>
    <w:rsid w:val="0055260C"/>
    <w:rsid w:val="005529BE"/>
    <w:rsid w:val="00552A8D"/>
    <w:rsid w:val="00552F71"/>
    <w:rsid w:val="005537FE"/>
    <w:rsid w:val="00553DC0"/>
    <w:rsid w:val="005540BF"/>
    <w:rsid w:val="005547E3"/>
    <w:rsid w:val="00554FD5"/>
    <w:rsid w:val="005551A2"/>
    <w:rsid w:val="00555393"/>
    <w:rsid w:val="0055579F"/>
    <w:rsid w:val="00555FF8"/>
    <w:rsid w:val="00556443"/>
    <w:rsid w:val="0055675D"/>
    <w:rsid w:val="00556F16"/>
    <w:rsid w:val="00557253"/>
    <w:rsid w:val="005572C2"/>
    <w:rsid w:val="00557594"/>
    <w:rsid w:val="00557CDB"/>
    <w:rsid w:val="0056019E"/>
    <w:rsid w:val="0056086A"/>
    <w:rsid w:val="00561376"/>
    <w:rsid w:val="00562626"/>
    <w:rsid w:val="0056269A"/>
    <w:rsid w:val="0056344D"/>
    <w:rsid w:val="005636D3"/>
    <w:rsid w:val="00563E59"/>
    <w:rsid w:val="00564912"/>
    <w:rsid w:val="00564B02"/>
    <w:rsid w:val="00564F2E"/>
    <w:rsid w:val="005655C0"/>
    <w:rsid w:val="005656E8"/>
    <w:rsid w:val="00565B27"/>
    <w:rsid w:val="00565BBE"/>
    <w:rsid w:val="00567927"/>
    <w:rsid w:val="00567AEA"/>
    <w:rsid w:val="00567B21"/>
    <w:rsid w:val="0057053B"/>
    <w:rsid w:val="0057082B"/>
    <w:rsid w:val="00570B37"/>
    <w:rsid w:val="0057107B"/>
    <w:rsid w:val="005715B4"/>
    <w:rsid w:val="0057209C"/>
    <w:rsid w:val="005723B0"/>
    <w:rsid w:val="00572A8B"/>
    <w:rsid w:val="00572D4E"/>
    <w:rsid w:val="00574722"/>
    <w:rsid w:val="00574AF8"/>
    <w:rsid w:val="00575173"/>
    <w:rsid w:val="005759D1"/>
    <w:rsid w:val="00575D07"/>
    <w:rsid w:val="00576149"/>
    <w:rsid w:val="00576636"/>
    <w:rsid w:val="0057732D"/>
    <w:rsid w:val="00577A25"/>
    <w:rsid w:val="005804F4"/>
    <w:rsid w:val="00580970"/>
    <w:rsid w:val="005809E8"/>
    <w:rsid w:val="0058100A"/>
    <w:rsid w:val="0058128B"/>
    <w:rsid w:val="00581442"/>
    <w:rsid w:val="0058146C"/>
    <w:rsid w:val="005815E6"/>
    <w:rsid w:val="00581F65"/>
    <w:rsid w:val="005826C9"/>
    <w:rsid w:val="00582AE7"/>
    <w:rsid w:val="00582B46"/>
    <w:rsid w:val="00583022"/>
    <w:rsid w:val="005836E8"/>
    <w:rsid w:val="005839B1"/>
    <w:rsid w:val="005843AB"/>
    <w:rsid w:val="00584BFD"/>
    <w:rsid w:val="00584E46"/>
    <w:rsid w:val="00584EA3"/>
    <w:rsid w:val="00585126"/>
    <w:rsid w:val="0058557B"/>
    <w:rsid w:val="005868BB"/>
    <w:rsid w:val="00586AD4"/>
    <w:rsid w:val="00586C7E"/>
    <w:rsid w:val="00587C3B"/>
    <w:rsid w:val="00587C53"/>
    <w:rsid w:val="0059001E"/>
    <w:rsid w:val="0059261E"/>
    <w:rsid w:val="005929FD"/>
    <w:rsid w:val="00593CB4"/>
    <w:rsid w:val="00593F19"/>
    <w:rsid w:val="00593F2F"/>
    <w:rsid w:val="00594F0A"/>
    <w:rsid w:val="00595115"/>
    <w:rsid w:val="005952AE"/>
    <w:rsid w:val="0059596A"/>
    <w:rsid w:val="00595DA7"/>
    <w:rsid w:val="00595E48"/>
    <w:rsid w:val="00596235"/>
    <w:rsid w:val="00596D7C"/>
    <w:rsid w:val="00596F25"/>
    <w:rsid w:val="00596FD4"/>
    <w:rsid w:val="00597C4D"/>
    <w:rsid w:val="005A0173"/>
    <w:rsid w:val="005A0393"/>
    <w:rsid w:val="005A0F59"/>
    <w:rsid w:val="005A16C6"/>
    <w:rsid w:val="005A1938"/>
    <w:rsid w:val="005A20A2"/>
    <w:rsid w:val="005A21B2"/>
    <w:rsid w:val="005A21D0"/>
    <w:rsid w:val="005A23C3"/>
    <w:rsid w:val="005A27A4"/>
    <w:rsid w:val="005A28D4"/>
    <w:rsid w:val="005A2E5D"/>
    <w:rsid w:val="005A2F0A"/>
    <w:rsid w:val="005A4578"/>
    <w:rsid w:val="005A4A95"/>
    <w:rsid w:val="005A6727"/>
    <w:rsid w:val="005A741F"/>
    <w:rsid w:val="005A75F1"/>
    <w:rsid w:val="005A7B5C"/>
    <w:rsid w:val="005B067F"/>
    <w:rsid w:val="005B0D2B"/>
    <w:rsid w:val="005B11E4"/>
    <w:rsid w:val="005B2040"/>
    <w:rsid w:val="005B240D"/>
    <w:rsid w:val="005B2BB8"/>
    <w:rsid w:val="005B48A2"/>
    <w:rsid w:val="005B4D9D"/>
    <w:rsid w:val="005B5D02"/>
    <w:rsid w:val="005B6502"/>
    <w:rsid w:val="005B67DC"/>
    <w:rsid w:val="005B708D"/>
    <w:rsid w:val="005B7104"/>
    <w:rsid w:val="005B7217"/>
    <w:rsid w:val="005B7410"/>
    <w:rsid w:val="005C1191"/>
    <w:rsid w:val="005C1C3C"/>
    <w:rsid w:val="005C217D"/>
    <w:rsid w:val="005C2A07"/>
    <w:rsid w:val="005C2B8C"/>
    <w:rsid w:val="005C3E49"/>
    <w:rsid w:val="005C45C4"/>
    <w:rsid w:val="005C48FB"/>
    <w:rsid w:val="005C4AE9"/>
    <w:rsid w:val="005C59EE"/>
    <w:rsid w:val="005C5B38"/>
    <w:rsid w:val="005C5B8E"/>
    <w:rsid w:val="005C5E42"/>
    <w:rsid w:val="005C5E8F"/>
    <w:rsid w:val="005C5F97"/>
    <w:rsid w:val="005C6264"/>
    <w:rsid w:val="005C6784"/>
    <w:rsid w:val="005C680B"/>
    <w:rsid w:val="005C749A"/>
    <w:rsid w:val="005C769C"/>
    <w:rsid w:val="005C77B6"/>
    <w:rsid w:val="005D0003"/>
    <w:rsid w:val="005D28DF"/>
    <w:rsid w:val="005D2C52"/>
    <w:rsid w:val="005D30E4"/>
    <w:rsid w:val="005D30E9"/>
    <w:rsid w:val="005D31B8"/>
    <w:rsid w:val="005D372D"/>
    <w:rsid w:val="005D3A6E"/>
    <w:rsid w:val="005D3C2F"/>
    <w:rsid w:val="005D46B2"/>
    <w:rsid w:val="005D5545"/>
    <w:rsid w:val="005D55AA"/>
    <w:rsid w:val="005D7A31"/>
    <w:rsid w:val="005E00E3"/>
    <w:rsid w:val="005E01DE"/>
    <w:rsid w:val="005E06D3"/>
    <w:rsid w:val="005E1245"/>
    <w:rsid w:val="005E1494"/>
    <w:rsid w:val="005E2149"/>
    <w:rsid w:val="005E227B"/>
    <w:rsid w:val="005E281E"/>
    <w:rsid w:val="005E2D62"/>
    <w:rsid w:val="005E2E8B"/>
    <w:rsid w:val="005E326D"/>
    <w:rsid w:val="005E336A"/>
    <w:rsid w:val="005E35AC"/>
    <w:rsid w:val="005E3CE0"/>
    <w:rsid w:val="005E3F5A"/>
    <w:rsid w:val="005E41B4"/>
    <w:rsid w:val="005E4BFB"/>
    <w:rsid w:val="005E4F0D"/>
    <w:rsid w:val="005E580B"/>
    <w:rsid w:val="005E657F"/>
    <w:rsid w:val="005E7135"/>
    <w:rsid w:val="005E774A"/>
    <w:rsid w:val="005E79C6"/>
    <w:rsid w:val="005E7AFE"/>
    <w:rsid w:val="005E7CF7"/>
    <w:rsid w:val="005E7D4C"/>
    <w:rsid w:val="005F0F60"/>
    <w:rsid w:val="005F1424"/>
    <w:rsid w:val="005F148D"/>
    <w:rsid w:val="005F1580"/>
    <w:rsid w:val="005F1A99"/>
    <w:rsid w:val="005F260E"/>
    <w:rsid w:val="005F29A0"/>
    <w:rsid w:val="005F2C2D"/>
    <w:rsid w:val="005F3973"/>
    <w:rsid w:val="005F3ED8"/>
    <w:rsid w:val="005F4620"/>
    <w:rsid w:val="005F499C"/>
    <w:rsid w:val="005F4A53"/>
    <w:rsid w:val="005F4C4E"/>
    <w:rsid w:val="005F4E9B"/>
    <w:rsid w:val="005F5095"/>
    <w:rsid w:val="005F516C"/>
    <w:rsid w:val="005F5257"/>
    <w:rsid w:val="005F590F"/>
    <w:rsid w:val="005F5A20"/>
    <w:rsid w:val="005F6468"/>
    <w:rsid w:val="005F66A0"/>
    <w:rsid w:val="005F6B57"/>
    <w:rsid w:val="005F6CB7"/>
    <w:rsid w:val="005F7107"/>
    <w:rsid w:val="005F74A3"/>
    <w:rsid w:val="005F7BA1"/>
    <w:rsid w:val="00600643"/>
    <w:rsid w:val="006008F6"/>
    <w:rsid w:val="00601429"/>
    <w:rsid w:val="00601585"/>
    <w:rsid w:val="00602315"/>
    <w:rsid w:val="00602CF0"/>
    <w:rsid w:val="00603558"/>
    <w:rsid w:val="0060356C"/>
    <w:rsid w:val="0060385A"/>
    <w:rsid w:val="00603A07"/>
    <w:rsid w:val="00603D3E"/>
    <w:rsid w:val="00604630"/>
    <w:rsid w:val="00604998"/>
    <w:rsid w:val="0060530E"/>
    <w:rsid w:val="00605B13"/>
    <w:rsid w:val="00605E6F"/>
    <w:rsid w:val="00605ECA"/>
    <w:rsid w:val="006065A5"/>
    <w:rsid w:val="00607502"/>
    <w:rsid w:val="0060785F"/>
    <w:rsid w:val="00607ACE"/>
    <w:rsid w:val="00610275"/>
    <w:rsid w:val="00610431"/>
    <w:rsid w:val="00610DE0"/>
    <w:rsid w:val="00610E66"/>
    <w:rsid w:val="00611176"/>
    <w:rsid w:val="006113F1"/>
    <w:rsid w:val="0061178A"/>
    <w:rsid w:val="00611A96"/>
    <w:rsid w:val="00611EBC"/>
    <w:rsid w:val="00612116"/>
    <w:rsid w:val="006123C3"/>
    <w:rsid w:val="00613115"/>
    <w:rsid w:val="00613452"/>
    <w:rsid w:val="00615084"/>
    <w:rsid w:val="0061557E"/>
    <w:rsid w:val="006156C8"/>
    <w:rsid w:val="006157F0"/>
    <w:rsid w:val="00615BEF"/>
    <w:rsid w:val="00615D70"/>
    <w:rsid w:val="006163ED"/>
    <w:rsid w:val="0061650E"/>
    <w:rsid w:val="00616610"/>
    <w:rsid w:val="00617FB6"/>
    <w:rsid w:val="006215B4"/>
    <w:rsid w:val="0062207A"/>
    <w:rsid w:val="00622DBD"/>
    <w:rsid w:val="0062319F"/>
    <w:rsid w:val="00623450"/>
    <w:rsid w:val="00623833"/>
    <w:rsid w:val="00624151"/>
    <w:rsid w:val="006247D4"/>
    <w:rsid w:val="00624CE6"/>
    <w:rsid w:val="006255A6"/>
    <w:rsid w:val="006255A7"/>
    <w:rsid w:val="00625C78"/>
    <w:rsid w:val="0062637A"/>
    <w:rsid w:val="006272A5"/>
    <w:rsid w:val="006276E0"/>
    <w:rsid w:val="006279F4"/>
    <w:rsid w:val="006311C7"/>
    <w:rsid w:val="00631348"/>
    <w:rsid w:val="00631C9D"/>
    <w:rsid w:val="006328D2"/>
    <w:rsid w:val="00632C9B"/>
    <w:rsid w:val="00632FB6"/>
    <w:rsid w:val="00632FF3"/>
    <w:rsid w:val="00633848"/>
    <w:rsid w:val="00633EA3"/>
    <w:rsid w:val="00635394"/>
    <w:rsid w:val="006353A6"/>
    <w:rsid w:val="006354B8"/>
    <w:rsid w:val="00635D8C"/>
    <w:rsid w:val="00636F2E"/>
    <w:rsid w:val="00637421"/>
    <w:rsid w:val="006374EB"/>
    <w:rsid w:val="00637695"/>
    <w:rsid w:val="00637824"/>
    <w:rsid w:val="00637F5D"/>
    <w:rsid w:val="006401AE"/>
    <w:rsid w:val="00640D44"/>
    <w:rsid w:val="00641780"/>
    <w:rsid w:val="00641BCF"/>
    <w:rsid w:val="00641EFE"/>
    <w:rsid w:val="00643547"/>
    <w:rsid w:val="006438EA"/>
    <w:rsid w:val="006442B1"/>
    <w:rsid w:val="006456AD"/>
    <w:rsid w:val="0064570C"/>
    <w:rsid w:val="00647435"/>
    <w:rsid w:val="00647752"/>
    <w:rsid w:val="006502FF"/>
    <w:rsid w:val="006503B1"/>
    <w:rsid w:val="006505DE"/>
    <w:rsid w:val="00650CC3"/>
    <w:rsid w:val="00650D90"/>
    <w:rsid w:val="00651B42"/>
    <w:rsid w:val="006523A2"/>
    <w:rsid w:val="00653757"/>
    <w:rsid w:val="00653F1B"/>
    <w:rsid w:val="00654441"/>
    <w:rsid w:val="00654BA5"/>
    <w:rsid w:val="0065578D"/>
    <w:rsid w:val="0065586F"/>
    <w:rsid w:val="00655B49"/>
    <w:rsid w:val="00655E65"/>
    <w:rsid w:val="00655E99"/>
    <w:rsid w:val="00656D90"/>
    <w:rsid w:val="006572A0"/>
    <w:rsid w:val="00657448"/>
    <w:rsid w:val="00657923"/>
    <w:rsid w:val="00657E06"/>
    <w:rsid w:val="00657E7D"/>
    <w:rsid w:val="00657FEF"/>
    <w:rsid w:val="00660432"/>
    <w:rsid w:val="0066047A"/>
    <w:rsid w:val="00660497"/>
    <w:rsid w:val="00660877"/>
    <w:rsid w:val="006611EA"/>
    <w:rsid w:val="006612C9"/>
    <w:rsid w:val="006616B7"/>
    <w:rsid w:val="006617F6"/>
    <w:rsid w:val="00661C11"/>
    <w:rsid w:val="00661CA4"/>
    <w:rsid w:val="00661E08"/>
    <w:rsid w:val="00662561"/>
    <w:rsid w:val="0066291B"/>
    <w:rsid w:val="00662DBB"/>
    <w:rsid w:val="006630B7"/>
    <w:rsid w:val="00664B8A"/>
    <w:rsid w:val="00664B98"/>
    <w:rsid w:val="00665789"/>
    <w:rsid w:val="00665C9C"/>
    <w:rsid w:val="0066656D"/>
    <w:rsid w:val="006667DB"/>
    <w:rsid w:val="00666A4E"/>
    <w:rsid w:val="00666EEF"/>
    <w:rsid w:val="006678AF"/>
    <w:rsid w:val="00667A40"/>
    <w:rsid w:val="0067058B"/>
    <w:rsid w:val="00670761"/>
    <w:rsid w:val="00671775"/>
    <w:rsid w:val="00671873"/>
    <w:rsid w:val="00671BAE"/>
    <w:rsid w:val="00671D64"/>
    <w:rsid w:val="006729CB"/>
    <w:rsid w:val="00672ED4"/>
    <w:rsid w:val="00673137"/>
    <w:rsid w:val="0067334A"/>
    <w:rsid w:val="006736FD"/>
    <w:rsid w:val="00674CB3"/>
    <w:rsid w:val="0067609C"/>
    <w:rsid w:val="0067667C"/>
    <w:rsid w:val="00676949"/>
    <w:rsid w:val="00676ED6"/>
    <w:rsid w:val="00680F7C"/>
    <w:rsid w:val="00681592"/>
    <w:rsid w:val="00681D83"/>
    <w:rsid w:val="0068250F"/>
    <w:rsid w:val="006836F8"/>
    <w:rsid w:val="00683C8B"/>
    <w:rsid w:val="00683F5A"/>
    <w:rsid w:val="0068472E"/>
    <w:rsid w:val="00684DC9"/>
    <w:rsid w:val="00684E5A"/>
    <w:rsid w:val="00685522"/>
    <w:rsid w:val="006858BA"/>
    <w:rsid w:val="00685E82"/>
    <w:rsid w:val="00685F0F"/>
    <w:rsid w:val="0068710A"/>
    <w:rsid w:val="006900C2"/>
    <w:rsid w:val="006906A2"/>
    <w:rsid w:val="00692116"/>
    <w:rsid w:val="006927F8"/>
    <w:rsid w:val="00693214"/>
    <w:rsid w:val="00693554"/>
    <w:rsid w:val="006940FB"/>
    <w:rsid w:val="0069456F"/>
    <w:rsid w:val="0069471F"/>
    <w:rsid w:val="00694977"/>
    <w:rsid w:val="00694ECC"/>
    <w:rsid w:val="00695319"/>
    <w:rsid w:val="00695ABB"/>
    <w:rsid w:val="00696246"/>
    <w:rsid w:val="006964CD"/>
    <w:rsid w:val="00697866"/>
    <w:rsid w:val="00697FF7"/>
    <w:rsid w:val="006A037B"/>
    <w:rsid w:val="006A0AB6"/>
    <w:rsid w:val="006A132A"/>
    <w:rsid w:val="006A1C33"/>
    <w:rsid w:val="006A1D20"/>
    <w:rsid w:val="006A2180"/>
    <w:rsid w:val="006A2289"/>
    <w:rsid w:val="006A2905"/>
    <w:rsid w:val="006A3031"/>
    <w:rsid w:val="006A337B"/>
    <w:rsid w:val="006A3AF5"/>
    <w:rsid w:val="006A3EE0"/>
    <w:rsid w:val="006A40FC"/>
    <w:rsid w:val="006A42DC"/>
    <w:rsid w:val="006A47D3"/>
    <w:rsid w:val="006A549C"/>
    <w:rsid w:val="006A5719"/>
    <w:rsid w:val="006A5CDB"/>
    <w:rsid w:val="006A6355"/>
    <w:rsid w:val="006A66AE"/>
    <w:rsid w:val="006A74F1"/>
    <w:rsid w:val="006A76B0"/>
    <w:rsid w:val="006A7F57"/>
    <w:rsid w:val="006B090A"/>
    <w:rsid w:val="006B0CD9"/>
    <w:rsid w:val="006B1072"/>
    <w:rsid w:val="006B1901"/>
    <w:rsid w:val="006B1D9E"/>
    <w:rsid w:val="006B235C"/>
    <w:rsid w:val="006B2591"/>
    <w:rsid w:val="006B26D9"/>
    <w:rsid w:val="006B30A9"/>
    <w:rsid w:val="006B36E3"/>
    <w:rsid w:val="006B3BED"/>
    <w:rsid w:val="006B3CBC"/>
    <w:rsid w:val="006B4A70"/>
    <w:rsid w:val="006B4DC3"/>
    <w:rsid w:val="006B52DD"/>
    <w:rsid w:val="006B5665"/>
    <w:rsid w:val="006B57C9"/>
    <w:rsid w:val="006B5E7A"/>
    <w:rsid w:val="006B616A"/>
    <w:rsid w:val="006B628B"/>
    <w:rsid w:val="006B70A2"/>
    <w:rsid w:val="006B7588"/>
    <w:rsid w:val="006B7BF0"/>
    <w:rsid w:val="006C01A1"/>
    <w:rsid w:val="006C0A4C"/>
    <w:rsid w:val="006C0B4D"/>
    <w:rsid w:val="006C0F49"/>
    <w:rsid w:val="006C14B4"/>
    <w:rsid w:val="006C24FD"/>
    <w:rsid w:val="006C2680"/>
    <w:rsid w:val="006C269A"/>
    <w:rsid w:val="006C3CA7"/>
    <w:rsid w:val="006C3EC8"/>
    <w:rsid w:val="006C42BC"/>
    <w:rsid w:val="006C4420"/>
    <w:rsid w:val="006C5683"/>
    <w:rsid w:val="006C59CB"/>
    <w:rsid w:val="006C5FE5"/>
    <w:rsid w:val="006C6230"/>
    <w:rsid w:val="006C6737"/>
    <w:rsid w:val="006C7801"/>
    <w:rsid w:val="006D1780"/>
    <w:rsid w:val="006D22B3"/>
    <w:rsid w:val="006D29DF"/>
    <w:rsid w:val="006D353E"/>
    <w:rsid w:val="006D3E0D"/>
    <w:rsid w:val="006D3F04"/>
    <w:rsid w:val="006D44B3"/>
    <w:rsid w:val="006D496E"/>
    <w:rsid w:val="006D4AA0"/>
    <w:rsid w:val="006D6353"/>
    <w:rsid w:val="006D671A"/>
    <w:rsid w:val="006D6E4E"/>
    <w:rsid w:val="006D7383"/>
    <w:rsid w:val="006D7712"/>
    <w:rsid w:val="006D7EF5"/>
    <w:rsid w:val="006E044E"/>
    <w:rsid w:val="006E049B"/>
    <w:rsid w:val="006E0AB1"/>
    <w:rsid w:val="006E14B4"/>
    <w:rsid w:val="006E159C"/>
    <w:rsid w:val="006E1889"/>
    <w:rsid w:val="006E1CC0"/>
    <w:rsid w:val="006E238F"/>
    <w:rsid w:val="006E24D5"/>
    <w:rsid w:val="006E269F"/>
    <w:rsid w:val="006E2791"/>
    <w:rsid w:val="006E2A6F"/>
    <w:rsid w:val="006E33EE"/>
    <w:rsid w:val="006E389D"/>
    <w:rsid w:val="006E445D"/>
    <w:rsid w:val="006E4E28"/>
    <w:rsid w:val="006E50DB"/>
    <w:rsid w:val="006E52E5"/>
    <w:rsid w:val="006E5454"/>
    <w:rsid w:val="006E58CD"/>
    <w:rsid w:val="006E5F97"/>
    <w:rsid w:val="006E66A7"/>
    <w:rsid w:val="006E7D95"/>
    <w:rsid w:val="006E7DF5"/>
    <w:rsid w:val="006F0951"/>
    <w:rsid w:val="006F136E"/>
    <w:rsid w:val="006F1752"/>
    <w:rsid w:val="006F23FB"/>
    <w:rsid w:val="006F2977"/>
    <w:rsid w:val="006F2ACC"/>
    <w:rsid w:val="006F2D46"/>
    <w:rsid w:val="006F2EA8"/>
    <w:rsid w:val="006F3195"/>
    <w:rsid w:val="006F34AC"/>
    <w:rsid w:val="006F365A"/>
    <w:rsid w:val="006F39BF"/>
    <w:rsid w:val="006F3DEB"/>
    <w:rsid w:val="006F3FAD"/>
    <w:rsid w:val="006F41A3"/>
    <w:rsid w:val="006F48B1"/>
    <w:rsid w:val="006F4916"/>
    <w:rsid w:val="006F4CB6"/>
    <w:rsid w:val="006F5AC1"/>
    <w:rsid w:val="006F5C4C"/>
    <w:rsid w:val="006F5E6C"/>
    <w:rsid w:val="006F5F84"/>
    <w:rsid w:val="006F655C"/>
    <w:rsid w:val="006F689F"/>
    <w:rsid w:val="006F6A57"/>
    <w:rsid w:val="006F7586"/>
    <w:rsid w:val="006F7610"/>
    <w:rsid w:val="006F7B56"/>
    <w:rsid w:val="007008EE"/>
    <w:rsid w:val="00700D98"/>
    <w:rsid w:val="0070267E"/>
    <w:rsid w:val="00702A6F"/>
    <w:rsid w:val="00702D8B"/>
    <w:rsid w:val="00703990"/>
    <w:rsid w:val="00704208"/>
    <w:rsid w:val="0070432E"/>
    <w:rsid w:val="007046EB"/>
    <w:rsid w:val="00704918"/>
    <w:rsid w:val="007059DA"/>
    <w:rsid w:val="00706889"/>
    <w:rsid w:val="007069F5"/>
    <w:rsid w:val="00706E32"/>
    <w:rsid w:val="0070706E"/>
    <w:rsid w:val="00707BCD"/>
    <w:rsid w:val="00707DFF"/>
    <w:rsid w:val="00707F94"/>
    <w:rsid w:val="00710AD9"/>
    <w:rsid w:val="00710D8E"/>
    <w:rsid w:val="00710F64"/>
    <w:rsid w:val="00711882"/>
    <w:rsid w:val="00711BE6"/>
    <w:rsid w:val="00712501"/>
    <w:rsid w:val="0071266C"/>
    <w:rsid w:val="00713207"/>
    <w:rsid w:val="00713639"/>
    <w:rsid w:val="0071611B"/>
    <w:rsid w:val="00716392"/>
    <w:rsid w:val="007175B9"/>
    <w:rsid w:val="00717A83"/>
    <w:rsid w:val="007200D2"/>
    <w:rsid w:val="00720475"/>
    <w:rsid w:val="0072048D"/>
    <w:rsid w:val="0072150B"/>
    <w:rsid w:val="00721954"/>
    <w:rsid w:val="00721B85"/>
    <w:rsid w:val="007221FF"/>
    <w:rsid w:val="00722E45"/>
    <w:rsid w:val="00722E5E"/>
    <w:rsid w:val="007242E9"/>
    <w:rsid w:val="00724DD5"/>
    <w:rsid w:val="00724FA5"/>
    <w:rsid w:val="007252D2"/>
    <w:rsid w:val="00725C9A"/>
    <w:rsid w:val="00725D4A"/>
    <w:rsid w:val="00725E49"/>
    <w:rsid w:val="00725E7B"/>
    <w:rsid w:val="007260B9"/>
    <w:rsid w:val="0072677E"/>
    <w:rsid w:val="007272BE"/>
    <w:rsid w:val="00730DD0"/>
    <w:rsid w:val="007314AB"/>
    <w:rsid w:val="007323E5"/>
    <w:rsid w:val="007334D0"/>
    <w:rsid w:val="007334F1"/>
    <w:rsid w:val="00733B12"/>
    <w:rsid w:val="0073431F"/>
    <w:rsid w:val="00734619"/>
    <w:rsid w:val="007347CB"/>
    <w:rsid w:val="007349C9"/>
    <w:rsid w:val="00734E5B"/>
    <w:rsid w:val="00734F68"/>
    <w:rsid w:val="007360B2"/>
    <w:rsid w:val="00736647"/>
    <w:rsid w:val="00736EE2"/>
    <w:rsid w:val="007373E9"/>
    <w:rsid w:val="007379A4"/>
    <w:rsid w:val="00737F00"/>
    <w:rsid w:val="00737FD4"/>
    <w:rsid w:val="007408CC"/>
    <w:rsid w:val="00740FBD"/>
    <w:rsid w:val="00742296"/>
    <w:rsid w:val="00742657"/>
    <w:rsid w:val="00742707"/>
    <w:rsid w:val="007427FB"/>
    <w:rsid w:val="007438D4"/>
    <w:rsid w:val="00743F6E"/>
    <w:rsid w:val="0074470C"/>
    <w:rsid w:val="00745821"/>
    <w:rsid w:val="00745D38"/>
    <w:rsid w:val="00745D6A"/>
    <w:rsid w:val="00745DE9"/>
    <w:rsid w:val="00745E41"/>
    <w:rsid w:val="007460BB"/>
    <w:rsid w:val="00746918"/>
    <w:rsid w:val="00746A22"/>
    <w:rsid w:val="00746FBC"/>
    <w:rsid w:val="00747033"/>
    <w:rsid w:val="007507E4"/>
    <w:rsid w:val="00751256"/>
    <w:rsid w:val="007526DC"/>
    <w:rsid w:val="00752D68"/>
    <w:rsid w:val="00752EC2"/>
    <w:rsid w:val="0075343C"/>
    <w:rsid w:val="007538CD"/>
    <w:rsid w:val="00753F36"/>
    <w:rsid w:val="00754023"/>
    <w:rsid w:val="007542E0"/>
    <w:rsid w:val="00754384"/>
    <w:rsid w:val="00754634"/>
    <w:rsid w:val="007546AF"/>
    <w:rsid w:val="00754707"/>
    <w:rsid w:val="0075621D"/>
    <w:rsid w:val="0075660E"/>
    <w:rsid w:val="007566F6"/>
    <w:rsid w:val="007579C3"/>
    <w:rsid w:val="00757AF3"/>
    <w:rsid w:val="00757B7A"/>
    <w:rsid w:val="0076045D"/>
    <w:rsid w:val="00760588"/>
    <w:rsid w:val="007607A5"/>
    <w:rsid w:val="00760B40"/>
    <w:rsid w:val="007616FC"/>
    <w:rsid w:val="00761BDC"/>
    <w:rsid w:val="00761C44"/>
    <w:rsid w:val="007620B2"/>
    <w:rsid w:val="0076218C"/>
    <w:rsid w:val="00762BE0"/>
    <w:rsid w:val="00763DCB"/>
    <w:rsid w:val="0076453A"/>
    <w:rsid w:val="00765856"/>
    <w:rsid w:val="00765934"/>
    <w:rsid w:val="00765A3D"/>
    <w:rsid w:val="0076601B"/>
    <w:rsid w:val="00766E28"/>
    <w:rsid w:val="00766E81"/>
    <w:rsid w:val="0077040E"/>
    <w:rsid w:val="00770C1A"/>
    <w:rsid w:val="00770DB4"/>
    <w:rsid w:val="00770EF7"/>
    <w:rsid w:val="00770FCC"/>
    <w:rsid w:val="0077131B"/>
    <w:rsid w:val="007717F7"/>
    <w:rsid w:val="00771E0A"/>
    <w:rsid w:val="007726C4"/>
    <w:rsid w:val="0077274A"/>
    <w:rsid w:val="00772A8D"/>
    <w:rsid w:val="00772CC5"/>
    <w:rsid w:val="0077386D"/>
    <w:rsid w:val="00773A6D"/>
    <w:rsid w:val="00773B7D"/>
    <w:rsid w:val="00773EE0"/>
    <w:rsid w:val="007743E9"/>
    <w:rsid w:val="0077451B"/>
    <w:rsid w:val="00774B33"/>
    <w:rsid w:val="00775074"/>
    <w:rsid w:val="007752D1"/>
    <w:rsid w:val="00775664"/>
    <w:rsid w:val="00775815"/>
    <w:rsid w:val="00775C60"/>
    <w:rsid w:val="00775F50"/>
    <w:rsid w:val="00776246"/>
    <w:rsid w:val="007768F4"/>
    <w:rsid w:val="00776D6D"/>
    <w:rsid w:val="00776DCE"/>
    <w:rsid w:val="0077700D"/>
    <w:rsid w:val="007775D1"/>
    <w:rsid w:val="00777BF2"/>
    <w:rsid w:val="00780137"/>
    <w:rsid w:val="0078135F"/>
    <w:rsid w:val="00781401"/>
    <w:rsid w:val="00781B72"/>
    <w:rsid w:val="00782626"/>
    <w:rsid w:val="00782E04"/>
    <w:rsid w:val="007830AC"/>
    <w:rsid w:val="00783424"/>
    <w:rsid w:val="007834B3"/>
    <w:rsid w:val="007837D9"/>
    <w:rsid w:val="007838A6"/>
    <w:rsid w:val="00783C4D"/>
    <w:rsid w:val="007843F1"/>
    <w:rsid w:val="007849B9"/>
    <w:rsid w:val="00784A44"/>
    <w:rsid w:val="0078527B"/>
    <w:rsid w:val="007852C8"/>
    <w:rsid w:val="00785FDC"/>
    <w:rsid w:val="00786962"/>
    <w:rsid w:val="00786969"/>
    <w:rsid w:val="00786C31"/>
    <w:rsid w:val="007872F9"/>
    <w:rsid w:val="00787375"/>
    <w:rsid w:val="00787399"/>
    <w:rsid w:val="007873C5"/>
    <w:rsid w:val="00787EFE"/>
    <w:rsid w:val="00790E3B"/>
    <w:rsid w:val="00790E8E"/>
    <w:rsid w:val="00790F6B"/>
    <w:rsid w:val="0079240A"/>
    <w:rsid w:val="00792586"/>
    <w:rsid w:val="00792B73"/>
    <w:rsid w:val="00792B7C"/>
    <w:rsid w:val="00793180"/>
    <w:rsid w:val="007937E2"/>
    <w:rsid w:val="00793AE9"/>
    <w:rsid w:val="00793B06"/>
    <w:rsid w:val="00793C41"/>
    <w:rsid w:val="00793F67"/>
    <w:rsid w:val="007947AC"/>
    <w:rsid w:val="00794EE4"/>
    <w:rsid w:val="00794FBB"/>
    <w:rsid w:val="00796E99"/>
    <w:rsid w:val="0079713F"/>
    <w:rsid w:val="007A06A9"/>
    <w:rsid w:val="007A07FE"/>
    <w:rsid w:val="007A098E"/>
    <w:rsid w:val="007A0DC5"/>
    <w:rsid w:val="007A1EB6"/>
    <w:rsid w:val="007A1F19"/>
    <w:rsid w:val="007A24C9"/>
    <w:rsid w:val="007A31D5"/>
    <w:rsid w:val="007A3C95"/>
    <w:rsid w:val="007A4131"/>
    <w:rsid w:val="007A428F"/>
    <w:rsid w:val="007A4831"/>
    <w:rsid w:val="007A4D77"/>
    <w:rsid w:val="007A5CE3"/>
    <w:rsid w:val="007A6D54"/>
    <w:rsid w:val="007A796A"/>
    <w:rsid w:val="007A7EEF"/>
    <w:rsid w:val="007B0A20"/>
    <w:rsid w:val="007B0A94"/>
    <w:rsid w:val="007B1074"/>
    <w:rsid w:val="007B157C"/>
    <w:rsid w:val="007B1834"/>
    <w:rsid w:val="007B1A48"/>
    <w:rsid w:val="007B1DE8"/>
    <w:rsid w:val="007B2129"/>
    <w:rsid w:val="007B2580"/>
    <w:rsid w:val="007B296D"/>
    <w:rsid w:val="007B296F"/>
    <w:rsid w:val="007B29FA"/>
    <w:rsid w:val="007B2A6C"/>
    <w:rsid w:val="007B33FB"/>
    <w:rsid w:val="007B354F"/>
    <w:rsid w:val="007B3D4D"/>
    <w:rsid w:val="007B41B5"/>
    <w:rsid w:val="007B421D"/>
    <w:rsid w:val="007B4873"/>
    <w:rsid w:val="007B492C"/>
    <w:rsid w:val="007B4EFA"/>
    <w:rsid w:val="007B5DA3"/>
    <w:rsid w:val="007B5F55"/>
    <w:rsid w:val="007B6244"/>
    <w:rsid w:val="007B703B"/>
    <w:rsid w:val="007B70B3"/>
    <w:rsid w:val="007B71D7"/>
    <w:rsid w:val="007B7436"/>
    <w:rsid w:val="007B7491"/>
    <w:rsid w:val="007B778A"/>
    <w:rsid w:val="007B7BCA"/>
    <w:rsid w:val="007C010F"/>
    <w:rsid w:val="007C0164"/>
    <w:rsid w:val="007C2044"/>
    <w:rsid w:val="007C21C6"/>
    <w:rsid w:val="007C26A7"/>
    <w:rsid w:val="007C2D5F"/>
    <w:rsid w:val="007C3D3F"/>
    <w:rsid w:val="007C43C6"/>
    <w:rsid w:val="007C4774"/>
    <w:rsid w:val="007C4C58"/>
    <w:rsid w:val="007C4F32"/>
    <w:rsid w:val="007C4F78"/>
    <w:rsid w:val="007C53A9"/>
    <w:rsid w:val="007C5AE2"/>
    <w:rsid w:val="007C5D6B"/>
    <w:rsid w:val="007C6045"/>
    <w:rsid w:val="007C6141"/>
    <w:rsid w:val="007C6B22"/>
    <w:rsid w:val="007C758C"/>
    <w:rsid w:val="007C77BA"/>
    <w:rsid w:val="007C7A9E"/>
    <w:rsid w:val="007C7F6C"/>
    <w:rsid w:val="007D0142"/>
    <w:rsid w:val="007D022A"/>
    <w:rsid w:val="007D2626"/>
    <w:rsid w:val="007D30E8"/>
    <w:rsid w:val="007D4024"/>
    <w:rsid w:val="007D40A4"/>
    <w:rsid w:val="007D4E88"/>
    <w:rsid w:val="007D5DCF"/>
    <w:rsid w:val="007D63D1"/>
    <w:rsid w:val="007D6F9A"/>
    <w:rsid w:val="007D70D5"/>
    <w:rsid w:val="007D73EF"/>
    <w:rsid w:val="007D74E1"/>
    <w:rsid w:val="007E01B1"/>
    <w:rsid w:val="007E0F4C"/>
    <w:rsid w:val="007E0FE7"/>
    <w:rsid w:val="007E1034"/>
    <w:rsid w:val="007E1C00"/>
    <w:rsid w:val="007E252B"/>
    <w:rsid w:val="007E25E0"/>
    <w:rsid w:val="007E26A3"/>
    <w:rsid w:val="007E2BED"/>
    <w:rsid w:val="007E32BE"/>
    <w:rsid w:val="007E373C"/>
    <w:rsid w:val="007E44F2"/>
    <w:rsid w:val="007E462B"/>
    <w:rsid w:val="007E5142"/>
    <w:rsid w:val="007E566D"/>
    <w:rsid w:val="007E5B09"/>
    <w:rsid w:val="007E61C0"/>
    <w:rsid w:val="007E665F"/>
    <w:rsid w:val="007E69B8"/>
    <w:rsid w:val="007E6D19"/>
    <w:rsid w:val="007E76EA"/>
    <w:rsid w:val="007E7A6B"/>
    <w:rsid w:val="007E7C13"/>
    <w:rsid w:val="007F072A"/>
    <w:rsid w:val="007F0B43"/>
    <w:rsid w:val="007F0EEA"/>
    <w:rsid w:val="007F2136"/>
    <w:rsid w:val="007F270C"/>
    <w:rsid w:val="007F340F"/>
    <w:rsid w:val="007F39E3"/>
    <w:rsid w:val="007F43AD"/>
    <w:rsid w:val="007F470B"/>
    <w:rsid w:val="007F4A51"/>
    <w:rsid w:val="007F4A7B"/>
    <w:rsid w:val="007F4DFE"/>
    <w:rsid w:val="007F4F77"/>
    <w:rsid w:val="007F5707"/>
    <w:rsid w:val="007F5CD9"/>
    <w:rsid w:val="007F5D9D"/>
    <w:rsid w:val="007F5E79"/>
    <w:rsid w:val="007F6593"/>
    <w:rsid w:val="007F689B"/>
    <w:rsid w:val="007F6FF6"/>
    <w:rsid w:val="007F71A1"/>
    <w:rsid w:val="008002CE"/>
    <w:rsid w:val="008006F3"/>
    <w:rsid w:val="00801662"/>
    <w:rsid w:val="0080171B"/>
    <w:rsid w:val="00801C63"/>
    <w:rsid w:val="00801E16"/>
    <w:rsid w:val="00801F45"/>
    <w:rsid w:val="008021D1"/>
    <w:rsid w:val="008021E8"/>
    <w:rsid w:val="0080224B"/>
    <w:rsid w:val="0080227B"/>
    <w:rsid w:val="008028DB"/>
    <w:rsid w:val="00802928"/>
    <w:rsid w:val="008029A2"/>
    <w:rsid w:val="00802E46"/>
    <w:rsid w:val="00802ED2"/>
    <w:rsid w:val="00803402"/>
    <w:rsid w:val="008041B5"/>
    <w:rsid w:val="00805667"/>
    <w:rsid w:val="008059E1"/>
    <w:rsid w:val="0080751E"/>
    <w:rsid w:val="00807561"/>
    <w:rsid w:val="00810090"/>
    <w:rsid w:val="00810D6D"/>
    <w:rsid w:val="0081118C"/>
    <w:rsid w:val="00811287"/>
    <w:rsid w:val="008113FA"/>
    <w:rsid w:val="008118A6"/>
    <w:rsid w:val="00811DB5"/>
    <w:rsid w:val="00812EEA"/>
    <w:rsid w:val="00813AF6"/>
    <w:rsid w:val="00813EDE"/>
    <w:rsid w:val="0081536F"/>
    <w:rsid w:val="0081553A"/>
    <w:rsid w:val="00815FCC"/>
    <w:rsid w:val="008177F1"/>
    <w:rsid w:val="00817842"/>
    <w:rsid w:val="00817FF2"/>
    <w:rsid w:val="0082028A"/>
    <w:rsid w:val="008204E5"/>
    <w:rsid w:val="008207AA"/>
    <w:rsid w:val="008208AD"/>
    <w:rsid w:val="0082106F"/>
    <w:rsid w:val="0082134A"/>
    <w:rsid w:val="00821B63"/>
    <w:rsid w:val="00822ED8"/>
    <w:rsid w:val="008233B5"/>
    <w:rsid w:val="00823BC3"/>
    <w:rsid w:val="00823C87"/>
    <w:rsid w:val="008258F4"/>
    <w:rsid w:val="0082593D"/>
    <w:rsid w:val="00825C78"/>
    <w:rsid w:val="00825FC2"/>
    <w:rsid w:val="00826000"/>
    <w:rsid w:val="008260BB"/>
    <w:rsid w:val="0082632F"/>
    <w:rsid w:val="00826D6C"/>
    <w:rsid w:val="00827742"/>
    <w:rsid w:val="00827B1A"/>
    <w:rsid w:val="0083105E"/>
    <w:rsid w:val="00831449"/>
    <w:rsid w:val="00831537"/>
    <w:rsid w:val="00831F1B"/>
    <w:rsid w:val="008329E3"/>
    <w:rsid w:val="008333BB"/>
    <w:rsid w:val="00834003"/>
    <w:rsid w:val="00834100"/>
    <w:rsid w:val="008341CE"/>
    <w:rsid w:val="008351BA"/>
    <w:rsid w:val="008352D3"/>
    <w:rsid w:val="00835B6E"/>
    <w:rsid w:val="00835F58"/>
    <w:rsid w:val="00836161"/>
    <w:rsid w:val="00836574"/>
    <w:rsid w:val="0083685F"/>
    <w:rsid w:val="008372CB"/>
    <w:rsid w:val="00840014"/>
    <w:rsid w:val="00840A2E"/>
    <w:rsid w:val="00841133"/>
    <w:rsid w:val="008412F4"/>
    <w:rsid w:val="00841561"/>
    <w:rsid w:val="00842192"/>
    <w:rsid w:val="00842644"/>
    <w:rsid w:val="008430E2"/>
    <w:rsid w:val="008430E8"/>
    <w:rsid w:val="00843EA4"/>
    <w:rsid w:val="00843F9C"/>
    <w:rsid w:val="00843FFC"/>
    <w:rsid w:val="00844872"/>
    <w:rsid w:val="00845BCE"/>
    <w:rsid w:val="00845E8D"/>
    <w:rsid w:val="0084612D"/>
    <w:rsid w:val="00846153"/>
    <w:rsid w:val="0084630F"/>
    <w:rsid w:val="008467B5"/>
    <w:rsid w:val="008474FE"/>
    <w:rsid w:val="00847C24"/>
    <w:rsid w:val="00850297"/>
    <w:rsid w:val="0085034E"/>
    <w:rsid w:val="0085064E"/>
    <w:rsid w:val="008509BE"/>
    <w:rsid w:val="00850B44"/>
    <w:rsid w:val="00850BCC"/>
    <w:rsid w:val="00850FCE"/>
    <w:rsid w:val="008519FC"/>
    <w:rsid w:val="00851F58"/>
    <w:rsid w:val="00852AA5"/>
    <w:rsid w:val="00852CF0"/>
    <w:rsid w:val="00852D19"/>
    <w:rsid w:val="00852FB1"/>
    <w:rsid w:val="00853143"/>
    <w:rsid w:val="0085418A"/>
    <w:rsid w:val="00854A50"/>
    <w:rsid w:val="00854C98"/>
    <w:rsid w:val="00854E40"/>
    <w:rsid w:val="00855604"/>
    <w:rsid w:val="00855F73"/>
    <w:rsid w:val="008561A3"/>
    <w:rsid w:val="00856699"/>
    <w:rsid w:val="00857BE1"/>
    <w:rsid w:val="00861186"/>
    <w:rsid w:val="008625D8"/>
    <w:rsid w:val="008626CB"/>
    <w:rsid w:val="00863176"/>
    <w:rsid w:val="00863281"/>
    <w:rsid w:val="008634A9"/>
    <w:rsid w:val="008637B5"/>
    <w:rsid w:val="008644E3"/>
    <w:rsid w:val="008647FD"/>
    <w:rsid w:val="00864D5D"/>
    <w:rsid w:val="0086501E"/>
    <w:rsid w:val="00865982"/>
    <w:rsid w:val="008674BE"/>
    <w:rsid w:val="0086796B"/>
    <w:rsid w:val="008679CA"/>
    <w:rsid w:val="008702A6"/>
    <w:rsid w:val="00870778"/>
    <w:rsid w:val="00870F03"/>
    <w:rsid w:val="008718F6"/>
    <w:rsid w:val="00872DAB"/>
    <w:rsid w:val="00872E5B"/>
    <w:rsid w:val="00873850"/>
    <w:rsid w:val="008746E5"/>
    <w:rsid w:val="00874930"/>
    <w:rsid w:val="00874C13"/>
    <w:rsid w:val="00874D64"/>
    <w:rsid w:val="00874E36"/>
    <w:rsid w:val="0087523C"/>
    <w:rsid w:val="0087579A"/>
    <w:rsid w:val="00875835"/>
    <w:rsid w:val="00875F2D"/>
    <w:rsid w:val="0087604A"/>
    <w:rsid w:val="00876793"/>
    <w:rsid w:val="008767AC"/>
    <w:rsid w:val="00876803"/>
    <w:rsid w:val="00876C81"/>
    <w:rsid w:val="00876FA2"/>
    <w:rsid w:val="0087739C"/>
    <w:rsid w:val="0087764E"/>
    <w:rsid w:val="00877775"/>
    <w:rsid w:val="00877DD5"/>
    <w:rsid w:val="00877EC7"/>
    <w:rsid w:val="00880494"/>
    <w:rsid w:val="008807E8"/>
    <w:rsid w:val="00880A5E"/>
    <w:rsid w:val="00880A75"/>
    <w:rsid w:val="00880DE7"/>
    <w:rsid w:val="008810D4"/>
    <w:rsid w:val="00881751"/>
    <w:rsid w:val="00881B54"/>
    <w:rsid w:val="00881CC4"/>
    <w:rsid w:val="00882266"/>
    <w:rsid w:val="00882A7A"/>
    <w:rsid w:val="008833CC"/>
    <w:rsid w:val="00883485"/>
    <w:rsid w:val="008835BB"/>
    <w:rsid w:val="00884235"/>
    <w:rsid w:val="00884C39"/>
    <w:rsid w:val="00885633"/>
    <w:rsid w:val="00885734"/>
    <w:rsid w:val="00885999"/>
    <w:rsid w:val="00885E0E"/>
    <w:rsid w:val="00886141"/>
    <w:rsid w:val="008861D5"/>
    <w:rsid w:val="0088784C"/>
    <w:rsid w:val="008878C6"/>
    <w:rsid w:val="008901A3"/>
    <w:rsid w:val="008901AF"/>
    <w:rsid w:val="00890512"/>
    <w:rsid w:val="008905EE"/>
    <w:rsid w:val="00890AC8"/>
    <w:rsid w:val="00890FDF"/>
    <w:rsid w:val="00891913"/>
    <w:rsid w:val="00891A68"/>
    <w:rsid w:val="00891BF5"/>
    <w:rsid w:val="00892766"/>
    <w:rsid w:val="00892D08"/>
    <w:rsid w:val="00892FA9"/>
    <w:rsid w:val="00893073"/>
    <w:rsid w:val="008931AA"/>
    <w:rsid w:val="008932F5"/>
    <w:rsid w:val="00893791"/>
    <w:rsid w:val="00893886"/>
    <w:rsid w:val="00894348"/>
    <w:rsid w:val="008947B9"/>
    <w:rsid w:val="008948B9"/>
    <w:rsid w:val="00895A02"/>
    <w:rsid w:val="00895F07"/>
    <w:rsid w:val="0089723B"/>
    <w:rsid w:val="008977F1"/>
    <w:rsid w:val="00897F6B"/>
    <w:rsid w:val="008A051B"/>
    <w:rsid w:val="008A060C"/>
    <w:rsid w:val="008A09CF"/>
    <w:rsid w:val="008A0F9C"/>
    <w:rsid w:val="008A18BC"/>
    <w:rsid w:val="008A25EA"/>
    <w:rsid w:val="008A3360"/>
    <w:rsid w:val="008A34B1"/>
    <w:rsid w:val="008A36F0"/>
    <w:rsid w:val="008A3854"/>
    <w:rsid w:val="008A3AED"/>
    <w:rsid w:val="008A47D8"/>
    <w:rsid w:val="008A4AD4"/>
    <w:rsid w:val="008A5C6D"/>
    <w:rsid w:val="008A5DEE"/>
    <w:rsid w:val="008A6296"/>
    <w:rsid w:val="008A63F2"/>
    <w:rsid w:val="008A68FB"/>
    <w:rsid w:val="008A6B4F"/>
    <w:rsid w:val="008A774C"/>
    <w:rsid w:val="008A7B83"/>
    <w:rsid w:val="008B0B95"/>
    <w:rsid w:val="008B0C05"/>
    <w:rsid w:val="008B1952"/>
    <w:rsid w:val="008B1B1A"/>
    <w:rsid w:val="008B1C86"/>
    <w:rsid w:val="008B2769"/>
    <w:rsid w:val="008B37C4"/>
    <w:rsid w:val="008B3D5A"/>
    <w:rsid w:val="008B4087"/>
    <w:rsid w:val="008B4354"/>
    <w:rsid w:val="008B586A"/>
    <w:rsid w:val="008B5881"/>
    <w:rsid w:val="008B6034"/>
    <w:rsid w:val="008B6DBF"/>
    <w:rsid w:val="008B6F90"/>
    <w:rsid w:val="008B7E18"/>
    <w:rsid w:val="008C0206"/>
    <w:rsid w:val="008C18A7"/>
    <w:rsid w:val="008C1A8A"/>
    <w:rsid w:val="008C1AC0"/>
    <w:rsid w:val="008C1B05"/>
    <w:rsid w:val="008C1EAB"/>
    <w:rsid w:val="008C23FC"/>
    <w:rsid w:val="008C26D8"/>
    <w:rsid w:val="008C27A1"/>
    <w:rsid w:val="008C2946"/>
    <w:rsid w:val="008C2D66"/>
    <w:rsid w:val="008C2DDD"/>
    <w:rsid w:val="008C3061"/>
    <w:rsid w:val="008C3ADE"/>
    <w:rsid w:val="008C44E3"/>
    <w:rsid w:val="008C4586"/>
    <w:rsid w:val="008C55AE"/>
    <w:rsid w:val="008C5E3F"/>
    <w:rsid w:val="008C633A"/>
    <w:rsid w:val="008C637B"/>
    <w:rsid w:val="008C68B7"/>
    <w:rsid w:val="008C6B14"/>
    <w:rsid w:val="008C6B80"/>
    <w:rsid w:val="008D0C5E"/>
    <w:rsid w:val="008D0DD3"/>
    <w:rsid w:val="008D10B9"/>
    <w:rsid w:val="008D29BB"/>
    <w:rsid w:val="008D2FBD"/>
    <w:rsid w:val="008D32D7"/>
    <w:rsid w:val="008D37A0"/>
    <w:rsid w:val="008D3F7C"/>
    <w:rsid w:val="008D5849"/>
    <w:rsid w:val="008D5A6A"/>
    <w:rsid w:val="008D60EA"/>
    <w:rsid w:val="008D6D8B"/>
    <w:rsid w:val="008D6FCB"/>
    <w:rsid w:val="008D771D"/>
    <w:rsid w:val="008E09DC"/>
    <w:rsid w:val="008E19A8"/>
    <w:rsid w:val="008E20D7"/>
    <w:rsid w:val="008E2A87"/>
    <w:rsid w:val="008E2F26"/>
    <w:rsid w:val="008E3144"/>
    <w:rsid w:val="008E393B"/>
    <w:rsid w:val="008E3BC7"/>
    <w:rsid w:val="008E3CBA"/>
    <w:rsid w:val="008E48AB"/>
    <w:rsid w:val="008E4C08"/>
    <w:rsid w:val="008E572C"/>
    <w:rsid w:val="008E5A6D"/>
    <w:rsid w:val="008E5C5B"/>
    <w:rsid w:val="008E5D1F"/>
    <w:rsid w:val="008E6088"/>
    <w:rsid w:val="008E639E"/>
    <w:rsid w:val="008E77D4"/>
    <w:rsid w:val="008E7E59"/>
    <w:rsid w:val="008E7E72"/>
    <w:rsid w:val="008F024E"/>
    <w:rsid w:val="008F0905"/>
    <w:rsid w:val="008F0D10"/>
    <w:rsid w:val="008F0D90"/>
    <w:rsid w:val="008F0EBB"/>
    <w:rsid w:val="008F1333"/>
    <w:rsid w:val="008F23CF"/>
    <w:rsid w:val="008F2613"/>
    <w:rsid w:val="008F2C12"/>
    <w:rsid w:val="008F32DF"/>
    <w:rsid w:val="008F37F8"/>
    <w:rsid w:val="008F3FAA"/>
    <w:rsid w:val="008F40F4"/>
    <w:rsid w:val="008F4D20"/>
    <w:rsid w:val="008F57ED"/>
    <w:rsid w:val="008F57F2"/>
    <w:rsid w:val="008F5944"/>
    <w:rsid w:val="008F5DF6"/>
    <w:rsid w:val="008F5F58"/>
    <w:rsid w:val="008F6D4B"/>
    <w:rsid w:val="008F6F69"/>
    <w:rsid w:val="008F6FC8"/>
    <w:rsid w:val="008F70FA"/>
    <w:rsid w:val="008F776C"/>
    <w:rsid w:val="0090017D"/>
    <w:rsid w:val="00900939"/>
    <w:rsid w:val="00900A46"/>
    <w:rsid w:val="009011E2"/>
    <w:rsid w:val="009017AE"/>
    <w:rsid w:val="009024BF"/>
    <w:rsid w:val="009028E4"/>
    <w:rsid w:val="00902D9B"/>
    <w:rsid w:val="00903C18"/>
    <w:rsid w:val="00903FAF"/>
    <w:rsid w:val="00904B2C"/>
    <w:rsid w:val="00904BAA"/>
    <w:rsid w:val="00904E29"/>
    <w:rsid w:val="009053A8"/>
    <w:rsid w:val="00905676"/>
    <w:rsid w:val="009058D7"/>
    <w:rsid w:val="00905CA3"/>
    <w:rsid w:val="00906962"/>
    <w:rsid w:val="0090717B"/>
    <w:rsid w:val="00907840"/>
    <w:rsid w:val="0090787A"/>
    <w:rsid w:val="0090790C"/>
    <w:rsid w:val="009108E5"/>
    <w:rsid w:val="00910AEC"/>
    <w:rsid w:val="00911BCE"/>
    <w:rsid w:val="009126A0"/>
    <w:rsid w:val="00913110"/>
    <w:rsid w:val="00913512"/>
    <w:rsid w:val="00913819"/>
    <w:rsid w:val="009138CE"/>
    <w:rsid w:val="00913B2D"/>
    <w:rsid w:val="0091408C"/>
    <w:rsid w:val="009140EA"/>
    <w:rsid w:val="00914B7D"/>
    <w:rsid w:val="00914DE0"/>
    <w:rsid w:val="0091587F"/>
    <w:rsid w:val="00917104"/>
    <w:rsid w:val="009176AC"/>
    <w:rsid w:val="00917CA2"/>
    <w:rsid w:val="00920D86"/>
    <w:rsid w:val="00920F22"/>
    <w:rsid w:val="00921281"/>
    <w:rsid w:val="009218F8"/>
    <w:rsid w:val="0092256D"/>
    <w:rsid w:val="00922594"/>
    <w:rsid w:val="00923409"/>
    <w:rsid w:val="00923798"/>
    <w:rsid w:val="00923F90"/>
    <w:rsid w:val="009242FF"/>
    <w:rsid w:val="00924AFF"/>
    <w:rsid w:val="00924E14"/>
    <w:rsid w:val="00924F80"/>
    <w:rsid w:val="00925067"/>
    <w:rsid w:val="00925131"/>
    <w:rsid w:val="00925396"/>
    <w:rsid w:val="009253D3"/>
    <w:rsid w:val="00925850"/>
    <w:rsid w:val="00925B9D"/>
    <w:rsid w:val="00926A13"/>
    <w:rsid w:val="00926A28"/>
    <w:rsid w:val="00926CCA"/>
    <w:rsid w:val="00926E16"/>
    <w:rsid w:val="00927AC9"/>
    <w:rsid w:val="0093094A"/>
    <w:rsid w:val="00930D6E"/>
    <w:rsid w:val="009312FD"/>
    <w:rsid w:val="0093196B"/>
    <w:rsid w:val="00932195"/>
    <w:rsid w:val="0093379E"/>
    <w:rsid w:val="00934072"/>
    <w:rsid w:val="009340B2"/>
    <w:rsid w:val="00934A5F"/>
    <w:rsid w:val="00935254"/>
    <w:rsid w:val="00935FFE"/>
    <w:rsid w:val="0093682D"/>
    <w:rsid w:val="00936B38"/>
    <w:rsid w:val="00940197"/>
    <w:rsid w:val="00940D07"/>
    <w:rsid w:val="00940D2B"/>
    <w:rsid w:val="00941C07"/>
    <w:rsid w:val="00941F11"/>
    <w:rsid w:val="0094203D"/>
    <w:rsid w:val="00942D10"/>
    <w:rsid w:val="009434B2"/>
    <w:rsid w:val="00943A19"/>
    <w:rsid w:val="0094408D"/>
    <w:rsid w:val="00944263"/>
    <w:rsid w:val="00944911"/>
    <w:rsid w:val="00944BB7"/>
    <w:rsid w:val="00944FDF"/>
    <w:rsid w:val="009451F6"/>
    <w:rsid w:val="00946152"/>
    <w:rsid w:val="009464C2"/>
    <w:rsid w:val="0094653F"/>
    <w:rsid w:val="0094666D"/>
    <w:rsid w:val="00946790"/>
    <w:rsid w:val="00947208"/>
    <w:rsid w:val="0094757D"/>
    <w:rsid w:val="00947A09"/>
    <w:rsid w:val="00950117"/>
    <w:rsid w:val="0095073F"/>
    <w:rsid w:val="0095083A"/>
    <w:rsid w:val="00950C04"/>
    <w:rsid w:val="00950C18"/>
    <w:rsid w:val="00950DE6"/>
    <w:rsid w:val="00950EB3"/>
    <w:rsid w:val="0095160B"/>
    <w:rsid w:val="00951B25"/>
    <w:rsid w:val="00951BC8"/>
    <w:rsid w:val="00952129"/>
    <w:rsid w:val="009521BF"/>
    <w:rsid w:val="00952398"/>
    <w:rsid w:val="009524EA"/>
    <w:rsid w:val="0095268B"/>
    <w:rsid w:val="009529ED"/>
    <w:rsid w:val="00952F70"/>
    <w:rsid w:val="00953201"/>
    <w:rsid w:val="00953288"/>
    <w:rsid w:val="00953507"/>
    <w:rsid w:val="009538DC"/>
    <w:rsid w:val="0095432C"/>
    <w:rsid w:val="00954633"/>
    <w:rsid w:val="009547FA"/>
    <w:rsid w:val="00954C17"/>
    <w:rsid w:val="00955547"/>
    <w:rsid w:val="00956A3E"/>
    <w:rsid w:val="0095708C"/>
    <w:rsid w:val="00957AA7"/>
    <w:rsid w:val="00957FC9"/>
    <w:rsid w:val="0096064D"/>
    <w:rsid w:val="0096089B"/>
    <w:rsid w:val="00960BAC"/>
    <w:rsid w:val="00960E33"/>
    <w:rsid w:val="009616C9"/>
    <w:rsid w:val="009616DC"/>
    <w:rsid w:val="0096173F"/>
    <w:rsid w:val="009621C6"/>
    <w:rsid w:val="009624CA"/>
    <w:rsid w:val="009627F0"/>
    <w:rsid w:val="009628E1"/>
    <w:rsid w:val="00962B86"/>
    <w:rsid w:val="00962D44"/>
    <w:rsid w:val="00964042"/>
    <w:rsid w:val="00964341"/>
    <w:rsid w:val="00964E2D"/>
    <w:rsid w:val="00964F21"/>
    <w:rsid w:val="00965508"/>
    <w:rsid w:val="0096619A"/>
    <w:rsid w:val="0096644A"/>
    <w:rsid w:val="00967766"/>
    <w:rsid w:val="00967915"/>
    <w:rsid w:val="00967BB5"/>
    <w:rsid w:val="00967E5B"/>
    <w:rsid w:val="00970AFD"/>
    <w:rsid w:val="00970F6D"/>
    <w:rsid w:val="00971498"/>
    <w:rsid w:val="00971CAD"/>
    <w:rsid w:val="009720C6"/>
    <w:rsid w:val="009721E4"/>
    <w:rsid w:val="0097241E"/>
    <w:rsid w:val="00972630"/>
    <w:rsid w:val="009737E4"/>
    <w:rsid w:val="00973849"/>
    <w:rsid w:val="00973CDC"/>
    <w:rsid w:val="00973DFA"/>
    <w:rsid w:val="0097420D"/>
    <w:rsid w:val="00974A4E"/>
    <w:rsid w:val="00974D4B"/>
    <w:rsid w:val="00975147"/>
    <w:rsid w:val="0097576F"/>
    <w:rsid w:val="00975C52"/>
    <w:rsid w:val="0097627B"/>
    <w:rsid w:val="00976AC6"/>
    <w:rsid w:val="00976B2E"/>
    <w:rsid w:val="00977BD0"/>
    <w:rsid w:val="009801A6"/>
    <w:rsid w:val="00981234"/>
    <w:rsid w:val="00981355"/>
    <w:rsid w:val="00981554"/>
    <w:rsid w:val="00981996"/>
    <w:rsid w:val="00981C3A"/>
    <w:rsid w:val="009830E8"/>
    <w:rsid w:val="00983125"/>
    <w:rsid w:val="00983372"/>
    <w:rsid w:val="00983B74"/>
    <w:rsid w:val="009841A9"/>
    <w:rsid w:val="009868CF"/>
    <w:rsid w:val="00986D43"/>
    <w:rsid w:val="00986E5A"/>
    <w:rsid w:val="009873FA"/>
    <w:rsid w:val="00990263"/>
    <w:rsid w:val="0099042D"/>
    <w:rsid w:val="0099044D"/>
    <w:rsid w:val="00990718"/>
    <w:rsid w:val="0099081B"/>
    <w:rsid w:val="00991265"/>
    <w:rsid w:val="00991BCA"/>
    <w:rsid w:val="00991C1A"/>
    <w:rsid w:val="009925B3"/>
    <w:rsid w:val="00992845"/>
    <w:rsid w:val="00993D3B"/>
    <w:rsid w:val="00993FEF"/>
    <w:rsid w:val="0099405A"/>
    <w:rsid w:val="00994182"/>
    <w:rsid w:val="00994421"/>
    <w:rsid w:val="009944E0"/>
    <w:rsid w:val="009955CD"/>
    <w:rsid w:val="00995C68"/>
    <w:rsid w:val="00995DC9"/>
    <w:rsid w:val="00995F26"/>
    <w:rsid w:val="00995FD4"/>
    <w:rsid w:val="00996413"/>
    <w:rsid w:val="00996498"/>
    <w:rsid w:val="0099696E"/>
    <w:rsid w:val="00997627"/>
    <w:rsid w:val="00997D5B"/>
    <w:rsid w:val="00997DB6"/>
    <w:rsid w:val="00997F2F"/>
    <w:rsid w:val="00997FDF"/>
    <w:rsid w:val="009A0065"/>
    <w:rsid w:val="009A0EFE"/>
    <w:rsid w:val="009A1672"/>
    <w:rsid w:val="009A1B26"/>
    <w:rsid w:val="009A2163"/>
    <w:rsid w:val="009A28C2"/>
    <w:rsid w:val="009A2CE4"/>
    <w:rsid w:val="009A3457"/>
    <w:rsid w:val="009A34CB"/>
    <w:rsid w:val="009A3628"/>
    <w:rsid w:val="009A3960"/>
    <w:rsid w:val="009A3C6C"/>
    <w:rsid w:val="009A492A"/>
    <w:rsid w:val="009A4CCC"/>
    <w:rsid w:val="009A5711"/>
    <w:rsid w:val="009A5E46"/>
    <w:rsid w:val="009A6270"/>
    <w:rsid w:val="009A638E"/>
    <w:rsid w:val="009A6FB6"/>
    <w:rsid w:val="009A7646"/>
    <w:rsid w:val="009A7B18"/>
    <w:rsid w:val="009A7C3A"/>
    <w:rsid w:val="009B0293"/>
    <w:rsid w:val="009B03D1"/>
    <w:rsid w:val="009B07A0"/>
    <w:rsid w:val="009B0EA7"/>
    <w:rsid w:val="009B1C7B"/>
    <w:rsid w:val="009B2854"/>
    <w:rsid w:val="009B30BD"/>
    <w:rsid w:val="009B35B5"/>
    <w:rsid w:val="009B3B5B"/>
    <w:rsid w:val="009B457D"/>
    <w:rsid w:val="009B49F0"/>
    <w:rsid w:val="009B517F"/>
    <w:rsid w:val="009B5836"/>
    <w:rsid w:val="009B58D0"/>
    <w:rsid w:val="009B5940"/>
    <w:rsid w:val="009B5F27"/>
    <w:rsid w:val="009B651B"/>
    <w:rsid w:val="009B6537"/>
    <w:rsid w:val="009B6916"/>
    <w:rsid w:val="009B6F0E"/>
    <w:rsid w:val="009B7797"/>
    <w:rsid w:val="009C0021"/>
    <w:rsid w:val="009C051E"/>
    <w:rsid w:val="009C0695"/>
    <w:rsid w:val="009C08EC"/>
    <w:rsid w:val="009C0C62"/>
    <w:rsid w:val="009C0D1D"/>
    <w:rsid w:val="009C1C0B"/>
    <w:rsid w:val="009C1D3C"/>
    <w:rsid w:val="009C1DAE"/>
    <w:rsid w:val="009C2261"/>
    <w:rsid w:val="009C2401"/>
    <w:rsid w:val="009C29B1"/>
    <w:rsid w:val="009C2F53"/>
    <w:rsid w:val="009C2F8E"/>
    <w:rsid w:val="009C3139"/>
    <w:rsid w:val="009C39BA"/>
    <w:rsid w:val="009C5440"/>
    <w:rsid w:val="009C55EB"/>
    <w:rsid w:val="009C5BE3"/>
    <w:rsid w:val="009C5D96"/>
    <w:rsid w:val="009C66EA"/>
    <w:rsid w:val="009C6DC3"/>
    <w:rsid w:val="009C6E13"/>
    <w:rsid w:val="009C723F"/>
    <w:rsid w:val="009C7EF0"/>
    <w:rsid w:val="009D0068"/>
    <w:rsid w:val="009D0085"/>
    <w:rsid w:val="009D012C"/>
    <w:rsid w:val="009D02AA"/>
    <w:rsid w:val="009D13A2"/>
    <w:rsid w:val="009D1E80"/>
    <w:rsid w:val="009D1FB9"/>
    <w:rsid w:val="009D2BDE"/>
    <w:rsid w:val="009D2F26"/>
    <w:rsid w:val="009D4070"/>
    <w:rsid w:val="009D4714"/>
    <w:rsid w:val="009D59AE"/>
    <w:rsid w:val="009D5CE5"/>
    <w:rsid w:val="009D5DFE"/>
    <w:rsid w:val="009D5EC4"/>
    <w:rsid w:val="009D5F4C"/>
    <w:rsid w:val="009D5F99"/>
    <w:rsid w:val="009D7141"/>
    <w:rsid w:val="009D78F6"/>
    <w:rsid w:val="009D7C2C"/>
    <w:rsid w:val="009E050D"/>
    <w:rsid w:val="009E0946"/>
    <w:rsid w:val="009E0DD1"/>
    <w:rsid w:val="009E12CC"/>
    <w:rsid w:val="009E13AB"/>
    <w:rsid w:val="009E1404"/>
    <w:rsid w:val="009E2210"/>
    <w:rsid w:val="009E24AC"/>
    <w:rsid w:val="009E2DA2"/>
    <w:rsid w:val="009E2FB1"/>
    <w:rsid w:val="009E30AA"/>
    <w:rsid w:val="009E3CCD"/>
    <w:rsid w:val="009E3FCD"/>
    <w:rsid w:val="009E4B94"/>
    <w:rsid w:val="009E4E5F"/>
    <w:rsid w:val="009E5895"/>
    <w:rsid w:val="009E5E35"/>
    <w:rsid w:val="009E5F1A"/>
    <w:rsid w:val="009E6AD5"/>
    <w:rsid w:val="009E6D29"/>
    <w:rsid w:val="009E6D56"/>
    <w:rsid w:val="009E7121"/>
    <w:rsid w:val="009E7CC2"/>
    <w:rsid w:val="009E7D0E"/>
    <w:rsid w:val="009F0018"/>
    <w:rsid w:val="009F00C1"/>
    <w:rsid w:val="009F08B4"/>
    <w:rsid w:val="009F0A78"/>
    <w:rsid w:val="009F0FF1"/>
    <w:rsid w:val="009F1CB4"/>
    <w:rsid w:val="009F1DDB"/>
    <w:rsid w:val="009F1E19"/>
    <w:rsid w:val="009F263C"/>
    <w:rsid w:val="009F2924"/>
    <w:rsid w:val="009F2C6C"/>
    <w:rsid w:val="009F37DB"/>
    <w:rsid w:val="009F435F"/>
    <w:rsid w:val="009F4436"/>
    <w:rsid w:val="009F4CE5"/>
    <w:rsid w:val="009F53E5"/>
    <w:rsid w:val="009F5D19"/>
    <w:rsid w:val="009F5D67"/>
    <w:rsid w:val="009F61E2"/>
    <w:rsid w:val="009F6A89"/>
    <w:rsid w:val="009F6DDD"/>
    <w:rsid w:val="009F7000"/>
    <w:rsid w:val="009F7384"/>
    <w:rsid w:val="009F77DB"/>
    <w:rsid w:val="00A00A6A"/>
    <w:rsid w:val="00A01378"/>
    <w:rsid w:val="00A016F4"/>
    <w:rsid w:val="00A02115"/>
    <w:rsid w:val="00A02810"/>
    <w:rsid w:val="00A030F6"/>
    <w:rsid w:val="00A03128"/>
    <w:rsid w:val="00A03A6D"/>
    <w:rsid w:val="00A03ABF"/>
    <w:rsid w:val="00A03CC2"/>
    <w:rsid w:val="00A04056"/>
    <w:rsid w:val="00A041E9"/>
    <w:rsid w:val="00A04220"/>
    <w:rsid w:val="00A04A1D"/>
    <w:rsid w:val="00A04B74"/>
    <w:rsid w:val="00A04FA2"/>
    <w:rsid w:val="00A05301"/>
    <w:rsid w:val="00A061F7"/>
    <w:rsid w:val="00A06823"/>
    <w:rsid w:val="00A07C59"/>
    <w:rsid w:val="00A1078B"/>
    <w:rsid w:val="00A11004"/>
    <w:rsid w:val="00A1156F"/>
    <w:rsid w:val="00A11B92"/>
    <w:rsid w:val="00A124F5"/>
    <w:rsid w:val="00A12608"/>
    <w:rsid w:val="00A12C05"/>
    <w:rsid w:val="00A133D5"/>
    <w:rsid w:val="00A1370B"/>
    <w:rsid w:val="00A1396F"/>
    <w:rsid w:val="00A1423E"/>
    <w:rsid w:val="00A14F36"/>
    <w:rsid w:val="00A15625"/>
    <w:rsid w:val="00A16494"/>
    <w:rsid w:val="00A17B96"/>
    <w:rsid w:val="00A17E06"/>
    <w:rsid w:val="00A201E5"/>
    <w:rsid w:val="00A202D6"/>
    <w:rsid w:val="00A204B9"/>
    <w:rsid w:val="00A20628"/>
    <w:rsid w:val="00A21116"/>
    <w:rsid w:val="00A215B7"/>
    <w:rsid w:val="00A2198A"/>
    <w:rsid w:val="00A21F2F"/>
    <w:rsid w:val="00A22A86"/>
    <w:rsid w:val="00A22E59"/>
    <w:rsid w:val="00A238A2"/>
    <w:rsid w:val="00A2397F"/>
    <w:rsid w:val="00A23BCE"/>
    <w:rsid w:val="00A23CD9"/>
    <w:rsid w:val="00A24277"/>
    <w:rsid w:val="00A24585"/>
    <w:rsid w:val="00A250EA"/>
    <w:rsid w:val="00A25346"/>
    <w:rsid w:val="00A253F3"/>
    <w:rsid w:val="00A25753"/>
    <w:rsid w:val="00A26D5D"/>
    <w:rsid w:val="00A27553"/>
    <w:rsid w:val="00A27A90"/>
    <w:rsid w:val="00A30942"/>
    <w:rsid w:val="00A30E6A"/>
    <w:rsid w:val="00A3162F"/>
    <w:rsid w:val="00A31634"/>
    <w:rsid w:val="00A31694"/>
    <w:rsid w:val="00A31824"/>
    <w:rsid w:val="00A31D8B"/>
    <w:rsid w:val="00A32493"/>
    <w:rsid w:val="00A327DF"/>
    <w:rsid w:val="00A3282A"/>
    <w:rsid w:val="00A32A50"/>
    <w:rsid w:val="00A330A2"/>
    <w:rsid w:val="00A33598"/>
    <w:rsid w:val="00A340FB"/>
    <w:rsid w:val="00A3415A"/>
    <w:rsid w:val="00A34F9E"/>
    <w:rsid w:val="00A35282"/>
    <w:rsid w:val="00A3533F"/>
    <w:rsid w:val="00A354BB"/>
    <w:rsid w:val="00A359DE"/>
    <w:rsid w:val="00A35F0F"/>
    <w:rsid w:val="00A36132"/>
    <w:rsid w:val="00A361E9"/>
    <w:rsid w:val="00A3778E"/>
    <w:rsid w:val="00A40D61"/>
    <w:rsid w:val="00A40EAD"/>
    <w:rsid w:val="00A40F04"/>
    <w:rsid w:val="00A41173"/>
    <w:rsid w:val="00A42123"/>
    <w:rsid w:val="00A4216F"/>
    <w:rsid w:val="00A43294"/>
    <w:rsid w:val="00A43429"/>
    <w:rsid w:val="00A444A8"/>
    <w:rsid w:val="00A45006"/>
    <w:rsid w:val="00A46EAC"/>
    <w:rsid w:val="00A46FB4"/>
    <w:rsid w:val="00A470E5"/>
    <w:rsid w:val="00A4723A"/>
    <w:rsid w:val="00A472D5"/>
    <w:rsid w:val="00A47651"/>
    <w:rsid w:val="00A4783D"/>
    <w:rsid w:val="00A50029"/>
    <w:rsid w:val="00A501E1"/>
    <w:rsid w:val="00A50B64"/>
    <w:rsid w:val="00A50C17"/>
    <w:rsid w:val="00A51662"/>
    <w:rsid w:val="00A51725"/>
    <w:rsid w:val="00A523D4"/>
    <w:rsid w:val="00A524AB"/>
    <w:rsid w:val="00A52CCA"/>
    <w:rsid w:val="00A53773"/>
    <w:rsid w:val="00A539A2"/>
    <w:rsid w:val="00A53C7C"/>
    <w:rsid w:val="00A540A9"/>
    <w:rsid w:val="00A54F3E"/>
    <w:rsid w:val="00A55C20"/>
    <w:rsid w:val="00A55CEB"/>
    <w:rsid w:val="00A55E60"/>
    <w:rsid w:val="00A56D61"/>
    <w:rsid w:val="00A607BC"/>
    <w:rsid w:val="00A60B4E"/>
    <w:rsid w:val="00A61721"/>
    <w:rsid w:val="00A61836"/>
    <w:rsid w:val="00A61E19"/>
    <w:rsid w:val="00A61E76"/>
    <w:rsid w:val="00A626FD"/>
    <w:rsid w:val="00A62D68"/>
    <w:rsid w:val="00A63006"/>
    <w:rsid w:val="00A63052"/>
    <w:rsid w:val="00A63711"/>
    <w:rsid w:val="00A63C52"/>
    <w:rsid w:val="00A63DF1"/>
    <w:rsid w:val="00A64E37"/>
    <w:rsid w:val="00A657AA"/>
    <w:rsid w:val="00A65AB7"/>
    <w:rsid w:val="00A664C8"/>
    <w:rsid w:val="00A66548"/>
    <w:rsid w:val="00A6699E"/>
    <w:rsid w:val="00A66CD3"/>
    <w:rsid w:val="00A66E5C"/>
    <w:rsid w:val="00A6724C"/>
    <w:rsid w:val="00A67AC2"/>
    <w:rsid w:val="00A70B6A"/>
    <w:rsid w:val="00A70EC8"/>
    <w:rsid w:val="00A7185A"/>
    <w:rsid w:val="00A71CA8"/>
    <w:rsid w:val="00A71D95"/>
    <w:rsid w:val="00A726F7"/>
    <w:rsid w:val="00A72F73"/>
    <w:rsid w:val="00A7353D"/>
    <w:rsid w:val="00A736B5"/>
    <w:rsid w:val="00A74341"/>
    <w:rsid w:val="00A74A50"/>
    <w:rsid w:val="00A75231"/>
    <w:rsid w:val="00A75AE3"/>
    <w:rsid w:val="00A75EE1"/>
    <w:rsid w:val="00A76680"/>
    <w:rsid w:val="00A76A6D"/>
    <w:rsid w:val="00A76C90"/>
    <w:rsid w:val="00A77379"/>
    <w:rsid w:val="00A77555"/>
    <w:rsid w:val="00A77A92"/>
    <w:rsid w:val="00A800CF"/>
    <w:rsid w:val="00A8041A"/>
    <w:rsid w:val="00A810DA"/>
    <w:rsid w:val="00A8116E"/>
    <w:rsid w:val="00A815AB"/>
    <w:rsid w:val="00A81D51"/>
    <w:rsid w:val="00A81E57"/>
    <w:rsid w:val="00A82541"/>
    <w:rsid w:val="00A825F6"/>
    <w:rsid w:val="00A83B02"/>
    <w:rsid w:val="00A84942"/>
    <w:rsid w:val="00A84F08"/>
    <w:rsid w:val="00A85D21"/>
    <w:rsid w:val="00A86119"/>
    <w:rsid w:val="00A873A3"/>
    <w:rsid w:val="00A8749A"/>
    <w:rsid w:val="00A87715"/>
    <w:rsid w:val="00A879E3"/>
    <w:rsid w:val="00A87DB4"/>
    <w:rsid w:val="00A9001A"/>
    <w:rsid w:val="00A90481"/>
    <w:rsid w:val="00A906F3"/>
    <w:rsid w:val="00A91A0F"/>
    <w:rsid w:val="00A91DA5"/>
    <w:rsid w:val="00A91F8A"/>
    <w:rsid w:val="00A91FCE"/>
    <w:rsid w:val="00A922FF"/>
    <w:rsid w:val="00A92B81"/>
    <w:rsid w:val="00A92BCB"/>
    <w:rsid w:val="00A92D76"/>
    <w:rsid w:val="00A93038"/>
    <w:rsid w:val="00A9313E"/>
    <w:rsid w:val="00A932D0"/>
    <w:rsid w:val="00A9367A"/>
    <w:rsid w:val="00A93C88"/>
    <w:rsid w:val="00A93E8F"/>
    <w:rsid w:val="00A94039"/>
    <w:rsid w:val="00A94044"/>
    <w:rsid w:val="00A94F0B"/>
    <w:rsid w:val="00A94F13"/>
    <w:rsid w:val="00A959D2"/>
    <w:rsid w:val="00A96311"/>
    <w:rsid w:val="00A964C7"/>
    <w:rsid w:val="00A966B5"/>
    <w:rsid w:val="00A972B6"/>
    <w:rsid w:val="00A97A29"/>
    <w:rsid w:val="00A97D7F"/>
    <w:rsid w:val="00AA0C7B"/>
    <w:rsid w:val="00AA12C2"/>
    <w:rsid w:val="00AA12EE"/>
    <w:rsid w:val="00AA17D5"/>
    <w:rsid w:val="00AA187E"/>
    <w:rsid w:val="00AA228C"/>
    <w:rsid w:val="00AA3011"/>
    <w:rsid w:val="00AA349F"/>
    <w:rsid w:val="00AA3620"/>
    <w:rsid w:val="00AA3845"/>
    <w:rsid w:val="00AA3980"/>
    <w:rsid w:val="00AA407B"/>
    <w:rsid w:val="00AA4B7D"/>
    <w:rsid w:val="00AA4F59"/>
    <w:rsid w:val="00AA52E6"/>
    <w:rsid w:val="00AA5885"/>
    <w:rsid w:val="00AA5C0F"/>
    <w:rsid w:val="00AA625E"/>
    <w:rsid w:val="00AA6633"/>
    <w:rsid w:val="00AA6CEE"/>
    <w:rsid w:val="00AA7150"/>
    <w:rsid w:val="00AA71B9"/>
    <w:rsid w:val="00AB03DA"/>
    <w:rsid w:val="00AB0E49"/>
    <w:rsid w:val="00AB115D"/>
    <w:rsid w:val="00AB2293"/>
    <w:rsid w:val="00AB26E4"/>
    <w:rsid w:val="00AB30D3"/>
    <w:rsid w:val="00AB3599"/>
    <w:rsid w:val="00AB3925"/>
    <w:rsid w:val="00AB3AF8"/>
    <w:rsid w:val="00AB3F1E"/>
    <w:rsid w:val="00AB4582"/>
    <w:rsid w:val="00AB4999"/>
    <w:rsid w:val="00AB4EE2"/>
    <w:rsid w:val="00AB5A0D"/>
    <w:rsid w:val="00AB5BFC"/>
    <w:rsid w:val="00AB5E29"/>
    <w:rsid w:val="00AB65EA"/>
    <w:rsid w:val="00AB6A27"/>
    <w:rsid w:val="00AB6AFD"/>
    <w:rsid w:val="00AB6B0D"/>
    <w:rsid w:val="00AB78E7"/>
    <w:rsid w:val="00AB7BD2"/>
    <w:rsid w:val="00AC072F"/>
    <w:rsid w:val="00AC079A"/>
    <w:rsid w:val="00AC2DFA"/>
    <w:rsid w:val="00AC3BCB"/>
    <w:rsid w:val="00AC4604"/>
    <w:rsid w:val="00AC488C"/>
    <w:rsid w:val="00AC57EA"/>
    <w:rsid w:val="00AC58B4"/>
    <w:rsid w:val="00AC5A17"/>
    <w:rsid w:val="00AC6224"/>
    <w:rsid w:val="00AC6A8C"/>
    <w:rsid w:val="00AC6F38"/>
    <w:rsid w:val="00AC6FC9"/>
    <w:rsid w:val="00AC70AA"/>
    <w:rsid w:val="00AC716E"/>
    <w:rsid w:val="00AC75BE"/>
    <w:rsid w:val="00AC77C9"/>
    <w:rsid w:val="00AC7844"/>
    <w:rsid w:val="00AC7C7A"/>
    <w:rsid w:val="00AD098C"/>
    <w:rsid w:val="00AD0B7B"/>
    <w:rsid w:val="00AD0D34"/>
    <w:rsid w:val="00AD0D96"/>
    <w:rsid w:val="00AD1050"/>
    <w:rsid w:val="00AD124B"/>
    <w:rsid w:val="00AD2539"/>
    <w:rsid w:val="00AD3529"/>
    <w:rsid w:val="00AD38C4"/>
    <w:rsid w:val="00AD397B"/>
    <w:rsid w:val="00AD3AB2"/>
    <w:rsid w:val="00AD3B6A"/>
    <w:rsid w:val="00AD4BD2"/>
    <w:rsid w:val="00AD4C30"/>
    <w:rsid w:val="00AD4D67"/>
    <w:rsid w:val="00AD4F88"/>
    <w:rsid w:val="00AD565F"/>
    <w:rsid w:val="00AD5F89"/>
    <w:rsid w:val="00AD61EA"/>
    <w:rsid w:val="00AD6CAC"/>
    <w:rsid w:val="00AD6D30"/>
    <w:rsid w:val="00AD7243"/>
    <w:rsid w:val="00AD78BD"/>
    <w:rsid w:val="00AD7916"/>
    <w:rsid w:val="00AD79AF"/>
    <w:rsid w:val="00AE0136"/>
    <w:rsid w:val="00AE023E"/>
    <w:rsid w:val="00AE02DF"/>
    <w:rsid w:val="00AE1025"/>
    <w:rsid w:val="00AE1076"/>
    <w:rsid w:val="00AE1837"/>
    <w:rsid w:val="00AE1957"/>
    <w:rsid w:val="00AE1BEB"/>
    <w:rsid w:val="00AE20A1"/>
    <w:rsid w:val="00AE23A2"/>
    <w:rsid w:val="00AE2DAE"/>
    <w:rsid w:val="00AE3062"/>
    <w:rsid w:val="00AE3110"/>
    <w:rsid w:val="00AE320E"/>
    <w:rsid w:val="00AE345C"/>
    <w:rsid w:val="00AE3A91"/>
    <w:rsid w:val="00AE3B43"/>
    <w:rsid w:val="00AE3F1B"/>
    <w:rsid w:val="00AE43E5"/>
    <w:rsid w:val="00AE4FD5"/>
    <w:rsid w:val="00AE4FDF"/>
    <w:rsid w:val="00AE50A3"/>
    <w:rsid w:val="00AE55C5"/>
    <w:rsid w:val="00AE5736"/>
    <w:rsid w:val="00AE5D41"/>
    <w:rsid w:val="00AE5DF7"/>
    <w:rsid w:val="00AE6502"/>
    <w:rsid w:val="00AE6510"/>
    <w:rsid w:val="00AE65B0"/>
    <w:rsid w:val="00AE6670"/>
    <w:rsid w:val="00AE67AD"/>
    <w:rsid w:val="00AE6836"/>
    <w:rsid w:val="00AE6E10"/>
    <w:rsid w:val="00AE7412"/>
    <w:rsid w:val="00AE7CFA"/>
    <w:rsid w:val="00AF0058"/>
    <w:rsid w:val="00AF05A4"/>
    <w:rsid w:val="00AF07DE"/>
    <w:rsid w:val="00AF08DF"/>
    <w:rsid w:val="00AF0B2D"/>
    <w:rsid w:val="00AF0E23"/>
    <w:rsid w:val="00AF1AF3"/>
    <w:rsid w:val="00AF1D02"/>
    <w:rsid w:val="00AF1FD0"/>
    <w:rsid w:val="00AF2279"/>
    <w:rsid w:val="00AF32D5"/>
    <w:rsid w:val="00AF342B"/>
    <w:rsid w:val="00AF4BAC"/>
    <w:rsid w:val="00AF4DB7"/>
    <w:rsid w:val="00AF56DF"/>
    <w:rsid w:val="00AF76E3"/>
    <w:rsid w:val="00B00D92"/>
    <w:rsid w:val="00B01601"/>
    <w:rsid w:val="00B01724"/>
    <w:rsid w:val="00B017AB"/>
    <w:rsid w:val="00B02C04"/>
    <w:rsid w:val="00B02E25"/>
    <w:rsid w:val="00B03250"/>
    <w:rsid w:val="00B03DEF"/>
    <w:rsid w:val="00B0422A"/>
    <w:rsid w:val="00B04DDD"/>
    <w:rsid w:val="00B04F6A"/>
    <w:rsid w:val="00B053B8"/>
    <w:rsid w:val="00B06699"/>
    <w:rsid w:val="00B1062E"/>
    <w:rsid w:val="00B10770"/>
    <w:rsid w:val="00B10A14"/>
    <w:rsid w:val="00B10C6D"/>
    <w:rsid w:val="00B1227D"/>
    <w:rsid w:val="00B124AA"/>
    <w:rsid w:val="00B125A3"/>
    <w:rsid w:val="00B13258"/>
    <w:rsid w:val="00B1331B"/>
    <w:rsid w:val="00B139FA"/>
    <w:rsid w:val="00B13F3A"/>
    <w:rsid w:val="00B148BE"/>
    <w:rsid w:val="00B152CA"/>
    <w:rsid w:val="00B15690"/>
    <w:rsid w:val="00B15E63"/>
    <w:rsid w:val="00B16377"/>
    <w:rsid w:val="00B16922"/>
    <w:rsid w:val="00B16D31"/>
    <w:rsid w:val="00B17232"/>
    <w:rsid w:val="00B176D2"/>
    <w:rsid w:val="00B1779F"/>
    <w:rsid w:val="00B17E71"/>
    <w:rsid w:val="00B205E9"/>
    <w:rsid w:val="00B20C95"/>
    <w:rsid w:val="00B20DB8"/>
    <w:rsid w:val="00B2126A"/>
    <w:rsid w:val="00B21625"/>
    <w:rsid w:val="00B21E79"/>
    <w:rsid w:val="00B22219"/>
    <w:rsid w:val="00B22D95"/>
    <w:rsid w:val="00B23BFD"/>
    <w:rsid w:val="00B23D20"/>
    <w:rsid w:val="00B247F3"/>
    <w:rsid w:val="00B24E70"/>
    <w:rsid w:val="00B25482"/>
    <w:rsid w:val="00B25938"/>
    <w:rsid w:val="00B25A16"/>
    <w:rsid w:val="00B2606C"/>
    <w:rsid w:val="00B26496"/>
    <w:rsid w:val="00B2756B"/>
    <w:rsid w:val="00B27BF9"/>
    <w:rsid w:val="00B301C8"/>
    <w:rsid w:val="00B305E2"/>
    <w:rsid w:val="00B30B2B"/>
    <w:rsid w:val="00B30C5C"/>
    <w:rsid w:val="00B31B6C"/>
    <w:rsid w:val="00B31E15"/>
    <w:rsid w:val="00B31F9F"/>
    <w:rsid w:val="00B32959"/>
    <w:rsid w:val="00B336AC"/>
    <w:rsid w:val="00B336D3"/>
    <w:rsid w:val="00B33918"/>
    <w:rsid w:val="00B34214"/>
    <w:rsid w:val="00B342AA"/>
    <w:rsid w:val="00B34E13"/>
    <w:rsid w:val="00B3587C"/>
    <w:rsid w:val="00B358B9"/>
    <w:rsid w:val="00B35DEC"/>
    <w:rsid w:val="00B36924"/>
    <w:rsid w:val="00B37189"/>
    <w:rsid w:val="00B37BA5"/>
    <w:rsid w:val="00B40004"/>
    <w:rsid w:val="00B406AD"/>
    <w:rsid w:val="00B40FD4"/>
    <w:rsid w:val="00B4143B"/>
    <w:rsid w:val="00B41955"/>
    <w:rsid w:val="00B41C98"/>
    <w:rsid w:val="00B42FD0"/>
    <w:rsid w:val="00B432F9"/>
    <w:rsid w:val="00B435C7"/>
    <w:rsid w:val="00B44668"/>
    <w:rsid w:val="00B44D11"/>
    <w:rsid w:val="00B44E30"/>
    <w:rsid w:val="00B46445"/>
    <w:rsid w:val="00B4664A"/>
    <w:rsid w:val="00B46705"/>
    <w:rsid w:val="00B46FB9"/>
    <w:rsid w:val="00B47622"/>
    <w:rsid w:val="00B47DCC"/>
    <w:rsid w:val="00B5012D"/>
    <w:rsid w:val="00B50350"/>
    <w:rsid w:val="00B50441"/>
    <w:rsid w:val="00B50D3A"/>
    <w:rsid w:val="00B50F1E"/>
    <w:rsid w:val="00B51612"/>
    <w:rsid w:val="00B5235F"/>
    <w:rsid w:val="00B52814"/>
    <w:rsid w:val="00B528E2"/>
    <w:rsid w:val="00B52AA6"/>
    <w:rsid w:val="00B52D1E"/>
    <w:rsid w:val="00B5336A"/>
    <w:rsid w:val="00B53533"/>
    <w:rsid w:val="00B5380B"/>
    <w:rsid w:val="00B540C9"/>
    <w:rsid w:val="00B54391"/>
    <w:rsid w:val="00B544AA"/>
    <w:rsid w:val="00B54B25"/>
    <w:rsid w:val="00B55D7C"/>
    <w:rsid w:val="00B55DAF"/>
    <w:rsid w:val="00B573F7"/>
    <w:rsid w:val="00B5761E"/>
    <w:rsid w:val="00B57E15"/>
    <w:rsid w:val="00B6000B"/>
    <w:rsid w:val="00B608F4"/>
    <w:rsid w:val="00B6129E"/>
    <w:rsid w:val="00B618BC"/>
    <w:rsid w:val="00B61DD5"/>
    <w:rsid w:val="00B62A3A"/>
    <w:rsid w:val="00B62BEF"/>
    <w:rsid w:val="00B62DDF"/>
    <w:rsid w:val="00B631ED"/>
    <w:rsid w:val="00B63689"/>
    <w:rsid w:val="00B63B33"/>
    <w:rsid w:val="00B64489"/>
    <w:rsid w:val="00B64833"/>
    <w:rsid w:val="00B6484C"/>
    <w:rsid w:val="00B64D60"/>
    <w:rsid w:val="00B64DDE"/>
    <w:rsid w:val="00B64F2E"/>
    <w:rsid w:val="00B654F8"/>
    <w:rsid w:val="00B658FC"/>
    <w:rsid w:val="00B6712B"/>
    <w:rsid w:val="00B67419"/>
    <w:rsid w:val="00B67888"/>
    <w:rsid w:val="00B67AE2"/>
    <w:rsid w:val="00B67BC7"/>
    <w:rsid w:val="00B703DF"/>
    <w:rsid w:val="00B70424"/>
    <w:rsid w:val="00B70BC7"/>
    <w:rsid w:val="00B70F87"/>
    <w:rsid w:val="00B71112"/>
    <w:rsid w:val="00B73913"/>
    <w:rsid w:val="00B73AE9"/>
    <w:rsid w:val="00B73C0E"/>
    <w:rsid w:val="00B73CD0"/>
    <w:rsid w:val="00B741EC"/>
    <w:rsid w:val="00B741F6"/>
    <w:rsid w:val="00B74203"/>
    <w:rsid w:val="00B745B2"/>
    <w:rsid w:val="00B7481D"/>
    <w:rsid w:val="00B75B6E"/>
    <w:rsid w:val="00B75F50"/>
    <w:rsid w:val="00B76566"/>
    <w:rsid w:val="00B76E55"/>
    <w:rsid w:val="00B771CF"/>
    <w:rsid w:val="00B80BAF"/>
    <w:rsid w:val="00B80C02"/>
    <w:rsid w:val="00B81603"/>
    <w:rsid w:val="00B81637"/>
    <w:rsid w:val="00B8196C"/>
    <w:rsid w:val="00B8335B"/>
    <w:rsid w:val="00B838B2"/>
    <w:rsid w:val="00B83AEA"/>
    <w:rsid w:val="00B8436C"/>
    <w:rsid w:val="00B8560B"/>
    <w:rsid w:val="00B8590A"/>
    <w:rsid w:val="00B87705"/>
    <w:rsid w:val="00B87887"/>
    <w:rsid w:val="00B87BE6"/>
    <w:rsid w:val="00B87DF6"/>
    <w:rsid w:val="00B90481"/>
    <w:rsid w:val="00B91283"/>
    <w:rsid w:val="00B91AC5"/>
    <w:rsid w:val="00B91BF4"/>
    <w:rsid w:val="00B91F4C"/>
    <w:rsid w:val="00B926B5"/>
    <w:rsid w:val="00B92F33"/>
    <w:rsid w:val="00B92F90"/>
    <w:rsid w:val="00B93146"/>
    <w:rsid w:val="00B932A1"/>
    <w:rsid w:val="00B932A7"/>
    <w:rsid w:val="00B934EE"/>
    <w:rsid w:val="00B93E46"/>
    <w:rsid w:val="00B9444A"/>
    <w:rsid w:val="00B9446E"/>
    <w:rsid w:val="00B94D08"/>
    <w:rsid w:val="00B96A57"/>
    <w:rsid w:val="00B97135"/>
    <w:rsid w:val="00B97B24"/>
    <w:rsid w:val="00B97D06"/>
    <w:rsid w:val="00B97ECB"/>
    <w:rsid w:val="00BA0BCB"/>
    <w:rsid w:val="00BA0F7F"/>
    <w:rsid w:val="00BA1B0A"/>
    <w:rsid w:val="00BA1D52"/>
    <w:rsid w:val="00BA224E"/>
    <w:rsid w:val="00BA22F8"/>
    <w:rsid w:val="00BA2B62"/>
    <w:rsid w:val="00BA3807"/>
    <w:rsid w:val="00BA3E80"/>
    <w:rsid w:val="00BA58AA"/>
    <w:rsid w:val="00BA5A50"/>
    <w:rsid w:val="00BB04CB"/>
    <w:rsid w:val="00BB052D"/>
    <w:rsid w:val="00BB0996"/>
    <w:rsid w:val="00BB0A22"/>
    <w:rsid w:val="00BB0ACB"/>
    <w:rsid w:val="00BB15E0"/>
    <w:rsid w:val="00BB1654"/>
    <w:rsid w:val="00BB1B8F"/>
    <w:rsid w:val="00BB272F"/>
    <w:rsid w:val="00BB277B"/>
    <w:rsid w:val="00BB2AB5"/>
    <w:rsid w:val="00BB2BEA"/>
    <w:rsid w:val="00BB2EEE"/>
    <w:rsid w:val="00BB34FF"/>
    <w:rsid w:val="00BB372E"/>
    <w:rsid w:val="00BB3EB1"/>
    <w:rsid w:val="00BB41EC"/>
    <w:rsid w:val="00BB4255"/>
    <w:rsid w:val="00BB43B7"/>
    <w:rsid w:val="00BB4BFA"/>
    <w:rsid w:val="00BB4F42"/>
    <w:rsid w:val="00BB5797"/>
    <w:rsid w:val="00BB5F3A"/>
    <w:rsid w:val="00BB68EA"/>
    <w:rsid w:val="00BB68EB"/>
    <w:rsid w:val="00BB6FB2"/>
    <w:rsid w:val="00BB7BC2"/>
    <w:rsid w:val="00BB7E92"/>
    <w:rsid w:val="00BC0DC9"/>
    <w:rsid w:val="00BC0F52"/>
    <w:rsid w:val="00BC12BD"/>
    <w:rsid w:val="00BC1655"/>
    <w:rsid w:val="00BC196E"/>
    <w:rsid w:val="00BC1CD7"/>
    <w:rsid w:val="00BC223E"/>
    <w:rsid w:val="00BC273D"/>
    <w:rsid w:val="00BC27E6"/>
    <w:rsid w:val="00BC2B31"/>
    <w:rsid w:val="00BC2D80"/>
    <w:rsid w:val="00BC38BF"/>
    <w:rsid w:val="00BC515D"/>
    <w:rsid w:val="00BC5FC1"/>
    <w:rsid w:val="00BC5FEE"/>
    <w:rsid w:val="00BC61CD"/>
    <w:rsid w:val="00BC66E1"/>
    <w:rsid w:val="00BC67CA"/>
    <w:rsid w:val="00BD062E"/>
    <w:rsid w:val="00BD064B"/>
    <w:rsid w:val="00BD067B"/>
    <w:rsid w:val="00BD09B7"/>
    <w:rsid w:val="00BD0C1D"/>
    <w:rsid w:val="00BD1159"/>
    <w:rsid w:val="00BD1F11"/>
    <w:rsid w:val="00BD2E26"/>
    <w:rsid w:val="00BD2E65"/>
    <w:rsid w:val="00BD32F5"/>
    <w:rsid w:val="00BD35FA"/>
    <w:rsid w:val="00BD36CF"/>
    <w:rsid w:val="00BD399B"/>
    <w:rsid w:val="00BD4229"/>
    <w:rsid w:val="00BD4D37"/>
    <w:rsid w:val="00BD5703"/>
    <w:rsid w:val="00BD5957"/>
    <w:rsid w:val="00BD59F8"/>
    <w:rsid w:val="00BD5C4C"/>
    <w:rsid w:val="00BD5D1A"/>
    <w:rsid w:val="00BD65B9"/>
    <w:rsid w:val="00BD6BC9"/>
    <w:rsid w:val="00BD7059"/>
    <w:rsid w:val="00BD70E4"/>
    <w:rsid w:val="00BD7341"/>
    <w:rsid w:val="00BD7504"/>
    <w:rsid w:val="00BD7C86"/>
    <w:rsid w:val="00BD7D91"/>
    <w:rsid w:val="00BD7E84"/>
    <w:rsid w:val="00BD7FC6"/>
    <w:rsid w:val="00BE03B7"/>
    <w:rsid w:val="00BE0ED4"/>
    <w:rsid w:val="00BE163B"/>
    <w:rsid w:val="00BE1DD8"/>
    <w:rsid w:val="00BE230D"/>
    <w:rsid w:val="00BE3054"/>
    <w:rsid w:val="00BE3458"/>
    <w:rsid w:val="00BE36C6"/>
    <w:rsid w:val="00BE3A4B"/>
    <w:rsid w:val="00BE3BF1"/>
    <w:rsid w:val="00BE4307"/>
    <w:rsid w:val="00BE4AFB"/>
    <w:rsid w:val="00BE5293"/>
    <w:rsid w:val="00BE5C99"/>
    <w:rsid w:val="00BE6510"/>
    <w:rsid w:val="00BE6526"/>
    <w:rsid w:val="00BE75A5"/>
    <w:rsid w:val="00BE793E"/>
    <w:rsid w:val="00BE7C0E"/>
    <w:rsid w:val="00BE7CD7"/>
    <w:rsid w:val="00BE7FD6"/>
    <w:rsid w:val="00BF016B"/>
    <w:rsid w:val="00BF0406"/>
    <w:rsid w:val="00BF0650"/>
    <w:rsid w:val="00BF12CD"/>
    <w:rsid w:val="00BF1508"/>
    <w:rsid w:val="00BF1A85"/>
    <w:rsid w:val="00BF1AC2"/>
    <w:rsid w:val="00BF1AC7"/>
    <w:rsid w:val="00BF1D83"/>
    <w:rsid w:val="00BF1ECE"/>
    <w:rsid w:val="00BF217C"/>
    <w:rsid w:val="00BF2969"/>
    <w:rsid w:val="00BF2D6C"/>
    <w:rsid w:val="00BF2F0D"/>
    <w:rsid w:val="00BF3490"/>
    <w:rsid w:val="00BF37C2"/>
    <w:rsid w:val="00BF3A3C"/>
    <w:rsid w:val="00BF3D34"/>
    <w:rsid w:val="00BF4283"/>
    <w:rsid w:val="00BF42C8"/>
    <w:rsid w:val="00BF4988"/>
    <w:rsid w:val="00BF4EB5"/>
    <w:rsid w:val="00BF515D"/>
    <w:rsid w:val="00BF5438"/>
    <w:rsid w:val="00BF576B"/>
    <w:rsid w:val="00BF6B75"/>
    <w:rsid w:val="00BF6E62"/>
    <w:rsid w:val="00BF722E"/>
    <w:rsid w:val="00BF72CC"/>
    <w:rsid w:val="00BF7398"/>
    <w:rsid w:val="00BF74B4"/>
    <w:rsid w:val="00BF7A78"/>
    <w:rsid w:val="00C0088C"/>
    <w:rsid w:val="00C00A21"/>
    <w:rsid w:val="00C00B6C"/>
    <w:rsid w:val="00C01B0B"/>
    <w:rsid w:val="00C01D47"/>
    <w:rsid w:val="00C035E0"/>
    <w:rsid w:val="00C03CAF"/>
    <w:rsid w:val="00C04B63"/>
    <w:rsid w:val="00C04F28"/>
    <w:rsid w:val="00C050EE"/>
    <w:rsid w:val="00C052D2"/>
    <w:rsid w:val="00C06526"/>
    <w:rsid w:val="00C0669B"/>
    <w:rsid w:val="00C06A4B"/>
    <w:rsid w:val="00C11955"/>
    <w:rsid w:val="00C12178"/>
    <w:rsid w:val="00C12270"/>
    <w:rsid w:val="00C12317"/>
    <w:rsid w:val="00C124B7"/>
    <w:rsid w:val="00C128F9"/>
    <w:rsid w:val="00C13310"/>
    <w:rsid w:val="00C13B9C"/>
    <w:rsid w:val="00C13EBE"/>
    <w:rsid w:val="00C145A0"/>
    <w:rsid w:val="00C14679"/>
    <w:rsid w:val="00C15048"/>
    <w:rsid w:val="00C15112"/>
    <w:rsid w:val="00C1523D"/>
    <w:rsid w:val="00C1544F"/>
    <w:rsid w:val="00C15871"/>
    <w:rsid w:val="00C15A5E"/>
    <w:rsid w:val="00C15CB1"/>
    <w:rsid w:val="00C16071"/>
    <w:rsid w:val="00C1673C"/>
    <w:rsid w:val="00C16F04"/>
    <w:rsid w:val="00C17B82"/>
    <w:rsid w:val="00C17BF2"/>
    <w:rsid w:val="00C17E65"/>
    <w:rsid w:val="00C2018C"/>
    <w:rsid w:val="00C2034A"/>
    <w:rsid w:val="00C21328"/>
    <w:rsid w:val="00C21488"/>
    <w:rsid w:val="00C21648"/>
    <w:rsid w:val="00C21D5D"/>
    <w:rsid w:val="00C2276B"/>
    <w:rsid w:val="00C22F89"/>
    <w:rsid w:val="00C23334"/>
    <w:rsid w:val="00C2349E"/>
    <w:rsid w:val="00C23AEB"/>
    <w:rsid w:val="00C23F27"/>
    <w:rsid w:val="00C2427E"/>
    <w:rsid w:val="00C243C4"/>
    <w:rsid w:val="00C24BCD"/>
    <w:rsid w:val="00C25A33"/>
    <w:rsid w:val="00C25EDB"/>
    <w:rsid w:val="00C26252"/>
    <w:rsid w:val="00C2640A"/>
    <w:rsid w:val="00C267EE"/>
    <w:rsid w:val="00C26FF2"/>
    <w:rsid w:val="00C279A1"/>
    <w:rsid w:val="00C30905"/>
    <w:rsid w:val="00C30B7E"/>
    <w:rsid w:val="00C3136F"/>
    <w:rsid w:val="00C313C0"/>
    <w:rsid w:val="00C31A28"/>
    <w:rsid w:val="00C31CA9"/>
    <w:rsid w:val="00C32CB2"/>
    <w:rsid w:val="00C3344B"/>
    <w:rsid w:val="00C33A5F"/>
    <w:rsid w:val="00C33AD0"/>
    <w:rsid w:val="00C33BB5"/>
    <w:rsid w:val="00C33D23"/>
    <w:rsid w:val="00C342EE"/>
    <w:rsid w:val="00C346D7"/>
    <w:rsid w:val="00C3498A"/>
    <w:rsid w:val="00C357EF"/>
    <w:rsid w:val="00C359F1"/>
    <w:rsid w:val="00C36238"/>
    <w:rsid w:val="00C36440"/>
    <w:rsid w:val="00C36BFE"/>
    <w:rsid w:val="00C37747"/>
    <w:rsid w:val="00C37C79"/>
    <w:rsid w:val="00C414AB"/>
    <w:rsid w:val="00C4176B"/>
    <w:rsid w:val="00C41ACC"/>
    <w:rsid w:val="00C41FF9"/>
    <w:rsid w:val="00C4260A"/>
    <w:rsid w:val="00C4282E"/>
    <w:rsid w:val="00C430BC"/>
    <w:rsid w:val="00C433B4"/>
    <w:rsid w:val="00C439DD"/>
    <w:rsid w:val="00C4422C"/>
    <w:rsid w:val="00C44288"/>
    <w:rsid w:val="00C456CF"/>
    <w:rsid w:val="00C46441"/>
    <w:rsid w:val="00C46603"/>
    <w:rsid w:val="00C4680F"/>
    <w:rsid w:val="00C4737F"/>
    <w:rsid w:val="00C4780A"/>
    <w:rsid w:val="00C47B22"/>
    <w:rsid w:val="00C47CC6"/>
    <w:rsid w:val="00C47EB9"/>
    <w:rsid w:val="00C5145C"/>
    <w:rsid w:val="00C518C0"/>
    <w:rsid w:val="00C51BB6"/>
    <w:rsid w:val="00C53137"/>
    <w:rsid w:val="00C53704"/>
    <w:rsid w:val="00C53818"/>
    <w:rsid w:val="00C53D07"/>
    <w:rsid w:val="00C541F6"/>
    <w:rsid w:val="00C54ECD"/>
    <w:rsid w:val="00C55041"/>
    <w:rsid w:val="00C5524D"/>
    <w:rsid w:val="00C56685"/>
    <w:rsid w:val="00C57493"/>
    <w:rsid w:val="00C57883"/>
    <w:rsid w:val="00C57DD8"/>
    <w:rsid w:val="00C57E61"/>
    <w:rsid w:val="00C601E1"/>
    <w:rsid w:val="00C61239"/>
    <w:rsid w:val="00C61AD0"/>
    <w:rsid w:val="00C61D2B"/>
    <w:rsid w:val="00C61E8C"/>
    <w:rsid w:val="00C62098"/>
    <w:rsid w:val="00C62BBA"/>
    <w:rsid w:val="00C62C7A"/>
    <w:rsid w:val="00C6321F"/>
    <w:rsid w:val="00C634E7"/>
    <w:rsid w:val="00C63901"/>
    <w:rsid w:val="00C6399B"/>
    <w:rsid w:val="00C639BF"/>
    <w:rsid w:val="00C63CCF"/>
    <w:rsid w:val="00C64F50"/>
    <w:rsid w:val="00C64FEC"/>
    <w:rsid w:val="00C65C50"/>
    <w:rsid w:val="00C65CCA"/>
    <w:rsid w:val="00C669A0"/>
    <w:rsid w:val="00C66AF3"/>
    <w:rsid w:val="00C67353"/>
    <w:rsid w:val="00C674F5"/>
    <w:rsid w:val="00C67509"/>
    <w:rsid w:val="00C7028B"/>
    <w:rsid w:val="00C7031B"/>
    <w:rsid w:val="00C70488"/>
    <w:rsid w:val="00C707E0"/>
    <w:rsid w:val="00C7089B"/>
    <w:rsid w:val="00C70999"/>
    <w:rsid w:val="00C709AA"/>
    <w:rsid w:val="00C70C97"/>
    <w:rsid w:val="00C71C42"/>
    <w:rsid w:val="00C72D17"/>
    <w:rsid w:val="00C7300E"/>
    <w:rsid w:val="00C7316A"/>
    <w:rsid w:val="00C7330D"/>
    <w:rsid w:val="00C737CF"/>
    <w:rsid w:val="00C75403"/>
    <w:rsid w:val="00C75B0E"/>
    <w:rsid w:val="00C76858"/>
    <w:rsid w:val="00C76EC9"/>
    <w:rsid w:val="00C77615"/>
    <w:rsid w:val="00C77D71"/>
    <w:rsid w:val="00C801DA"/>
    <w:rsid w:val="00C80610"/>
    <w:rsid w:val="00C80897"/>
    <w:rsid w:val="00C80D66"/>
    <w:rsid w:val="00C80FAE"/>
    <w:rsid w:val="00C81156"/>
    <w:rsid w:val="00C81750"/>
    <w:rsid w:val="00C82579"/>
    <w:rsid w:val="00C82C73"/>
    <w:rsid w:val="00C82E96"/>
    <w:rsid w:val="00C83C9A"/>
    <w:rsid w:val="00C847D5"/>
    <w:rsid w:val="00C8489B"/>
    <w:rsid w:val="00C84D7D"/>
    <w:rsid w:val="00C8503F"/>
    <w:rsid w:val="00C854EC"/>
    <w:rsid w:val="00C85F7B"/>
    <w:rsid w:val="00C8792F"/>
    <w:rsid w:val="00C87A1E"/>
    <w:rsid w:val="00C9025B"/>
    <w:rsid w:val="00C90A11"/>
    <w:rsid w:val="00C90B55"/>
    <w:rsid w:val="00C90E04"/>
    <w:rsid w:val="00C91297"/>
    <w:rsid w:val="00C9151F"/>
    <w:rsid w:val="00C916B6"/>
    <w:rsid w:val="00C919BE"/>
    <w:rsid w:val="00C91E19"/>
    <w:rsid w:val="00C91FB5"/>
    <w:rsid w:val="00C92460"/>
    <w:rsid w:val="00C924A7"/>
    <w:rsid w:val="00C9274A"/>
    <w:rsid w:val="00C929D4"/>
    <w:rsid w:val="00C9416F"/>
    <w:rsid w:val="00C9422A"/>
    <w:rsid w:val="00C94F86"/>
    <w:rsid w:val="00C95198"/>
    <w:rsid w:val="00C95631"/>
    <w:rsid w:val="00C9578F"/>
    <w:rsid w:val="00C95BB2"/>
    <w:rsid w:val="00C95DF9"/>
    <w:rsid w:val="00C960F7"/>
    <w:rsid w:val="00C968EE"/>
    <w:rsid w:val="00C97374"/>
    <w:rsid w:val="00C976A6"/>
    <w:rsid w:val="00C97818"/>
    <w:rsid w:val="00C97C07"/>
    <w:rsid w:val="00CA00D5"/>
    <w:rsid w:val="00CA047E"/>
    <w:rsid w:val="00CA0A7D"/>
    <w:rsid w:val="00CA0E9B"/>
    <w:rsid w:val="00CA1183"/>
    <w:rsid w:val="00CA1D90"/>
    <w:rsid w:val="00CA242F"/>
    <w:rsid w:val="00CA2BEF"/>
    <w:rsid w:val="00CA39EE"/>
    <w:rsid w:val="00CA3D73"/>
    <w:rsid w:val="00CA4584"/>
    <w:rsid w:val="00CA46C7"/>
    <w:rsid w:val="00CA521A"/>
    <w:rsid w:val="00CA5837"/>
    <w:rsid w:val="00CA6003"/>
    <w:rsid w:val="00CA68AA"/>
    <w:rsid w:val="00CA6E55"/>
    <w:rsid w:val="00CA7045"/>
    <w:rsid w:val="00CA72B1"/>
    <w:rsid w:val="00CA72CE"/>
    <w:rsid w:val="00CA7E02"/>
    <w:rsid w:val="00CB0203"/>
    <w:rsid w:val="00CB03FB"/>
    <w:rsid w:val="00CB0B2C"/>
    <w:rsid w:val="00CB0BC7"/>
    <w:rsid w:val="00CB1012"/>
    <w:rsid w:val="00CB212C"/>
    <w:rsid w:val="00CB2139"/>
    <w:rsid w:val="00CB2A08"/>
    <w:rsid w:val="00CB2BEC"/>
    <w:rsid w:val="00CB31BE"/>
    <w:rsid w:val="00CB3472"/>
    <w:rsid w:val="00CB36C0"/>
    <w:rsid w:val="00CB36DA"/>
    <w:rsid w:val="00CB3A54"/>
    <w:rsid w:val="00CB44C7"/>
    <w:rsid w:val="00CB45CF"/>
    <w:rsid w:val="00CB52A8"/>
    <w:rsid w:val="00CB56ED"/>
    <w:rsid w:val="00CB65F1"/>
    <w:rsid w:val="00CB6DD1"/>
    <w:rsid w:val="00CB739B"/>
    <w:rsid w:val="00CB7561"/>
    <w:rsid w:val="00CB7A17"/>
    <w:rsid w:val="00CB7A72"/>
    <w:rsid w:val="00CB7AA6"/>
    <w:rsid w:val="00CB7BA7"/>
    <w:rsid w:val="00CC0439"/>
    <w:rsid w:val="00CC0B78"/>
    <w:rsid w:val="00CC0F2B"/>
    <w:rsid w:val="00CC11BA"/>
    <w:rsid w:val="00CC1365"/>
    <w:rsid w:val="00CC296C"/>
    <w:rsid w:val="00CC2CF4"/>
    <w:rsid w:val="00CC2FD0"/>
    <w:rsid w:val="00CC3554"/>
    <w:rsid w:val="00CC37D2"/>
    <w:rsid w:val="00CC3B10"/>
    <w:rsid w:val="00CC3CA1"/>
    <w:rsid w:val="00CC3E10"/>
    <w:rsid w:val="00CC4B86"/>
    <w:rsid w:val="00CC50E7"/>
    <w:rsid w:val="00CC5124"/>
    <w:rsid w:val="00CC58DA"/>
    <w:rsid w:val="00CC5EBE"/>
    <w:rsid w:val="00CC5F47"/>
    <w:rsid w:val="00CC60A1"/>
    <w:rsid w:val="00CC6322"/>
    <w:rsid w:val="00CC669B"/>
    <w:rsid w:val="00CC7892"/>
    <w:rsid w:val="00CD0839"/>
    <w:rsid w:val="00CD0BB2"/>
    <w:rsid w:val="00CD1011"/>
    <w:rsid w:val="00CD1CBD"/>
    <w:rsid w:val="00CD23CA"/>
    <w:rsid w:val="00CD285C"/>
    <w:rsid w:val="00CD292D"/>
    <w:rsid w:val="00CD2D5F"/>
    <w:rsid w:val="00CD2EF4"/>
    <w:rsid w:val="00CD326C"/>
    <w:rsid w:val="00CD444B"/>
    <w:rsid w:val="00CD483C"/>
    <w:rsid w:val="00CD4B08"/>
    <w:rsid w:val="00CD55E4"/>
    <w:rsid w:val="00CD61ED"/>
    <w:rsid w:val="00CD6450"/>
    <w:rsid w:val="00CD6B28"/>
    <w:rsid w:val="00CD7212"/>
    <w:rsid w:val="00CD7485"/>
    <w:rsid w:val="00CD759A"/>
    <w:rsid w:val="00CD7A6C"/>
    <w:rsid w:val="00CD7AF7"/>
    <w:rsid w:val="00CD7DD0"/>
    <w:rsid w:val="00CE0236"/>
    <w:rsid w:val="00CE0D5C"/>
    <w:rsid w:val="00CE0FE3"/>
    <w:rsid w:val="00CE19E3"/>
    <w:rsid w:val="00CE1BFE"/>
    <w:rsid w:val="00CE1F91"/>
    <w:rsid w:val="00CE2205"/>
    <w:rsid w:val="00CE296B"/>
    <w:rsid w:val="00CE2A30"/>
    <w:rsid w:val="00CE355A"/>
    <w:rsid w:val="00CE3952"/>
    <w:rsid w:val="00CE3A9C"/>
    <w:rsid w:val="00CE408A"/>
    <w:rsid w:val="00CE4098"/>
    <w:rsid w:val="00CE441F"/>
    <w:rsid w:val="00CE5168"/>
    <w:rsid w:val="00CE576D"/>
    <w:rsid w:val="00CE6016"/>
    <w:rsid w:val="00CE6DC9"/>
    <w:rsid w:val="00CE70C0"/>
    <w:rsid w:val="00CE7425"/>
    <w:rsid w:val="00CE7690"/>
    <w:rsid w:val="00CE7ACB"/>
    <w:rsid w:val="00CE7C0B"/>
    <w:rsid w:val="00CF0EAC"/>
    <w:rsid w:val="00CF1673"/>
    <w:rsid w:val="00CF18CA"/>
    <w:rsid w:val="00CF1E25"/>
    <w:rsid w:val="00CF2B96"/>
    <w:rsid w:val="00CF2CD6"/>
    <w:rsid w:val="00CF300F"/>
    <w:rsid w:val="00CF33A6"/>
    <w:rsid w:val="00CF33DA"/>
    <w:rsid w:val="00CF3631"/>
    <w:rsid w:val="00CF504D"/>
    <w:rsid w:val="00CF5418"/>
    <w:rsid w:val="00CF560D"/>
    <w:rsid w:val="00CF60CD"/>
    <w:rsid w:val="00CF6112"/>
    <w:rsid w:val="00CF6134"/>
    <w:rsid w:val="00CF672A"/>
    <w:rsid w:val="00CF6C2D"/>
    <w:rsid w:val="00CF6DAE"/>
    <w:rsid w:val="00CF7405"/>
    <w:rsid w:val="00CF7E2C"/>
    <w:rsid w:val="00D00220"/>
    <w:rsid w:val="00D00A85"/>
    <w:rsid w:val="00D01E4D"/>
    <w:rsid w:val="00D01FE7"/>
    <w:rsid w:val="00D02C17"/>
    <w:rsid w:val="00D03D31"/>
    <w:rsid w:val="00D03D54"/>
    <w:rsid w:val="00D04330"/>
    <w:rsid w:val="00D04396"/>
    <w:rsid w:val="00D04402"/>
    <w:rsid w:val="00D05191"/>
    <w:rsid w:val="00D052C5"/>
    <w:rsid w:val="00D052ED"/>
    <w:rsid w:val="00D054CD"/>
    <w:rsid w:val="00D054DE"/>
    <w:rsid w:val="00D05623"/>
    <w:rsid w:val="00D05E96"/>
    <w:rsid w:val="00D061CF"/>
    <w:rsid w:val="00D068CC"/>
    <w:rsid w:val="00D06992"/>
    <w:rsid w:val="00D06BDB"/>
    <w:rsid w:val="00D06DD3"/>
    <w:rsid w:val="00D06F99"/>
    <w:rsid w:val="00D06FE4"/>
    <w:rsid w:val="00D10B54"/>
    <w:rsid w:val="00D111A5"/>
    <w:rsid w:val="00D119AB"/>
    <w:rsid w:val="00D11ACD"/>
    <w:rsid w:val="00D11FD0"/>
    <w:rsid w:val="00D13129"/>
    <w:rsid w:val="00D13827"/>
    <w:rsid w:val="00D13980"/>
    <w:rsid w:val="00D13C14"/>
    <w:rsid w:val="00D140B2"/>
    <w:rsid w:val="00D1421B"/>
    <w:rsid w:val="00D14F07"/>
    <w:rsid w:val="00D14FDF"/>
    <w:rsid w:val="00D1531A"/>
    <w:rsid w:val="00D15632"/>
    <w:rsid w:val="00D15667"/>
    <w:rsid w:val="00D1568C"/>
    <w:rsid w:val="00D16204"/>
    <w:rsid w:val="00D16ADD"/>
    <w:rsid w:val="00D16E10"/>
    <w:rsid w:val="00D16FCD"/>
    <w:rsid w:val="00D172FB"/>
    <w:rsid w:val="00D175BD"/>
    <w:rsid w:val="00D17EAF"/>
    <w:rsid w:val="00D20196"/>
    <w:rsid w:val="00D20AE2"/>
    <w:rsid w:val="00D210D4"/>
    <w:rsid w:val="00D21132"/>
    <w:rsid w:val="00D21155"/>
    <w:rsid w:val="00D21322"/>
    <w:rsid w:val="00D21A7E"/>
    <w:rsid w:val="00D21B08"/>
    <w:rsid w:val="00D23253"/>
    <w:rsid w:val="00D23422"/>
    <w:rsid w:val="00D23A02"/>
    <w:rsid w:val="00D25338"/>
    <w:rsid w:val="00D25EFB"/>
    <w:rsid w:val="00D269DC"/>
    <w:rsid w:val="00D26AEE"/>
    <w:rsid w:val="00D2730C"/>
    <w:rsid w:val="00D27D0E"/>
    <w:rsid w:val="00D27FE3"/>
    <w:rsid w:val="00D3038B"/>
    <w:rsid w:val="00D3085B"/>
    <w:rsid w:val="00D3100C"/>
    <w:rsid w:val="00D31AF8"/>
    <w:rsid w:val="00D31B0A"/>
    <w:rsid w:val="00D31BCF"/>
    <w:rsid w:val="00D31E2F"/>
    <w:rsid w:val="00D321CE"/>
    <w:rsid w:val="00D3272B"/>
    <w:rsid w:val="00D32BF6"/>
    <w:rsid w:val="00D33652"/>
    <w:rsid w:val="00D33F2B"/>
    <w:rsid w:val="00D34696"/>
    <w:rsid w:val="00D34E71"/>
    <w:rsid w:val="00D35A1F"/>
    <w:rsid w:val="00D36A55"/>
    <w:rsid w:val="00D36D27"/>
    <w:rsid w:val="00D3752F"/>
    <w:rsid w:val="00D37BE5"/>
    <w:rsid w:val="00D4034C"/>
    <w:rsid w:val="00D422B8"/>
    <w:rsid w:val="00D42B40"/>
    <w:rsid w:val="00D42E60"/>
    <w:rsid w:val="00D42FF3"/>
    <w:rsid w:val="00D43346"/>
    <w:rsid w:val="00D435B1"/>
    <w:rsid w:val="00D43747"/>
    <w:rsid w:val="00D43F87"/>
    <w:rsid w:val="00D44489"/>
    <w:rsid w:val="00D44AC8"/>
    <w:rsid w:val="00D44D08"/>
    <w:rsid w:val="00D45504"/>
    <w:rsid w:val="00D456CB"/>
    <w:rsid w:val="00D4596F"/>
    <w:rsid w:val="00D465CD"/>
    <w:rsid w:val="00D4672B"/>
    <w:rsid w:val="00D4685C"/>
    <w:rsid w:val="00D473F7"/>
    <w:rsid w:val="00D47BF4"/>
    <w:rsid w:val="00D508C5"/>
    <w:rsid w:val="00D51119"/>
    <w:rsid w:val="00D514D2"/>
    <w:rsid w:val="00D5176B"/>
    <w:rsid w:val="00D51978"/>
    <w:rsid w:val="00D52115"/>
    <w:rsid w:val="00D524C5"/>
    <w:rsid w:val="00D5266C"/>
    <w:rsid w:val="00D528CA"/>
    <w:rsid w:val="00D5321D"/>
    <w:rsid w:val="00D53670"/>
    <w:rsid w:val="00D53E6D"/>
    <w:rsid w:val="00D541A0"/>
    <w:rsid w:val="00D5530F"/>
    <w:rsid w:val="00D56043"/>
    <w:rsid w:val="00D564A0"/>
    <w:rsid w:val="00D5697D"/>
    <w:rsid w:val="00D57A30"/>
    <w:rsid w:val="00D57B69"/>
    <w:rsid w:val="00D60650"/>
    <w:rsid w:val="00D6084D"/>
    <w:rsid w:val="00D60E97"/>
    <w:rsid w:val="00D615CE"/>
    <w:rsid w:val="00D61C34"/>
    <w:rsid w:val="00D61EB3"/>
    <w:rsid w:val="00D626A6"/>
    <w:rsid w:val="00D626C9"/>
    <w:rsid w:val="00D62BBB"/>
    <w:rsid w:val="00D62C1E"/>
    <w:rsid w:val="00D644C4"/>
    <w:rsid w:val="00D6490B"/>
    <w:rsid w:val="00D64F6F"/>
    <w:rsid w:val="00D651F2"/>
    <w:rsid w:val="00D65740"/>
    <w:rsid w:val="00D65967"/>
    <w:rsid w:val="00D662B1"/>
    <w:rsid w:val="00D66E60"/>
    <w:rsid w:val="00D67384"/>
    <w:rsid w:val="00D67A1E"/>
    <w:rsid w:val="00D67E64"/>
    <w:rsid w:val="00D67E6C"/>
    <w:rsid w:val="00D70460"/>
    <w:rsid w:val="00D704D5"/>
    <w:rsid w:val="00D70DFA"/>
    <w:rsid w:val="00D7112A"/>
    <w:rsid w:val="00D71BF2"/>
    <w:rsid w:val="00D73512"/>
    <w:rsid w:val="00D73B66"/>
    <w:rsid w:val="00D7413F"/>
    <w:rsid w:val="00D752CA"/>
    <w:rsid w:val="00D75EBD"/>
    <w:rsid w:val="00D764D6"/>
    <w:rsid w:val="00D765AB"/>
    <w:rsid w:val="00D766D0"/>
    <w:rsid w:val="00D76997"/>
    <w:rsid w:val="00D76C8E"/>
    <w:rsid w:val="00D76F40"/>
    <w:rsid w:val="00D8029C"/>
    <w:rsid w:val="00D80357"/>
    <w:rsid w:val="00D80480"/>
    <w:rsid w:val="00D80D8C"/>
    <w:rsid w:val="00D81052"/>
    <w:rsid w:val="00D81770"/>
    <w:rsid w:val="00D82091"/>
    <w:rsid w:val="00D8219C"/>
    <w:rsid w:val="00D82D82"/>
    <w:rsid w:val="00D831B3"/>
    <w:rsid w:val="00D83387"/>
    <w:rsid w:val="00D83851"/>
    <w:rsid w:val="00D8426A"/>
    <w:rsid w:val="00D84840"/>
    <w:rsid w:val="00D85806"/>
    <w:rsid w:val="00D85D64"/>
    <w:rsid w:val="00D85E1C"/>
    <w:rsid w:val="00D86B37"/>
    <w:rsid w:val="00D86FEE"/>
    <w:rsid w:val="00D87148"/>
    <w:rsid w:val="00D871CE"/>
    <w:rsid w:val="00D8766B"/>
    <w:rsid w:val="00D8769C"/>
    <w:rsid w:val="00D87CEF"/>
    <w:rsid w:val="00D9044C"/>
    <w:rsid w:val="00D90522"/>
    <w:rsid w:val="00D9091B"/>
    <w:rsid w:val="00D90ADE"/>
    <w:rsid w:val="00D91225"/>
    <w:rsid w:val="00D915D4"/>
    <w:rsid w:val="00D9192F"/>
    <w:rsid w:val="00D923A4"/>
    <w:rsid w:val="00D926D7"/>
    <w:rsid w:val="00D92E7A"/>
    <w:rsid w:val="00D93349"/>
    <w:rsid w:val="00D93802"/>
    <w:rsid w:val="00D93B03"/>
    <w:rsid w:val="00D93CBB"/>
    <w:rsid w:val="00D93FFD"/>
    <w:rsid w:val="00D94015"/>
    <w:rsid w:val="00D94736"/>
    <w:rsid w:val="00D95B94"/>
    <w:rsid w:val="00D96130"/>
    <w:rsid w:val="00D96141"/>
    <w:rsid w:val="00D964FF"/>
    <w:rsid w:val="00D96E79"/>
    <w:rsid w:val="00D974AE"/>
    <w:rsid w:val="00D97557"/>
    <w:rsid w:val="00D975A7"/>
    <w:rsid w:val="00D97D2B"/>
    <w:rsid w:val="00DA0B7F"/>
    <w:rsid w:val="00DA13C0"/>
    <w:rsid w:val="00DA173D"/>
    <w:rsid w:val="00DA1C3D"/>
    <w:rsid w:val="00DA230C"/>
    <w:rsid w:val="00DA3095"/>
    <w:rsid w:val="00DA34C3"/>
    <w:rsid w:val="00DA3AD4"/>
    <w:rsid w:val="00DA3B68"/>
    <w:rsid w:val="00DA5A1A"/>
    <w:rsid w:val="00DA600F"/>
    <w:rsid w:val="00DA62C5"/>
    <w:rsid w:val="00DA6DD5"/>
    <w:rsid w:val="00DA7315"/>
    <w:rsid w:val="00DA75B8"/>
    <w:rsid w:val="00DA7C58"/>
    <w:rsid w:val="00DB0E1F"/>
    <w:rsid w:val="00DB1803"/>
    <w:rsid w:val="00DB1AC8"/>
    <w:rsid w:val="00DB24AB"/>
    <w:rsid w:val="00DB24BF"/>
    <w:rsid w:val="00DB24CD"/>
    <w:rsid w:val="00DB24EA"/>
    <w:rsid w:val="00DB2B39"/>
    <w:rsid w:val="00DB2B3E"/>
    <w:rsid w:val="00DB2C33"/>
    <w:rsid w:val="00DB2F75"/>
    <w:rsid w:val="00DB31AF"/>
    <w:rsid w:val="00DB35D4"/>
    <w:rsid w:val="00DB4E3A"/>
    <w:rsid w:val="00DB658E"/>
    <w:rsid w:val="00DB6611"/>
    <w:rsid w:val="00DB6B03"/>
    <w:rsid w:val="00DB7076"/>
    <w:rsid w:val="00DB79F4"/>
    <w:rsid w:val="00DC05B0"/>
    <w:rsid w:val="00DC0D4B"/>
    <w:rsid w:val="00DC156E"/>
    <w:rsid w:val="00DC156F"/>
    <w:rsid w:val="00DC1E43"/>
    <w:rsid w:val="00DC1EA0"/>
    <w:rsid w:val="00DC246F"/>
    <w:rsid w:val="00DC2708"/>
    <w:rsid w:val="00DC28C5"/>
    <w:rsid w:val="00DC30D2"/>
    <w:rsid w:val="00DC50C5"/>
    <w:rsid w:val="00DC5A58"/>
    <w:rsid w:val="00DC5FA4"/>
    <w:rsid w:val="00DC61BD"/>
    <w:rsid w:val="00DC626E"/>
    <w:rsid w:val="00DC6768"/>
    <w:rsid w:val="00DC6895"/>
    <w:rsid w:val="00DC73D5"/>
    <w:rsid w:val="00DC7404"/>
    <w:rsid w:val="00DC783E"/>
    <w:rsid w:val="00DC7D55"/>
    <w:rsid w:val="00DD00C6"/>
    <w:rsid w:val="00DD0408"/>
    <w:rsid w:val="00DD09CE"/>
    <w:rsid w:val="00DD0A01"/>
    <w:rsid w:val="00DD0A05"/>
    <w:rsid w:val="00DD1440"/>
    <w:rsid w:val="00DD1590"/>
    <w:rsid w:val="00DD18EE"/>
    <w:rsid w:val="00DD1936"/>
    <w:rsid w:val="00DD2465"/>
    <w:rsid w:val="00DD27C5"/>
    <w:rsid w:val="00DD295E"/>
    <w:rsid w:val="00DD2D01"/>
    <w:rsid w:val="00DD422B"/>
    <w:rsid w:val="00DD4718"/>
    <w:rsid w:val="00DD4FA5"/>
    <w:rsid w:val="00DD5353"/>
    <w:rsid w:val="00DD5471"/>
    <w:rsid w:val="00DD5AAD"/>
    <w:rsid w:val="00DD5B19"/>
    <w:rsid w:val="00DD5E05"/>
    <w:rsid w:val="00DD6220"/>
    <w:rsid w:val="00DD670C"/>
    <w:rsid w:val="00DD6F2C"/>
    <w:rsid w:val="00DD6F3A"/>
    <w:rsid w:val="00DD745E"/>
    <w:rsid w:val="00DD7464"/>
    <w:rsid w:val="00DD7800"/>
    <w:rsid w:val="00DE0A15"/>
    <w:rsid w:val="00DE0E9D"/>
    <w:rsid w:val="00DE1368"/>
    <w:rsid w:val="00DE14C1"/>
    <w:rsid w:val="00DE15A7"/>
    <w:rsid w:val="00DE25EB"/>
    <w:rsid w:val="00DE2B28"/>
    <w:rsid w:val="00DE2DC4"/>
    <w:rsid w:val="00DE4BFE"/>
    <w:rsid w:val="00DE5795"/>
    <w:rsid w:val="00DE5993"/>
    <w:rsid w:val="00DE5A4E"/>
    <w:rsid w:val="00DE6793"/>
    <w:rsid w:val="00DE6C41"/>
    <w:rsid w:val="00DE7148"/>
    <w:rsid w:val="00DE764F"/>
    <w:rsid w:val="00DE7A19"/>
    <w:rsid w:val="00DE7C26"/>
    <w:rsid w:val="00DF2452"/>
    <w:rsid w:val="00DF2860"/>
    <w:rsid w:val="00DF3794"/>
    <w:rsid w:val="00DF3F5A"/>
    <w:rsid w:val="00DF4BE2"/>
    <w:rsid w:val="00DF50FE"/>
    <w:rsid w:val="00DF5AE7"/>
    <w:rsid w:val="00DF5CDC"/>
    <w:rsid w:val="00DF5D02"/>
    <w:rsid w:val="00DF6E7E"/>
    <w:rsid w:val="00DF7315"/>
    <w:rsid w:val="00DF74A4"/>
    <w:rsid w:val="00E00E14"/>
    <w:rsid w:val="00E01002"/>
    <w:rsid w:val="00E012F5"/>
    <w:rsid w:val="00E01368"/>
    <w:rsid w:val="00E01E62"/>
    <w:rsid w:val="00E024CB"/>
    <w:rsid w:val="00E03ACD"/>
    <w:rsid w:val="00E03CE4"/>
    <w:rsid w:val="00E045BD"/>
    <w:rsid w:val="00E0479F"/>
    <w:rsid w:val="00E04DC9"/>
    <w:rsid w:val="00E053B2"/>
    <w:rsid w:val="00E05E9E"/>
    <w:rsid w:val="00E05EB6"/>
    <w:rsid w:val="00E05EB7"/>
    <w:rsid w:val="00E06EDB"/>
    <w:rsid w:val="00E07252"/>
    <w:rsid w:val="00E0767E"/>
    <w:rsid w:val="00E079C6"/>
    <w:rsid w:val="00E07E03"/>
    <w:rsid w:val="00E07F3F"/>
    <w:rsid w:val="00E102D4"/>
    <w:rsid w:val="00E1055C"/>
    <w:rsid w:val="00E105B8"/>
    <w:rsid w:val="00E12043"/>
    <w:rsid w:val="00E12071"/>
    <w:rsid w:val="00E123A9"/>
    <w:rsid w:val="00E12732"/>
    <w:rsid w:val="00E12F44"/>
    <w:rsid w:val="00E132C3"/>
    <w:rsid w:val="00E146D5"/>
    <w:rsid w:val="00E14E7C"/>
    <w:rsid w:val="00E1540C"/>
    <w:rsid w:val="00E158DC"/>
    <w:rsid w:val="00E15E0D"/>
    <w:rsid w:val="00E1634D"/>
    <w:rsid w:val="00E17A96"/>
    <w:rsid w:val="00E202B6"/>
    <w:rsid w:val="00E20318"/>
    <w:rsid w:val="00E20446"/>
    <w:rsid w:val="00E206B2"/>
    <w:rsid w:val="00E20DD6"/>
    <w:rsid w:val="00E219E3"/>
    <w:rsid w:val="00E22F89"/>
    <w:rsid w:val="00E231C5"/>
    <w:rsid w:val="00E249E6"/>
    <w:rsid w:val="00E25257"/>
    <w:rsid w:val="00E25A27"/>
    <w:rsid w:val="00E264DF"/>
    <w:rsid w:val="00E27709"/>
    <w:rsid w:val="00E27E29"/>
    <w:rsid w:val="00E30841"/>
    <w:rsid w:val="00E30D65"/>
    <w:rsid w:val="00E30F41"/>
    <w:rsid w:val="00E31F4E"/>
    <w:rsid w:val="00E32E64"/>
    <w:rsid w:val="00E333F0"/>
    <w:rsid w:val="00E33447"/>
    <w:rsid w:val="00E33668"/>
    <w:rsid w:val="00E339A8"/>
    <w:rsid w:val="00E340CB"/>
    <w:rsid w:val="00E34580"/>
    <w:rsid w:val="00E3484D"/>
    <w:rsid w:val="00E34C3E"/>
    <w:rsid w:val="00E35400"/>
    <w:rsid w:val="00E356B2"/>
    <w:rsid w:val="00E35804"/>
    <w:rsid w:val="00E3676E"/>
    <w:rsid w:val="00E36911"/>
    <w:rsid w:val="00E36AD5"/>
    <w:rsid w:val="00E3775A"/>
    <w:rsid w:val="00E37AEE"/>
    <w:rsid w:val="00E37B9F"/>
    <w:rsid w:val="00E401AE"/>
    <w:rsid w:val="00E40CFA"/>
    <w:rsid w:val="00E41326"/>
    <w:rsid w:val="00E41925"/>
    <w:rsid w:val="00E41D1F"/>
    <w:rsid w:val="00E4208D"/>
    <w:rsid w:val="00E420E0"/>
    <w:rsid w:val="00E424D0"/>
    <w:rsid w:val="00E424E0"/>
    <w:rsid w:val="00E425B8"/>
    <w:rsid w:val="00E43425"/>
    <w:rsid w:val="00E43994"/>
    <w:rsid w:val="00E43FEB"/>
    <w:rsid w:val="00E44134"/>
    <w:rsid w:val="00E44852"/>
    <w:rsid w:val="00E44A75"/>
    <w:rsid w:val="00E4514E"/>
    <w:rsid w:val="00E45644"/>
    <w:rsid w:val="00E46608"/>
    <w:rsid w:val="00E46712"/>
    <w:rsid w:val="00E46BEE"/>
    <w:rsid w:val="00E46CCB"/>
    <w:rsid w:val="00E47AB1"/>
    <w:rsid w:val="00E504D7"/>
    <w:rsid w:val="00E51038"/>
    <w:rsid w:val="00E52014"/>
    <w:rsid w:val="00E52425"/>
    <w:rsid w:val="00E5245F"/>
    <w:rsid w:val="00E52DE3"/>
    <w:rsid w:val="00E53856"/>
    <w:rsid w:val="00E53965"/>
    <w:rsid w:val="00E53AE5"/>
    <w:rsid w:val="00E53E7D"/>
    <w:rsid w:val="00E53EE9"/>
    <w:rsid w:val="00E54681"/>
    <w:rsid w:val="00E54872"/>
    <w:rsid w:val="00E55AFA"/>
    <w:rsid w:val="00E55DB9"/>
    <w:rsid w:val="00E55F25"/>
    <w:rsid w:val="00E56455"/>
    <w:rsid w:val="00E5708C"/>
    <w:rsid w:val="00E60815"/>
    <w:rsid w:val="00E608C2"/>
    <w:rsid w:val="00E60C1E"/>
    <w:rsid w:val="00E61511"/>
    <w:rsid w:val="00E6182F"/>
    <w:rsid w:val="00E61997"/>
    <w:rsid w:val="00E622EA"/>
    <w:rsid w:val="00E62479"/>
    <w:rsid w:val="00E6276D"/>
    <w:rsid w:val="00E62F58"/>
    <w:rsid w:val="00E63E36"/>
    <w:rsid w:val="00E64ED2"/>
    <w:rsid w:val="00E6522B"/>
    <w:rsid w:val="00E654B4"/>
    <w:rsid w:val="00E654C0"/>
    <w:rsid w:val="00E65BEE"/>
    <w:rsid w:val="00E6618B"/>
    <w:rsid w:val="00E67C89"/>
    <w:rsid w:val="00E67FC3"/>
    <w:rsid w:val="00E700E0"/>
    <w:rsid w:val="00E7223C"/>
    <w:rsid w:val="00E734A4"/>
    <w:rsid w:val="00E73CDE"/>
    <w:rsid w:val="00E7405B"/>
    <w:rsid w:val="00E7467B"/>
    <w:rsid w:val="00E751FD"/>
    <w:rsid w:val="00E75265"/>
    <w:rsid w:val="00E7572B"/>
    <w:rsid w:val="00E766BA"/>
    <w:rsid w:val="00E769AB"/>
    <w:rsid w:val="00E76EA3"/>
    <w:rsid w:val="00E772D1"/>
    <w:rsid w:val="00E80166"/>
    <w:rsid w:val="00E815E4"/>
    <w:rsid w:val="00E81713"/>
    <w:rsid w:val="00E82ECF"/>
    <w:rsid w:val="00E837DB"/>
    <w:rsid w:val="00E83DE2"/>
    <w:rsid w:val="00E83F90"/>
    <w:rsid w:val="00E840F9"/>
    <w:rsid w:val="00E856BE"/>
    <w:rsid w:val="00E85975"/>
    <w:rsid w:val="00E85DAF"/>
    <w:rsid w:val="00E86366"/>
    <w:rsid w:val="00E86716"/>
    <w:rsid w:val="00E8681F"/>
    <w:rsid w:val="00E86B44"/>
    <w:rsid w:val="00E87053"/>
    <w:rsid w:val="00E87B12"/>
    <w:rsid w:val="00E9018D"/>
    <w:rsid w:val="00E9028A"/>
    <w:rsid w:val="00E90BDE"/>
    <w:rsid w:val="00E91BE1"/>
    <w:rsid w:val="00E91F40"/>
    <w:rsid w:val="00E91F6F"/>
    <w:rsid w:val="00E9256B"/>
    <w:rsid w:val="00E9266A"/>
    <w:rsid w:val="00E927A3"/>
    <w:rsid w:val="00E92D1C"/>
    <w:rsid w:val="00E933B9"/>
    <w:rsid w:val="00E93B14"/>
    <w:rsid w:val="00E94444"/>
    <w:rsid w:val="00E945FE"/>
    <w:rsid w:val="00E96181"/>
    <w:rsid w:val="00E97828"/>
    <w:rsid w:val="00E978BE"/>
    <w:rsid w:val="00E97AC2"/>
    <w:rsid w:val="00E97D4B"/>
    <w:rsid w:val="00E97E7E"/>
    <w:rsid w:val="00EA0F78"/>
    <w:rsid w:val="00EA2021"/>
    <w:rsid w:val="00EA2323"/>
    <w:rsid w:val="00EA3091"/>
    <w:rsid w:val="00EA3F77"/>
    <w:rsid w:val="00EA425C"/>
    <w:rsid w:val="00EA440D"/>
    <w:rsid w:val="00EA4C4B"/>
    <w:rsid w:val="00EA5A4E"/>
    <w:rsid w:val="00EA5A6B"/>
    <w:rsid w:val="00EA5E25"/>
    <w:rsid w:val="00EA5F1F"/>
    <w:rsid w:val="00EA7148"/>
    <w:rsid w:val="00EA723D"/>
    <w:rsid w:val="00EA729C"/>
    <w:rsid w:val="00EA7486"/>
    <w:rsid w:val="00EB13A5"/>
    <w:rsid w:val="00EB142E"/>
    <w:rsid w:val="00EB14EB"/>
    <w:rsid w:val="00EB1547"/>
    <w:rsid w:val="00EB1E06"/>
    <w:rsid w:val="00EB1F19"/>
    <w:rsid w:val="00EB2224"/>
    <w:rsid w:val="00EB232F"/>
    <w:rsid w:val="00EB2E8C"/>
    <w:rsid w:val="00EB318A"/>
    <w:rsid w:val="00EB32A9"/>
    <w:rsid w:val="00EB3D58"/>
    <w:rsid w:val="00EB4036"/>
    <w:rsid w:val="00EB475D"/>
    <w:rsid w:val="00EB64BC"/>
    <w:rsid w:val="00EB6784"/>
    <w:rsid w:val="00EB6AF9"/>
    <w:rsid w:val="00EB7B87"/>
    <w:rsid w:val="00EC0970"/>
    <w:rsid w:val="00EC11FD"/>
    <w:rsid w:val="00EC131C"/>
    <w:rsid w:val="00EC288F"/>
    <w:rsid w:val="00EC295A"/>
    <w:rsid w:val="00EC2CAC"/>
    <w:rsid w:val="00EC38DE"/>
    <w:rsid w:val="00EC42D8"/>
    <w:rsid w:val="00EC4D3A"/>
    <w:rsid w:val="00EC4E2B"/>
    <w:rsid w:val="00EC52B2"/>
    <w:rsid w:val="00EC5C99"/>
    <w:rsid w:val="00EC5DE1"/>
    <w:rsid w:val="00EC5E91"/>
    <w:rsid w:val="00EC662C"/>
    <w:rsid w:val="00EC6E68"/>
    <w:rsid w:val="00EC73EE"/>
    <w:rsid w:val="00EC756F"/>
    <w:rsid w:val="00EC7CEB"/>
    <w:rsid w:val="00ED0207"/>
    <w:rsid w:val="00ED0593"/>
    <w:rsid w:val="00ED0CDF"/>
    <w:rsid w:val="00ED1141"/>
    <w:rsid w:val="00ED1B6F"/>
    <w:rsid w:val="00ED1CFA"/>
    <w:rsid w:val="00ED1E59"/>
    <w:rsid w:val="00ED1ECD"/>
    <w:rsid w:val="00ED29C6"/>
    <w:rsid w:val="00ED2AA6"/>
    <w:rsid w:val="00ED2C28"/>
    <w:rsid w:val="00ED30AC"/>
    <w:rsid w:val="00ED392D"/>
    <w:rsid w:val="00ED3BD8"/>
    <w:rsid w:val="00ED4B99"/>
    <w:rsid w:val="00ED4C76"/>
    <w:rsid w:val="00ED58AA"/>
    <w:rsid w:val="00ED6B76"/>
    <w:rsid w:val="00ED6EC5"/>
    <w:rsid w:val="00ED73F5"/>
    <w:rsid w:val="00ED7EB3"/>
    <w:rsid w:val="00EE0353"/>
    <w:rsid w:val="00EE07AD"/>
    <w:rsid w:val="00EE1141"/>
    <w:rsid w:val="00EE11C5"/>
    <w:rsid w:val="00EE1255"/>
    <w:rsid w:val="00EE150A"/>
    <w:rsid w:val="00EE1544"/>
    <w:rsid w:val="00EE17F1"/>
    <w:rsid w:val="00EE1A11"/>
    <w:rsid w:val="00EE1B28"/>
    <w:rsid w:val="00EE1C3E"/>
    <w:rsid w:val="00EE2108"/>
    <w:rsid w:val="00EE2B0E"/>
    <w:rsid w:val="00EE3D00"/>
    <w:rsid w:val="00EE4259"/>
    <w:rsid w:val="00EE43EF"/>
    <w:rsid w:val="00EE4714"/>
    <w:rsid w:val="00EE47F2"/>
    <w:rsid w:val="00EE4A8E"/>
    <w:rsid w:val="00EE4D2A"/>
    <w:rsid w:val="00EE4EA3"/>
    <w:rsid w:val="00EE5473"/>
    <w:rsid w:val="00EE5CEB"/>
    <w:rsid w:val="00EE6119"/>
    <w:rsid w:val="00EE62AE"/>
    <w:rsid w:val="00EE6F10"/>
    <w:rsid w:val="00EE6F24"/>
    <w:rsid w:val="00EE7975"/>
    <w:rsid w:val="00EE7AF6"/>
    <w:rsid w:val="00EE7FDE"/>
    <w:rsid w:val="00EF096F"/>
    <w:rsid w:val="00EF1A8A"/>
    <w:rsid w:val="00EF1BC4"/>
    <w:rsid w:val="00EF1F5A"/>
    <w:rsid w:val="00EF2116"/>
    <w:rsid w:val="00EF394B"/>
    <w:rsid w:val="00EF45E7"/>
    <w:rsid w:val="00EF4912"/>
    <w:rsid w:val="00EF49C8"/>
    <w:rsid w:val="00EF4AAB"/>
    <w:rsid w:val="00EF4CB6"/>
    <w:rsid w:val="00EF4E41"/>
    <w:rsid w:val="00EF4EF0"/>
    <w:rsid w:val="00EF550C"/>
    <w:rsid w:val="00EF5D9B"/>
    <w:rsid w:val="00EF64A7"/>
    <w:rsid w:val="00EF6A11"/>
    <w:rsid w:val="00EF74E4"/>
    <w:rsid w:val="00EF7716"/>
    <w:rsid w:val="00EF7939"/>
    <w:rsid w:val="00F00650"/>
    <w:rsid w:val="00F00F8B"/>
    <w:rsid w:val="00F017C5"/>
    <w:rsid w:val="00F01DB1"/>
    <w:rsid w:val="00F027CF"/>
    <w:rsid w:val="00F02CF3"/>
    <w:rsid w:val="00F02F1D"/>
    <w:rsid w:val="00F032D8"/>
    <w:rsid w:val="00F03B35"/>
    <w:rsid w:val="00F04163"/>
    <w:rsid w:val="00F046C3"/>
    <w:rsid w:val="00F04788"/>
    <w:rsid w:val="00F058AF"/>
    <w:rsid w:val="00F05F72"/>
    <w:rsid w:val="00F0712F"/>
    <w:rsid w:val="00F07165"/>
    <w:rsid w:val="00F0780D"/>
    <w:rsid w:val="00F10CAD"/>
    <w:rsid w:val="00F11654"/>
    <w:rsid w:val="00F11EB1"/>
    <w:rsid w:val="00F126F8"/>
    <w:rsid w:val="00F13421"/>
    <w:rsid w:val="00F13423"/>
    <w:rsid w:val="00F136C2"/>
    <w:rsid w:val="00F143AE"/>
    <w:rsid w:val="00F149AB"/>
    <w:rsid w:val="00F14DD4"/>
    <w:rsid w:val="00F15173"/>
    <w:rsid w:val="00F15541"/>
    <w:rsid w:val="00F159C6"/>
    <w:rsid w:val="00F16043"/>
    <w:rsid w:val="00F17027"/>
    <w:rsid w:val="00F17C6D"/>
    <w:rsid w:val="00F2056C"/>
    <w:rsid w:val="00F208C0"/>
    <w:rsid w:val="00F20A40"/>
    <w:rsid w:val="00F211AB"/>
    <w:rsid w:val="00F2133B"/>
    <w:rsid w:val="00F215B4"/>
    <w:rsid w:val="00F21DD2"/>
    <w:rsid w:val="00F21E60"/>
    <w:rsid w:val="00F21F88"/>
    <w:rsid w:val="00F2216C"/>
    <w:rsid w:val="00F231E4"/>
    <w:rsid w:val="00F233E7"/>
    <w:rsid w:val="00F23E4C"/>
    <w:rsid w:val="00F24185"/>
    <w:rsid w:val="00F255F9"/>
    <w:rsid w:val="00F26227"/>
    <w:rsid w:val="00F26AC3"/>
    <w:rsid w:val="00F26FE5"/>
    <w:rsid w:val="00F279DC"/>
    <w:rsid w:val="00F27E00"/>
    <w:rsid w:val="00F3021D"/>
    <w:rsid w:val="00F31092"/>
    <w:rsid w:val="00F31D1A"/>
    <w:rsid w:val="00F3235D"/>
    <w:rsid w:val="00F3325E"/>
    <w:rsid w:val="00F33B06"/>
    <w:rsid w:val="00F33C91"/>
    <w:rsid w:val="00F33DAC"/>
    <w:rsid w:val="00F33FC6"/>
    <w:rsid w:val="00F33FE2"/>
    <w:rsid w:val="00F344C6"/>
    <w:rsid w:val="00F34509"/>
    <w:rsid w:val="00F35754"/>
    <w:rsid w:val="00F35DDC"/>
    <w:rsid w:val="00F3610B"/>
    <w:rsid w:val="00F36438"/>
    <w:rsid w:val="00F368A8"/>
    <w:rsid w:val="00F36F51"/>
    <w:rsid w:val="00F377CA"/>
    <w:rsid w:val="00F378E8"/>
    <w:rsid w:val="00F37B40"/>
    <w:rsid w:val="00F37EE7"/>
    <w:rsid w:val="00F40968"/>
    <w:rsid w:val="00F40D06"/>
    <w:rsid w:val="00F41430"/>
    <w:rsid w:val="00F4148E"/>
    <w:rsid w:val="00F41C2E"/>
    <w:rsid w:val="00F41C98"/>
    <w:rsid w:val="00F41DC7"/>
    <w:rsid w:val="00F42602"/>
    <w:rsid w:val="00F43156"/>
    <w:rsid w:val="00F431DB"/>
    <w:rsid w:val="00F436BE"/>
    <w:rsid w:val="00F4371F"/>
    <w:rsid w:val="00F43F21"/>
    <w:rsid w:val="00F44387"/>
    <w:rsid w:val="00F445FC"/>
    <w:rsid w:val="00F44994"/>
    <w:rsid w:val="00F45019"/>
    <w:rsid w:val="00F45597"/>
    <w:rsid w:val="00F463C5"/>
    <w:rsid w:val="00F4649A"/>
    <w:rsid w:val="00F479AF"/>
    <w:rsid w:val="00F47B25"/>
    <w:rsid w:val="00F50007"/>
    <w:rsid w:val="00F50260"/>
    <w:rsid w:val="00F51ADA"/>
    <w:rsid w:val="00F520C1"/>
    <w:rsid w:val="00F5218E"/>
    <w:rsid w:val="00F52D10"/>
    <w:rsid w:val="00F52DA6"/>
    <w:rsid w:val="00F53E35"/>
    <w:rsid w:val="00F54519"/>
    <w:rsid w:val="00F5561A"/>
    <w:rsid w:val="00F55E8E"/>
    <w:rsid w:val="00F5616A"/>
    <w:rsid w:val="00F568A8"/>
    <w:rsid w:val="00F57002"/>
    <w:rsid w:val="00F57024"/>
    <w:rsid w:val="00F57360"/>
    <w:rsid w:val="00F57689"/>
    <w:rsid w:val="00F57B20"/>
    <w:rsid w:val="00F57B96"/>
    <w:rsid w:val="00F57F4A"/>
    <w:rsid w:val="00F60069"/>
    <w:rsid w:val="00F601F4"/>
    <w:rsid w:val="00F60737"/>
    <w:rsid w:val="00F60D09"/>
    <w:rsid w:val="00F60D51"/>
    <w:rsid w:val="00F610BC"/>
    <w:rsid w:val="00F620FB"/>
    <w:rsid w:val="00F6224C"/>
    <w:rsid w:val="00F62411"/>
    <w:rsid w:val="00F6249E"/>
    <w:rsid w:val="00F6385F"/>
    <w:rsid w:val="00F63897"/>
    <w:rsid w:val="00F63904"/>
    <w:rsid w:val="00F63DFC"/>
    <w:rsid w:val="00F64A8A"/>
    <w:rsid w:val="00F64F35"/>
    <w:rsid w:val="00F66905"/>
    <w:rsid w:val="00F679CC"/>
    <w:rsid w:val="00F7087E"/>
    <w:rsid w:val="00F70B28"/>
    <w:rsid w:val="00F710A5"/>
    <w:rsid w:val="00F71359"/>
    <w:rsid w:val="00F715C1"/>
    <w:rsid w:val="00F71929"/>
    <w:rsid w:val="00F71BF1"/>
    <w:rsid w:val="00F71F80"/>
    <w:rsid w:val="00F7247B"/>
    <w:rsid w:val="00F727C9"/>
    <w:rsid w:val="00F72C20"/>
    <w:rsid w:val="00F72EF7"/>
    <w:rsid w:val="00F73354"/>
    <w:rsid w:val="00F73E08"/>
    <w:rsid w:val="00F73F32"/>
    <w:rsid w:val="00F741F7"/>
    <w:rsid w:val="00F74B36"/>
    <w:rsid w:val="00F75B47"/>
    <w:rsid w:val="00F7639C"/>
    <w:rsid w:val="00F76A6C"/>
    <w:rsid w:val="00F7730B"/>
    <w:rsid w:val="00F773CF"/>
    <w:rsid w:val="00F800EB"/>
    <w:rsid w:val="00F8105C"/>
    <w:rsid w:val="00F81297"/>
    <w:rsid w:val="00F82B2C"/>
    <w:rsid w:val="00F82BAC"/>
    <w:rsid w:val="00F83DE3"/>
    <w:rsid w:val="00F8493E"/>
    <w:rsid w:val="00F85842"/>
    <w:rsid w:val="00F85F4D"/>
    <w:rsid w:val="00F86023"/>
    <w:rsid w:val="00F86080"/>
    <w:rsid w:val="00F86C17"/>
    <w:rsid w:val="00F87028"/>
    <w:rsid w:val="00F87098"/>
    <w:rsid w:val="00F8768B"/>
    <w:rsid w:val="00F87C9D"/>
    <w:rsid w:val="00F90258"/>
    <w:rsid w:val="00F906E3"/>
    <w:rsid w:val="00F9104F"/>
    <w:rsid w:val="00F91999"/>
    <w:rsid w:val="00F91B28"/>
    <w:rsid w:val="00F91C11"/>
    <w:rsid w:val="00F91C92"/>
    <w:rsid w:val="00F92AD0"/>
    <w:rsid w:val="00F933D4"/>
    <w:rsid w:val="00F93750"/>
    <w:rsid w:val="00F937E5"/>
    <w:rsid w:val="00F94A31"/>
    <w:rsid w:val="00F9513A"/>
    <w:rsid w:val="00F965C8"/>
    <w:rsid w:val="00F9667F"/>
    <w:rsid w:val="00F96ACE"/>
    <w:rsid w:val="00F96E71"/>
    <w:rsid w:val="00F9730C"/>
    <w:rsid w:val="00FA09BD"/>
    <w:rsid w:val="00FA1085"/>
    <w:rsid w:val="00FA1389"/>
    <w:rsid w:val="00FA1676"/>
    <w:rsid w:val="00FA1857"/>
    <w:rsid w:val="00FA2124"/>
    <w:rsid w:val="00FA2539"/>
    <w:rsid w:val="00FA29B9"/>
    <w:rsid w:val="00FA2CE6"/>
    <w:rsid w:val="00FA3873"/>
    <w:rsid w:val="00FA3B13"/>
    <w:rsid w:val="00FA3DE2"/>
    <w:rsid w:val="00FA4329"/>
    <w:rsid w:val="00FA4C33"/>
    <w:rsid w:val="00FA4DB7"/>
    <w:rsid w:val="00FA586F"/>
    <w:rsid w:val="00FA6100"/>
    <w:rsid w:val="00FA6362"/>
    <w:rsid w:val="00FA676E"/>
    <w:rsid w:val="00FA6A30"/>
    <w:rsid w:val="00FA6D96"/>
    <w:rsid w:val="00FA6DB6"/>
    <w:rsid w:val="00FA6E37"/>
    <w:rsid w:val="00FA7BC4"/>
    <w:rsid w:val="00FA7C2E"/>
    <w:rsid w:val="00FB03A3"/>
    <w:rsid w:val="00FB0688"/>
    <w:rsid w:val="00FB09CD"/>
    <w:rsid w:val="00FB1149"/>
    <w:rsid w:val="00FB13EB"/>
    <w:rsid w:val="00FB17B9"/>
    <w:rsid w:val="00FB26B8"/>
    <w:rsid w:val="00FB2AA2"/>
    <w:rsid w:val="00FB2CA5"/>
    <w:rsid w:val="00FB33F9"/>
    <w:rsid w:val="00FB38E0"/>
    <w:rsid w:val="00FB3F01"/>
    <w:rsid w:val="00FB475B"/>
    <w:rsid w:val="00FB5D45"/>
    <w:rsid w:val="00FB5E98"/>
    <w:rsid w:val="00FB6A24"/>
    <w:rsid w:val="00FB7014"/>
    <w:rsid w:val="00FB7C5D"/>
    <w:rsid w:val="00FB7CFE"/>
    <w:rsid w:val="00FB7EB4"/>
    <w:rsid w:val="00FC01CF"/>
    <w:rsid w:val="00FC0E9C"/>
    <w:rsid w:val="00FC1258"/>
    <w:rsid w:val="00FC14C5"/>
    <w:rsid w:val="00FC2185"/>
    <w:rsid w:val="00FC2851"/>
    <w:rsid w:val="00FC293A"/>
    <w:rsid w:val="00FC2A10"/>
    <w:rsid w:val="00FC3738"/>
    <w:rsid w:val="00FC3968"/>
    <w:rsid w:val="00FC39F9"/>
    <w:rsid w:val="00FC40DC"/>
    <w:rsid w:val="00FC5E9C"/>
    <w:rsid w:val="00FC611A"/>
    <w:rsid w:val="00FC65B4"/>
    <w:rsid w:val="00FC68A3"/>
    <w:rsid w:val="00FC7F11"/>
    <w:rsid w:val="00FD00AF"/>
    <w:rsid w:val="00FD066C"/>
    <w:rsid w:val="00FD08A2"/>
    <w:rsid w:val="00FD1E4F"/>
    <w:rsid w:val="00FD20D3"/>
    <w:rsid w:val="00FD2DDD"/>
    <w:rsid w:val="00FD332F"/>
    <w:rsid w:val="00FD3CCC"/>
    <w:rsid w:val="00FD4EE4"/>
    <w:rsid w:val="00FD4F51"/>
    <w:rsid w:val="00FD500C"/>
    <w:rsid w:val="00FD5197"/>
    <w:rsid w:val="00FD5AC3"/>
    <w:rsid w:val="00FD5FF4"/>
    <w:rsid w:val="00FD6EAD"/>
    <w:rsid w:val="00FD7631"/>
    <w:rsid w:val="00FD7A3D"/>
    <w:rsid w:val="00FD7B6F"/>
    <w:rsid w:val="00FE0BE5"/>
    <w:rsid w:val="00FE1939"/>
    <w:rsid w:val="00FE1943"/>
    <w:rsid w:val="00FE1BAF"/>
    <w:rsid w:val="00FE1CFE"/>
    <w:rsid w:val="00FE1E63"/>
    <w:rsid w:val="00FE1EB4"/>
    <w:rsid w:val="00FE2C9C"/>
    <w:rsid w:val="00FE31F2"/>
    <w:rsid w:val="00FE353E"/>
    <w:rsid w:val="00FE3C12"/>
    <w:rsid w:val="00FE4348"/>
    <w:rsid w:val="00FE4717"/>
    <w:rsid w:val="00FE4D0C"/>
    <w:rsid w:val="00FE4F5F"/>
    <w:rsid w:val="00FE5BE0"/>
    <w:rsid w:val="00FE609A"/>
    <w:rsid w:val="00FE6A3E"/>
    <w:rsid w:val="00FE758F"/>
    <w:rsid w:val="00FE7765"/>
    <w:rsid w:val="00FE7F23"/>
    <w:rsid w:val="00FF0202"/>
    <w:rsid w:val="00FF1BFE"/>
    <w:rsid w:val="00FF1E39"/>
    <w:rsid w:val="00FF206B"/>
    <w:rsid w:val="00FF2CAF"/>
    <w:rsid w:val="00FF3B2E"/>
    <w:rsid w:val="00FF409A"/>
    <w:rsid w:val="00FF4407"/>
    <w:rsid w:val="00FF449A"/>
    <w:rsid w:val="00FF45E0"/>
    <w:rsid w:val="00FF4F9D"/>
    <w:rsid w:val="00FF54C4"/>
    <w:rsid w:val="00FF5B33"/>
    <w:rsid w:val="00FF5D16"/>
    <w:rsid w:val="00FF68EB"/>
    <w:rsid w:val="00FF7274"/>
    <w:rsid w:val="0AB22FC1"/>
    <w:rsid w:val="0F46E397"/>
    <w:rsid w:val="2BC286AC"/>
    <w:rsid w:val="2CF71098"/>
    <w:rsid w:val="2EBF02FB"/>
    <w:rsid w:val="39A8AF3C"/>
    <w:rsid w:val="55487442"/>
    <w:rsid w:val="5785F1E4"/>
    <w:rsid w:val="5E30DA01"/>
    <w:rsid w:val="6A1A0990"/>
    <w:rsid w:val="727AB0A7"/>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35192"/>
  <w15:docId w15:val="{DC05A6F1-64B8-4312-A929-32354DA69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3" w:qFormat="1"/>
    <w:lsdException w:name="heading 3" w:uiPriority="3" w:qFormat="1"/>
    <w:lsdException w:name="heading 4" w:uiPriority="3" w:qFormat="1"/>
    <w:lsdException w:name="heading 5" w:uiPriority="3" w:qFormat="1"/>
    <w:lsdException w:name="heading 6" w:uiPriority="4"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qFormat="1"/>
    <w:lsdException w:name="annotation text" w:semiHidden="1"/>
    <w:lsdException w:name="header" w:semiHidden="1" w:unhideWhenUsed="1" w:qFormat="1"/>
    <w:lsdException w:name="footer" w:semiHidden="1" w:unhideWhenUsed="1"/>
    <w:lsdException w:name="index heading" w:semiHidden="1"/>
    <w:lsdException w:name="caption" w:semiHidden="1" w:uiPriority="3" w:unhideWhenUsed="1" w:qFormat="1"/>
    <w:lsdException w:name="table of figures" w:semiHidden="1" w:unhideWhenUsed="1"/>
    <w:lsdException w:name="envelope address" w:semiHidden="1"/>
    <w:lsdException w:name="envelope return" w:semiHidden="1"/>
    <w:lsdException w:name="footnote reference" w:semiHidden="1" w:qFormat="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lsdException w:name="Strong" w:uiPriority="22" w:qFormat="1"/>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5B7"/>
    <w:rPr>
      <w:lang w:val="en-US"/>
    </w:rPr>
  </w:style>
  <w:style w:type="paragraph" w:styleId="Heading1">
    <w:name w:val="heading 1"/>
    <w:aliases w:val="H1"/>
    <w:basedOn w:val="Normal"/>
    <w:next w:val="Normal"/>
    <w:link w:val="Heading1Char"/>
    <w:uiPriority w:val="1"/>
    <w:qFormat/>
    <w:rsid w:val="00B10C6D"/>
    <w:pPr>
      <w:keepNext/>
      <w:keepLines/>
      <w:numPr>
        <w:numId w:val="2"/>
      </w:numPr>
      <w:suppressAutoHyphens/>
      <w:spacing w:before="280" w:after="280" w:line="360" w:lineRule="atLeast"/>
      <w:contextualSpacing/>
      <w:outlineLvl w:val="0"/>
    </w:pPr>
    <w:rPr>
      <w:rFonts w:eastAsiaTheme="majorEastAsia" w:cstheme="majorBidi"/>
      <w:b/>
      <w:bCs/>
      <w:color w:val="009DF0" w:themeColor="text2"/>
      <w:sz w:val="28"/>
      <w:szCs w:val="28"/>
    </w:rPr>
  </w:style>
  <w:style w:type="paragraph" w:styleId="Heading2">
    <w:name w:val="heading 2"/>
    <w:basedOn w:val="Normal"/>
    <w:next w:val="Normal"/>
    <w:link w:val="Heading2Char"/>
    <w:uiPriority w:val="3"/>
    <w:qFormat/>
    <w:rsid w:val="00B10C6D"/>
    <w:pPr>
      <w:keepNext/>
      <w:keepLines/>
      <w:numPr>
        <w:ilvl w:val="1"/>
        <w:numId w:val="2"/>
      </w:numPr>
      <w:suppressAutoHyphens/>
      <w:spacing w:after="120" w:line="360" w:lineRule="auto"/>
      <w:contextualSpacing/>
      <w:outlineLvl w:val="1"/>
    </w:pPr>
    <w:rPr>
      <w:rFonts w:eastAsiaTheme="majorEastAsia" w:cstheme="majorBidi"/>
      <w:b/>
      <w:bCs/>
      <w:color w:val="009DF0" w:themeColor="text2"/>
      <w:sz w:val="20"/>
      <w:szCs w:val="26"/>
    </w:rPr>
  </w:style>
  <w:style w:type="paragraph" w:styleId="Heading3">
    <w:name w:val="heading 3"/>
    <w:basedOn w:val="Normal"/>
    <w:next w:val="Normal"/>
    <w:link w:val="Heading3Char"/>
    <w:uiPriority w:val="3"/>
    <w:qFormat/>
    <w:rsid w:val="00B10C6D"/>
    <w:pPr>
      <w:keepNext/>
      <w:keepLines/>
      <w:numPr>
        <w:ilvl w:val="2"/>
        <w:numId w:val="2"/>
      </w:numPr>
      <w:spacing w:after="120" w:line="360" w:lineRule="auto"/>
      <w:contextualSpacing/>
      <w:outlineLvl w:val="2"/>
    </w:pPr>
    <w:rPr>
      <w:rFonts w:eastAsiaTheme="majorEastAsia" w:cstheme="majorBidi"/>
      <w:b/>
      <w:bCs/>
    </w:rPr>
  </w:style>
  <w:style w:type="paragraph" w:styleId="Heading4">
    <w:name w:val="heading 4"/>
    <w:basedOn w:val="Normal"/>
    <w:next w:val="Normal"/>
    <w:link w:val="Heading4Char"/>
    <w:uiPriority w:val="3"/>
    <w:qFormat/>
    <w:rsid w:val="00B10C6D"/>
    <w:pPr>
      <w:keepNext/>
      <w:keepLines/>
      <w:numPr>
        <w:ilvl w:val="3"/>
        <w:numId w:val="2"/>
      </w:numPr>
      <w:spacing w:before="260"/>
      <w:ind w:left="5954"/>
      <w:contextualSpacing/>
      <w:outlineLvl w:val="3"/>
    </w:pPr>
    <w:rPr>
      <w:rFonts w:eastAsiaTheme="majorEastAsia" w:cstheme="majorBidi"/>
      <w:bCs/>
      <w:iCs/>
    </w:rPr>
  </w:style>
  <w:style w:type="paragraph" w:styleId="Heading5">
    <w:name w:val="heading 5"/>
    <w:basedOn w:val="Normal"/>
    <w:next w:val="Normal"/>
    <w:link w:val="Heading5Char"/>
    <w:uiPriority w:val="3"/>
    <w:qFormat/>
    <w:rsid w:val="00920D86"/>
    <w:pPr>
      <w:keepNext/>
      <w:keepLines/>
      <w:numPr>
        <w:ilvl w:val="4"/>
        <w:numId w:val="2"/>
      </w:numPr>
      <w:spacing w:before="260"/>
      <w:contextualSpacing/>
      <w:outlineLvl w:val="4"/>
    </w:pPr>
    <w:rPr>
      <w:rFonts w:eastAsiaTheme="majorEastAsia" w:cstheme="majorBidi"/>
      <w:u w:val="single"/>
    </w:rPr>
  </w:style>
  <w:style w:type="paragraph" w:styleId="Heading6">
    <w:name w:val="heading 6"/>
    <w:basedOn w:val="Normal"/>
    <w:next w:val="Normal"/>
    <w:link w:val="Heading6Char"/>
    <w:uiPriority w:val="4"/>
    <w:qFormat/>
    <w:rsid w:val="00920D86"/>
    <w:pPr>
      <w:keepNext/>
      <w:keepLines/>
      <w:numPr>
        <w:ilvl w:val="5"/>
        <w:numId w:val="2"/>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4"/>
    <w:qFormat/>
    <w:rsid w:val="00920D86"/>
    <w:pPr>
      <w:keepNext/>
      <w:keepLines/>
      <w:numPr>
        <w:ilvl w:val="6"/>
        <w:numId w:val="2"/>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4"/>
    <w:qFormat/>
    <w:rsid w:val="00920D86"/>
    <w:pPr>
      <w:keepNext/>
      <w:keepLines/>
      <w:numPr>
        <w:ilvl w:val="7"/>
        <w:numId w:val="2"/>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4"/>
    <w:qFormat/>
    <w:rsid w:val="00920D86"/>
    <w:pPr>
      <w:keepNext/>
      <w:keepLines/>
      <w:numPr>
        <w:ilvl w:val="8"/>
        <w:numId w:val="2"/>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rsid w:val="00920D86"/>
    <w:pPr>
      <w:spacing w:line="160" w:lineRule="atLeast"/>
    </w:pPr>
    <w:rPr>
      <w:color w:val="D0CFC2"/>
    </w:rPr>
  </w:style>
  <w:style w:type="character" w:customStyle="1" w:styleId="HeaderChar">
    <w:name w:val="Header Char"/>
    <w:basedOn w:val="DefaultParagraphFont"/>
    <w:link w:val="Header"/>
    <w:uiPriority w:val="99"/>
    <w:qFormat/>
    <w:rsid w:val="00920D86"/>
    <w:rPr>
      <w:color w:val="D0CFC2"/>
      <w:lang w:val="en-US"/>
    </w:rPr>
  </w:style>
  <w:style w:type="paragraph" w:styleId="Footer">
    <w:name w:val="footer"/>
    <w:basedOn w:val="Normal"/>
    <w:link w:val="FooterChar"/>
    <w:uiPriority w:val="99"/>
    <w:rsid w:val="00920D86"/>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920D86"/>
    <w:rPr>
      <w:sz w:val="12"/>
      <w:lang w:val="en-US"/>
    </w:rPr>
  </w:style>
  <w:style w:type="character" w:customStyle="1" w:styleId="Heading1Char">
    <w:name w:val="Heading 1 Char"/>
    <w:aliases w:val="H1 Char"/>
    <w:basedOn w:val="DefaultParagraphFont"/>
    <w:link w:val="Heading1"/>
    <w:uiPriority w:val="1"/>
    <w:rsid w:val="00B10C6D"/>
    <w:rPr>
      <w:rFonts w:eastAsiaTheme="majorEastAsia" w:cstheme="majorBidi"/>
      <w:b/>
      <w:bCs/>
      <w:color w:val="009DF0" w:themeColor="text2"/>
      <w:sz w:val="28"/>
      <w:szCs w:val="28"/>
      <w:lang w:val="en-US"/>
    </w:rPr>
  </w:style>
  <w:style w:type="character" w:customStyle="1" w:styleId="Heading2Char">
    <w:name w:val="Heading 2 Char"/>
    <w:basedOn w:val="DefaultParagraphFont"/>
    <w:link w:val="Heading2"/>
    <w:uiPriority w:val="3"/>
    <w:rsid w:val="00B10C6D"/>
    <w:rPr>
      <w:rFonts w:eastAsiaTheme="majorEastAsia" w:cstheme="majorBidi"/>
      <w:b/>
      <w:bCs/>
      <w:color w:val="009DF0" w:themeColor="text2"/>
      <w:sz w:val="20"/>
      <w:szCs w:val="26"/>
      <w:lang w:val="en-US"/>
    </w:rPr>
  </w:style>
  <w:style w:type="character" w:customStyle="1" w:styleId="Heading3Char">
    <w:name w:val="Heading 3 Char"/>
    <w:basedOn w:val="DefaultParagraphFont"/>
    <w:link w:val="Heading3"/>
    <w:uiPriority w:val="3"/>
    <w:rsid w:val="00B10C6D"/>
    <w:rPr>
      <w:rFonts w:eastAsiaTheme="majorEastAsia" w:cstheme="majorBidi"/>
      <w:b/>
      <w:bCs/>
      <w:lang w:val="en-US"/>
    </w:rPr>
  </w:style>
  <w:style w:type="character" w:customStyle="1" w:styleId="Heading4Char">
    <w:name w:val="Heading 4 Char"/>
    <w:basedOn w:val="DefaultParagraphFont"/>
    <w:link w:val="Heading4"/>
    <w:uiPriority w:val="3"/>
    <w:rsid w:val="00B10C6D"/>
    <w:rPr>
      <w:rFonts w:eastAsiaTheme="majorEastAsia" w:cstheme="majorBidi"/>
      <w:bCs/>
      <w:iCs/>
      <w:lang w:val="en-US"/>
    </w:rPr>
  </w:style>
  <w:style w:type="character" w:customStyle="1" w:styleId="Heading5Char">
    <w:name w:val="Heading 5 Char"/>
    <w:basedOn w:val="DefaultParagraphFont"/>
    <w:link w:val="Heading5"/>
    <w:uiPriority w:val="3"/>
    <w:rsid w:val="00920D86"/>
    <w:rPr>
      <w:rFonts w:eastAsiaTheme="majorEastAsia" w:cstheme="majorBidi"/>
      <w:u w:val="single"/>
      <w:lang w:val="en-US"/>
    </w:rPr>
  </w:style>
  <w:style w:type="character" w:customStyle="1" w:styleId="Heading6Char">
    <w:name w:val="Heading 6 Char"/>
    <w:basedOn w:val="DefaultParagraphFont"/>
    <w:link w:val="Heading6"/>
    <w:uiPriority w:val="4"/>
    <w:semiHidden/>
    <w:rsid w:val="00920D86"/>
    <w:rPr>
      <w:rFonts w:eastAsiaTheme="majorEastAsia" w:cstheme="majorBidi"/>
      <w:b/>
      <w:iCs/>
      <w:lang w:val="en-US"/>
    </w:rPr>
  </w:style>
  <w:style w:type="character" w:customStyle="1" w:styleId="Heading7Char">
    <w:name w:val="Heading 7 Char"/>
    <w:basedOn w:val="DefaultParagraphFont"/>
    <w:link w:val="Heading7"/>
    <w:uiPriority w:val="4"/>
    <w:semiHidden/>
    <w:rsid w:val="00920D86"/>
    <w:rPr>
      <w:rFonts w:eastAsiaTheme="majorEastAsia" w:cstheme="majorBidi"/>
      <w:b/>
      <w:iCs/>
      <w:lang w:val="en-US"/>
    </w:rPr>
  </w:style>
  <w:style w:type="character" w:customStyle="1" w:styleId="Heading8Char">
    <w:name w:val="Heading 8 Char"/>
    <w:basedOn w:val="DefaultParagraphFont"/>
    <w:link w:val="Heading8"/>
    <w:uiPriority w:val="4"/>
    <w:semiHidden/>
    <w:rsid w:val="00920D86"/>
    <w:rPr>
      <w:rFonts w:eastAsiaTheme="majorEastAsia" w:cstheme="majorBidi"/>
      <w:b/>
      <w:szCs w:val="20"/>
      <w:lang w:val="en-US"/>
    </w:rPr>
  </w:style>
  <w:style w:type="character" w:customStyle="1" w:styleId="Heading9Char">
    <w:name w:val="Heading 9 Char"/>
    <w:basedOn w:val="DefaultParagraphFont"/>
    <w:link w:val="Heading9"/>
    <w:uiPriority w:val="4"/>
    <w:semiHidden/>
    <w:rsid w:val="00920D86"/>
    <w:rPr>
      <w:rFonts w:eastAsiaTheme="majorEastAsia" w:cstheme="majorBidi"/>
      <w:b/>
      <w:iCs/>
      <w:szCs w:val="20"/>
      <w:lang w:val="en-US"/>
    </w:rPr>
  </w:style>
  <w:style w:type="paragraph" w:styleId="Title">
    <w:name w:val="Title"/>
    <w:basedOn w:val="Normal"/>
    <w:next w:val="Normal"/>
    <w:link w:val="TitleChar"/>
    <w:uiPriority w:val="10"/>
    <w:qFormat/>
    <w:rsid w:val="00920D86"/>
    <w:pPr>
      <w:spacing w:after="260" w:line="710" w:lineRule="exact"/>
      <w:contextualSpacing/>
    </w:pPr>
    <w:rPr>
      <w:rFonts w:eastAsiaTheme="majorEastAsia" w:cstheme="majorBidi"/>
      <w:b/>
      <w:caps/>
      <w:kern w:val="28"/>
      <w:sz w:val="64"/>
      <w:szCs w:val="52"/>
    </w:rPr>
  </w:style>
  <w:style w:type="character" w:customStyle="1" w:styleId="TitleChar">
    <w:name w:val="Title Char"/>
    <w:basedOn w:val="DefaultParagraphFont"/>
    <w:link w:val="Title"/>
    <w:uiPriority w:val="99"/>
    <w:semiHidden/>
    <w:rsid w:val="00920D86"/>
    <w:rPr>
      <w:rFonts w:eastAsiaTheme="majorEastAsia" w:cstheme="majorBidi"/>
      <w:b/>
      <w:caps/>
      <w:kern w:val="28"/>
      <w:sz w:val="64"/>
      <w:szCs w:val="52"/>
      <w:lang w:val="en-US"/>
    </w:rPr>
  </w:style>
  <w:style w:type="paragraph" w:styleId="Subtitle">
    <w:name w:val="Subtitle"/>
    <w:basedOn w:val="Normal"/>
    <w:next w:val="Normal"/>
    <w:link w:val="SubtitleChar"/>
    <w:uiPriority w:val="8"/>
    <w:semiHidden/>
    <w:qFormat/>
    <w:rsid w:val="00261211"/>
    <w:pPr>
      <w:numPr>
        <w:ilvl w:val="1"/>
      </w:numPr>
      <w:spacing w:line="288" w:lineRule="atLeast"/>
      <w:contextualSpacing/>
    </w:pPr>
    <w:rPr>
      <w:rFonts w:eastAsiaTheme="majorEastAsia" w:cstheme="majorBidi"/>
      <w:iCs/>
      <w:sz w:val="24"/>
      <w:szCs w:val="24"/>
    </w:rPr>
  </w:style>
  <w:style w:type="character" w:customStyle="1" w:styleId="SubtitleChar">
    <w:name w:val="Subtitle Char"/>
    <w:basedOn w:val="DefaultParagraphFont"/>
    <w:link w:val="Subtitle"/>
    <w:uiPriority w:val="8"/>
    <w:semiHidden/>
    <w:rsid w:val="00261211"/>
    <w:rPr>
      <w:rFonts w:eastAsiaTheme="majorEastAsia" w:cstheme="majorBidi"/>
      <w:iCs/>
      <w:sz w:val="24"/>
      <w:szCs w:val="24"/>
      <w:lang w:val="en-US"/>
    </w:rPr>
  </w:style>
  <w:style w:type="character" w:styleId="SubtleEmphasis">
    <w:name w:val="Subtle Emphasis"/>
    <w:basedOn w:val="DefaultParagraphFont"/>
    <w:uiPriority w:val="99"/>
    <w:semiHidden/>
    <w:qFormat/>
    <w:rsid w:val="00920D86"/>
    <w:rPr>
      <w:i/>
      <w:iCs/>
      <w:color w:val="808080" w:themeColor="text1" w:themeTint="7F"/>
      <w:lang w:val="en-US"/>
    </w:rPr>
  </w:style>
  <w:style w:type="character" w:styleId="IntenseEmphasis">
    <w:name w:val="Intense Emphasis"/>
    <w:basedOn w:val="DefaultParagraphFont"/>
    <w:uiPriority w:val="19"/>
    <w:semiHidden/>
    <w:rsid w:val="00920D86"/>
    <w:rPr>
      <w:b/>
      <w:bCs/>
      <w:i/>
      <w:iCs/>
      <w:color w:val="auto"/>
      <w:lang w:val="en-US"/>
    </w:rPr>
  </w:style>
  <w:style w:type="character" w:styleId="Strong">
    <w:name w:val="Strong"/>
    <w:basedOn w:val="DefaultParagraphFont"/>
    <w:uiPriority w:val="22"/>
    <w:qFormat/>
    <w:rsid w:val="00920D86"/>
    <w:rPr>
      <w:b/>
      <w:bCs/>
      <w:lang w:val="en-US"/>
    </w:rPr>
  </w:style>
  <w:style w:type="paragraph" w:styleId="IntenseQuote">
    <w:name w:val="Intense Quote"/>
    <w:basedOn w:val="Normal"/>
    <w:next w:val="Normal"/>
    <w:link w:val="IntenseQuoteChar"/>
    <w:uiPriority w:val="19"/>
    <w:semiHidden/>
    <w:rsid w:val="00920D86"/>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920D86"/>
    <w:rPr>
      <w:b/>
      <w:bCs/>
      <w:i/>
      <w:iCs/>
      <w:lang w:val="en-US"/>
    </w:rPr>
  </w:style>
  <w:style w:type="character" w:styleId="SubtleReference">
    <w:name w:val="Subtle Reference"/>
    <w:basedOn w:val="DefaultParagraphFont"/>
    <w:uiPriority w:val="99"/>
    <w:semiHidden/>
    <w:qFormat/>
    <w:rsid w:val="00920D86"/>
    <w:rPr>
      <w:caps w:val="0"/>
      <w:smallCaps w:val="0"/>
      <w:color w:val="auto"/>
      <w:u w:val="single"/>
      <w:lang w:val="en-US"/>
    </w:rPr>
  </w:style>
  <w:style w:type="character" w:styleId="IntenseReference">
    <w:name w:val="Intense Reference"/>
    <w:basedOn w:val="DefaultParagraphFont"/>
    <w:uiPriority w:val="99"/>
    <w:semiHidden/>
    <w:qFormat/>
    <w:rsid w:val="00920D86"/>
    <w:rPr>
      <w:b/>
      <w:bCs/>
      <w:caps w:val="0"/>
      <w:smallCaps w:val="0"/>
      <w:color w:val="auto"/>
      <w:spacing w:val="5"/>
      <w:u w:val="single"/>
      <w:lang w:val="en-US"/>
    </w:rPr>
  </w:style>
  <w:style w:type="paragraph" w:styleId="Caption">
    <w:name w:val="caption"/>
    <w:aliases w:val="Map Char,Map,Map Char Char Char Char Char,Caption Char Char Car Car,Caption Char Char Car Car Car,Map Char Char Char Car Car,Caption Char Char,Map Char Char,Map Char Char Char,Caption Char1,Titlu Tabel,Caracter Caracter,Char1 Char,Figura_text,Ma"/>
    <w:basedOn w:val="Normal"/>
    <w:next w:val="Caption-Text"/>
    <w:link w:val="CaptionChar"/>
    <w:uiPriority w:val="3"/>
    <w:qFormat/>
    <w:rsid w:val="00920D86"/>
    <w:pPr>
      <w:spacing w:before="170" w:after="100" w:line="200" w:lineRule="atLeast"/>
    </w:pPr>
    <w:rPr>
      <w:b/>
      <w:bCs/>
      <w:color w:val="009DF0" w:themeColor="text2"/>
      <w:sz w:val="14"/>
    </w:rPr>
  </w:style>
  <w:style w:type="paragraph" w:styleId="TOC1">
    <w:name w:val="toc 1"/>
    <w:basedOn w:val="Normal"/>
    <w:next w:val="Normal"/>
    <w:uiPriority w:val="39"/>
    <w:rsid w:val="00920D86"/>
    <w:pPr>
      <w:tabs>
        <w:tab w:val="right" w:pos="6231"/>
      </w:tabs>
      <w:spacing w:before="260"/>
      <w:ind w:right="567"/>
    </w:pPr>
    <w:rPr>
      <w:rFonts w:eastAsia="Times New Roman" w:cs="Times New Roman"/>
      <w:color w:val="009DF0" w:themeColor="text2"/>
    </w:rPr>
  </w:style>
  <w:style w:type="paragraph" w:styleId="TOC2">
    <w:name w:val="toc 2"/>
    <w:basedOn w:val="Normal"/>
    <w:next w:val="Normal"/>
    <w:uiPriority w:val="39"/>
    <w:rsid w:val="00920D86"/>
    <w:pPr>
      <w:tabs>
        <w:tab w:val="left" w:pos="851"/>
        <w:tab w:val="right" w:pos="6231"/>
      </w:tabs>
      <w:ind w:right="567"/>
    </w:pPr>
    <w:rPr>
      <w:rFonts w:eastAsia="Times New Roman" w:cs="Times New Roman"/>
    </w:rPr>
  </w:style>
  <w:style w:type="paragraph" w:styleId="TOC3">
    <w:name w:val="toc 3"/>
    <w:basedOn w:val="Normal"/>
    <w:next w:val="Normal"/>
    <w:uiPriority w:val="39"/>
    <w:rsid w:val="00920D86"/>
    <w:pPr>
      <w:tabs>
        <w:tab w:val="left" w:pos="851"/>
        <w:tab w:val="right" w:pos="6231"/>
      </w:tabs>
      <w:ind w:left="851" w:right="567" w:hanging="851"/>
    </w:pPr>
    <w:rPr>
      <w:rFonts w:eastAsia="Times New Roman" w:cs="Times New Roman"/>
    </w:rPr>
  </w:style>
  <w:style w:type="paragraph" w:styleId="TOC4">
    <w:name w:val="toc 4"/>
    <w:basedOn w:val="Normal"/>
    <w:next w:val="Normal"/>
    <w:link w:val="TOC4Char"/>
    <w:uiPriority w:val="39"/>
    <w:semiHidden/>
    <w:rsid w:val="00920D86"/>
    <w:pPr>
      <w:tabs>
        <w:tab w:val="left" w:pos="1077"/>
        <w:tab w:val="right" w:pos="7229"/>
      </w:tabs>
      <w:ind w:left="510" w:right="2268" w:hanging="1077"/>
    </w:pPr>
    <w:rPr>
      <w:rFonts w:eastAsia="Times New Roman" w:cs="Times New Roman"/>
    </w:rPr>
  </w:style>
  <w:style w:type="paragraph" w:styleId="TOC5">
    <w:name w:val="toc 5"/>
    <w:basedOn w:val="Normal"/>
    <w:next w:val="Normal"/>
    <w:uiPriority w:val="39"/>
    <w:semiHidden/>
    <w:rsid w:val="00920D86"/>
    <w:pPr>
      <w:tabs>
        <w:tab w:val="left" w:pos="1077"/>
        <w:tab w:val="right" w:pos="7229"/>
      </w:tabs>
      <w:ind w:left="510" w:right="2268" w:hanging="1077"/>
    </w:pPr>
    <w:rPr>
      <w:rFonts w:eastAsia="Times New Roman" w:cs="Times New Roman"/>
    </w:rPr>
  </w:style>
  <w:style w:type="paragraph" w:styleId="TOC6">
    <w:name w:val="toc 6"/>
    <w:basedOn w:val="Normal"/>
    <w:next w:val="Normal"/>
    <w:uiPriority w:val="39"/>
    <w:semiHidden/>
    <w:rsid w:val="00920D86"/>
    <w:pPr>
      <w:tabs>
        <w:tab w:val="right" w:pos="7229"/>
      </w:tabs>
      <w:ind w:left="-567" w:right="2268"/>
    </w:pPr>
    <w:rPr>
      <w:rFonts w:eastAsia="Times New Roman" w:cs="Times New Roman"/>
    </w:rPr>
  </w:style>
  <w:style w:type="paragraph" w:styleId="TOC7">
    <w:name w:val="toc 7"/>
    <w:basedOn w:val="Normal"/>
    <w:next w:val="Normal"/>
    <w:uiPriority w:val="39"/>
    <w:semiHidden/>
    <w:rsid w:val="00920D86"/>
    <w:pPr>
      <w:spacing w:before="240"/>
      <w:ind w:left="-567" w:right="2268"/>
    </w:pPr>
    <w:rPr>
      <w:rFonts w:eastAsia="Times New Roman" w:cs="Times New Roman"/>
      <w:b/>
    </w:rPr>
  </w:style>
  <w:style w:type="paragraph" w:styleId="TOC8">
    <w:name w:val="toc 8"/>
    <w:basedOn w:val="Normal"/>
    <w:next w:val="Normal"/>
    <w:uiPriority w:val="39"/>
    <w:semiHidden/>
    <w:rsid w:val="00920D86"/>
    <w:pPr>
      <w:ind w:left="-567" w:right="2268"/>
    </w:pPr>
    <w:rPr>
      <w:rFonts w:eastAsia="Times New Roman" w:cs="Times New Roman"/>
    </w:rPr>
  </w:style>
  <w:style w:type="paragraph" w:styleId="TOC9">
    <w:name w:val="toc 9"/>
    <w:basedOn w:val="Normal"/>
    <w:next w:val="Normal"/>
    <w:uiPriority w:val="39"/>
    <w:semiHidden/>
    <w:rsid w:val="00920D86"/>
    <w:pPr>
      <w:ind w:left="-567" w:right="2268"/>
    </w:pPr>
    <w:rPr>
      <w:rFonts w:eastAsia="Times New Roman" w:cs="Times New Roman"/>
    </w:rPr>
  </w:style>
  <w:style w:type="paragraph" w:styleId="TOCHeading">
    <w:name w:val="TOC Heading"/>
    <w:basedOn w:val="Normal"/>
    <w:next w:val="Normal"/>
    <w:uiPriority w:val="39"/>
    <w:rsid w:val="00920D86"/>
    <w:rPr>
      <w:color w:val="009DF0" w:themeColor="text2"/>
      <w:sz w:val="24"/>
    </w:rPr>
  </w:style>
  <w:style w:type="paragraph" w:styleId="BlockText">
    <w:name w:val="Block Text"/>
    <w:basedOn w:val="Normal"/>
    <w:uiPriority w:val="99"/>
    <w:semiHidden/>
    <w:rsid w:val="00920D86"/>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EndnoteText">
    <w:name w:val="endnote text"/>
    <w:basedOn w:val="Normal"/>
    <w:link w:val="EndnoteTextChar"/>
    <w:uiPriority w:val="99"/>
    <w:semiHidden/>
    <w:rsid w:val="00920D86"/>
    <w:pPr>
      <w:spacing w:line="200" w:lineRule="atLeast"/>
      <w:ind w:left="85" w:hanging="85"/>
    </w:pPr>
    <w:rPr>
      <w:color w:val="273943" w:themeColor="background2"/>
      <w:sz w:val="12"/>
      <w:szCs w:val="20"/>
    </w:rPr>
  </w:style>
  <w:style w:type="character" w:customStyle="1" w:styleId="EndnoteTextChar">
    <w:name w:val="Endnote Text Char"/>
    <w:basedOn w:val="DefaultParagraphFont"/>
    <w:link w:val="EndnoteText"/>
    <w:uiPriority w:val="99"/>
    <w:semiHidden/>
    <w:rsid w:val="00920D86"/>
    <w:rPr>
      <w:color w:val="273943" w:themeColor="background2"/>
      <w:sz w:val="12"/>
      <w:szCs w:val="20"/>
      <w:lang w:val="en-US"/>
    </w:rPr>
  </w:style>
  <w:style w:type="character" w:styleId="EndnoteReference">
    <w:name w:val="endnote reference"/>
    <w:basedOn w:val="DefaultParagraphFont"/>
    <w:uiPriority w:val="99"/>
    <w:semiHidden/>
    <w:rsid w:val="00920D86"/>
    <w:rPr>
      <w:vertAlign w:val="superscript"/>
      <w:lang w:val="en-US"/>
    </w:rPr>
  </w:style>
  <w:style w:type="paragraph" w:styleId="FootnoteText">
    <w:name w:val="footnote text"/>
    <w:aliases w:val="Nbpage Moens,single space,Podrozdział,Footnote Text Char Char,Fußnote,footnote text,FOOTNOTES,fn,stile 1,Footnote,Footnote1,Footnote2,Footnote3,Footnote4,Footnote5,Footnote6,Footnote7,Footnote8,Footnote9,Footnote10,Footnote11,Fußnotentextf"/>
    <w:basedOn w:val="Normal"/>
    <w:link w:val="FootnoteTextChar"/>
    <w:uiPriority w:val="99"/>
    <w:qFormat/>
    <w:rsid w:val="00920D86"/>
    <w:pPr>
      <w:spacing w:line="200" w:lineRule="atLeast"/>
      <w:ind w:left="85" w:hanging="85"/>
    </w:pPr>
    <w:rPr>
      <w:color w:val="797766"/>
      <w:sz w:val="12"/>
      <w:szCs w:val="20"/>
    </w:rPr>
  </w:style>
  <w:style w:type="character" w:customStyle="1" w:styleId="FootnoteTextChar">
    <w:name w:val="Footnote Text Char"/>
    <w:aliases w:val="Nbpage Moens Char,single space Char,Podrozdział Char,Footnote Text Char Char Char,Fußnote Char,footnote text Char,FOOTNOTES Char,fn Char,stile 1 Char,Footnote Char,Footnote1 Char,Footnote2 Char,Footnote3 Char,Footnote4 Char"/>
    <w:basedOn w:val="DefaultParagraphFont"/>
    <w:link w:val="FootnoteText"/>
    <w:uiPriority w:val="99"/>
    <w:rsid w:val="00920D86"/>
    <w:rPr>
      <w:color w:val="797766"/>
      <w:sz w:val="12"/>
      <w:szCs w:val="20"/>
      <w:lang w:val="en-US"/>
    </w:rPr>
  </w:style>
  <w:style w:type="paragraph" w:styleId="ListBullet">
    <w:name w:val="List Bullet"/>
    <w:basedOn w:val="Normal"/>
    <w:uiPriority w:val="4"/>
    <w:qFormat/>
    <w:rsid w:val="00920D86"/>
    <w:pPr>
      <w:numPr>
        <w:numId w:val="3"/>
      </w:numPr>
      <w:contextualSpacing/>
    </w:pPr>
  </w:style>
  <w:style w:type="paragraph" w:styleId="ListNumber">
    <w:name w:val="List Number"/>
    <w:basedOn w:val="Normal"/>
    <w:uiPriority w:val="4"/>
    <w:qFormat/>
    <w:rsid w:val="00920D86"/>
    <w:pPr>
      <w:numPr>
        <w:numId w:val="8"/>
      </w:numPr>
      <w:contextualSpacing/>
    </w:pPr>
  </w:style>
  <w:style w:type="character" w:styleId="PageNumber">
    <w:name w:val="page number"/>
    <w:basedOn w:val="DefaultParagraphFont"/>
    <w:uiPriority w:val="21"/>
    <w:semiHidden/>
    <w:rsid w:val="00920D86"/>
    <w:rPr>
      <w:lang w:val="en-US"/>
    </w:rPr>
  </w:style>
  <w:style w:type="paragraph" w:customStyle="1" w:styleId="Template">
    <w:name w:val="Template"/>
    <w:uiPriority w:val="8"/>
    <w:semiHidden/>
    <w:rsid w:val="00920D86"/>
    <w:pPr>
      <w:spacing w:line="200" w:lineRule="atLeast"/>
    </w:pPr>
    <w:rPr>
      <w:noProof/>
      <w:sz w:val="14"/>
      <w:lang w:val="en-US"/>
    </w:rPr>
  </w:style>
  <w:style w:type="paragraph" w:customStyle="1" w:styleId="Template-Address">
    <w:name w:val="Template - Address"/>
    <w:basedOn w:val="Template"/>
    <w:uiPriority w:val="8"/>
    <w:semiHidden/>
    <w:rsid w:val="00920D86"/>
    <w:pPr>
      <w:tabs>
        <w:tab w:val="left" w:pos="567"/>
      </w:tabs>
      <w:suppressAutoHyphens/>
    </w:pPr>
  </w:style>
  <w:style w:type="paragraph" w:customStyle="1" w:styleId="Template-Companyname">
    <w:name w:val="Template - Company name"/>
    <w:basedOn w:val="Template-Address"/>
    <w:next w:val="Template-Address"/>
    <w:uiPriority w:val="8"/>
    <w:semiHidden/>
    <w:rsid w:val="00920D86"/>
  </w:style>
  <w:style w:type="paragraph" w:styleId="TOAHeading">
    <w:name w:val="toa heading"/>
    <w:basedOn w:val="Normal"/>
    <w:next w:val="Normal"/>
    <w:uiPriority w:val="39"/>
    <w:semiHidden/>
    <w:rsid w:val="00920D86"/>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920D86"/>
    <w:pPr>
      <w:tabs>
        <w:tab w:val="right" w:pos="7229"/>
      </w:tabs>
      <w:ind w:right="2268"/>
    </w:pPr>
  </w:style>
  <w:style w:type="paragraph" w:styleId="Signature">
    <w:name w:val="Signature"/>
    <w:basedOn w:val="Normal"/>
    <w:link w:val="SignatureChar"/>
    <w:uiPriority w:val="99"/>
    <w:semiHidden/>
    <w:rsid w:val="00920D86"/>
    <w:pPr>
      <w:spacing w:line="240" w:lineRule="auto"/>
      <w:ind w:left="4252"/>
    </w:pPr>
  </w:style>
  <w:style w:type="character" w:customStyle="1" w:styleId="SignatureChar">
    <w:name w:val="Signature Char"/>
    <w:basedOn w:val="DefaultParagraphFont"/>
    <w:link w:val="Signature"/>
    <w:uiPriority w:val="99"/>
    <w:semiHidden/>
    <w:rsid w:val="00920D86"/>
    <w:rPr>
      <w:lang w:val="en-US"/>
    </w:rPr>
  </w:style>
  <w:style w:type="character" w:styleId="PlaceholderText">
    <w:name w:val="Placeholder Text"/>
    <w:basedOn w:val="DefaultParagraphFont"/>
    <w:uiPriority w:val="99"/>
    <w:semiHidden/>
    <w:rsid w:val="00920D86"/>
    <w:rPr>
      <w:color w:val="auto"/>
      <w:lang w:val="en-US"/>
    </w:rPr>
  </w:style>
  <w:style w:type="paragraph" w:customStyle="1" w:styleId="Table">
    <w:name w:val="Table"/>
    <w:uiPriority w:val="6"/>
    <w:semiHidden/>
    <w:rsid w:val="00920D86"/>
    <w:pPr>
      <w:spacing w:before="40" w:after="40" w:line="200" w:lineRule="atLeast"/>
      <w:ind w:left="57" w:right="113"/>
    </w:pPr>
    <w:rPr>
      <w:sz w:val="14"/>
      <w:lang w:val="en-US"/>
    </w:rPr>
  </w:style>
  <w:style w:type="paragraph" w:customStyle="1" w:styleId="Table-Text">
    <w:name w:val="Table - Text"/>
    <w:basedOn w:val="Table"/>
    <w:uiPriority w:val="6"/>
    <w:rsid w:val="00920D86"/>
  </w:style>
  <w:style w:type="paragraph" w:customStyle="1" w:styleId="Table-TextTotal">
    <w:name w:val="Table - Text Total"/>
    <w:basedOn w:val="Table-Text"/>
    <w:uiPriority w:val="6"/>
    <w:rsid w:val="00920D86"/>
    <w:rPr>
      <w:b/>
    </w:rPr>
  </w:style>
  <w:style w:type="paragraph" w:customStyle="1" w:styleId="Table-Number">
    <w:name w:val="Table - Number"/>
    <w:basedOn w:val="Table"/>
    <w:uiPriority w:val="6"/>
    <w:rsid w:val="00920D86"/>
    <w:pPr>
      <w:jc w:val="right"/>
    </w:pPr>
  </w:style>
  <w:style w:type="paragraph" w:customStyle="1" w:styleId="Table-NumberTotal">
    <w:name w:val="Table - Number Total"/>
    <w:basedOn w:val="Table-Number"/>
    <w:uiPriority w:val="6"/>
    <w:rsid w:val="00920D86"/>
    <w:rPr>
      <w:b/>
    </w:rPr>
  </w:style>
  <w:style w:type="paragraph" w:styleId="Quote">
    <w:name w:val="Quote"/>
    <w:basedOn w:val="Normal"/>
    <w:next w:val="Normal"/>
    <w:link w:val="QuoteChar"/>
    <w:uiPriority w:val="19"/>
    <w:semiHidden/>
    <w:rsid w:val="00920D86"/>
    <w:pPr>
      <w:spacing w:before="260" w:after="260"/>
      <w:ind w:left="567" w:right="567"/>
    </w:pPr>
    <w:rPr>
      <w:b/>
      <w:iCs/>
      <w:color w:val="000000" w:themeColor="text1"/>
      <w:sz w:val="20"/>
    </w:rPr>
  </w:style>
  <w:style w:type="character" w:customStyle="1" w:styleId="QuoteChar">
    <w:name w:val="Quote Char"/>
    <w:basedOn w:val="DefaultParagraphFont"/>
    <w:link w:val="Quote"/>
    <w:uiPriority w:val="19"/>
    <w:semiHidden/>
    <w:rsid w:val="00920D86"/>
    <w:rPr>
      <w:b/>
      <w:iCs/>
      <w:color w:val="000000" w:themeColor="text1"/>
      <w:sz w:val="20"/>
      <w:lang w:val="en-US"/>
    </w:rPr>
  </w:style>
  <w:style w:type="character" w:styleId="BookTitle">
    <w:name w:val="Book Title"/>
    <w:basedOn w:val="DefaultParagraphFont"/>
    <w:uiPriority w:val="99"/>
    <w:semiHidden/>
    <w:qFormat/>
    <w:rsid w:val="00920D86"/>
    <w:rPr>
      <w:b/>
      <w:bCs/>
      <w:caps w:val="0"/>
      <w:smallCaps w:val="0"/>
      <w:spacing w:val="5"/>
      <w:lang w:val="en-US"/>
    </w:rPr>
  </w:style>
  <w:style w:type="paragraph" w:styleId="TableofAuthorities">
    <w:name w:val="table of authorities"/>
    <w:basedOn w:val="Normal"/>
    <w:next w:val="Normal"/>
    <w:uiPriority w:val="10"/>
    <w:semiHidden/>
    <w:rsid w:val="00920D86"/>
    <w:pPr>
      <w:ind w:right="567"/>
    </w:pPr>
  </w:style>
  <w:style w:type="paragraph" w:styleId="NormalIndent">
    <w:name w:val="Normal Indent"/>
    <w:basedOn w:val="Normal"/>
    <w:uiPriority w:val="99"/>
    <w:semiHidden/>
    <w:rsid w:val="00920D86"/>
    <w:pPr>
      <w:ind w:left="1134"/>
    </w:pPr>
  </w:style>
  <w:style w:type="table" w:styleId="TableGrid">
    <w:name w:val="Table Grid"/>
    <w:aliases w:val="Table long document,GT0,Table Grid Arial"/>
    <w:basedOn w:val="TableNormal"/>
    <w:qFormat/>
    <w:rsid w:val="009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8"/>
    <w:semiHidden/>
    <w:rsid w:val="00920D86"/>
    <w:pPr>
      <w:spacing w:after="260"/>
      <w:contextualSpacing/>
    </w:pPr>
    <w:rPr>
      <w:b/>
      <w:caps/>
    </w:rPr>
  </w:style>
  <w:style w:type="paragraph" w:customStyle="1" w:styleId="DocumentName">
    <w:name w:val="Document Name"/>
    <w:basedOn w:val="Normal"/>
    <w:next w:val="Normal"/>
    <w:uiPriority w:val="8"/>
    <w:semiHidden/>
    <w:rsid w:val="00920D86"/>
    <w:pPr>
      <w:spacing w:after="160" w:line="440" w:lineRule="exact"/>
    </w:pPr>
    <w:rPr>
      <w:caps/>
      <w:sz w:val="44"/>
    </w:rPr>
  </w:style>
  <w:style w:type="paragraph" w:customStyle="1" w:styleId="Template-Date">
    <w:name w:val="Template - Date"/>
    <w:basedOn w:val="Template"/>
    <w:uiPriority w:val="8"/>
    <w:semiHidden/>
    <w:rsid w:val="00920D86"/>
  </w:style>
  <w:style w:type="table" w:customStyle="1" w:styleId="Blank">
    <w:name w:val="Blank"/>
    <w:basedOn w:val="TableNormal"/>
    <w:uiPriority w:val="99"/>
    <w:rsid w:val="00920D86"/>
    <w:pPr>
      <w:spacing w:line="240" w:lineRule="atLeast"/>
    </w:pPr>
    <w:tblPr>
      <w:tblCellMar>
        <w:left w:w="0" w:type="dxa"/>
        <w:right w:w="0" w:type="dxa"/>
      </w:tblCellMar>
    </w:tblPr>
  </w:style>
  <w:style w:type="paragraph" w:styleId="NoSpacing">
    <w:name w:val="No Spacing"/>
    <w:uiPriority w:val="99"/>
    <w:semiHidden/>
    <w:rsid w:val="00920D86"/>
    <w:pPr>
      <w:spacing w:line="240" w:lineRule="atLeast"/>
    </w:pPr>
    <w:rPr>
      <w:lang w:val="en-US"/>
    </w:rPr>
  </w:style>
  <w:style w:type="paragraph" w:customStyle="1" w:styleId="RecipientAddress">
    <w:name w:val="Recipient Address"/>
    <w:basedOn w:val="Normal"/>
    <w:uiPriority w:val="8"/>
    <w:semiHidden/>
    <w:rsid w:val="00920D86"/>
  </w:style>
  <w:style w:type="paragraph" w:customStyle="1" w:styleId="Table-Heading">
    <w:name w:val="Table - Heading"/>
    <w:basedOn w:val="Table"/>
    <w:uiPriority w:val="6"/>
    <w:rsid w:val="00920D86"/>
    <w:rPr>
      <w:b/>
    </w:rPr>
  </w:style>
  <w:style w:type="paragraph" w:customStyle="1" w:styleId="Table-HeadingRight">
    <w:name w:val="Table - Heading Right"/>
    <w:basedOn w:val="Table-Heading"/>
    <w:uiPriority w:val="6"/>
    <w:rsid w:val="00920D86"/>
    <w:pPr>
      <w:jc w:val="right"/>
    </w:pPr>
  </w:style>
  <w:style w:type="paragraph" w:customStyle="1" w:styleId="SenderName">
    <w:name w:val="Sender Name"/>
    <w:basedOn w:val="Normal"/>
    <w:uiPriority w:val="7"/>
    <w:semiHidden/>
    <w:rsid w:val="00920D86"/>
    <w:rPr>
      <w:rFonts w:eastAsia="Times New Roman" w:cs="Times New Roman"/>
      <w:b/>
    </w:rPr>
  </w:style>
  <w:style w:type="paragraph" w:customStyle="1" w:styleId="Senderinformation">
    <w:name w:val="Sender information"/>
    <w:basedOn w:val="Normal"/>
    <w:uiPriority w:val="7"/>
    <w:semiHidden/>
    <w:rsid w:val="00920D86"/>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920D86"/>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20D86"/>
    <w:rPr>
      <w:rFonts w:ascii="Segoe UI" w:hAnsi="Segoe UI" w:cs="Segoe UI"/>
      <w:lang w:val="en-US"/>
    </w:rPr>
  </w:style>
  <w:style w:type="paragraph" w:styleId="Bibliography">
    <w:name w:val="Bibliography"/>
    <w:basedOn w:val="Normal"/>
    <w:next w:val="Normal"/>
    <w:uiPriority w:val="99"/>
    <w:semiHidden/>
    <w:rsid w:val="00920D86"/>
  </w:style>
  <w:style w:type="paragraph" w:styleId="BodyText">
    <w:name w:val="Body Text"/>
    <w:basedOn w:val="Normal"/>
    <w:link w:val="BodyTextChar"/>
    <w:uiPriority w:val="99"/>
    <w:semiHidden/>
    <w:rsid w:val="00920D86"/>
    <w:pPr>
      <w:spacing w:after="120"/>
    </w:pPr>
  </w:style>
  <w:style w:type="character" w:customStyle="1" w:styleId="BodyTextChar">
    <w:name w:val="Body Text Char"/>
    <w:basedOn w:val="DefaultParagraphFont"/>
    <w:link w:val="BodyText"/>
    <w:uiPriority w:val="99"/>
    <w:semiHidden/>
    <w:rsid w:val="00920D86"/>
    <w:rPr>
      <w:lang w:val="en-US"/>
    </w:rPr>
  </w:style>
  <w:style w:type="paragraph" w:styleId="BodyText2">
    <w:name w:val="Body Text 2"/>
    <w:basedOn w:val="Normal"/>
    <w:link w:val="BodyText2Char"/>
    <w:uiPriority w:val="99"/>
    <w:semiHidden/>
    <w:rsid w:val="00920D86"/>
    <w:pPr>
      <w:spacing w:after="120" w:line="480" w:lineRule="auto"/>
    </w:pPr>
  </w:style>
  <w:style w:type="character" w:customStyle="1" w:styleId="BodyText2Char">
    <w:name w:val="Body Text 2 Char"/>
    <w:basedOn w:val="DefaultParagraphFont"/>
    <w:link w:val="BodyText2"/>
    <w:uiPriority w:val="99"/>
    <w:semiHidden/>
    <w:rsid w:val="00920D86"/>
    <w:rPr>
      <w:lang w:val="en-US"/>
    </w:rPr>
  </w:style>
  <w:style w:type="paragraph" w:styleId="BodyText3">
    <w:name w:val="Body Text 3"/>
    <w:basedOn w:val="Normal"/>
    <w:link w:val="BodyText3Char"/>
    <w:uiPriority w:val="99"/>
    <w:semiHidden/>
    <w:rsid w:val="00920D86"/>
    <w:pPr>
      <w:spacing w:after="120"/>
    </w:pPr>
    <w:rPr>
      <w:sz w:val="16"/>
      <w:szCs w:val="16"/>
    </w:rPr>
  </w:style>
  <w:style w:type="character" w:customStyle="1" w:styleId="BodyText3Char">
    <w:name w:val="Body Text 3 Char"/>
    <w:basedOn w:val="DefaultParagraphFont"/>
    <w:link w:val="BodyText3"/>
    <w:uiPriority w:val="99"/>
    <w:semiHidden/>
    <w:rsid w:val="00920D86"/>
    <w:rPr>
      <w:sz w:val="16"/>
      <w:szCs w:val="16"/>
      <w:lang w:val="en-US"/>
    </w:rPr>
  </w:style>
  <w:style w:type="paragraph" w:styleId="BodyTextFirstIndent">
    <w:name w:val="Body Text First Indent"/>
    <w:basedOn w:val="BodyText"/>
    <w:link w:val="BodyTextFirstIndentChar"/>
    <w:uiPriority w:val="99"/>
    <w:semiHidden/>
    <w:rsid w:val="00920D86"/>
    <w:pPr>
      <w:spacing w:after="0"/>
      <w:ind w:firstLine="360"/>
    </w:pPr>
  </w:style>
  <w:style w:type="character" w:customStyle="1" w:styleId="BodyTextFirstIndentChar">
    <w:name w:val="Body Text First Indent Char"/>
    <w:basedOn w:val="BodyTextChar"/>
    <w:link w:val="BodyTextFirstIndent"/>
    <w:uiPriority w:val="99"/>
    <w:semiHidden/>
    <w:rsid w:val="00920D86"/>
    <w:rPr>
      <w:lang w:val="en-US"/>
    </w:rPr>
  </w:style>
  <w:style w:type="paragraph" w:styleId="BodyTextIndent">
    <w:name w:val="Body Text Indent"/>
    <w:basedOn w:val="Normal"/>
    <w:link w:val="BodyTextIndentChar"/>
    <w:uiPriority w:val="99"/>
    <w:semiHidden/>
    <w:rsid w:val="00920D86"/>
    <w:pPr>
      <w:spacing w:after="120"/>
      <w:ind w:left="283"/>
    </w:pPr>
  </w:style>
  <w:style w:type="character" w:customStyle="1" w:styleId="BodyTextIndentChar">
    <w:name w:val="Body Text Indent Char"/>
    <w:basedOn w:val="DefaultParagraphFont"/>
    <w:link w:val="BodyTextIndent"/>
    <w:uiPriority w:val="99"/>
    <w:semiHidden/>
    <w:rsid w:val="00920D86"/>
    <w:rPr>
      <w:lang w:val="en-US"/>
    </w:rPr>
  </w:style>
  <w:style w:type="paragraph" w:styleId="BodyTextFirstIndent2">
    <w:name w:val="Body Text First Indent 2"/>
    <w:basedOn w:val="BodyTextIndent"/>
    <w:link w:val="BodyTextFirstIndent2Char"/>
    <w:uiPriority w:val="99"/>
    <w:semiHidden/>
    <w:rsid w:val="00920D86"/>
    <w:pPr>
      <w:spacing w:after="0"/>
      <w:ind w:left="360" w:firstLine="360"/>
    </w:pPr>
  </w:style>
  <w:style w:type="character" w:customStyle="1" w:styleId="BodyTextFirstIndent2Char">
    <w:name w:val="Body Text First Indent 2 Char"/>
    <w:basedOn w:val="BodyTextIndentChar"/>
    <w:link w:val="BodyTextFirstIndent2"/>
    <w:uiPriority w:val="99"/>
    <w:semiHidden/>
    <w:rsid w:val="00920D86"/>
    <w:rPr>
      <w:lang w:val="en-US"/>
    </w:rPr>
  </w:style>
  <w:style w:type="paragraph" w:styleId="BodyTextIndent2">
    <w:name w:val="Body Text Indent 2"/>
    <w:basedOn w:val="Normal"/>
    <w:link w:val="BodyTextIndent2Char"/>
    <w:uiPriority w:val="99"/>
    <w:semiHidden/>
    <w:rsid w:val="00920D86"/>
    <w:pPr>
      <w:spacing w:after="120" w:line="480" w:lineRule="auto"/>
      <w:ind w:left="283"/>
    </w:pPr>
  </w:style>
  <w:style w:type="character" w:customStyle="1" w:styleId="BodyTextIndent2Char">
    <w:name w:val="Body Text Indent 2 Char"/>
    <w:basedOn w:val="DefaultParagraphFont"/>
    <w:link w:val="BodyTextIndent2"/>
    <w:uiPriority w:val="99"/>
    <w:semiHidden/>
    <w:rsid w:val="00920D86"/>
    <w:rPr>
      <w:lang w:val="en-US"/>
    </w:rPr>
  </w:style>
  <w:style w:type="paragraph" w:styleId="BodyTextIndent3">
    <w:name w:val="Body Text Indent 3"/>
    <w:basedOn w:val="Normal"/>
    <w:link w:val="BodyTextIndent3Char"/>
    <w:uiPriority w:val="99"/>
    <w:semiHidden/>
    <w:rsid w:val="00920D8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20D86"/>
    <w:rPr>
      <w:sz w:val="16"/>
      <w:szCs w:val="16"/>
      <w:lang w:val="en-US"/>
    </w:rPr>
  </w:style>
  <w:style w:type="paragraph" w:styleId="Closing">
    <w:name w:val="Closing"/>
    <w:basedOn w:val="Normal"/>
    <w:link w:val="ClosingChar"/>
    <w:uiPriority w:val="99"/>
    <w:semiHidden/>
    <w:rsid w:val="00920D86"/>
    <w:pPr>
      <w:spacing w:line="240" w:lineRule="auto"/>
      <w:ind w:left="4252"/>
    </w:pPr>
  </w:style>
  <w:style w:type="character" w:customStyle="1" w:styleId="ClosingChar">
    <w:name w:val="Closing Char"/>
    <w:basedOn w:val="DefaultParagraphFont"/>
    <w:link w:val="Closing"/>
    <w:uiPriority w:val="99"/>
    <w:semiHidden/>
    <w:rsid w:val="00920D86"/>
    <w:rPr>
      <w:lang w:val="en-US"/>
    </w:rPr>
  </w:style>
  <w:style w:type="table" w:styleId="ColorfulGrid">
    <w:name w:val="Colorful Grid"/>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3D2FB" w:themeFill="accent1" w:themeFillTint="33"/>
    </w:tcPr>
    <w:tblStylePr w:type="firstRow">
      <w:rPr>
        <w:b/>
        <w:bCs/>
      </w:rPr>
      <w:tblPr/>
      <w:tcPr>
        <w:shd w:val="clear" w:color="auto" w:fill="67A5F8" w:themeFill="accent1" w:themeFillTint="66"/>
      </w:tcPr>
    </w:tblStylePr>
    <w:tblStylePr w:type="lastRow">
      <w:rPr>
        <w:b/>
        <w:bCs/>
        <w:color w:val="000000" w:themeColor="text1"/>
      </w:rPr>
      <w:tblPr/>
      <w:tcPr>
        <w:shd w:val="clear" w:color="auto" w:fill="67A5F8" w:themeFill="accent1" w:themeFillTint="66"/>
      </w:tcPr>
    </w:tblStylePr>
    <w:tblStylePr w:type="firstCol">
      <w:rPr>
        <w:color w:val="FFFFFF" w:themeColor="background1"/>
      </w:rPr>
      <w:tblPr/>
      <w:tcPr>
        <w:shd w:val="clear" w:color="auto" w:fill="032552" w:themeFill="accent1" w:themeFillShade="BF"/>
      </w:tcPr>
    </w:tblStylePr>
    <w:tblStylePr w:type="lastCol">
      <w:rPr>
        <w:color w:val="FFFFFF" w:themeColor="background1"/>
      </w:rPr>
      <w:tblPr/>
      <w:tcPr>
        <w:shd w:val="clear" w:color="auto" w:fill="032552" w:themeFill="accent1" w:themeFillShade="BF"/>
      </w:tcPr>
    </w:tblStylePr>
    <w:tblStylePr w:type="band1Vert">
      <w:tblPr/>
      <w:tcPr>
        <w:shd w:val="clear" w:color="auto" w:fill="428FF6" w:themeFill="accent1" w:themeFillTint="7F"/>
      </w:tcPr>
    </w:tblStylePr>
    <w:tblStylePr w:type="band1Horz">
      <w:tblPr/>
      <w:tcPr>
        <w:shd w:val="clear" w:color="auto" w:fill="428FF6" w:themeFill="accent1" w:themeFillTint="7F"/>
      </w:tcPr>
    </w:tblStylePr>
  </w:style>
  <w:style w:type="table" w:styleId="ColorfulGrid-Accent2">
    <w:name w:val="Colorful Grid Accent 2"/>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BF1DD" w:themeFill="accent2" w:themeFillTint="33"/>
    </w:tcPr>
    <w:tblStylePr w:type="firstRow">
      <w:rPr>
        <w:b/>
        <w:bCs/>
      </w:rPr>
      <w:tblPr/>
      <w:tcPr>
        <w:shd w:val="clear" w:color="auto" w:fill="78E4BD" w:themeFill="accent2" w:themeFillTint="66"/>
      </w:tcPr>
    </w:tblStylePr>
    <w:tblStylePr w:type="lastRow">
      <w:rPr>
        <w:b/>
        <w:bCs/>
        <w:color w:val="000000" w:themeColor="text1"/>
      </w:rPr>
      <w:tblPr/>
      <w:tcPr>
        <w:shd w:val="clear" w:color="auto" w:fill="78E4BD" w:themeFill="accent2" w:themeFillTint="66"/>
      </w:tcPr>
    </w:tblStylePr>
    <w:tblStylePr w:type="firstCol">
      <w:rPr>
        <w:color w:val="FFFFFF" w:themeColor="background1"/>
      </w:rPr>
      <w:tblPr/>
      <w:tcPr>
        <w:shd w:val="clear" w:color="auto" w:fill="0D432F" w:themeFill="accent2" w:themeFillShade="BF"/>
      </w:tcPr>
    </w:tblStylePr>
    <w:tblStylePr w:type="lastCol">
      <w:rPr>
        <w:color w:val="FFFFFF" w:themeColor="background1"/>
      </w:rPr>
      <w:tblPr/>
      <w:tcPr>
        <w:shd w:val="clear" w:color="auto" w:fill="0D432F" w:themeFill="accent2" w:themeFillShade="BF"/>
      </w:tcPr>
    </w:tblStylePr>
    <w:tblStylePr w:type="band1Vert">
      <w:tblPr/>
      <w:tcPr>
        <w:shd w:val="clear" w:color="auto" w:fill="58DDAC" w:themeFill="accent2" w:themeFillTint="7F"/>
      </w:tcPr>
    </w:tblStylePr>
    <w:tblStylePr w:type="band1Horz">
      <w:tblPr/>
      <w:tcPr>
        <w:shd w:val="clear" w:color="auto" w:fill="58DDAC" w:themeFill="accent2" w:themeFillTint="7F"/>
      </w:tcPr>
    </w:tblStylePr>
  </w:style>
  <w:style w:type="table" w:styleId="ColorfulGrid-Accent3">
    <w:name w:val="Colorful Grid Accent 3"/>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EF5E9" w:themeFill="accent3" w:themeFillTint="33"/>
    </w:tcPr>
    <w:tblStylePr w:type="firstRow">
      <w:rPr>
        <w:b/>
        <w:bCs/>
      </w:rPr>
      <w:tblPr/>
      <w:tcPr>
        <w:shd w:val="clear" w:color="auto" w:fill="DEECD4" w:themeFill="accent3" w:themeFillTint="66"/>
      </w:tcPr>
    </w:tblStylePr>
    <w:tblStylePr w:type="lastRow">
      <w:rPr>
        <w:b/>
        <w:bCs/>
        <w:color w:val="000000" w:themeColor="text1"/>
      </w:rPr>
      <w:tblPr/>
      <w:tcPr>
        <w:shd w:val="clear" w:color="auto" w:fill="DEECD4" w:themeFill="accent3" w:themeFillTint="66"/>
      </w:tcPr>
    </w:tblStylePr>
    <w:tblStylePr w:type="firstCol">
      <w:rPr>
        <w:color w:val="FFFFFF" w:themeColor="background1"/>
      </w:rPr>
      <w:tblPr/>
      <w:tcPr>
        <w:shd w:val="clear" w:color="auto" w:fill="7CB456" w:themeFill="accent3" w:themeFillShade="BF"/>
      </w:tcPr>
    </w:tblStylePr>
    <w:tblStylePr w:type="lastCol">
      <w:rPr>
        <w:color w:val="FFFFFF" w:themeColor="background1"/>
      </w:rPr>
      <w:tblPr/>
      <w:tcPr>
        <w:shd w:val="clear" w:color="auto" w:fill="7CB456" w:themeFill="accent3" w:themeFillShade="BF"/>
      </w:tcPr>
    </w:tblStylePr>
    <w:tblStylePr w:type="band1Vert">
      <w:tblPr/>
      <w:tcPr>
        <w:shd w:val="clear" w:color="auto" w:fill="D5E7CA" w:themeFill="accent3" w:themeFillTint="7F"/>
      </w:tcPr>
    </w:tblStylePr>
    <w:tblStylePr w:type="band1Horz">
      <w:tblPr/>
      <w:tcPr>
        <w:shd w:val="clear" w:color="auto" w:fill="D5E7CA" w:themeFill="accent3" w:themeFillTint="7F"/>
      </w:tcPr>
    </w:tblStylePr>
  </w:style>
  <w:style w:type="table" w:styleId="ColorfulGrid-Accent4">
    <w:name w:val="Colorful Grid Accent 4"/>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9CADC" w:themeFill="accent4" w:themeFillTint="33"/>
    </w:tcPr>
    <w:tblStylePr w:type="firstRow">
      <w:rPr>
        <w:b/>
        <w:bCs/>
      </w:rPr>
      <w:tblPr/>
      <w:tcPr>
        <w:shd w:val="clear" w:color="auto" w:fill="D396BA" w:themeFill="accent4" w:themeFillTint="66"/>
      </w:tcPr>
    </w:tblStylePr>
    <w:tblStylePr w:type="lastRow">
      <w:rPr>
        <w:b/>
        <w:bCs/>
        <w:color w:val="000000" w:themeColor="text1"/>
      </w:rPr>
      <w:tblPr/>
      <w:tcPr>
        <w:shd w:val="clear" w:color="auto" w:fill="D396BA" w:themeFill="accent4" w:themeFillTint="66"/>
      </w:tcPr>
    </w:tblStylePr>
    <w:tblStylePr w:type="firstCol">
      <w:rPr>
        <w:color w:val="FFFFFF" w:themeColor="background1"/>
      </w:rPr>
      <w:tblPr/>
      <w:tcPr>
        <w:shd w:val="clear" w:color="auto" w:fill="491E38" w:themeFill="accent4" w:themeFillShade="BF"/>
      </w:tcPr>
    </w:tblStylePr>
    <w:tblStylePr w:type="lastCol">
      <w:rPr>
        <w:color w:val="FFFFFF" w:themeColor="background1"/>
      </w:rPr>
      <w:tblPr/>
      <w:tcPr>
        <w:shd w:val="clear" w:color="auto" w:fill="491E38" w:themeFill="accent4" w:themeFillShade="BF"/>
      </w:tcPr>
    </w:tblStylePr>
    <w:tblStylePr w:type="band1Vert">
      <w:tblPr/>
      <w:tcPr>
        <w:shd w:val="clear" w:color="auto" w:fill="C87CA9" w:themeFill="accent4" w:themeFillTint="7F"/>
      </w:tcPr>
    </w:tblStylePr>
    <w:tblStylePr w:type="band1Horz">
      <w:tblPr/>
      <w:tcPr>
        <w:shd w:val="clear" w:color="auto" w:fill="C87CA9" w:themeFill="accent4" w:themeFillTint="7F"/>
      </w:tcPr>
    </w:tblStylePr>
  </w:style>
  <w:style w:type="table" w:styleId="ColorfulGrid-Accent5">
    <w:name w:val="Colorful Grid Accent 5"/>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7DD" w:themeFill="accent5" w:themeFillTint="33"/>
    </w:tcPr>
    <w:tblStylePr w:type="firstRow">
      <w:rPr>
        <w:b/>
        <w:bCs/>
      </w:rPr>
      <w:tblPr/>
      <w:tcPr>
        <w:shd w:val="clear" w:color="auto" w:fill="FFCFBB" w:themeFill="accent5" w:themeFillTint="66"/>
      </w:tcPr>
    </w:tblStylePr>
    <w:tblStylePr w:type="lastRow">
      <w:rPr>
        <w:b/>
        <w:bCs/>
        <w:color w:val="000000" w:themeColor="text1"/>
      </w:rPr>
      <w:tblPr/>
      <w:tcPr>
        <w:shd w:val="clear" w:color="auto" w:fill="FFCFBB" w:themeFill="accent5" w:themeFillTint="66"/>
      </w:tcPr>
    </w:tblStylePr>
    <w:tblStylePr w:type="firstCol">
      <w:rPr>
        <w:color w:val="FFFFFF" w:themeColor="background1"/>
      </w:rPr>
      <w:tblPr/>
      <w:tcPr>
        <w:shd w:val="clear" w:color="auto" w:fill="FE4B00" w:themeFill="accent5" w:themeFillShade="BF"/>
      </w:tcPr>
    </w:tblStylePr>
    <w:tblStylePr w:type="lastCol">
      <w:rPr>
        <w:color w:val="FFFFFF" w:themeColor="background1"/>
      </w:rPr>
      <w:tblPr/>
      <w:tcPr>
        <w:shd w:val="clear" w:color="auto" w:fill="FE4B00" w:themeFill="accent5" w:themeFillShade="BF"/>
      </w:tcPr>
    </w:tblStylePr>
    <w:tblStylePr w:type="band1Vert">
      <w:tblPr/>
      <w:tcPr>
        <w:shd w:val="clear" w:color="auto" w:fill="FFC3AA" w:themeFill="accent5" w:themeFillTint="7F"/>
      </w:tcPr>
    </w:tblStylePr>
    <w:tblStylePr w:type="band1Horz">
      <w:tblPr/>
      <w:tcPr>
        <w:shd w:val="clear" w:color="auto" w:fill="FFC3AA" w:themeFill="accent5" w:themeFillTint="7F"/>
      </w:tcPr>
    </w:tblStylePr>
  </w:style>
  <w:style w:type="table" w:styleId="ColorfulGrid-Accent6">
    <w:name w:val="Colorful Grid Accent 6"/>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8F7" w:themeFill="accent6" w:themeFillTint="33"/>
    </w:tcPr>
    <w:tblStylePr w:type="firstRow">
      <w:rPr>
        <w:b/>
        <w:bCs/>
      </w:rPr>
      <w:tblPr/>
      <w:tcPr>
        <w:shd w:val="clear" w:color="auto" w:fill="F3F2EF" w:themeFill="accent6" w:themeFillTint="66"/>
      </w:tcPr>
    </w:tblStylePr>
    <w:tblStylePr w:type="lastRow">
      <w:rPr>
        <w:b/>
        <w:bCs/>
        <w:color w:val="000000" w:themeColor="text1"/>
      </w:rPr>
      <w:tblPr/>
      <w:tcPr>
        <w:shd w:val="clear" w:color="auto" w:fill="F3F2EF" w:themeFill="accent6" w:themeFillTint="66"/>
      </w:tcPr>
    </w:tblStylePr>
    <w:tblStylePr w:type="firstCol">
      <w:rPr>
        <w:color w:val="FFFFFF" w:themeColor="background1"/>
      </w:rPr>
      <w:tblPr/>
      <w:tcPr>
        <w:shd w:val="clear" w:color="auto" w:fill="B4AF97" w:themeFill="accent6" w:themeFillShade="BF"/>
      </w:tcPr>
    </w:tblStylePr>
    <w:tblStylePr w:type="lastCol">
      <w:rPr>
        <w:color w:val="FFFFFF" w:themeColor="background1"/>
      </w:rPr>
      <w:tblPr/>
      <w:tcPr>
        <w:shd w:val="clear" w:color="auto" w:fill="B4AF97" w:themeFill="accent6" w:themeFillShade="BF"/>
      </w:tcPr>
    </w:tblStylePr>
    <w:tblStylePr w:type="band1Vert">
      <w:tblPr/>
      <w:tcPr>
        <w:shd w:val="clear" w:color="auto" w:fill="F1EFEB" w:themeFill="accent6" w:themeFillTint="7F"/>
      </w:tcPr>
    </w:tblStylePr>
    <w:tblStylePr w:type="band1Horz">
      <w:tblPr/>
      <w:tcPr>
        <w:shd w:val="clear" w:color="auto" w:fill="F1EFEB" w:themeFill="accent6" w:themeFillTint="7F"/>
      </w:tcPr>
    </w:tblStylePr>
  </w:style>
  <w:style w:type="table" w:styleId="ColorfulList">
    <w:name w:val="Colorful List"/>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D9E8FD" w:themeFill="accent1"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C7FA" w:themeFill="accent1" w:themeFillTint="3F"/>
      </w:tcPr>
    </w:tblStylePr>
    <w:tblStylePr w:type="band1Horz">
      <w:tblPr/>
      <w:tcPr>
        <w:shd w:val="clear" w:color="auto" w:fill="B3D2FB" w:themeFill="accent1" w:themeFillTint="33"/>
      </w:tcPr>
    </w:tblStylePr>
  </w:style>
  <w:style w:type="table" w:styleId="ColorfulList-Accent2">
    <w:name w:val="Colorful List Accent 2"/>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DDF8EE" w:themeFill="accent2"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CEED6" w:themeFill="accent2" w:themeFillTint="3F"/>
      </w:tcPr>
    </w:tblStylePr>
    <w:tblStylePr w:type="band1Horz">
      <w:tblPr/>
      <w:tcPr>
        <w:shd w:val="clear" w:color="auto" w:fill="BBF1DD" w:themeFill="accent2" w:themeFillTint="33"/>
      </w:tcPr>
    </w:tblStylePr>
  </w:style>
  <w:style w:type="table" w:styleId="ColorfulList-Accent3">
    <w:name w:val="Colorful List Accent 3"/>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6FAF4" w:themeFill="accent3" w:themeFillTint="19"/>
    </w:tcPr>
    <w:tblStylePr w:type="firstRow">
      <w:rPr>
        <w:b/>
        <w:bCs/>
        <w:color w:val="FFFFFF" w:themeColor="background1"/>
      </w:rPr>
      <w:tblPr/>
      <w:tcPr>
        <w:tcBorders>
          <w:bottom w:val="single" w:sz="12" w:space="0" w:color="FFFFFF" w:themeColor="background1"/>
        </w:tcBorders>
        <w:shd w:val="clear" w:color="auto" w:fill="4E203B" w:themeFill="accent4" w:themeFillShade="CC"/>
      </w:tcPr>
    </w:tblStylePr>
    <w:tblStylePr w:type="lastRow">
      <w:rPr>
        <w:b/>
        <w:bCs/>
        <w:color w:val="4E203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3E4" w:themeFill="accent3" w:themeFillTint="3F"/>
      </w:tcPr>
    </w:tblStylePr>
    <w:tblStylePr w:type="band1Horz">
      <w:tblPr/>
      <w:tcPr>
        <w:shd w:val="clear" w:color="auto" w:fill="EEF5E9" w:themeFill="accent3" w:themeFillTint="33"/>
      </w:tcPr>
    </w:tblStylePr>
  </w:style>
  <w:style w:type="table" w:styleId="ColorfulList-Accent4">
    <w:name w:val="Colorful List Accent 4"/>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4E5EE" w:themeFill="accent4" w:themeFillTint="19"/>
    </w:tcPr>
    <w:tblStylePr w:type="firstRow">
      <w:rPr>
        <w:b/>
        <w:bCs/>
        <w:color w:val="FFFFFF" w:themeColor="background1"/>
      </w:rPr>
      <w:tblPr/>
      <w:tcPr>
        <w:tcBorders>
          <w:bottom w:val="single" w:sz="12" w:space="0" w:color="FFFFFF" w:themeColor="background1"/>
        </w:tcBorders>
        <w:shd w:val="clear" w:color="auto" w:fill="86BA63" w:themeFill="accent3" w:themeFillShade="CC"/>
      </w:tcPr>
    </w:tblStylePr>
    <w:tblStylePr w:type="lastRow">
      <w:rPr>
        <w:b/>
        <w:bCs/>
        <w:color w:val="86BA6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BED4" w:themeFill="accent4" w:themeFillTint="3F"/>
      </w:tcPr>
    </w:tblStylePr>
    <w:tblStylePr w:type="band1Horz">
      <w:tblPr/>
      <w:tcPr>
        <w:shd w:val="clear" w:color="auto" w:fill="E9CADC" w:themeFill="accent4" w:themeFillTint="33"/>
      </w:tcPr>
    </w:tblStylePr>
  </w:style>
  <w:style w:type="table" w:styleId="ColorfulList-Accent5">
    <w:name w:val="Colorful List Accent 5"/>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FF3EE" w:themeFill="accent5" w:themeFillTint="19"/>
    </w:tcPr>
    <w:tblStylePr w:type="firstRow">
      <w:rPr>
        <w:b/>
        <w:bCs/>
        <w:color w:val="FFFFFF" w:themeColor="background1"/>
      </w:rPr>
      <w:tblPr/>
      <w:tcPr>
        <w:tcBorders>
          <w:bottom w:val="single" w:sz="12" w:space="0" w:color="FFFFFF" w:themeColor="background1"/>
        </w:tcBorders>
        <w:shd w:val="clear" w:color="auto" w:fill="BEB9A4" w:themeFill="accent6" w:themeFillShade="CC"/>
      </w:tcPr>
    </w:tblStylePr>
    <w:tblStylePr w:type="lastRow">
      <w:rPr>
        <w:b/>
        <w:bCs/>
        <w:color w:val="BEB9A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1D5" w:themeFill="accent5" w:themeFillTint="3F"/>
      </w:tcPr>
    </w:tblStylePr>
    <w:tblStylePr w:type="band1Horz">
      <w:tblPr/>
      <w:tcPr>
        <w:shd w:val="clear" w:color="auto" w:fill="FFE7DD" w:themeFill="accent5" w:themeFillTint="33"/>
      </w:tcPr>
    </w:tblStylePr>
  </w:style>
  <w:style w:type="table" w:styleId="ColorfulList-Accent6">
    <w:name w:val="Colorful List Accent 6"/>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CFCFB" w:themeFill="accent6" w:themeFillTint="19"/>
    </w:tcPr>
    <w:tblStylePr w:type="firstRow">
      <w:rPr>
        <w:b/>
        <w:bCs/>
        <w:color w:val="FFFFFF" w:themeColor="background1"/>
      </w:rPr>
      <w:tblPr/>
      <w:tcPr>
        <w:tcBorders>
          <w:bottom w:val="single" w:sz="12" w:space="0" w:color="FFFFFF" w:themeColor="background1"/>
        </w:tcBorders>
        <w:shd w:val="clear" w:color="auto" w:fill="FF5711" w:themeFill="accent5" w:themeFillShade="CC"/>
      </w:tcPr>
    </w:tblStylePr>
    <w:tblStylePr w:type="lastRow">
      <w:rPr>
        <w:b/>
        <w:bCs/>
        <w:color w:val="FF571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5" w:themeFill="accent6" w:themeFillTint="3F"/>
      </w:tcPr>
    </w:tblStylePr>
    <w:tblStylePr w:type="band1Horz">
      <w:tblPr/>
      <w:tcPr>
        <w:shd w:val="clear" w:color="auto" w:fill="F9F8F7" w:themeFill="accent6" w:themeFillTint="33"/>
      </w:tcPr>
    </w:tblStylePr>
  </w:style>
  <w:style w:type="table" w:styleId="ColorfulShading">
    <w:name w:val="Colorful Shading"/>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05326E" w:themeColor="accent1"/>
        <w:bottom w:val="single" w:sz="4" w:space="0" w:color="05326E" w:themeColor="accent1"/>
        <w:right w:val="single" w:sz="4" w:space="0" w:color="05326E" w:themeColor="accent1"/>
        <w:insideH w:val="single" w:sz="4" w:space="0" w:color="FFFFFF" w:themeColor="background1"/>
        <w:insideV w:val="single" w:sz="4" w:space="0" w:color="FFFFFF" w:themeColor="background1"/>
      </w:tblBorders>
    </w:tblPr>
    <w:tcPr>
      <w:shd w:val="clear" w:color="auto" w:fill="D9E8FD" w:themeFill="accent1"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31D41" w:themeFill="accent1" w:themeFillShade="99"/>
      </w:tcPr>
    </w:tblStylePr>
    <w:tblStylePr w:type="firstCol">
      <w:rPr>
        <w:color w:val="FFFFFF" w:themeColor="background1"/>
      </w:rPr>
      <w:tblPr/>
      <w:tcPr>
        <w:tcBorders>
          <w:top w:val="nil"/>
          <w:left w:val="nil"/>
          <w:bottom w:val="nil"/>
          <w:right w:val="nil"/>
          <w:insideH w:val="single" w:sz="4" w:space="0" w:color="031D41" w:themeColor="accent1" w:themeShade="99"/>
          <w:insideV w:val="nil"/>
        </w:tcBorders>
        <w:shd w:val="clear" w:color="auto" w:fill="031D4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31D41" w:themeFill="accent1" w:themeFillShade="99"/>
      </w:tcPr>
    </w:tblStylePr>
    <w:tblStylePr w:type="band1Vert">
      <w:tblPr/>
      <w:tcPr>
        <w:shd w:val="clear" w:color="auto" w:fill="67A5F8" w:themeFill="accent1" w:themeFillTint="66"/>
      </w:tcPr>
    </w:tblStylePr>
    <w:tblStylePr w:type="band1Horz">
      <w:tblPr/>
      <w:tcPr>
        <w:shd w:val="clear" w:color="auto" w:fill="428FF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125A40" w:themeColor="accent2"/>
        <w:bottom w:val="single" w:sz="4" w:space="0" w:color="125A40" w:themeColor="accent2"/>
        <w:right w:val="single" w:sz="4" w:space="0" w:color="125A40" w:themeColor="accent2"/>
        <w:insideH w:val="single" w:sz="4" w:space="0" w:color="FFFFFF" w:themeColor="background1"/>
        <w:insideV w:val="single" w:sz="4" w:space="0" w:color="FFFFFF" w:themeColor="background1"/>
      </w:tblBorders>
    </w:tblPr>
    <w:tcPr>
      <w:shd w:val="clear" w:color="auto" w:fill="DDF8EE" w:themeFill="accent2"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3526" w:themeFill="accent2" w:themeFillShade="99"/>
      </w:tcPr>
    </w:tblStylePr>
    <w:tblStylePr w:type="firstCol">
      <w:rPr>
        <w:color w:val="FFFFFF" w:themeColor="background1"/>
      </w:rPr>
      <w:tblPr/>
      <w:tcPr>
        <w:tcBorders>
          <w:top w:val="nil"/>
          <w:left w:val="nil"/>
          <w:bottom w:val="nil"/>
          <w:right w:val="nil"/>
          <w:insideH w:val="single" w:sz="4" w:space="0" w:color="0A3526" w:themeColor="accent2" w:themeShade="99"/>
          <w:insideV w:val="nil"/>
        </w:tcBorders>
        <w:shd w:val="clear" w:color="auto" w:fill="0A352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3526" w:themeFill="accent2" w:themeFillShade="99"/>
      </w:tcPr>
    </w:tblStylePr>
    <w:tblStylePr w:type="band1Vert">
      <w:tblPr/>
      <w:tcPr>
        <w:shd w:val="clear" w:color="auto" w:fill="78E4BD" w:themeFill="accent2" w:themeFillTint="66"/>
      </w:tcPr>
    </w:tblStylePr>
    <w:tblStylePr w:type="band1Horz">
      <w:tblPr/>
      <w:tcPr>
        <w:shd w:val="clear" w:color="auto" w:fill="58DDAC"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62294B" w:themeColor="accent4"/>
        <w:left w:val="single" w:sz="4" w:space="0" w:color="ADD095" w:themeColor="accent3"/>
        <w:bottom w:val="single" w:sz="4" w:space="0" w:color="ADD095" w:themeColor="accent3"/>
        <w:right w:val="single" w:sz="4" w:space="0" w:color="ADD095" w:themeColor="accent3"/>
        <w:insideH w:val="single" w:sz="4" w:space="0" w:color="FFFFFF" w:themeColor="background1"/>
        <w:insideV w:val="single" w:sz="4" w:space="0" w:color="FFFFFF" w:themeColor="background1"/>
      </w:tblBorders>
    </w:tblPr>
    <w:tcPr>
      <w:shd w:val="clear" w:color="auto" w:fill="F6FAF4" w:themeFill="accent3" w:themeFillTint="19"/>
    </w:tcPr>
    <w:tblStylePr w:type="firstRow">
      <w:rPr>
        <w:b/>
        <w:bCs/>
      </w:rPr>
      <w:tblPr/>
      <w:tcPr>
        <w:tcBorders>
          <w:top w:val="nil"/>
          <w:left w:val="nil"/>
          <w:bottom w:val="single" w:sz="24" w:space="0" w:color="62294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9441" w:themeFill="accent3" w:themeFillShade="99"/>
      </w:tcPr>
    </w:tblStylePr>
    <w:tblStylePr w:type="firstCol">
      <w:rPr>
        <w:color w:val="FFFFFF" w:themeColor="background1"/>
      </w:rPr>
      <w:tblPr/>
      <w:tcPr>
        <w:tcBorders>
          <w:top w:val="nil"/>
          <w:left w:val="nil"/>
          <w:bottom w:val="nil"/>
          <w:right w:val="nil"/>
          <w:insideH w:val="single" w:sz="4" w:space="0" w:color="639441" w:themeColor="accent3" w:themeShade="99"/>
          <w:insideV w:val="nil"/>
        </w:tcBorders>
        <w:shd w:val="clear" w:color="auto" w:fill="63944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9441" w:themeFill="accent3" w:themeFillShade="99"/>
      </w:tcPr>
    </w:tblStylePr>
    <w:tblStylePr w:type="band1Vert">
      <w:tblPr/>
      <w:tcPr>
        <w:shd w:val="clear" w:color="auto" w:fill="DEECD4" w:themeFill="accent3" w:themeFillTint="66"/>
      </w:tcPr>
    </w:tblStylePr>
    <w:tblStylePr w:type="band1Horz">
      <w:tblPr/>
      <w:tcPr>
        <w:shd w:val="clear" w:color="auto" w:fill="D5E7CA" w:themeFill="accent3" w:themeFillTint="7F"/>
      </w:tcPr>
    </w:tblStylePr>
  </w:style>
  <w:style w:type="table" w:styleId="ColorfulShading-Accent4">
    <w:name w:val="Colorful Shading Accent 4"/>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ADD095" w:themeColor="accent3"/>
        <w:left w:val="single" w:sz="4" w:space="0" w:color="62294B" w:themeColor="accent4"/>
        <w:bottom w:val="single" w:sz="4" w:space="0" w:color="62294B" w:themeColor="accent4"/>
        <w:right w:val="single" w:sz="4" w:space="0" w:color="62294B" w:themeColor="accent4"/>
        <w:insideH w:val="single" w:sz="4" w:space="0" w:color="FFFFFF" w:themeColor="background1"/>
        <w:insideV w:val="single" w:sz="4" w:space="0" w:color="FFFFFF" w:themeColor="background1"/>
      </w:tblBorders>
    </w:tblPr>
    <w:tcPr>
      <w:shd w:val="clear" w:color="auto" w:fill="F4E5EE" w:themeFill="accent4" w:themeFillTint="19"/>
    </w:tcPr>
    <w:tblStylePr w:type="firstRow">
      <w:rPr>
        <w:b/>
        <w:bCs/>
      </w:rPr>
      <w:tblPr/>
      <w:tcPr>
        <w:tcBorders>
          <w:top w:val="nil"/>
          <w:left w:val="nil"/>
          <w:bottom w:val="single" w:sz="24" w:space="0" w:color="ADD09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182C" w:themeFill="accent4" w:themeFillShade="99"/>
      </w:tcPr>
    </w:tblStylePr>
    <w:tblStylePr w:type="firstCol">
      <w:rPr>
        <w:color w:val="FFFFFF" w:themeColor="background1"/>
      </w:rPr>
      <w:tblPr/>
      <w:tcPr>
        <w:tcBorders>
          <w:top w:val="nil"/>
          <w:left w:val="nil"/>
          <w:bottom w:val="nil"/>
          <w:right w:val="nil"/>
          <w:insideH w:val="single" w:sz="4" w:space="0" w:color="3A182C" w:themeColor="accent4" w:themeShade="99"/>
          <w:insideV w:val="nil"/>
        </w:tcBorders>
        <w:shd w:val="clear" w:color="auto" w:fill="3A182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182C" w:themeFill="accent4" w:themeFillShade="99"/>
      </w:tcPr>
    </w:tblStylePr>
    <w:tblStylePr w:type="band1Vert">
      <w:tblPr/>
      <w:tcPr>
        <w:shd w:val="clear" w:color="auto" w:fill="D396BA" w:themeFill="accent4" w:themeFillTint="66"/>
      </w:tcPr>
    </w:tblStylePr>
    <w:tblStylePr w:type="band1Horz">
      <w:tblPr/>
      <w:tcPr>
        <w:shd w:val="clear" w:color="auto" w:fill="C87CA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E3E1D8" w:themeColor="accent6"/>
        <w:left w:val="single" w:sz="4" w:space="0" w:color="FF8855" w:themeColor="accent5"/>
        <w:bottom w:val="single" w:sz="4" w:space="0" w:color="FF8855" w:themeColor="accent5"/>
        <w:right w:val="single" w:sz="4" w:space="0" w:color="FF8855" w:themeColor="accent5"/>
        <w:insideH w:val="single" w:sz="4" w:space="0" w:color="FFFFFF" w:themeColor="background1"/>
        <w:insideV w:val="single" w:sz="4" w:space="0" w:color="FFFFFF" w:themeColor="background1"/>
      </w:tblBorders>
    </w:tblPr>
    <w:tcPr>
      <w:shd w:val="clear" w:color="auto" w:fill="FFF3EE" w:themeFill="accent5" w:themeFillTint="19"/>
    </w:tcPr>
    <w:tblStylePr w:type="firstRow">
      <w:rPr>
        <w:b/>
        <w:bCs/>
      </w:rPr>
      <w:tblPr/>
      <w:tcPr>
        <w:tcBorders>
          <w:top w:val="nil"/>
          <w:left w:val="nil"/>
          <w:bottom w:val="single" w:sz="24" w:space="0" w:color="E3E1D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C3C00" w:themeFill="accent5" w:themeFillShade="99"/>
      </w:tcPr>
    </w:tblStylePr>
    <w:tblStylePr w:type="firstCol">
      <w:rPr>
        <w:color w:val="FFFFFF" w:themeColor="background1"/>
      </w:rPr>
      <w:tblPr/>
      <w:tcPr>
        <w:tcBorders>
          <w:top w:val="nil"/>
          <w:left w:val="nil"/>
          <w:bottom w:val="nil"/>
          <w:right w:val="nil"/>
          <w:insideH w:val="single" w:sz="4" w:space="0" w:color="CC3C00" w:themeColor="accent5" w:themeShade="99"/>
          <w:insideV w:val="nil"/>
        </w:tcBorders>
        <w:shd w:val="clear" w:color="auto" w:fill="CC3C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C3C00" w:themeFill="accent5" w:themeFillShade="99"/>
      </w:tcPr>
    </w:tblStylePr>
    <w:tblStylePr w:type="band1Vert">
      <w:tblPr/>
      <w:tcPr>
        <w:shd w:val="clear" w:color="auto" w:fill="FFCFBB" w:themeFill="accent5" w:themeFillTint="66"/>
      </w:tcPr>
    </w:tblStylePr>
    <w:tblStylePr w:type="band1Horz">
      <w:tblPr/>
      <w:tcPr>
        <w:shd w:val="clear" w:color="auto" w:fill="FFC3A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FF8855" w:themeColor="accent5"/>
        <w:left w:val="single" w:sz="4" w:space="0" w:color="E3E1D8" w:themeColor="accent6"/>
        <w:bottom w:val="single" w:sz="4" w:space="0" w:color="E3E1D8" w:themeColor="accent6"/>
        <w:right w:val="single" w:sz="4" w:space="0" w:color="E3E1D8" w:themeColor="accent6"/>
        <w:insideH w:val="single" w:sz="4" w:space="0" w:color="FFFFFF" w:themeColor="background1"/>
        <w:insideV w:val="single" w:sz="4" w:space="0" w:color="FFFFFF" w:themeColor="background1"/>
      </w:tblBorders>
    </w:tblPr>
    <w:tcPr>
      <w:shd w:val="clear" w:color="auto" w:fill="FCFCFB" w:themeFill="accent6" w:themeFillTint="19"/>
    </w:tcPr>
    <w:tblStylePr w:type="firstRow">
      <w:rPr>
        <w:b/>
        <w:bCs/>
      </w:rPr>
      <w:tblPr/>
      <w:tcPr>
        <w:tcBorders>
          <w:top w:val="nil"/>
          <w:left w:val="nil"/>
          <w:bottom w:val="single" w:sz="24" w:space="0" w:color="FF885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170" w:themeFill="accent6" w:themeFillShade="99"/>
      </w:tcPr>
    </w:tblStylePr>
    <w:tblStylePr w:type="firstCol">
      <w:rPr>
        <w:color w:val="FFFFFF" w:themeColor="background1"/>
      </w:rPr>
      <w:tblPr/>
      <w:tcPr>
        <w:tcBorders>
          <w:top w:val="nil"/>
          <w:left w:val="nil"/>
          <w:bottom w:val="nil"/>
          <w:right w:val="nil"/>
          <w:insideH w:val="single" w:sz="4" w:space="0" w:color="999170" w:themeColor="accent6" w:themeShade="99"/>
          <w:insideV w:val="nil"/>
        </w:tcBorders>
        <w:shd w:val="clear" w:color="auto" w:fill="9991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170" w:themeFill="accent6" w:themeFillShade="99"/>
      </w:tcPr>
    </w:tblStylePr>
    <w:tblStylePr w:type="band1Vert">
      <w:tblPr/>
      <w:tcPr>
        <w:shd w:val="clear" w:color="auto" w:fill="F3F2EF" w:themeFill="accent6" w:themeFillTint="66"/>
      </w:tcPr>
    </w:tblStylePr>
    <w:tblStylePr w:type="band1Horz">
      <w:tblPr/>
      <w:tcPr>
        <w:shd w:val="clear" w:color="auto" w:fill="F1EFEB"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920D86"/>
    <w:rPr>
      <w:sz w:val="16"/>
      <w:szCs w:val="16"/>
      <w:lang w:val="en-US"/>
    </w:rPr>
  </w:style>
  <w:style w:type="paragraph" w:styleId="CommentText">
    <w:name w:val="annotation text"/>
    <w:basedOn w:val="Normal"/>
    <w:link w:val="CommentTextChar"/>
    <w:uiPriority w:val="99"/>
    <w:semiHidden/>
    <w:rsid w:val="00920D86"/>
    <w:pPr>
      <w:spacing w:line="240" w:lineRule="auto"/>
    </w:pPr>
    <w:rPr>
      <w:sz w:val="20"/>
      <w:szCs w:val="20"/>
    </w:rPr>
  </w:style>
  <w:style w:type="character" w:customStyle="1" w:styleId="CommentTextChar">
    <w:name w:val="Comment Text Char"/>
    <w:basedOn w:val="DefaultParagraphFont"/>
    <w:link w:val="CommentText"/>
    <w:uiPriority w:val="99"/>
    <w:semiHidden/>
    <w:rsid w:val="00920D86"/>
    <w:rPr>
      <w:sz w:val="20"/>
      <w:szCs w:val="20"/>
      <w:lang w:val="en-US"/>
    </w:rPr>
  </w:style>
  <w:style w:type="paragraph" w:styleId="CommentSubject">
    <w:name w:val="annotation subject"/>
    <w:basedOn w:val="CommentText"/>
    <w:next w:val="CommentText"/>
    <w:link w:val="CommentSubjectChar"/>
    <w:uiPriority w:val="99"/>
    <w:semiHidden/>
    <w:rsid w:val="00920D86"/>
    <w:rPr>
      <w:b/>
      <w:bCs/>
    </w:rPr>
  </w:style>
  <w:style w:type="character" w:customStyle="1" w:styleId="CommentSubjectChar">
    <w:name w:val="Comment Subject Char"/>
    <w:basedOn w:val="CommentTextChar"/>
    <w:link w:val="CommentSubject"/>
    <w:uiPriority w:val="99"/>
    <w:semiHidden/>
    <w:rsid w:val="00920D86"/>
    <w:rPr>
      <w:b/>
      <w:bCs/>
      <w:sz w:val="20"/>
      <w:szCs w:val="20"/>
      <w:lang w:val="en-US"/>
    </w:rPr>
  </w:style>
  <w:style w:type="table" w:styleId="DarkList">
    <w:name w:val="Dark List"/>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05326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2183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3255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32552" w:themeFill="accent1" w:themeFillShade="BF"/>
      </w:tcPr>
    </w:tblStylePr>
    <w:tblStylePr w:type="band1Vert">
      <w:tblPr/>
      <w:tcPr>
        <w:tcBorders>
          <w:top w:val="nil"/>
          <w:left w:val="nil"/>
          <w:bottom w:val="nil"/>
          <w:right w:val="nil"/>
          <w:insideH w:val="nil"/>
          <w:insideV w:val="nil"/>
        </w:tcBorders>
        <w:shd w:val="clear" w:color="auto" w:fill="032552" w:themeFill="accent1" w:themeFillShade="BF"/>
      </w:tcPr>
    </w:tblStylePr>
    <w:tblStylePr w:type="band1Horz">
      <w:tblPr/>
      <w:tcPr>
        <w:tcBorders>
          <w:top w:val="nil"/>
          <w:left w:val="nil"/>
          <w:bottom w:val="nil"/>
          <w:right w:val="nil"/>
          <w:insideH w:val="nil"/>
          <w:insideV w:val="nil"/>
        </w:tcBorders>
        <w:shd w:val="clear" w:color="auto" w:fill="032552" w:themeFill="accent1" w:themeFillShade="BF"/>
      </w:tcPr>
    </w:tblStylePr>
  </w:style>
  <w:style w:type="table" w:styleId="DarkList-Accent2">
    <w:name w:val="Dark List Accent 2"/>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125A4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2C1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D432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D432F" w:themeFill="accent2" w:themeFillShade="BF"/>
      </w:tcPr>
    </w:tblStylePr>
    <w:tblStylePr w:type="band1Vert">
      <w:tblPr/>
      <w:tcPr>
        <w:tcBorders>
          <w:top w:val="nil"/>
          <w:left w:val="nil"/>
          <w:bottom w:val="nil"/>
          <w:right w:val="nil"/>
          <w:insideH w:val="nil"/>
          <w:insideV w:val="nil"/>
        </w:tcBorders>
        <w:shd w:val="clear" w:color="auto" w:fill="0D432F" w:themeFill="accent2" w:themeFillShade="BF"/>
      </w:tcPr>
    </w:tblStylePr>
    <w:tblStylePr w:type="band1Horz">
      <w:tblPr/>
      <w:tcPr>
        <w:tcBorders>
          <w:top w:val="nil"/>
          <w:left w:val="nil"/>
          <w:bottom w:val="nil"/>
          <w:right w:val="nil"/>
          <w:insideH w:val="nil"/>
          <w:insideV w:val="nil"/>
        </w:tcBorders>
        <w:shd w:val="clear" w:color="auto" w:fill="0D432F" w:themeFill="accent2" w:themeFillShade="BF"/>
      </w:tcPr>
    </w:tblStylePr>
  </w:style>
  <w:style w:type="table" w:styleId="DarkList-Accent3">
    <w:name w:val="Dark List Accent 3"/>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ADD09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7B3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CB45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CB456" w:themeFill="accent3" w:themeFillShade="BF"/>
      </w:tcPr>
    </w:tblStylePr>
    <w:tblStylePr w:type="band1Vert">
      <w:tblPr/>
      <w:tcPr>
        <w:tcBorders>
          <w:top w:val="nil"/>
          <w:left w:val="nil"/>
          <w:bottom w:val="nil"/>
          <w:right w:val="nil"/>
          <w:insideH w:val="nil"/>
          <w:insideV w:val="nil"/>
        </w:tcBorders>
        <w:shd w:val="clear" w:color="auto" w:fill="7CB456" w:themeFill="accent3" w:themeFillShade="BF"/>
      </w:tcPr>
    </w:tblStylePr>
    <w:tblStylePr w:type="band1Horz">
      <w:tblPr/>
      <w:tcPr>
        <w:tcBorders>
          <w:top w:val="nil"/>
          <w:left w:val="nil"/>
          <w:bottom w:val="nil"/>
          <w:right w:val="nil"/>
          <w:insideH w:val="nil"/>
          <w:insideV w:val="nil"/>
        </w:tcBorders>
        <w:shd w:val="clear" w:color="auto" w:fill="7CB456" w:themeFill="accent3" w:themeFillShade="BF"/>
      </w:tcPr>
    </w:tblStylePr>
  </w:style>
  <w:style w:type="table" w:styleId="DarkList-Accent4">
    <w:name w:val="Dark List Accent 4"/>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62294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142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91E3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91E38" w:themeFill="accent4" w:themeFillShade="BF"/>
      </w:tcPr>
    </w:tblStylePr>
    <w:tblStylePr w:type="band1Vert">
      <w:tblPr/>
      <w:tcPr>
        <w:tcBorders>
          <w:top w:val="nil"/>
          <w:left w:val="nil"/>
          <w:bottom w:val="nil"/>
          <w:right w:val="nil"/>
          <w:insideH w:val="nil"/>
          <w:insideV w:val="nil"/>
        </w:tcBorders>
        <w:shd w:val="clear" w:color="auto" w:fill="491E38" w:themeFill="accent4" w:themeFillShade="BF"/>
      </w:tcPr>
    </w:tblStylePr>
    <w:tblStylePr w:type="band1Horz">
      <w:tblPr/>
      <w:tcPr>
        <w:tcBorders>
          <w:top w:val="nil"/>
          <w:left w:val="nil"/>
          <w:bottom w:val="nil"/>
          <w:right w:val="nil"/>
          <w:insideH w:val="nil"/>
          <w:insideV w:val="nil"/>
        </w:tcBorders>
        <w:shd w:val="clear" w:color="auto" w:fill="491E38" w:themeFill="accent4" w:themeFillShade="BF"/>
      </w:tcPr>
    </w:tblStylePr>
  </w:style>
  <w:style w:type="table" w:styleId="DarkList-Accent5">
    <w:name w:val="Dark List Accent 5"/>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FF885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93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E4B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E4B00" w:themeFill="accent5" w:themeFillShade="BF"/>
      </w:tcPr>
    </w:tblStylePr>
    <w:tblStylePr w:type="band1Vert">
      <w:tblPr/>
      <w:tcPr>
        <w:tcBorders>
          <w:top w:val="nil"/>
          <w:left w:val="nil"/>
          <w:bottom w:val="nil"/>
          <w:right w:val="nil"/>
          <w:insideH w:val="nil"/>
          <w:insideV w:val="nil"/>
        </w:tcBorders>
        <w:shd w:val="clear" w:color="auto" w:fill="FE4B00" w:themeFill="accent5" w:themeFillShade="BF"/>
      </w:tcPr>
    </w:tblStylePr>
    <w:tblStylePr w:type="band1Horz">
      <w:tblPr/>
      <w:tcPr>
        <w:tcBorders>
          <w:top w:val="nil"/>
          <w:left w:val="nil"/>
          <w:bottom w:val="nil"/>
          <w:right w:val="nil"/>
          <w:insideH w:val="nil"/>
          <w:insideV w:val="nil"/>
        </w:tcBorders>
        <w:shd w:val="clear" w:color="auto" w:fill="FE4B00" w:themeFill="accent5" w:themeFillShade="BF"/>
      </w:tcPr>
    </w:tblStylePr>
  </w:style>
  <w:style w:type="table" w:styleId="DarkList-Accent6">
    <w:name w:val="Dark List Accent 6"/>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E3E1D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795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4AF9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4AF97" w:themeFill="accent6" w:themeFillShade="BF"/>
      </w:tcPr>
    </w:tblStylePr>
    <w:tblStylePr w:type="band1Vert">
      <w:tblPr/>
      <w:tcPr>
        <w:tcBorders>
          <w:top w:val="nil"/>
          <w:left w:val="nil"/>
          <w:bottom w:val="nil"/>
          <w:right w:val="nil"/>
          <w:insideH w:val="nil"/>
          <w:insideV w:val="nil"/>
        </w:tcBorders>
        <w:shd w:val="clear" w:color="auto" w:fill="B4AF97" w:themeFill="accent6" w:themeFillShade="BF"/>
      </w:tcPr>
    </w:tblStylePr>
    <w:tblStylePr w:type="band1Horz">
      <w:tblPr/>
      <w:tcPr>
        <w:tcBorders>
          <w:top w:val="nil"/>
          <w:left w:val="nil"/>
          <w:bottom w:val="nil"/>
          <w:right w:val="nil"/>
          <w:insideH w:val="nil"/>
          <w:insideV w:val="nil"/>
        </w:tcBorders>
        <w:shd w:val="clear" w:color="auto" w:fill="B4AF97" w:themeFill="accent6" w:themeFillShade="BF"/>
      </w:tcPr>
    </w:tblStylePr>
  </w:style>
  <w:style w:type="paragraph" w:styleId="Date">
    <w:name w:val="Date"/>
    <w:basedOn w:val="Normal"/>
    <w:next w:val="Normal"/>
    <w:link w:val="DateChar"/>
    <w:uiPriority w:val="99"/>
    <w:semiHidden/>
    <w:rsid w:val="00920D86"/>
  </w:style>
  <w:style w:type="character" w:customStyle="1" w:styleId="DateChar">
    <w:name w:val="Date Char"/>
    <w:basedOn w:val="DefaultParagraphFont"/>
    <w:link w:val="Date"/>
    <w:uiPriority w:val="99"/>
    <w:semiHidden/>
    <w:rsid w:val="00920D86"/>
    <w:rPr>
      <w:lang w:val="en-US"/>
    </w:rPr>
  </w:style>
  <w:style w:type="paragraph" w:styleId="DocumentMap">
    <w:name w:val="Document Map"/>
    <w:basedOn w:val="Normal"/>
    <w:link w:val="DocumentMapChar"/>
    <w:uiPriority w:val="99"/>
    <w:semiHidden/>
    <w:rsid w:val="00920D86"/>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20D86"/>
    <w:rPr>
      <w:rFonts w:ascii="Segoe UI" w:hAnsi="Segoe UI" w:cs="Segoe UI"/>
      <w:sz w:val="16"/>
      <w:szCs w:val="16"/>
      <w:lang w:val="en-US"/>
    </w:rPr>
  </w:style>
  <w:style w:type="paragraph" w:styleId="E-mailSignature">
    <w:name w:val="E-mail Signature"/>
    <w:basedOn w:val="Normal"/>
    <w:link w:val="E-mailSignatureChar"/>
    <w:uiPriority w:val="99"/>
    <w:semiHidden/>
    <w:rsid w:val="00920D86"/>
    <w:pPr>
      <w:spacing w:line="240" w:lineRule="auto"/>
    </w:pPr>
  </w:style>
  <w:style w:type="character" w:customStyle="1" w:styleId="E-mailSignatureChar">
    <w:name w:val="E-mail Signature Char"/>
    <w:basedOn w:val="DefaultParagraphFont"/>
    <w:link w:val="E-mailSignature"/>
    <w:uiPriority w:val="99"/>
    <w:semiHidden/>
    <w:rsid w:val="00920D86"/>
    <w:rPr>
      <w:lang w:val="en-US"/>
    </w:rPr>
  </w:style>
  <w:style w:type="character" w:styleId="Emphasis">
    <w:name w:val="Emphasis"/>
    <w:basedOn w:val="DefaultParagraphFont"/>
    <w:uiPriority w:val="19"/>
    <w:semiHidden/>
    <w:rsid w:val="00920D86"/>
    <w:rPr>
      <w:i/>
      <w:iCs/>
      <w:lang w:val="en-US"/>
    </w:rPr>
  </w:style>
  <w:style w:type="paragraph" w:styleId="EnvelopeAddress">
    <w:name w:val="envelope address"/>
    <w:basedOn w:val="Normal"/>
    <w:uiPriority w:val="99"/>
    <w:semiHidden/>
    <w:rsid w:val="00920D86"/>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920D86"/>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920D86"/>
    <w:rPr>
      <w:color w:val="CCEBFD" w:themeColor="followedHyperlink"/>
      <w:u w:val="single"/>
      <w:lang w:val="en-US"/>
    </w:rPr>
  </w:style>
  <w:style w:type="character" w:styleId="FootnoteReference">
    <w:name w:val="footnote reference"/>
    <w:aliases w:val="Heading 6 Char1,-E Fußnotenzeichen,Footnote Reference Superscript,Footnote Reference/,Footnote Reference text,Footnote symbol,Voetnootverwijzing,footnote ref,FR,Fußnotenzeichen diss neu,Times 10 Point,Exposant 3 Point,BVI fnr,note TES"/>
    <w:basedOn w:val="DefaultParagraphFont"/>
    <w:uiPriority w:val="99"/>
    <w:qFormat/>
    <w:rsid w:val="00920D86"/>
    <w:rPr>
      <w:vertAlign w:val="superscript"/>
      <w:lang w:val="en-US"/>
    </w:rPr>
  </w:style>
  <w:style w:type="table" w:styleId="GridTable1Light">
    <w:name w:val="Grid Table 1 Light"/>
    <w:basedOn w:val="TableNormal"/>
    <w:uiPriority w:val="46"/>
    <w:rsid w:val="00920D8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20D86"/>
    <w:pPr>
      <w:spacing w:line="240" w:lineRule="auto"/>
    </w:pPr>
    <w:tblPr>
      <w:tblStyleRowBandSize w:val="1"/>
      <w:tblStyleColBandSize w:val="1"/>
      <w:tblBorders>
        <w:top w:val="single" w:sz="4" w:space="0" w:color="67A5F8" w:themeColor="accent1" w:themeTint="66"/>
        <w:left w:val="single" w:sz="4" w:space="0" w:color="67A5F8" w:themeColor="accent1" w:themeTint="66"/>
        <w:bottom w:val="single" w:sz="4" w:space="0" w:color="67A5F8" w:themeColor="accent1" w:themeTint="66"/>
        <w:right w:val="single" w:sz="4" w:space="0" w:color="67A5F8" w:themeColor="accent1" w:themeTint="66"/>
        <w:insideH w:val="single" w:sz="4" w:space="0" w:color="67A5F8" w:themeColor="accent1" w:themeTint="66"/>
        <w:insideV w:val="single" w:sz="4" w:space="0" w:color="67A5F8" w:themeColor="accent1" w:themeTint="66"/>
      </w:tblBorders>
    </w:tblPr>
    <w:tblStylePr w:type="firstRow">
      <w:rPr>
        <w:b/>
        <w:bCs/>
      </w:rPr>
      <w:tblPr/>
      <w:tcPr>
        <w:tcBorders>
          <w:bottom w:val="single" w:sz="12" w:space="0" w:color="1C78F4" w:themeColor="accent1" w:themeTint="99"/>
        </w:tcBorders>
      </w:tcPr>
    </w:tblStylePr>
    <w:tblStylePr w:type="lastRow">
      <w:rPr>
        <w:b/>
        <w:bCs/>
      </w:rPr>
      <w:tblPr/>
      <w:tcPr>
        <w:tcBorders>
          <w:top w:val="double" w:sz="2" w:space="0" w:color="1C78F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20D86"/>
    <w:pPr>
      <w:spacing w:line="240" w:lineRule="auto"/>
    </w:pPr>
    <w:tblPr>
      <w:tblStyleRowBandSize w:val="1"/>
      <w:tblStyleColBandSize w:val="1"/>
      <w:tblBorders>
        <w:top w:val="single" w:sz="4" w:space="0" w:color="78E4BD" w:themeColor="accent2" w:themeTint="66"/>
        <w:left w:val="single" w:sz="4" w:space="0" w:color="78E4BD" w:themeColor="accent2" w:themeTint="66"/>
        <w:bottom w:val="single" w:sz="4" w:space="0" w:color="78E4BD" w:themeColor="accent2" w:themeTint="66"/>
        <w:right w:val="single" w:sz="4" w:space="0" w:color="78E4BD" w:themeColor="accent2" w:themeTint="66"/>
        <w:insideH w:val="single" w:sz="4" w:space="0" w:color="78E4BD" w:themeColor="accent2" w:themeTint="66"/>
        <w:insideV w:val="single" w:sz="4" w:space="0" w:color="78E4BD" w:themeColor="accent2" w:themeTint="66"/>
      </w:tblBorders>
    </w:tblPr>
    <w:tblStylePr w:type="firstRow">
      <w:rPr>
        <w:b/>
        <w:bCs/>
      </w:rPr>
      <w:tblPr/>
      <w:tcPr>
        <w:tcBorders>
          <w:bottom w:val="single" w:sz="12" w:space="0" w:color="35D69C" w:themeColor="accent2" w:themeTint="99"/>
        </w:tcBorders>
      </w:tcPr>
    </w:tblStylePr>
    <w:tblStylePr w:type="lastRow">
      <w:rPr>
        <w:b/>
        <w:bCs/>
      </w:rPr>
      <w:tblPr/>
      <w:tcPr>
        <w:tcBorders>
          <w:top w:val="double" w:sz="2" w:space="0" w:color="35D69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20D86"/>
    <w:pPr>
      <w:spacing w:line="240" w:lineRule="auto"/>
    </w:pPr>
    <w:tblPr>
      <w:tblStyleRowBandSize w:val="1"/>
      <w:tblStyleColBandSize w:val="1"/>
      <w:tblBorders>
        <w:top w:val="single" w:sz="4" w:space="0" w:color="DEECD4" w:themeColor="accent3" w:themeTint="66"/>
        <w:left w:val="single" w:sz="4" w:space="0" w:color="DEECD4" w:themeColor="accent3" w:themeTint="66"/>
        <w:bottom w:val="single" w:sz="4" w:space="0" w:color="DEECD4" w:themeColor="accent3" w:themeTint="66"/>
        <w:right w:val="single" w:sz="4" w:space="0" w:color="DEECD4" w:themeColor="accent3" w:themeTint="66"/>
        <w:insideH w:val="single" w:sz="4" w:space="0" w:color="DEECD4" w:themeColor="accent3" w:themeTint="66"/>
        <w:insideV w:val="single" w:sz="4" w:space="0" w:color="DEECD4" w:themeColor="accent3" w:themeTint="66"/>
      </w:tblBorders>
    </w:tblPr>
    <w:tblStylePr w:type="firstRow">
      <w:rPr>
        <w:b/>
        <w:bCs/>
      </w:rPr>
      <w:tblPr/>
      <w:tcPr>
        <w:tcBorders>
          <w:bottom w:val="single" w:sz="12" w:space="0" w:color="CDE2BF" w:themeColor="accent3" w:themeTint="99"/>
        </w:tcBorders>
      </w:tcPr>
    </w:tblStylePr>
    <w:tblStylePr w:type="lastRow">
      <w:rPr>
        <w:b/>
        <w:bCs/>
      </w:rPr>
      <w:tblPr/>
      <w:tcPr>
        <w:tcBorders>
          <w:top w:val="double" w:sz="2" w:space="0" w:color="CDE2B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20D86"/>
    <w:pPr>
      <w:spacing w:line="240" w:lineRule="auto"/>
    </w:pPr>
    <w:tblPr>
      <w:tblStyleRowBandSize w:val="1"/>
      <w:tblStyleColBandSize w:val="1"/>
      <w:tblBorders>
        <w:top w:val="single" w:sz="4" w:space="0" w:color="D396BA" w:themeColor="accent4" w:themeTint="66"/>
        <w:left w:val="single" w:sz="4" w:space="0" w:color="D396BA" w:themeColor="accent4" w:themeTint="66"/>
        <w:bottom w:val="single" w:sz="4" w:space="0" w:color="D396BA" w:themeColor="accent4" w:themeTint="66"/>
        <w:right w:val="single" w:sz="4" w:space="0" w:color="D396BA" w:themeColor="accent4" w:themeTint="66"/>
        <w:insideH w:val="single" w:sz="4" w:space="0" w:color="D396BA" w:themeColor="accent4" w:themeTint="66"/>
        <w:insideV w:val="single" w:sz="4" w:space="0" w:color="D396BA" w:themeColor="accent4" w:themeTint="66"/>
      </w:tblBorders>
    </w:tblPr>
    <w:tblStylePr w:type="firstRow">
      <w:rPr>
        <w:b/>
        <w:bCs/>
      </w:rPr>
      <w:tblPr/>
      <w:tcPr>
        <w:tcBorders>
          <w:bottom w:val="single" w:sz="12" w:space="0" w:color="BD6298" w:themeColor="accent4" w:themeTint="99"/>
        </w:tcBorders>
      </w:tcPr>
    </w:tblStylePr>
    <w:tblStylePr w:type="lastRow">
      <w:rPr>
        <w:b/>
        <w:bCs/>
      </w:rPr>
      <w:tblPr/>
      <w:tcPr>
        <w:tcBorders>
          <w:top w:val="double" w:sz="2" w:space="0" w:color="BD629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20D86"/>
    <w:pPr>
      <w:spacing w:line="240" w:lineRule="auto"/>
    </w:pPr>
    <w:tblPr>
      <w:tblStyleRowBandSize w:val="1"/>
      <w:tblStyleColBandSize w:val="1"/>
      <w:tblBorders>
        <w:top w:val="single" w:sz="4" w:space="0" w:color="FFCFBB" w:themeColor="accent5" w:themeTint="66"/>
        <w:left w:val="single" w:sz="4" w:space="0" w:color="FFCFBB" w:themeColor="accent5" w:themeTint="66"/>
        <w:bottom w:val="single" w:sz="4" w:space="0" w:color="FFCFBB" w:themeColor="accent5" w:themeTint="66"/>
        <w:right w:val="single" w:sz="4" w:space="0" w:color="FFCFBB" w:themeColor="accent5" w:themeTint="66"/>
        <w:insideH w:val="single" w:sz="4" w:space="0" w:color="FFCFBB" w:themeColor="accent5" w:themeTint="66"/>
        <w:insideV w:val="single" w:sz="4" w:space="0" w:color="FFCFBB" w:themeColor="accent5" w:themeTint="66"/>
      </w:tblBorders>
    </w:tblPr>
    <w:tblStylePr w:type="firstRow">
      <w:rPr>
        <w:b/>
        <w:bCs/>
      </w:rPr>
      <w:tblPr/>
      <w:tcPr>
        <w:tcBorders>
          <w:bottom w:val="single" w:sz="12" w:space="0" w:color="FFB799" w:themeColor="accent5" w:themeTint="99"/>
        </w:tcBorders>
      </w:tcPr>
    </w:tblStylePr>
    <w:tblStylePr w:type="lastRow">
      <w:rPr>
        <w:b/>
        <w:bCs/>
      </w:rPr>
      <w:tblPr/>
      <w:tcPr>
        <w:tcBorders>
          <w:top w:val="double" w:sz="2" w:space="0" w:color="FFB79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20D86"/>
    <w:pPr>
      <w:spacing w:line="240" w:lineRule="auto"/>
    </w:pPr>
    <w:tblPr>
      <w:tblStyleRowBandSize w:val="1"/>
      <w:tblStyleColBandSize w:val="1"/>
      <w:tblBorders>
        <w:top w:val="single" w:sz="4" w:space="0" w:color="F3F2EF" w:themeColor="accent6" w:themeTint="66"/>
        <w:left w:val="single" w:sz="4" w:space="0" w:color="F3F2EF" w:themeColor="accent6" w:themeTint="66"/>
        <w:bottom w:val="single" w:sz="4" w:space="0" w:color="F3F2EF" w:themeColor="accent6" w:themeTint="66"/>
        <w:right w:val="single" w:sz="4" w:space="0" w:color="F3F2EF" w:themeColor="accent6" w:themeTint="66"/>
        <w:insideH w:val="single" w:sz="4" w:space="0" w:color="F3F2EF" w:themeColor="accent6" w:themeTint="66"/>
        <w:insideV w:val="single" w:sz="4" w:space="0" w:color="F3F2EF" w:themeColor="accent6" w:themeTint="66"/>
      </w:tblBorders>
    </w:tblPr>
    <w:tblStylePr w:type="firstRow">
      <w:rPr>
        <w:b/>
        <w:bCs/>
      </w:rPr>
      <w:tblPr/>
      <w:tcPr>
        <w:tcBorders>
          <w:bottom w:val="single" w:sz="12" w:space="0" w:color="EEECE7" w:themeColor="accent6" w:themeTint="99"/>
        </w:tcBorders>
      </w:tcPr>
    </w:tblStylePr>
    <w:tblStylePr w:type="lastRow">
      <w:rPr>
        <w:b/>
        <w:bCs/>
      </w:rPr>
      <w:tblPr/>
      <w:tcPr>
        <w:tcBorders>
          <w:top w:val="double" w:sz="2" w:space="0" w:color="EEECE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20D8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20D86"/>
    <w:pPr>
      <w:spacing w:line="240" w:lineRule="auto"/>
    </w:pPr>
    <w:tblPr>
      <w:tblStyleRowBandSize w:val="1"/>
      <w:tblStyleColBandSize w:val="1"/>
      <w:tblBorders>
        <w:top w:val="single" w:sz="2" w:space="0" w:color="1C78F4" w:themeColor="accent1" w:themeTint="99"/>
        <w:bottom w:val="single" w:sz="2" w:space="0" w:color="1C78F4" w:themeColor="accent1" w:themeTint="99"/>
        <w:insideH w:val="single" w:sz="2" w:space="0" w:color="1C78F4" w:themeColor="accent1" w:themeTint="99"/>
        <w:insideV w:val="single" w:sz="2" w:space="0" w:color="1C78F4" w:themeColor="accent1" w:themeTint="99"/>
      </w:tblBorders>
    </w:tblPr>
    <w:tblStylePr w:type="firstRow">
      <w:rPr>
        <w:b/>
        <w:bCs/>
      </w:rPr>
      <w:tblPr/>
      <w:tcPr>
        <w:tcBorders>
          <w:top w:val="nil"/>
          <w:bottom w:val="single" w:sz="12" w:space="0" w:color="1C78F4" w:themeColor="accent1" w:themeTint="99"/>
          <w:insideH w:val="nil"/>
          <w:insideV w:val="nil"/>
        </w:tcBorders>
        <w:shd w:val="clear" w:color="auto" w:fill="FFFFFF" w:themeFill="background1"/>
      </w:tcPr>
    </w:tblStylePr>
    <w:tblStylePr w:type="lastRow">
      <w:rPr>
        <w:b/>
        <w:bCs/>
      </w:rPr>
      <w:tblPr/>
      <w:tcPr>
        <w:tcBorders>
          <w:top w:val="double" w:sz="2" w:space="0" w:color="1C78F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2-Accent2">
    <w:name w:val="Grid Table 2 Accent 2"/>
    <w:basedOn w:val="TableNormal"/>
    <w:uiPriority w:val="47"/>
    <w:rsid w:val="00920D86"/>
    <w:pPr>
      <w:spacing w:line="240" w:lineRule="auto"/>
    </w:pPr>
    <w:tblPr>
      <w:tblStyleRowBandSize w:val="1"/>
      <w:tblStyleColBandSize w:val="1"/>
      <w:tblBorders>
        <w:top w:val="single" w:sz="2" w:space="0" w:color="35D69C" w:themeColor="accent2" w:themeTint="99"/>
        <w:bottom w:val="single" w:sz="2" w:space="0" w:color="35D69C" w:themeColor="accent2" w:themeTint="99"/>
        <w:insideH w:val="single" w:sz="2" w:space="0" w:color="35D69C" w:themeColor="accent2" w:themeTint="99"/>
        <w:insideV w:val="single" w:sz="2" w:space="0" w:color="35D69C" w:themeColor="accent2" w:themeTint="99"/>
      </w:tblBorders>
    </w:tblPr>
    <w:tblStylePr w:type="firstRow">
      <w:rPr>
        <w:b/>
        <w:bCs/>
      </w:rPr>
      <w:tblPr/>
      <w:tcPr>
        <w:tcBorders>
          <w:top w:val="nil"/>
          <w:bottom w:val="single" w:sz="12" w:space="0" w:color="35D69C" w:themeColor="accent2" w:themeTint="99"/>
          <w:insideH w:val="nil"/>
          <w:insideV w:val="nil"/>
        </w:tcBorders>
        <w:shd w:val="clear" w:color="auto" w:fill="FFFFFF" w:themeFill="background1"/>
      </w:tcPr>
    </w:tblStylePr>
    <w:tblStylePr w:type="lastRow">
      <w:rPr>
        <w:b/>
        <w:bCs/>
      </w:rPr>
      <w:tblPr/>
      <w:tcPr>
        <w:tcBorders>
          <w:top w:val="double" w:sz="2" w:space="0" w:color="35D69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2-Accent3">
    <w:name w:val="Grid Table 2 Accent 3"/>
    <w:basedOn w:val="TableNormal"/>
    <w:uiPriority w:val="47"/>
    <w:rsid w:val="00920D86"/>
    <w:pPr>
      <w:spacing w:line="240" w:lineRule="auto"/>
    </w:pPr>
    <w:tblPr>
      <w:tblStyleRowBandSize w:val="1"/>
      <w:tblStyleColBandSize w:val="1"/>
      <w:tblBorders>
        <w:top w:val="single" w:sz="2" w:space="0" w:color="CDE2BF" w:themeColor="accent3" w:themeTint="99"/>
        <w:bottom w:val="single" w:sz="2" w:space="0" w:color="CDE2BF" w:themeColor="accent3" w:themeTint="99"/>
        <w:insideH w:val="single" w:sz="2" w:space="0" w:color="CDE2BF" w:themeColor="accent3" w:themeTint="99"/>
        <w:insideV w:val="single" w:sz="2" w:space="0" w:color="CDE2BF" w:themeColor="accent3" w:themeTint="99"/>
      </w:tblBorders>
    </w:tblPr>
    <w:tblStylePr w:type="firstRow">
      <w:rPr>
        <w:b/>
        <w:bCs/>
      </w:rPr>
      <w:tblPr/>
      <w:tcPr>
        <w:tcBorders>
          <w:top w:val="nil"/>
          <w:bottom w:val="single" w:sz="12" w:space="0" w:color="CDE2BF" w:themeColor="accent3" w:themeTint="99"/>
          <w:insideH w:val="nil"/>
          <w:insideV w:val="nil"/>
        </w:tcBorders>
        <w:shd w:val="clear" w:color="auto" w:fill="FFFFFF" w:themeFill="background1"/>
      </w:tcPr>
    </w:tblStylePr>
    <w:tblStylePr w:type="lastRow">
      <w:rPr>
        <w:b/>
        <w:bCs/>
      </w:rPr>
      <w:tblPr/>
      <w:tcPr>
        <w:tcBorders>
          <w:top w:val="double" w:sz="2" w:space="0" w:color="CDE2B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2-Accent4">
    <w:name w:val="Grid Table 2 Accent 4"/>
    <w:basedOn w:val="TableNormal"/>
    <w:uiPriority w:val="47"/>
    <w:rsid w:val="00920D86"/>
    <w:pPr>
      <w:spacing w:line="240" w:lineRule="auto"/>
    </w:pPr>
    <w:tblPr>
      <w:tblStyleRowBandSize w:val="1"/>
      <w:tblStyleColBandSize w:val="1"/>
      <w:tblBorders>
        <w:top w:val="single" w:sz="2" w:space="0" w:color="BD6298" w:themeColor="accent4" w:themeTint="99"/>
        <w:bottom w:val="single" w:sz="2" w:space="0" w:color="BD6298" w:themeColor="accent4" w:themeTint="99"/>
        <w:insideH w:val="single" w:sz="2" w:space="0" w:color="BD6298" w:themeColor="accent4" w:themeTint="99"/>
        <w:insideV w:val="single" w:sz="2" w:space="0" w:color="BD6298" w:themeColor="accent4" w:themeTint="99"/>
      </w:tblBorders>
    </w:tblPr>
    <w:tblStylePr w:type="firstRow">
      <w:rPr>
        <w:b/>
        <w:bCs/>
      </w:rPr>
      <w:tblPr/>
      <w:tcPr>
        <w:tcBorders>
          <w:top w:val="nil"/>
          <w:bottom w:val="single" w:sz="12" w:space="0" w:color="BD6298" w:themeColor="accent4" w:themeTint="99"/>
          <w:insideH w:val="nil"/>
          <w:insideV w:val="nil"/>
        </w:tcBorders>
        <w:shd w:val="clear" w:color="auto" w:fill="FFFFFF" w:themeFill="background1"/>
      </w:tcPr>
    </w:tblStylePr>
    <w:tblStylePr w:type="lastRow">
      <w:rPr>
        <w:b/>
        <w:bCs/>
      </w:rPr>
      <w:tblPr/>
      <w:tcPr>
        <w:tcBorders>
          <w:top w:val="double" w:sz="2" w:space="0" w:color="BD629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2-Accent5">
    <w:name w:val="Grid Table 2 Accent 5"/>
    <w:basedOn w:val="TableNormal"/>
    <w:uiPriority w:val="47"/>
    <w:rsid w:val="00920D86"/>
    <w:pPr>
      <w:spacing w:line="240" w:lineRule="auto"/>
    </w:pPr>
    <w:tblPr>
      <w:tblStyleRowBandSize w:val="1"/>
      <w:tblStyleColBandSize w:val="1"/>
      <w:tblBorders>
        <w:top w:val="single" w:sz="2" w:space="0" w:color="FFB799" w:themeColor="accent5" w:themeTint="99"/>
        <w:bottom w:val="single" w:sz="2" w:space="0" w:color="FFB799" w:themeColor="accent5" w:themeTint="99"/>
        <w:insideH w:val="single" w:sz="2" w:space="0" w:color="FFB799" w:themeColor="accent5" w:themeTint="99"/>
        <w:insideV w:val="single" w:sz="2" w:space="0" w:color="FFB799" w:themeColor="accent5" w:themeTint="99"/>
      </w:tblBorders>
    </w:tblPr>
    <w:tblStylePr w:type="firstRow">
      <w:rPr>
        <w:b/>
        <w:bCs/>
      </w:rPr>
      <w:tblPr/>
      <w:tcPr>
        <w:tcBorders>
          <w:top w:val="nil"/>
          <w:bottom w:val="single" w:sz="12" w:space="0" w:color="FFB799" w:themeColor="accent5" w:themeTint="99"/>
          <w:insideH w:val="nil"/>
          <w:insideV w:val="nil"/>
        </w:tcBorders>
        <w:shd w:val="clear" w:color="auto" w:fill="FFFFFF" w:themeFill="background1"/>
      </w:tcPr>
    </w:tblStylePr>
    <w:tblStylePr w:type="lastRow">
      <w:rPr>
        <w:b/>
        <w:bCs/>
      </w:rPr>
      <w:tblPr/>
      <w:tcPr>
        <w:tcBorders>
          <w:top w:val="double" w:sz="2" w:space="0" w:color="FFB79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2-Accent6">
    <w:name w:val="Grid Table 2 Accent 6"/>
    <w:basedOn w:val="TableNormal"/>
    <w:uiPriority w:val="47"/>
    <w:rsid w:val="00920D86"/>
    <w:pPr>
      <w:spacing w:line="240" w:lineRule="auto"/>
    </w:pPr>
    <w:tblPr>
      <w:tblStyleRowBandSize w:val="1"/>
      <w:tblStyleColBandSize w:val="1"/>
      <w:tblBorders>
        <w:top w:val="single" w:sz="2" w:space="0" w:color="EEECE7" w:themeColor="accent6" w:themeTint="99"/>
        <w:bottom w:val="single" w:sz="2" w:space="0" w:color="EEECE7" w:themeColor="accent6" w:themeTint="99"/>
        <w:insideH w:val="single" w:sz="2" w:space="0" w:color="EEECE7" w:themeColor="accent6" w:themeTint="99"/>
        <w:insideV w:val="single" w:sz="2" w:space="0" w:color="EEECE7" w:themeColor="accent6" w:themeTint="99"/>
      </w:tblBorders>
    </w:tblPr>
    <w:tblStylePr w:type="firstRow">
      <w:rPr>
        <w:b/>
        <w:bCs/>
      </w:rPr>
      <w:tblPr/>
      <w:tcPr>
        <w:tcBorders>
          <w:top w:val="nil"/>
          <w:bottom w:val="single" w:sz="12" w:space="0" w:color="EEECE7" w:themeColor="accent6" w:themeTint="99"/>
          <w:insideH w:val="nil"/>
          <w:insideV w:val="nil"/>
        </w:tcBorders>
        <w:shd w:val="clear" w:color="auto" w:fill="FFFFFF" w:themeFill="background1"/>
      </w:tcPr>
    </w:tblStylePr>
    <w:tblStylePr w:type="lastRow">
      <w:rPr>
        <w:b/>
        <w:bCs/>
      </w:rPr>
      <w:tblPr/>
      <w:tcPr>
        <w:tcBorders>
          <w:top w:val="double" w:sz="2" w:space="0" w:color="EEECE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3">
    <w:name w:val="Grid Table 3"/>
    <w:basedOn w:val="TableNormal"/>
    <w:uiPriority w:val="48"/>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bottom w:val="single" w:sz="4" w:space="0" w:color="1C78F4" w:themeColor="accent1" w:themeTint="99"/>
        </w:tcBorders>
      </w:tcPr>
    </w:tblStylePr>
    <w:tblStylePr w:type="nwCell">
      <w:tblPr/>
      <w:tcPr>
        <w:tcBorders>
          <w:bottom w:val="single" w:sz="4" w:space="0" w:color="1C78F4" w:themeColor="accent1" w:themeTint="99"/>
        </w:tcBorders>
      </w:tcPr>
    </w:tblStylePr>
    <w:tblStylePr w:type="seCell">
      <w:tblPr/>
      <w:tcPr>
        <w:tcBorders>
          <w:top w:val="single" w:sz="4" w:space="0" w:color="1C78F4" w:themeColor="accent1" w:themeTint="99"/>
        </w:tcBorders>
      </w:tcPr>
    </w:tblStylePr>
    <w:tblStylePr w:type="swCell">
      <w:tblPr/>
      <w:tcPr>
        <w:tcBorders>
          <w:top w:val="single" w:sz="4" w:space="0" w:color="1C78F4" w:themeColor="accent1" w:themeTint="99"/>
        </w:tcBorders>
      </w:tcPr>
    </w:tblStylePr>
  </w:style>
  <w:style w:type="table" w:styleId="GridTable3-Accent2">
    <w:name w:val="Grid Table 3 Accent 2"/>
    <w:basedOn w:val="TableNormal"/>
    <w:uiPriority w:val="48"/>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bottom w:val="single" w:sz="4" w:space="0" w:color="35D69C" w:themeColor="accent2" w:themeTint="99"/>
        </w:tcBorders>
      </w:tcPr>
    </w:tblStylePr>
    <w:tblStylePr w:type="nwCell">
      <w:tblPr/>
      <w:tcPr>
        <w:tcBorders>
          <w:bottom w:val="single" w:sz="4" w:space="0" w:color="35D69C" w:themeColor="accent2" w:themeTint="99"/>
        </w:tcBorders>
      </w:tcPr>
    </w:tblStylePr>
    <w:tblStylePr w:type="seCell">
      <w:tblPr/>
      <w:tcPr>
        <w:tcBorders>
          <w:top w:val="single" w:sz="4" w:space="0" w:color="35D69C" w:themeColor="accent2" w:themeTint="99"/>
        </w:tcBorders>
      </w:tcPr>
    </w:tblStylePr>
    <w:tblStylePr w:type="swCell">
      <w:tblPr/>
      <w:tcPr>
        <w:tcBorders>
          <w:top w:val="single" w:sz="4" w:space="0" w:color="35D69C" w:themeColor="accent2" w:themeTint="99"/>
        </w:tcBorders>
      </w:tcPr>
    </w:tblStylePr>
  </w:style>
  <w:style w:type="table" w:styleId="GridTable3-Accent3">
    <w:name w:val="Grid Table 3 Accent 3"/>
    <w:basedOn w:val="TableNormal"/>
    <w:uiPriority w:val="48"/>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bottom w:val="single" w:sz="4" w:space="0" w:color="CDE2BF" w:themeColor="accent3" w:themeTint="99"/>
        </w:tcBorders>
      </w:tcPr>
    </w:tblStylePr>
    <w:tblStylePr w:type="nwCell">
      <w:tblPr/>
      <w:tcPr>
        <w:tcBorders>
          <w:bottom w:val="single" w:sz="4" w:space="0" w:color="CDE2BF" w:themeColor="accent3" w:themeTint="99"/>
        </w:tcBorders>
      </w:tcPr>
    </w:tblStylePr>
    <w:tblStylePr w:type="seCell">
      <w:tblPr/>
      <w:tcPr>
        <w:tcBorders>
          <w:top w:val="single" w:sz="4" w:space="0" w:color="CDE2BF" w:themeColor="accent3" w:themeTint="99"/>
        </w:tcBorders>
      </w:tcPr>
    </w:tblStylePr>
    <w:tblStylePr w:type="swCell">
      <w:tblPr/>
      <w:tcPr>
        <w:tcBorders>
          <w:top w:val="single" w:sz="4" w:space="0" w:color="CDE2BF" w:themeColor="accent3" w:themeTint="99"/>
        </w:tcBorders>
      </w:tcPr>
    </w:tblStylePr>
  </w:style>
  <w:style w:type="table" w:styleId="GridTable3-Accent4">
    <w:name w:val="Grid Table 3 Accent 4"/>
    <w:basedOn w:val="TableNormal"/>
    <w:uiPriority w:val="48"/>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bottom w:val="single" w:sz="4" w:space="0" w:color="BD6298" w:themeColor="accent4" w:themeTint="99"/>
        </w:tcBorders>
      </w:tcPr>
    </w:tblStylePr>
    <w:tblStylePr w:type="nwCell">
      <w:tblPr/>
      <w:tcPr>
        <w:tcBorders>
          <w:bottom w:val="single" w:sz="4" w:space="0" w:color="BD6298" w:themeColor="accent4" w:themeTint="99"/>
        </w:tcBorders>
      </w:tcPr>
    </w:tblStylePr>
    <w:tblStylePr w:type="seCell">
      <w:tblPr/>
      <w:tcPr>
        <w:tcBorders>
          <w:top w:val="single" w:sz="4" w:space="0" w:color="BD6298" w:themeColor="accent4" w:themeTint="99"/>
        </w:tcBorders>
      </w:tcPr>
    </w:tblStylePr>
    <w:tblStylePr w:type="swCell">
      <w:tblPr/>
      <w:tcPr>
        <w:tcBorders>
          <w:top w:val="single" w:sz="4" w:space="0" w:color="BD6298" w:themeColor="accent4" w:themeTint="99"/>
        </w:tcBorders>
      </w:tcPr>
    </w:tblStylePr>
  </w:style>
  <w:style w:type="table" w:styleId="GridTable3-Accent5">
    <w:name w:val="Grid Table 3 Accent 5"/>
    <w:basedOn w:val="TableNormal"/>
    <w:uiPriority w:val="48"/>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bottom w:val="single" w:sz="4" w:space="0" w:color="FFB799" w:themeColor="accent5" w:themeTint="99"/>
        </w:tcBorders>
      </w:tcPr>
    </w:tblStylePr>
    <w:tblStylePr w:type="nwCell">
      <w:tblPr/>
      <w:tcPr>
        <w:tcBorders>
          <w:bottom w:val="single" w:sz="4" w:space="0" w:color="FFB799" w:themeColor="accent5" w:themeTint="99"/>
        </w:tcBorders>
      </w:tcPr>
    </w:tblStylePr>
    <w:tblStylePr w:type="seCell">
      <w:tblPr/>
      <w:tcPr>
        <w:tcBorders>
          <w:top w:val="single" w:sz="4" w:space="0" w:color="FFB799" w:themeColor="accent5" w:themeTint="99"/>
        </w:tcBorders>
      </w:tcPr>
    </w:tblStylePr>
    <w:tblStylePr w:type="swCell">
      <w:tblPr/>
      <w:tcPr>
        <w:tcBorders>
          <w:top w:val="single" w:sz="4" w:space="0" w:color="FFB799" w:themeColor="accent5" w:themeTint="99"/>
        </w:tcBorders>
      </w:tcPr>
    </w:tblStylePr>
  </w:style>
  <w:style w:type="table" w:styleId="GridTable3-Accent6">
    <w:name w:val="Grid Table 3 Accent 6"/>
    <w:basedOn w:val="TableNormal"/>
    <w:uiPriority w:val="48"/>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bottom w:val="single" w:sz="4" w:space="0" w:color="EEECE7" w:themeColor="accent6" w:themeTint="99"/>
        </w:tcBorders>
      </w:tcPr>
    </w:tblStylePr>
    <w:tblStylePr w:type="nwCell">
      <w:tblPr/>
      <w:tcPr>
        <w:tcBorders>
          <w:bottom w:val="single" w:sz="4" w:space="0" w:color="EEECE7" w:themeColor="accent6" w:themeTint="99"/>
        </w:tcBorders>
      </w:tcPr>
    </w:tblStylePr>
    <w:tblStylePr w:type="seCell">
      <w:tblPr/>
      <w:tcPr>
        <w:tcBorders>
          <w:top w:val="single" w:sz="4" w:space="0" w:color="EEECE7" w:themeColor="accent6" w:themeTint="99"/>
        </w:tcBorders>
      </w:tcPr>
    </w:tblStylePr>
    <w:tblStylePr w:type="swCell">
      <w:tblPr/>
      <w:tcPr>
        <w:tcBorders>
          <w:top w:val="single" w:sz="4" w:space="0" w:color="EEECE7" w:themeColor="accent6" w:themeTint="99"/>
        </w:tcBorders>
      </w:tcPr>
    </w:tblStylePr>
  </w:style>
  <w:style w:type="table" w:styleId="GridTable4">
    <w:name w:val="Grid Table 4"/>
    <w:basedOn w:val="TableNormal"/>
    <w:uiPriority w:val="49"/>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color w:val="FFFFFF" w:themeColor="background1"/>
      </w:rPr>
      <w:tblPr/>
      <w:tcPr>
        <w:tcBorders>
          <w:top w:val="single" w:sz="4" w:space="0" w:color="05326E" w:themeColor="accent1"/>
          <w:left w:val="single" w:sz="4" w:space="0" w:color="05326E" w:themeColor="accent1"/>
          <w:bottom w:val="single" w:sz="4" w:space="0" w:color="05326E" w:themeColor="accent1"/>
          <w:right w:val="single" w:sz="4" w:space="0" w:color="05326E" w:themeColor="accent1"/>
          <w:insideH w:val="nil"/>
          <w:insideV w:val="nil"/>
        </w:tcBorders>
        <w:shd w:val="clear" w:color="auto" w:fill="05326E" w:themeFill="accent1"/>
      </w:tcPr>
    </w:tblStylePr>
    <w:tblStylePr w:type="lastRow">
      <w:rPr>
        <w:b/>
        <w:bCs/>
      </w:rPr>
      <w:tblPr/>
      <w:tcPr>
        <w:tcBorders>
          <w:top w:val="double" w:sz="4" w:space="0" w:color="05326E" w:themeColor="accent1"/>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4-Accent2">
    <w:name w:val="Grid Table 4 Accent 2"/>
    <w:basedOn w:val="TableNormal"/>
    <w:uiPriority w:val="49"/>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color w:val="FFFFFF" w:themeColor="background1"/>
      </w:rPr>
      <w:tblPr/>
      <w:tcPr>
        <w:tcBorders>
          <w:top w:val="single" w:sz="4" w:space="0" w:color="125A40" w:themeColor="accent2"/>
          <w:left w:val="single" w:sz="4" w:space="0" w:color="125A40" w:themeColor="accent2"/>
          <w:bottom w:val="single" w:sz="4" w:space="0" w:color="125A40" w:themeColor="accent2"/>
          <w:right w:val="single" w:sz="4" w:space="0" w:color="125A40" w:themeColor="accent2"/>
          <w:insideH w:val="nil"/>
          <w:insideV w:val="nil"/>
        </w:tcBorders>
        <w:shd w:val="clear" w:color="auto" w:fill="125A40" w:themeFill="accent2"/>
      </w:tcPr>
    </w:tblStylePr>
    <w:tblStylePr w:type="lastRow">
      <w:rPr>
        <w:b/>
        <w:bCs/>
      </w:rPr>
      <w:tblPr/>
      <w:tcPr>
        <w:tcBorders>
          <w:top w:val="double" w:sz="4" w:space="0" w:color="125A40" w:themeColor="accent2"/>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4-Accent3">
    <w:name w:val="Grid Table 4 Accent 3"/>
    <w:basedOn w:val="TableNormal"/>
    <w:uiPriority w:val="49"/>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color w:val="FFFFFF" w:themeColor="background1"/>
      </w:rPr>
      <w:tblPr/>
      <w:tcPr>
        <w:tcBorders>
          <w:top w:val="single" w:sz="4" w:space="0" w:color="ADD095" w:themeColor="accent3"/>
          <w:left w:val="single" w:sz="4" w:space="0" w:color="ADD095" w:themeColor="accent3"/>
          <w:bottom w:val="single" w:sz="4" w:space="0" w:color="ADD095" w:themeColor="accent3"/>
          <w:right w:val="single" w:sz="4" w:space="0" w:color="ADD095" w:themeColor="accent3"/>
          <w:insideH w:val="nil"/>
          <w:insideV w:val="nil"/>
        </w:tcBorders>
        <w:shd w:val="clear" w:color="auto" w:fill="ADD095" w:themeFill="accent3"/>
      </w:tcPr>
    </w:tblStylePr>
    <w:tblStylePr w:type="lastRow">
      <w:rPr>
        <w:b/>
        <w:bCs/>
      </w:rPr>
      <w:tblPr/>
      <w:tcPr>
        <w:tcBorders>
          <w:top w:val="double" w:sz="4" w:space="0" w:color="ADD095" w:themeColor="accent3"/>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4-Accent4">
    <w:name w:val="Grid Table 4 Accent 4"/>
    <w:basedOn w:val="TableNormal"/>
    <w:uiPriority w:val="49"/>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color w:val="FFFFFF" w:themeColor="background1"/>
      </w:rPr>
      <w:tblPr/>
      <w:tcPr>
        <w:tcBorders>
          <w:top w:val="single" w:sz="4" w:space="0" w:color="62294B" w:themeColor="accent4"/>
          <w:left w:val="single" w:sz="4" w:space="0" w:color="62294B" w:themeColor="accent4"/>
          <w:bottom w:val="single" w:sz="4" w:space="0" w:color="62294B" w:themeColor="accent4"/>
          <w:right w:val="single" w:sz="4" w:space="0" w:color="62294B" w:themeColor="accent4"/>
          <w:insideH w:val="nil"/>
          <w:insideV w:val="nil"/>
        </w:tcBorders>
        <w:shd w:val="clear" w:color="auto" w:fill="62294B" w:themeFill="accent4"/>
      </w:tcPr>
    </w:tblStylePr>
    <w:tblStylePr w:type="lastRow">
      <w:rPr>
        <w:b/>
        <w:bCs/>
      </w:rPr>
      <w:tblPr/>
      <w:tcPr>
        <w:tcBorders>
          <w:top w:val="double" w:sz="4" w:space="0" w:color="62294B" w:themeColor="accent4"/>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4-Accent5">
    <w:name w:val="Grid Table 4 Accent 5"/>
    <w:basedOn w:val="TableNormal"/>
    <w:uiPriority w:val="49"/>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color w:val="FFFFFF" w:themeColor="background1"/>
      </w:rPr>
      <w:tblPr/>
      <w:tcPr>
        <w:tcBorders>
          <w:top w:val="single" w:sz="4" w:space="0" w:color="FF8855" w:themeColor="accent5"/>
          <w:left w:val="single" w:sz="4" w:space="0" w:color="FF8855" w:themeColor="accent5"/>
          <w:bottom w:val="single" w:sz="4" w:space="0" w:color="FF8855" w:themeColor="accent5"/>
          <w:right w:val="single" w:sz="4" w:space="0" w:color="FF8855" w:themeColor="accent5"/>
          <w:insideH w:val="nil"/>
          <w:insideV w:val="nil"/>
        </w:tcBorders>
        <w:shd w:val="clear" w:color="auto" w:fill="FF8855" w:themeFill="accent5"/>
      </w:tcPr>
    </w:tblStylePr>
    <w:tblStylePr w:type="lastRow">
      <w:rPr>
        <w:b/>
        <w:bCs/>
      </w:rPr>
      <w:tblPr/>
      <w:tcPr>
        <w:tcBorders>
          <w:top w:val="double" w:sz="4" w:space="0" w:color="FF8855" w:themeColor="accent5"/>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4-Accent6">
    <w:name w:val="Grid Table 4 Accent 6"/>
    <w:basedOn w:val="TableNormal"/>
    <w:uiPriority w:val="49"/>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color w:val="FFFFFF" w:themeColor="background1"/>
      </w:rPr>
      <w:tblPr/>
      <w:tcPr>
        <w:tcBorders>
          <w:top w:val="single" w:sz="4" w:space="0" w:color="E3E1D8" w:themeColor="accent6"/>
          <w:left w:val="single" w:sz="4" w:space="0" w:color="E3E1D8" w:themeColor="accent6"/>
          <w:bottom w:val="single" w:sz="4" w:space="0" w:color="E3E1D8" w:themeColor="accent6"/>
          <w:right w:val="single" w:sz="4" w:space="0" w:color="E3E1D8" w:themeColor="accent6"/>
          <w:insideH w:val="nil"/>
          <w:insideV w:val="nil"/>
        </w:tcBorders>
        <w:shd w:val="clear" w:color="auto" w:fill="E3E1D8" w:themeFill="accent6"/>
      </w:tcPr>
    </w:tblStylePr>
    <w:tblStylePr w:type="lastRow">
      <w:rPr>
        <w:b/>
        <w:bCs/>
      </w:rPr>
      <w:tblPr/>
      <w:tcPr>
        <w:tcBorders>
          <w:top w:val="double" w:sz="4" w:space="0" w:color="E3E1D8" w:themeColor="accent6"/>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5Dark">
    <w:name w:val="Grid Table 5 Dark"/>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3D2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5326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5326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5326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5326E" w:themeFill="accent1"/>
      </w:tcPr>
    </w:tblStylePr>
    <w:tblStylePr w:type="band1Vert">
      <w:tblPr/>
      <w:tcPr>
        <w:shd w:val="clear" w:color="auto" w:fill="67A5F8" w:themeFill="accent1" w:themeFillTint="66"/>
      </w:tcPr>
    </w:tblStylePr>
    <w:tblStylePr w:type="band1Horz">
      <w:tblPr/>
      <w:tcPr>
        <w:shd w:val="clear" w:color="auto" w:fill="67A5F8" w:themeFill="accent1" w:themeFillTint="66"/>
      </w:tcPr>
    </w:tblStylePr>
  </w:style>
  <w:style w:type="table" w:styleId="GridTable5Dark-Accent2">
    <w:name w:val="Grid Table 5 Dark Accent 2"/>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F1D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25A4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25A4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25A4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25A40" w:themeFill="accent2"/>
      </w:tcPr>
    </w:tblStylePr>
    <w:tblStylePr w:type="band1Vert">
      <w:tblPr/>
      <w:tcPr>
        <w:shd w:val="clear" w:color="auto" w:fill="78E4BD" w:themeFill="accent2" w:themeFillTint="66"/>
      </w:tcPr>
    </w:tblStylePr>
    <w:tblStylePr w:type="band1Horz">
      <w:tblPr/>
      <w:tcPr>
        <w:shd w:val="clear" w:color="auto" w:fill="78E4BD" w:themeFill="accent2" w:themeFillTint="66"/>
      </w:tcPr>
    </w:tblStylePr>
  </w:style>
  <w:style w:type="table" w:styleId="GridTable5Dark-Accent3">
    <w:name w:val="Grid Table 5 Dark Accent 3"/>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5E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09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09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09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095" w:themeFill="accent3"/>
      </w:tcPr>
    </w:tblStylePr>
    <w:tblStylePr w:type="band1Vert">
      <w:tblPr/>
      <w:tcPr>
        <w:shd w:val="clear" w:color="auto" w:fill="DEECD4" w:themeFill="accent3" w:themeFillTint="66"/>
      </w:tcPr>
    </w:tblStylePr>
    <w:tblStylePr w:type="band1Horz">
      <w:tblPr/>
      <w:tcPr>
        <w:shd w:val="clear" w:color="auto" w:fill="DEECD4" w:themeFill="accent3" w:themeFillTint="66"/>
      </w:tcPr>
    </w:tblStylePr>
  </w:style>
  <w:style w:type="table" w:styleId="GridTable5Dark-Accent4">
    <w:name w:val="Grid Table 5 Dark Accent 4"/>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CAD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294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294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294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294B" w:themeFill="accent4"/>
      </w:tcPr>
    </w:tblStylePr>
    <w:tblStylePr w:type="band1Vert">
      <w:tblPr/>
      <w:tcPr>
        <w:shd w:val="clear" w:color="auto" w:fill="D396BA" w:themeFill="accent4" w:themeFillTint="66"/>
      </w:tcPr>
    </w:tblStylePr>
    <w:tblStylePr w:type="band1Horz">
      <w:tblPr/>
      <w:tcPr>
        <w:shd w:val="clear" w:color="auto" w:fill="D396BA" w:themeFill="accent4" w:themeFillTint="66"/>
      </w:tcPr>
    </w:tblStylePr>
  </w:style>
  <w:style w:type="table" w:styleId="GridTable5Dark-Accent5">
    <w:name w:val="Grid Table 5 Dark Accent 5"/>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D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85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85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85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855" w:themeFill="accent5"/>
      </w:tcPr>
    </w:tblStylePr>
    <w:tblStylePr w:type="band1Vert">
      <w:tblPr/>
      <w:tcPr>
        <w:shd w:val="clear" w:color="auto" w:fill="FFCFBB" w:themeFill="accent5" w:themeFillTint="66"/>
      </w:tcPr>
    </w:tblStylePr>
    <w:tblStylePr w:type="band1Horz">
      <w:tblPr/>
      <w:tcPr>
        <w:shd w:val="clear" w:color="auto" w:fill="FFCFBB" w:themeFill="accent5" w:themeFillTint="66"/>
      </w:tcPr>
    </w:tblStylePr>
  </w:style>
  <w:style w:type="table" w:styleId="GridTable5Dark-Accent6">
    <w:name w:val="Grid Table 5 Dark Accent 6"/>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8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E1D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E1D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E1D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E1D8" w:themeFill="accent6"/>
      </w:tcPr>
    </w:tblStylePr>
    <w:tblStylePr w:type="band1Vert">
      <w:tblPr/>
      <w:tcPr>
        <w:shd w:val="clear" w:color="auto" w:fill="F3F2EF" w:themeFill="accent6" w:themeFillTint="66"/>
      </w:tcPr>
    </w:tblStylePr>
    <w:tblStylePr w:type="band1Horz">
      <w:tblPr/>
      <w:tcPr>
        <w:shd w:val="clear" w:color="auto" w:fill="F3F2EF" w:themeFill="accent6" w:themeFillTint="66"/>
      </w:tcPr>
    </w:tblStylePr>
  </w:style>
  <w:style w:type="table" w:styleId="GridTable6Colorful">
    <w:name w:val="Grid Table 6 Colorful"/>
    <w:basedOn w:val="TableNormal"/>
    <w:uiPriority w:val="51"/>
    <w:rsid w:val="00920D8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20D86"/>
    <w:pPr>
      <w:spacing w:line="240" w:lineRule="auto"/>
    </w:pPr>
    <w:rPr>
      <w:color w:val="032552" w:themeColor="accent1" w:themeShade="BF"/>
    </w:r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bottom w:val="single" w:sz="12" w:space="0" w:color="1C78F4" w:themeColor="accent1" w:themeTint="99"/>
        </w:tcBorders>
      </w:tcPr>
    </w:tblStylePr>
    <w:tblStylePr w:type="lastRow">
      <w:rPr>
        <w:b/>
        <w:bCs/>
      </w:rPr>
      <w:tblPr/>
      <w:tcPr>
        <w:tcBorders>
          <w:top w:val="doub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6Colorful-Accent2">
    <w:name w:val="Grid Table 6 Colorful Accent 2"/>
    <w:basedOn w:val="TableNormal"/>
    <w:uiPriority w:val="51"/>
    <w:rsid w:val="00920D86"/>
    <w:pPr>
      <w:spacing w:line="240" w:lineRule="auto"/>
    </w:pPr>
    <w:rPr>
      <w:color w:val="0D432F" w:themeColor="accent2" w:themeShade="BF"/>
    </w:r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bottom w:val="single" w:sz="12" w:space="0" w:color="35D69C" w:themeColor="accent2" w:themeTint="99"/>
        </w:tcBorders>
      </w:tcPr>
    </w:tblStylePr>
    <w:tblStylePr w:type="lastRow">
      <w:rPr>
        <w:b/>
        <w:bCs/>
      </w:rPr>
      <w:tblPr/>
      <w:tcPr>
        <w:tcBorders>
          <w:top w:val="doub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6Colorful-Accent3">
    <w:name w:val="Grid Table 6 Colorful Accent 3"/>
    <w:basedOn w:val="TableNormal"/>
    <w:uiPriority w:val="51"/>
    <w:rsid w:val="00920D86"/>
    <w:pPr>
      <w:spacing w:line="240" w:lineRule="auto"/>
    </w:pPr>
    <w:rPr>
      <w:color w:val="7CB456" w:themeColor="accent3" w:themeShade="BF"/>
    </w:r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bottom w:val="single" w:sz="12" w:space="0" w:color="CDE2BF" w:themeColor="accent3" w:themeTint="99"/>
        </w:tcBorders>
      </w:tcPr>
    </w:tblStylePr>
    <w:tblStylePr w:type="lastRow">
      <w:rPr>
        <w:b/>
        <w:bCs/>
      </w:rPr>
      <w:tblPr/>
      <w:tcPr>
        <w:tcBorders>
          <w:top w:val="doub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6Colorful-Accent4">
    <w:name w:val="Grid Table 6 Colorful Accent 4"/>
    <w:basedOn w:val="TableNormal"/>
    <w:uiPriority w:val="51"/>
    <w:rsid w:val="00920D86"/>
    <w:pPr>
      <w:spacing w:line="240" w:lineRule="auto"/>
    </w:pPr>
    <w:rPr>
      <w:color w:val="491E38" w:themeColor="accent4" w:themeShade="BF"/>
    </w:r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bottom w:val="single" w:sz="12" w:space="0" w:color="BD6298" w:themeColor="accent4" w:themeTint="99"/>
        </w:tcBorders>
      </w:tcPr>
    </w:tblStylePr>
    <w:tblStylePr w:type="lastRow">
      <w:rPr>
        <w:b/>
        <w:bCs/>
      </w:rPr>
      <w:tblPr/>
      <w:tcPr>
        <w:tcBorders>
          <w:top w:val="doub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6Colorful-Accent5">
    <w:name w:val="Grid Table 6 Colorful Accent 5"/>
    <w:basedOn w:val="TableNormal"/>
    <w:uiPriority w:val="51"/>
    <w:rsid w:val="00920D86"/>
    <w:pPr>
      <w:spacing w:line="240" w:lineRule="auto"/>
    </w:pPr>
    <w:rPr>
      <w:color w:val="FE4B00" w:themeColor="accent5" w:themeShade="BF"/>
    </w:r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bottom w:val="single" w:sz="12" w:space="0" w:color="FFB799" w:themeColor="accent5" w:themeTint="99"/>
        </w:tcBorders>
      </w:tcPr>
    </w:tblStylePr>
    <w:tblStylePr w:type="lastRow">
      <w:rPr>
        <w:b/>
        <w:bCs/>
      </w:rPr>
      <w:tblPr/>
      <w:tcPr>
        <w:tcBorders>
          <w:top w:val="doub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6Colorful-Accent6">
    <w:name w:val="Grid Table 6 Colorful Accent 6"/>
    <w:basedOn w:val="TableNormal"/>
    <w:uiPriority w:val="51"/>
    <w:rsid w:val="00920D86"/>
    <w:pPr>
      <w:spacing w:line="240" w:lineRule="auto"/>
    </w:pPr>
    <w:rPr>
      <w:color w:val="B4AF97" w:themeColor="accent6" w:themeShade="BF"/>
    </w:r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bottom w:val="single" w:sz="12" w:space="0" w:color="EEECE7" w:themeColor="accent6" w:themeTint="99"/>
        </w:tcBorders>
      </w:tcPr>
    </w:tblStylePr>
    <w:tblStylePr w:type="lastRow">
      <w:rPr>
        <w:b/>
        <w:bCs/>
      </w:rPr>
      <w:tblPr/>
      <w:tcPr>
        <w:tcBorders>
          <w:top w:val="doub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7Colorful">
    <w:name w:val="Grid Table 7 Colorful"/>
    <w:basedOn w:val="TableNormal"/>
    <w:uiPriority w:val="52"/>
    <w:rsid w:val="00920D8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20D86"/>
    <w:pPr>
      <w:spacing w:line="240" w:lineRule="auto"/>
    </w:pPr>
    <w:rPr>
      <w:color w:val="032552" w:themeColor="accent1" w:themeShade="BF"/>
    </w:r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bottom w:val="single" w:sz="4" w:space="0" w:color="1C78F4" w:themeColor="accent1" w:themeTint="99"/>
        </w:tcBorders>
      </w:tcPr>
    </w:tblStylePr>
    <w:tblStylePr w:type="nwCell">
      <w:tblPr/>
      <w:tcPr>
        <w:tcBorders>
          <w:bottom w:val="single" w:sz="4" w:space="0" w:color="1C78F4" w:themeColor="accent1" w:themeTint="99"/>
        </w:tcBorders>
      </w:tcPr>
    </w:tblStylePr>
    <w:tblStylePr w:type="seCell">
      <w:tblPr/>
      <w:tcPr>
        <w:tcBorders>
          <w:top w:val="single" w:sz="4" w:space="0" w:color="1C78F4" w:themeColor="accent1" w:themeTint="99"/>
        </w:tcBorders>
      </w:tcPr>
    </w:tblStylePr>
    <w:tblStylePr w:type="swCell">
      <w:tblPr/>
      <w:tcPr>
        <w:tcBorders>
          <w:top w:val="single" w:sz="4" w:space="0" w:color="1C78F4" w:themeColor="accent1" w:themeTint="99"/>
        </w:tcBorders>
      </w:tcPr>
    </w:tblStylePr>
  </w:style>
  <w:style w:type="table" w:styleId="GridTable7Colorful-Accent2">
    <w:name w:val="Grid Table 7 Colorful Accent 2"/>
    <w:basedOn w:val="TableNormal"/>
    <w:uiPriority w:val="52"/>
    <w:rsid w:val="00920D86"/>
    <w:pPr>
      <w:spacing w:line="240" w:lineRule="auto"/>
    </w:pPr>
    <w:rPr>
      <w:color w:val="0D432F" w:themeColor="accent2" w:themeShade="BF"/>
    </w:r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bottom w:val="single" w:sz="4" w:space="0" w:color="35D69C" w:themeColor="accent2" w:themeTint="99"/>
        </w:tcBorders>
      </w:tcPr>
    </w:tblStylePr>
    <w:tblStylePr w:type="nwCell">
      <w:tblPr/>
      <w:tcPr>
        <w:tcBorders>
          <w:bottom w:val="single" w:sz="4" w:space="0" w:color="35D69C" w:themeColor="accent2" w:themeTint="99"/>
        </w:tcBorders>
      </w:tcPr>
    </w:tblStylePr>
    <w:tblStylePr w:type="seCell">
      <w:tblPr/>
      <w:tcPr>
        <w:tcBorders>
          <w:top w:val="single" w:sz="4" w:space="0" w:color="35D69C" w:themeColor="accent2" w:themeTint="99"/>
        </w:tcBorders>
      </w:tcPr>
    </w:tblStylePr>
    <w:tblStylePr w:type="swCell">
      <w:tblPr/>
      <w:tcPr>
        <w:tcBorders>
          <w:top w:val="single" w:sz="4" w:space="0" w:color="35D69C" w:themeColor="accent2" w:themeTint="99"/>
        </w:tcBorders>
      </w:tcPr>
    </w:tblStylePr>
  </w:style>
  <w:style w:type="table" w:styleId="GridTable7Colorful-Accent3">
    <w:name w:val="Grid Table 7 Colorful Accent 3"/>
    <w:basedOn w:val="TableNormal"/>
    <w:uiPriority w:val="52"/>
    <w:rsid w:val="00920D86"/>
    <w:pPr>
      <w:spacing w:line="240" w:lineRule="auto"/>
    </w:pPr>
    <w:rPr>
      <w:color w:val="7CB456" w:themeColor="accent3" w:themeShade="BF"/>
    </w:r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bottom w:val="single" w:sz="4" w:space="0" w:color="CDE2BF" w:themeColor="accent3" w:themeTint="99"/>
        </w:tcBorders>
      </w:tcPr>
    </w:tblStylePr>
    <w:tblStylePr w:type="nwCell">
      <w:tblPr/>
      <w:tcPr>
        <w:tcBorders>
          <w:bottom w:val="single" w:sz="4" w:space="0" w:color="CDE2BF" w:themeColor="accent3" w:themeTint="99"/>
        </w:tcBorders>
      </w:tcPr>
    </w:tblStylePr>
    <w:tblStylePr w:type="seCell">
      <w:tblPr/>
      <w:tcPr>
        <w:tcBorders>
          <w:top w:val="single" w:sz="4" w:space="0" w:color="CDE2BF" w:themeColor="accent3" w:themeTint="99"/>
        </w:tcBorders>
      </w:tcPr>
    </w:tblStylePr>
    <w:tblStylePr w:type="swCell">
      <w:tblPr/>
      <w:tcPr>
        <w:tcBorders>
          <w:top w:val="single" w:sz="4" w:space="0" w:color="CDE2BF" w:themeColor="accent3" w:themeTint="99"/>
        </w:tcBorders>
      </w:tcPr>
    </w:tblStylePr>
  </w:style>
  <w:style w:type="table" w:styleId="GridTable7Colorful-Accent4">
    <w:name w:val="Grid Table 7 Colorful Accent 4"/>
    <w:basedOn w:val="TableNormal"/>
    <w:uiPriority w:val="52"/>
    <w:rsid w:val="00920D86"/>
    <w:pPr>
      <w:spacing w:line="240" w:lineRule="auto"/>
    </w:pPr>
    <w:rPr>
      <w:color w:val="491E38" w:themeColor="accent4" w:themeShade="BF"/>
    </w:r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bottom w:val="single" w:sz="4" w:space="0" w:color="BD6298" w:themeColor="accent4" w:themeTint="99"/>
        </w:tcBorders>
      </w:tcPr>
    </w:tblStylePr>
    <w:tblStylePr w:type="nwCell">
      <w:tblPr/>
      <w:tcPr>
        <w:tcBorders>
          <w:bottom w:val="single" w:sz="4" w:space="0" w:color="BD6298" w:themeColor="accent4" w:themeTint="99"/>
        </w:tcBorders>
      </w:tcPr>
    </w:tblStylePr>
    <w:tblStylePr w:type="seCell">
      <w:tblPr/>
      <w:tcPr>
        <w:tcBorders>
          <w:top w:val="single" w:sz="4" w:space="0" w:color="BD6298" w:themeColor="accent4" w:themeTint="99"/>
        </w:tcBorders>
      </w:tcPr>
    </w:tblStylePr>
    <w:tblStylePr w:type="swCell">
      <w:tblPr/>
      <w:tcPr>
        <w:tcBorders>
          <w:top w:val="single" w:sz="4" w:space="0" w:color="BD6298" w:themeColor="accent4" w:themeTint="99"/>
        </w:tcBorders>
      </w:tcPr>
    </w:tblStylePr>
  </w:style>
  <w:style w:type="table" w:styleId="GridTable7Colorful-Accent5">
    <w:name w:val="Grid Table 7 Colorful Accent 5"/>
    <w:basedOn w:val="TableNormal"/>
    <w:uiPriority w:val="52"/>
    <w:rsid w:val="00920D86"/>
    <w:pPr>
      <w:spacing w:line="240" w:lineRule="auto"/>
    </w:pPr>
    <w:rPr>
      <w:color w:val="FE4B00" w:themeColor="accent5" w:themeShade="BF"/>
    </w:r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bottom w:val="single" w:sz="4" w:space="0" w:color="FFB799" w:themeColor="accent5" w:themeTint="99"/>
        </w:tcBorders>
      </w:tcPr>
    </w:tblStylePr>
    <w:tblStylePr w:type="nwCell">
      <w:tblPr/>
      <w:tcPr>
        <w:tcBorders>
          <w:bottom w:val="single" w:sz="4" w:space="0" w:color="FFB799" w:themeColor="accent5" w:themeTint="99"/>
        </w:tcBorders>
      </w:tcPr>
    </w:tblStylePr>
    <w:tblStylePr w:type="seCell">
      <w:tblPr/>
      <w:tcPr>
        <w:tcBorders>
          <w:top w:val="single" w:sz="4" w:space="0" w:color="FFB799" w:themeColor="accent5" w:themeTint="99"/>
        </w:tcBorders>
      </w:tcPr>
    </w:tblStylePr>
    <w:tblStylePr w:type="swCell">
      <w:tblPr/>
      <w:tcPr>
        <w:tcBorders>
          <w:top w:val="single" w:sz="4" w:space="0" w:color="FFB799" w:themeColor="accent5" w:themeTint="99"/>
        </w:tcBorders>
      </w:tcPr>
    </w:tblStylePr>
  </w:style>
  <w:style w:type="table" w:styleId="GridTable7Colorful-Accent6">
    <w:name w:val="Grid Table 7 Colorful Accent 6"/>
    <w:basedOn w:val="TableNormal"/>
    <w:uiPriority w:val="52"/>
    <w:rsid w:val="00920D86"/>
    <w:pPr>
      <w:spacing w:line="240" w:lineRule="auto"/>
    </w:pPr>
    <w:rPr>
      <w:color w:val="B4AF97" w:themeColor="accent6" w:themeShade="BF"/>
    </w:r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bottom w:val="single" w:sz="4" w:space="0" w:color="EEECE7" w:themeColor="accent6" w:themeTint="99"/>
        </w:tcBorders>
      </w:tcPr>
    </w:tblStylePr>
    <w:tblStylePr w:type="nwCell">
      <w:tblPr/>
      <w:tcPr>
        <w:tcBorders>
          <w:bottom w:val="single" w:sz="4" w:space="0" w:color="EEECE7" w:themeColor="accent6" w:themeTint="99"/>
        </w:tcBorders>
      </w:tcPr>
    </w:tblStylePr>
    <w:tblStylePr w:type="seCell">
      <w:tblPr/>
      <w:tcPr>
        <w:tcBorders>
          <w:top w:val="single" w:sz="4" w:space="0" w:color="EEECE7" w:themeColor="accent6" w:themeTint="99"/>
        </w:tcBorders>
      </w:tcPr>
    </w:tblStylePr>
    <w:tblStylePr w:type="swCell">
      <w:tblPr/>
      <w:tcPr>
        <w:tcBorders>
          <w:top w:val="single" w:sz="4" w:space="0" w:color="EEECE7" w:themeColor="accent6" w:themeTint="99"/>
        </w:tcBorders>
      </w:tcPr>
    </w:tblStylePr>
  </w:style>
  <w:style w:type="character" w:styleId="Hashtag">
    <w:name w:val="Hashtag"/>
    <w:basedOn w:val="DefaultParagraphFont"/>
    <w:uiPriority w:val="99"/>
    <w:semiHidden/>
    <w:rsid w:val="00920D86"/>
    <w:rPr>
      <w:color w:val="2B579A"/>
      <w:shd w:val="clear" w:color="auto" w:fill="E6E6E6"/>
      <w:lang w:val="en-US"/>
    </w:rPr>
  </w:style>
  <w:style w:type="character" w:styleId="HTMLAcronym">
    <w:name w:val="HTML Acronym"/>
    <w:basedOn w:val="DefaultParagraphFont"/>
    <w:uiPriority w:val="99"/>
    <w:semiHidden/>
    <w:rsid w:val="00920D86"/>
    <w:rPr>
      <w:lang w:val="en-US"/>
    </w:rPr>
  </w:style>
  <w:style w:type="paragraph" w:styleId="HTMLAddress">
    <w:name w:val="HTML Address"/>
    <w:basedOn w:val="Normal"/>
    <w:link w:val="HTMLAddressChar"/>
    <w:uiPriority w:val="99"/>
    <w:semiHidden/>
    <w:rsid w:val="00920D86"/>
    <w:pPr>
      <w:spacing w:line="240" w:lineRule="auto"/>
    </w:pPr>
    <w:rPr>
      <w:i/>
      <w:iCs/>
    </w:rPr>
  </w:style>
  <w:style w:type="character" w:customStyle="1" w:styleId="HTMLAddressChar">
    <w:name w:val="HTML Address Char"/>
    <w:basedOn w:val="DefaultParagraphFont"/>
    <w:link w:val="HTMLAddress"/>
    <w:uiPriority w:val="99"/>
    <w:semiHidden/>
    <w:rsid w:val="00920D86"/>
    <w:rPr>
      <w:i/>
      <w:iCs/>
      <w:lang w:val="en-US"/>
    </w:rPr>
  </w:style>
  <w:style w:type="character" w:styleId="HTMLCite">
    <w:name w:val="HTML Cite"/>
    <w:basedOn w:val="DefaultParagraphFont"/>
    <w:uiPriority w:val="99"/>
    <w:semiHidden/>
    <w:rsid w:val="00920D86"/>
    <w:rPr>
      <w:i/>
      <w:iCs/>
      <w:lang w:val="en-US"/>
    </w:rPr>
  </w:style>
  <w:style w:type="character" w:styleId="HTMLCode">
    <w:name w:val="HTML Code"/>
    <w:basedOn w:val="DefaultParagraphFont"/>
    <w:uiPriority w:val="99"/>
    <w:semiHidden/>
    <w:rsid w:val="00920D86"/>
    <w:rPr>
      <w:rFonts w:ascii="Consolas" w:hAnsi="Consolas"/>
      <w:sz w:val="20"/>
      <w:szCs w:val="20"/>
      <w:lang w:val="en-US"/>
    </w:rPr>
  </w:style>
  <w:style w:type="character" w:styleId="HTMLDefinition">
    <w:name w:val="HTML Definition"/>
    <w:basedOn w:val="DefaultParagraphFont"/>
    <w:uiPriority w:val="99"/>
    <w:semiHidden/>
    <w:rsid w:val="00920D86"/>
    <w:rPr>
      <w:i/>
      <w:iCs/>
      <w:lang w:val="en-US"/>
    </w:rPr>
  </w:style>
  <w:style w:type="character" w:styleId="HTMLKeyboard">
    <w:name w:val="HTML Keyboard"/>
    <w:basedOn w:val="DefaultParagraphFont"/>
    <w:uiPriority w:val="99"/>
    <w:semiHidden/>
    <w:rsid w:val="00920D86"/>
    <w:rPr>
      <w:rFonts w:ascii="Consolas" w:hAnsi="Consolas"/>
      <w:sz w:val="20"/>
      <w:szCs w:val="20"/>
      <w:lang w:val="en-US"/>
    </w:rPr>
  </w:style>
  <w:style w:type="paragraph" w:styleId="HTMLPreformatted">
    <w:name w:val="HTML Preformatted"/>
    <w:basedOn w:val="Normal"/>
    <w:link w:val="HTMLPreformattedChar"/>
    <w:uiPriority w:val="99"/>
    <w:semiHidden/>
    <w:rsid w:val="00920D8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0D86"/>
    <w:rPr>
      <w:rFonts w:ascii="Consolas" w:hAnsi="Consolas"/>
      <w:sz w:val="20"/>
      <w:szCs w:val="20"/>
      <w:lang w:val="en-US"/>
    </w:rPr>
  </w:style>
  <w:style w:type="character" w:styleId="HTMLSample">
    <w:name w:val="HTML Sample"/>
    <w:basedOn w:val="DefaultParagraphFont"/>
    <w:uiPriority w:val="99"/>
    <w:semiHidden/>
    <w:rsid w:val="00920D86"/>
    <w:rPr>
      <w:rFonts w:ascii="Consolas" w:hAnsi="Consolas"/>
      <w:sz w:val="24"/>
      <w:szCs w:val="24"/>
      <w:lang w:val="en-US"/>
    </w:rPr>
  </w:style>
  <w:style w:type="character" w:styleId="HTMLTypewriter">
    <w:name w:val="HTML Typewriter"/>
    <w:basedOn w:val="DefaultParagraphFont"/>
    <w:uiPriority w:val="99"/>
    <w:semiHidden/>
    <w:rsid w:val="00920D86"/>
    <w:rPr>
      <w:rFonts w:ascii="Consolas" w:hAnsi="Consolas"/>
      <w:sz w:val="20"/>
      <w:szCs w:val="20"/>
      <w:lang w:val="en-US"/>
    </w:rPr>
  </w:style>
  <w:style w:type="character" w:styleId="HTMLVariable">
    <w:name w:val="HTML Variable"/>
    <w:basedOn w:val="DefaultParagraphFont"/>
    <w:uiPriority w:val="99"/>
    <w:semiHidden/>
    <w:rsid w:val="00920D86"/>
    <w:rPr>
      <w:i/>
      <w:iCs/>
      <w:lang w:val="en-US"/>
    </w:rPr>
  </w:style>
  <w:style w:type="character" w:styleId="Hyperlink">
    <w:name w:val="Hyperlink"/>
    <w:basedOn w:val="DefaultParagraphFont"/>
    <w:uiPriority w:val="99"/>
    <w:rsid w:val="00920D86"/>
    <w:rPr>
      <w:color w:val="009DF0" w:themeColor="hyperlink"/>
      <w:u w:val="single"/>
      <w:lang w:val="en-US"/>
    </w:rPr>
  </w:style>
  <w:style w:type="paragraph" w:styleId="Index1">
    <w:name w:val="index 1"/>
    <w:basedOn w:val="Normal"/>
    <w:next w:val="Normal"/>
    <w:autoRedefine/>
    <w:uiPriority w:val="99"/>
    <w:semiHidden/>
    <w:rsid w:val="00920D86"/>
    <w:pPr>
      <w:spacing w:line="240" w:lineRule="auto"/>
      <w:ind w:left="180" w:hanging="180"/>
    </w:pPr>
  </w:style>
  <w:style w:type="paragraph" w:styleId="Index2">
    <w:name w:val="index 2"/>
    <w:basedOn w:val="Normal"/>
    <w:next w:val="Normal"/>
    <w:autoRedefine/>
    <w:uiPriority w:val="99"/>
    <w:semiHidden/>
    <w:rsid w:val="00920D86"/>
    <w:pPr>
      <w:spacing w:line="240" w:lineRule="auto"/>
      <w:ind w:left="360" w:hanging="180"/>
    </w:pPr>
  </w:style>
  <w:style w:type="paragraph" w:styleId="Index3">
    <w:name w:val="index 3"/>
    <w:basedOn w:val="Normal"/>
    <w:next w:val="Normal"/>
    <w:autoRedefine/>
    <w:uiPriority w:val="99"/>
    <w:semiHidden/>
    <w:rsid w:val="00920D86"/>
    <w:pPr>
      <w:spacing w:line="240" w:lineRule="auto"/>
      <w:ind w:left="540" w:hanging="180"/>
    </w:pPr>
  </w:style>
  <w:style w:type="paragraph" w:styleId="Index4">
    <w:name w:val="index 4"/>
    <w:basedOn w:val="Normal"/>
    <w:next w:val="Normal"/>
    <w:autoRedefine/>
    <w:uiPriority w:val="99"/>
    <w:semiHidden/>
    <w:rsid w:val="00920D86"/>
    <w:pPr>
      <w:spacing w:line="240" w:lineRule="auto"/>
      <w:ind w:left="720" w:hanging="180"/>
    </w:pPr>
  </w:style>
  <w:style w:type="paragraph" w:styleId="Index5">
    <w:name w:val="index 5"/>
    <w:basedOn w:val="Normal"/>
    <w:next w:val="Normal"/>
    <w:autoRedefine/>
    <w:uiPriority w:val="99"/>
    <w:semiHidden/>
    <w:rsid w:val="00920D86"/>
    <w:pPr>
      <w:spacing w:line="240" w:lineRule="auto"/>
      <w:ind w:left="900" w:hanging="180"/>
    </w:pPr>
  </w:style>
  <w:style w:type="paragraph" w:styleId="Index6">
    <w:name w:val="index 6"/>
    <w:basedOn w:val="Normal"/>
    <w:next w:val="Normal"/>
    <w:autoRedefine/>
    <w:uiPriority w:val="99"/>
    <w:semiHidden/>
    <w:rsid w:val="00920D86"/>
    <w:pPr>
      <w:spacing w:line="240" w:lineRule="auto"/>
      <w:ind w:left="1080" w:hanging="180"/>
    </w:pPr>
  </w:style>
  <w:style w:type="paragraph" w:styleId="Index7">
    <w:name w:val="index 7"/>
    <w:basedOn w:val="Normal"/>
    <w:next w:val="Normal"/>
    <w:autoRedefine/>
    <w:uiPriority w:val="99"/>
    <w:semiHidden/>
    <w:rsid w:val="00920D86"/>
    <w:pPr>
      <w:spacing w:line="240" w:lineRule="auto"/>
      <w:ind w:left="1260" w:hanging="180"/>
    </w:pPr>
  </w:style>
  <w:style w:type="paragraph" w:styleId="Index8">
    <w:name w:val="index 8"/>
    <w:basedOn w:val="Normal"/>
    <w:next w:val="Normal"/>
    <w:autoRedefine/>
    <w:uiPriority w:val="99"/>
    <w:semiHidden/>
    <w:rsid w:val="00920D86"/>
    <w:pPr>
      <w:spacing w:line="240" w:lineRule="auto"/>
      <w:ind w:left="1440" w:hanging="180"/>
    </w:pPr>
  </w:style>
  <w:style w:type="paragraph" w:styleId="Index9">
    <w:name w:val="index 9"/>
    <w:basedOn w:val="Normal"/>
    <w:next w:val="Normal"/>
    <w:autoRedefine/>
    <w:uiPriority w:val="99"/>
    <w:semiHidden/>
    <w:rsid w:val="00920D86"/>
    <w:pPr>
      <w:spacing w:line="240" w:lineRule="auto"/>
      <w:ind w:left="1620" w:hanging="180"/>
    </w:pPr>
  </w:style>
  <w:style w:type="paragraph" w:styleId="IndexHeading">
    <w:name w:val="index heading"/>
    <w:basedOn w:val="Normal"/>
    <w:next w:val="Index1"/>
    <w:uiPriority w:val="99"/>
    <w:semiHidden/>
    <w:rsid w:val="00920D86"/>
    <w:rPr>
      <w:rFonts w:asciiTheme="majorHAnsi" w:eastAsiaTheme="majorEastAsia" w:hAnsiTheme="majorHAnsi" w:cstheme="majorBidi"/>
      <w:b/>
      <w:bCs/>
    </w:rPr>
  </w:style>
  <w:style w:type="table" w:styleId="LightGrid">
    <w:name w:val="Light Grid"/>
    <w:basedOn w:val="TableNormal"/>
    <w:uiPriority w:val="62"/>
    <w:semiHidden/>
    <w:unhideWhenUsed/>
    <w:rsid w:val="00920D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20D86"/>
    <w:pPr>
      <w:spacing w:line="240" w:lineRule="auto"/>
    </w:p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insideH w:val="single" w:sz="8" w:space="0" w:color="05326E" w:themeColor="accent1"/>
        <w:insideV w:val="single" w:sz="8" w:space="0" w:color="05326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5326E" w:themeColor="accent1"/>
          <w:left w:val="single" w:sz="8" w:space="0" w:color="05326E" w:themeColor="accent1"/>
          <w:bottom w:val="single" w:sz="18" w:space="0" w:color="05326E" w:themeColor="accent1"/>
          <w:right w:val="single" w:sz="8" w:space="0" w:color="05326E" w:themeColor="accent1"/>
          <w:insideH w:val="nil"/>
          <w:insideV w:val="single" w:sz="8" w:space="0" w:color="05326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5326E" w:themeColor="accent1"/>
          <w:left w:val="single" w:sz="8" w:space="0" w:color="05326E" w:themeColor="accent1"/>
          <w:bottom w:val="single" w:sz="8" w:space="0" w:color="05326E" w:themeColor="accent1"/>
          <w:right w:val="single" w:sz="8" w:space="0" w:color="05326E" w:themeColor="accent1"/>
          <w:insideH w:val="nil"/>
          <w:insideV w:val="single" w:sz="8" w:space="0" w:color="05326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tblStylePr w:type="band1Vert">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shd w:val="clear" w:color="auto" w:fill="A1C7FA" w:themeFill="accent1" w:themeFillTint="3F"/>
      </w:tcPr>
    </w:tblStylePr>
    <w:tblStylePr w:type="band1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insideV w:val="single" w:sz="8" w:space="0" w:color="05326E" w:themeColor="accent1"/>
        </w:tcBorders>
        <w:shd w:val="clear" w:color="auto" w:fill="A1C7FA" w:themeFill="accent1" w:themeFillTint="3F"/>
      </w:tcPr>
    </w:tblStylePr>
    <w:tblStylePr w:type="band2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insideV w:val="single" w:sz="8" w:space="0" w:color="05326E" w:themeColor="accent1"/>
        </w:tcBorders>
      </w:tcPr>
    </w:tblStylePr>
  </w:style>
  <w:style w:type="table" w:styleId="LightGrid-Accent2">
    <w:name w:val="Light Grid Accent 2"/>
    <w:basedOn w:val="TableNormal"/>
    <w:uiPriority w:val="62"/>
    <w:semiHidden/>
    <w:unhideWhenUsed/>
    <w:rsid w:val="00920D86"/>
    <w:pPr>
      <w:spacing w:line="240" w:lineRule="auto"/>
    </w:p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insideH w:val="single" w:sz="8" w:space="0" w:color="125A40" w:themeColor="accent2"/>
        <w:insideV w:val="single" w:sz="8" w:space="0" w:color="125A4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25A40" w:themeColor="accent2"/>
          <w:left w:val="single" w:sz="8" w:space="0" w:color="125A40" w:themeColor="accent2"/>
          <w:bottom w:val="single" w:sz="18" w:space="0" w:color="125A40" w:themeColor="accent2"/>
          <w:right w:val="single" w:sz="8" w:space="0" w:color="125A40" w:themeColor="accent2"/>
          <w:insideH w:val="nil"/>
          <w:insideV w:val="single" w:sz="8" w:space="0" w:color="125A4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25A40" w:themeColor="accent2"/>
          <w:left w:val="single" w:sz="8" w:space="0" w:color="125A40" w:themeColor="accent2"/>
          <w:bottom w:val="single" w:sz="8" w:space="0" w:color="125A40" w:themeColor="accent2"/>
          <w:right w:val="single" w:sz="8" w:space="0" w:color="125A40" w:themeColor="accent2"/>
          <w:insideH w:val="nil"/>
          <w:insideV w:val="single" w:sz="8" w:space="0" w:color="125A4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tblStylePr w:type="band1Vert">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shd w:val="clear" w:color="auto" w:fill="ACEED6" w:themeFill="accent2" w:themeFillTint="3F"/>
      </w:tcPr>
    </w:tblStylePr>
    <w:tblStylePr w:type="band1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insideV w:val="single" w:sz="8" w:space="0" w:color="125A40" w:themeColor="accent2"/>
        </w:tcBorders>
        <w:shd w:val="clear" w:color="auto" w:fill="ACEED6" w:themeFill="accent2" w:themeFillTint="3F"/>
      </w:tcPr>
    </w:tblStylePr>
    <w:tblStylePr w:type="band2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insideV w:val="single" w:sz="8" w:space="0" w:color="125A40" w:themeColor="accent2"/>
        </w:tcBorders>
      </w:tcPr>
    </w:tblStylePr>
  </w:style>
  <w:style w:type="table" w:styleId="LightGrid-Accent3">
    <w:name w:val="Light Grid Accent 3"/>
    <w:basedOn w:val="TableNormal"/>
    <w:uiPriority w:val="62"/>
    <w:semiHidden/>
    <w:unhideWhenUsed/>
    <w:rsid w:val="00920D86"/>
    <w:pPr>
      <w:spacing w:line="240" w:lineRule="auto"/>
    </w:p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insideH w:val="single" w:sz="8" w:space="0" w:color="ADD095" w:themeColor="accent3"/>
        <w:insideV w:val="single" w:sz="8" w:space="0" w:color="ADD09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095" w:themeColor="accent3"/>
          <w:left w:val="single" w:sz="8" w:space="0" w:color="ADD095" w:themeColor="accent3"/>
          <w:bottom w:val="single" w:sz="18" w:space="0" w:color="ADD095" w:themeColor="accent3"/>
          <w:right w:val="single" w:sz="8" w:space="0" w:color="ADD095" w:themeColor="accent3"/>
          <w:insideH w:val="nil"/>
          <w:insideV w:val="single" w:sz="8" w:space="0" w:color="ADD09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095" w:themeColor="accent3"/>
          <w:left w:val="single" w:sz="8" w:space="0" w:color="ADD095" w:themeColor="accent3"/>
          <w:bottom w:val="single" w:sz="8" w:space="0" w:color="ADD095" w:themeColor="accent3"/>
          <w:right w:val="single" w:sz="8" w:space="0" w:color="ADD095" w:themeColor="accent3"/>
          <w:insideH w:val="nil"/>
          <w:insideV w:val="single" w:sz="8" w:space="0" w:color="ADD09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tblStylePr w:type="band1Vert">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shd w:val="clear" w:color="auto" w:fill="EAF3E4" w:themeFill="accent3" w:themeFillTint="3F"/>
      </w:tcPr>
    </w:tblStylePr>
    <w:tblStylePr w:type="band1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insideV w:val="single" w:sz="8" w:space="0" w:color="ADD095" w:themeColor="accent3"/>
        </w:tcBorders>
        <w:shd w:val="clear" w:color="auto" w:fill="EAF3E4" w:themeFill="accent3" w:themeFillTint="3F"/>
      </w:tcPr>
    </w:tblStylePr>
    <w:tblStylePr w:type="band2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insideV w:val="single" w:sz="8" w:space="0" w:color="ADD095" w:themeColor="accent3"/>
        </w:tcBorders>
      </w:tcPr>
    </w:tblStylePr>
  </w:style>
  <w:style w:type="table" w:styleId="LightGrid-Accent4">
    <w:name w:val="Light Grid Accent 4"/>
    <w:basedOn w:val="TableNormal"/>
    <w:uiPriority w:val="62"/>
    <w:semiHidden/>
    <w:unhideWhenUsed/>
    <w:rsid w:val="00920D86"/>
    <w:pPr>
      <w:spacing w:line="240" w:lineRule="auto"/>
    </w:p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insideH w:val="single" w:sz="8" w:space="0" w:color="62294B" w:themeColor="accent4"/>
        <w:insideV w:val="single" w:sz="8" w:space="0" w:color="62294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294B" w:themeColor="accent4"/>
          <w:left w:val="single" w:sz="8" w:space="0" w:color="62294B" w:themeColor="accent4"/>
          <w:bottom w:val="single" w:sz="18" w:space="0" w:color="62294B" w:themeColor="accent4"/>
          <w:right w:val="single" w:sz="8" w:space="0" w:color="62294B" w:themeColor="accent4"/>
          <w:insideH w:val="nil"/>
          <w:insideV w:val="single" w:sz="8" w:space="0" w:color="62294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294B" w:themeColor="accent4"/>
          <w:left w:val="single" w:sz="8" w:space="0" w:color="62294B" w:themeColor="accent4"/>
          <w:bottom w:val="single" w:sz="8" w:space="0" w:color="62294B" w:themeColor="accent4"/>
          <w:right w:val="single" w:sz="8" w:space="0" w:color="62294B" w:themeColor="accent4"/>
          <w:insideH w:val="nil"/>
          <w:insideV w:val="single" w:sz="8" w:space="0" w:color="62294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tblStylePr w:type="band1Vert">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shd w:val="clear" w:color="auto" w:fill="E4BED4" w:themeFill="accent4" w:themeFillTint="3F"/>
      </w:tcPr>
    </w:tblStylePr>
    <w:tblStylePr w:type="band1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insideV w:val="single" w:sz="8" w:space="0" w:color="62294B" w:themeColor="accent4"/>
        </w:tcBorders>
        <w:shd w:val="clear" w:color="auto" w:fill="E4BED4" w:themeFill="accent4" w:themeFillTint="3F"/>
      </w:tcPr>
    </w:tblStylePr>
    <w:tblStylePr w:type="band2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insideV w:val="single" w:sz="8" w:space="0" w:color="62294B" w:themeColor="accent4"/>
        </w:tcBorders>
      </w:tcPr>
    </w:tblStylePr>
  </w:style>
  <w:style w:type="table" w:styleId="LightGrid-Accent5">
    <w:name w:val="Light Grid Accent 5"/>
    <w:basedOn w:val="TableNormal"/>
    <w:uiPriority w:val="62"/>
    <w:semiHidden/>
    <w:unhideWhenUsed/>
    <w:rsid w:val="00920D86"/>
    <w:pPr>
      <w:spacing w:line="240" w:lineRule="auto"/>
    </w:p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insideH w:val="single" w:sz="8" w:space="0" w:color="FF8855" w:themeColor="accent5"/>
        <w:insideV w:val="single" w:sz="8" w:space="0" w:color="FF885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855" w:themeColor="accent5"/>
          <w:left w:val="single" w:sz="8" w:space="0" w:color="FF8855" w:themeColor="accent5"/>
          <w:bottom w:val="single" w:sz="18" w:space="0" w:color="FF8855" w:themeColor="accent5"/>
          <w:right w:val="single" w:sz="8" w:space="0" w:color="FF8855" w:themeColor="accent5"/>
          <w:insideH w:val="nil"/>
          <w:insideV w:val="single" w:sz="8" w:space="0" w:color="FF885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855" w:themeColor="accent5"/>
          <w:left w:val="single" w:sz="8" w:space="0" w:color="FF8855" w:themeColor="accent5"/>
          <w:bottom w:val="single" w:sz="8" w:space="0" w:color="FF8855" w:themeColor="accent5"/>
          <w:right w:val="single" w:sz="8" w:space="0" w:color="FF8855" w:themeColor="accent5"/>
          <w:insideH w:val="nil"/>
          <w:insideV w:val="single" w:sz="8" w:space="0" w:color="FF885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tblStylePr w:type="band1Vert">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shd w:val="clear" w:color="auto" w:fill="FFE1D5" w:themeFill="accent5" w:themeFillTint="3F"/>
      </w:tcPr>
    </w:tblStylePr>
    <w:tblStylePr w:type="band1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insideV w:val="single" w:sz="8" w:space="0" w:color="FF8855" w:themeColor="accent5"/>
        </w:tcBorders>
        <w:shd w:val="clear" w:color="auto" w:fill="FFE1D5" w:themeFill="accent5" w:themeFillTint="3F"/>
      </w:tcPr>
    </w:tblStylePr>
    <w:tblStylePr w:type="band2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insideV w:val="single" w:sz="8" w:space="0" w:color="FF8855" w:themeColor="accent5"/>
        </w:tcBorders>
      </w:tcPr>
    </w:tblStylePr>
  </w:style>
  <w:style w:type="table" w:styleId="LightGrid-Accent6">
    <w:name w:val="Light Grid Accent 6"/>
    <w:basedOn w:val="TableNormal"/>
    <w:uiPriority w:val="62"/>
    <w:semiHidden/>
    <w:unhideWhenUsed/>
    <w:rsid w:val="00920D86"/>
    <w:pPr>
      <w:spacing w:line="240" w:lineRule="auto"/>
    </w:p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insideH w:val="single" w:sz="8" w:space="0" w:color="E3E1D8" w:themeColor="accent6"/>
        <w:insideV w:val="single" w:sz="8" w:space="0" w:color="E3E1D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E1D8" w:themeColor="accent6"/>
          <w:left w:val="single" w:sz="8" w:space="0" w:color="E3E1D8" w:themeColor="accent6"/>
          <w:bottom w:val="single" w:sz="18" w:space="0" w:color="E3E1D8" w:themeColor="accent6"/>
          <w:right w:val="single" w:sz="8" w:space="0" w:color="E3E1D8" w:themeColor="accent6"/>
          <w:insideH w:val="nil"/>
          <w:insideV w:val="single" w:sz="8" w:space="0" w:color="E3E1D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E1D8" w:themeColor="accent6"/>
          <w:left w:val="single" w:sz="8" w:space="0" w:color="E3E1D8" w:themeColor="accent6"/>
          <w:bottom w:val="single" w:sz="8" w:space="0" w:color="E3E1D8" w:themeColor="accent6"/>
          <w:right w:val="single" w:sz="8" w:space="0" w:color="E3E1D8" w:themeColor="accent6"/>
          <w:insideH w:val="nil"/>
          <w:insideV w:val="single" w:sz="8" w:space="0" w:color="E3E1D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tblStylePr w:type="band1Vert">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shd w:val="clear" w:color="auto" w:fill="F8F7F5" w:themeFill="accent6" w:themeFillTint="3F"/>
      </w:tcPr>
    </w:tblStylePr>
    <w:tblStylePr w:type="band1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insideV w:val="single" w:sz="8" w:space="0" w:color="E3E1D8" w:themeColor="accent6"/>
        </w:tcBorders>
        <w:shd w:val="clear" w:color="auto" w:fill="F8F7F5" w:themeFill="accent6" w:themeFillTint="3F"/>
      </w:tcPr>
    </w:tblStylePr>
    <w:tblStylePr w:type="band2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insideV w:val="single" w:sz="8" w:space="0" w:color="E3E1D8" w:themeColor="accent6"/>
        </w:tcBorders>
      </w:tcPr>
    </w:tblStylePr>
  </w:style>
  <w:style w:type="table" w:styleId="LightList">
    <w:name w:val="Light List"/>
    <w:basedOn w:val="TableNormal"/>
    <w:uiPriority w:val="61"/>
    <w:semiHidden/>
    <w:unhideWhenUsed/>
    <w:rsid w:val="00920D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20D86"/>
    <w:pPr>
      <w:spacing w:line="240" w:lineRule="auto"/>
    </w:p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tblBorders>
    </w:tblPr>
    <w:tblStylePr w:type="firstRow">
      <w:pPr>
        <w:spacing w:before="0" w:after="0" w:line="240" w:lineRule="auto"/>
      </w:pPr>
      <w:rPr>
        <w:b/>
        <w:bCs/>
        <w:color w:val="FFFFFF" w:themeColor="background1"/>
      </w:rPr>
      <w:tblPr/>
      <w:tcPr>
        <w:shd w:val="clear" w:color="auto" w:fill="05326E" w:themeFill="accent1"/>
      </w:tcPr>
    </w:tblStylePr>
    <w:tblStylePr w:type="lastRow">
      <w:pPr>
        <w:spacing w:before="0" w:after="0" w:line="240" w:lineRule="auto"/>
      </w:pPr>
      <w:rPr>
        <w:b/>
        <w:bCs/>
      </w:rPr>
      <w:tblPr/>
      <w:tcPr>
        <w:tcBorders>
          <w:top w:val="double" w:sz="6" w:space="0" w:color="05326E" w:themeColor="accent1"/>
          <w:left w:val="single" w:sz="8" w:space="0" w:color="05326E" w:themeColor="accent1"/>
          <w:bottom w:val="single" w:sz="8" w:space="0" w:color="05326E" w:themeColor="accent1"/>
          <w:right w:val="single" w:sz="8" w:space="0" w:color="05326E" w:themeColor="accent1"/>
        </w:tcBorders>
      </w:tcPr>
    </w:tblStylePr>
    <w:tblStylePr w:type="firstCol">
      <w:rPr>
        <w:b/>
        <w:bCs/>
      </w:rPr>
    </w:tblStylePr>
    <w:tblStylePr w:type="lastCol">
      <w:rPr>
        <w:b/>
        <w:bCs/>
      </w:rPr>
    </w:tblStylePr>
    <w:tblStylePr w:type="band1Vert">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tblStylePr w:type="band1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style>
  <w:style w:type="table" w:styleId="LightList-Accent2">
    <w:name w:val="Light List Accent 2"/>
    <w:basedOn w:val="TableNormal"/>
    <w:uiPriority w:val="61"/>
    <w:semiHidden/>
    <w:unhideWhenUsed/>
    <w:rsid w:val="00920D86"/>
    <w:pPr>
      <w:spacing w:line="240" w:lineRule="auto"/>
    </w:p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tblBorders>
    </w:tblPr>
    <w:tblStylePr w:type="firstRow">
      <w:pPr>
        <w:spacing w:before="0" w:after="0" w:line="240" w:lineRule="auto"/>
      </w:pPr>
      <w:rPr>
        <w:b/>
        <w:bCs/>
        <w:color w:val="FFFFFF" w:themeColor="background1"/>
      </w:rPr>
      <w:tblPr/>
      <w:tcPr>
        <w:shd w:val="clear" w:color="auto" w:fill="125A40" w:themeFill="accent2"/>
      </w:tcPr>
    </w:tblStylePr>
    <w:tblStylePr w:type="lastRow">
      <w:pPr>
        <w:spacing w:before="0" w:after="0" w:line="240" w:lineRule="auto"/>
      </w:pPr>
      <w:rPr>
        <w:b/>
        <w:bCs/>
      </w:rPr>
      <w:tblPr/>
      <w:tcPr>
        <w:tcBorders>
          <w:top w:val="double" w:sz="6" w:space="0" w:color="125A40" w:themeColor="accent2"/>
          <w:left w:val="single" w:sz="8" w:space="0" w:color="125A40" w:themeColor="accent2"/>
          <w:bottom w:val="single" w:sz="8" w:space="0" w:color="125A40" w:themeColor="accent2"/>
          <w:right w:val="single" w:sz="8" w:space="0" w:color="125A40" w:themeColor="accent2"/>
        </w:tcBorders>
      </w:tcPr>
    </w:tblStylePr>
    <w:tblStylePr w:type="firstCol">
      <w:rPr>
        <w:b/>
        <w:bCs/>
      </w:rPr>
    </w:tblStylePr>
    <w:tblStylePr w:type="lastCol">
      <w:rPr>
        <w:b/>
        <w:bCs/>
      </w:rPr>
    </w:tblStylePr>
    <w:tblStylePr w:type="band1Vert">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tblStylePr w:type="band1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style>
  <w:style w:type="table" w:styleId="LightList-Accent3">
    <w:name w:val="Light List Accent 3"/>
    <w:basedOn w:val="TableNormal"/>
    <w:uiPriority w:val="61"/>
    <w:semiHidden/>
    <w:unhideWhenUsed/>
    <w:rsid w:val="00920D86"/>
    <w:pPr>
      <w:spacing w:line="240" w:lineRule="auto"/>
    </w:p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tblBorders>
    </w:tblPr>
    <w:tblStylePr w:type="firstRow">
      <w:pPr>
        <w:spacing w:before="0" w:after="0" w:line="240" w:lineRule="auto"/>
      </w:pPr>
      <w:rPr>
        <w:b/>
        <w:bCs/>
        <w:color w:val="FFFFFF" w:themeColor="background1"/>
      </w:rPr>
      <w:tblPr/>
      <w:tcPr>
        <w:shd w:val="clear" w:color="auto" w:fill="ADD095" w:themeFill="accent3"/>
      </w:tcPr>
    </w:tblStylePr>
    <w:tblStylePr w:type="lastRow">
      <w:pPr>
        <w:spacing w:before="0" w:after="0" w:line="240" w:lineRule="auto"/>
      </w:pPr>
      <w:rPr>
        <w:b/>
        <w:bCs/>
      </w:rPr>
      <w:tblPr/>
      <w:tcPr>
        <w:tcBorders>
          <w:top w:val="double" w:sz="6" w:space="0" w:color="ADD095" w:themeColor="accent3"/>
          <w:left w:val="single" w:sz="8" w:space="0" w:color="ADD095" w:themeColor="accent3"/>
          <w:bottom w:val="single" w:sz="8" w:space="0" w:color="ADD095" w:themeColor="accent3"/>
          <w:right w:val="single" w:sz="8" w:space="0" w:color="ADD095" w:themeColor="accent3"/>
        </w:tcBorders>
      </w:tcPr>
    </w:tblStylePr>
    <w:tblStylePr w:type="firstCol">
      <w:rPr>
        <w:b/>
        <w:bCs/>
      </w:rPr>
    </w:tblStylePr>
    <w:tblStylePr w:type="lastCol">
      <w:rPr>
        <w:b/>
        <w:bCs/>
      </w:rPr>
    </w:tblStylePr>
    <w:tblStylePr w:type="band1Vert">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tblStylePr w:type="band1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style>
  <w:style w:type="table" w:styleId="LightList-Accent4">
    <w:name w:val="Light List Accent 4"/>
    <w:basedOn w:val="TableNormal"/>
    <w:uiPriority w:val="61"/>
    <w:semiHidden/>
    <w:unhideWhenUsed/>
    <w:rsid w:val="00920D86"/>
    <w:pPr>
      <w:spacing w:line="240" w:lineRule="auto"/>
    </w:p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tblBorders>
    </w:tblPr>
    <w:tblStylePr w:type="firstRow">
      <w:pPr>
        <w:spacing w:before="0" w:after="0" w:line="240" w:lineRule="auto"/>
      </w:pPr>
      <w:rPr>
        <w:b/>
        <w:bCs/>
        <w:color w:val="FFFFFF" w:themeColor="background1"/>
      </w:rPr>
      <w:tblPr/>
      <w:tcPr>
        <w:shd w:val="clear" w:color="auto" w:fill="62294B" w:themeFill="accent4"/>
      </w:tcPr>
    </w:tblStylePr>
    <w:tblStylePr w:type="lastRow">
      <w:pPr>
        <w:spacing w:before="0" w:after="0" w:line="240" w:lineRule="auto"/>
      </w:pPr>
      <w:rPr>
        <w:b/>
        <w:bCs/>
      </w:rPr>
      <w:tblPr/>
      <w:tcPr>
        <w:tcBorders>
          <w:top w:val="double" w:sz="6" w:space="0" w:color="62294B" w:themeColor="accent4"/>
          <w:left w:val="single" w:sz="8" w:space="0" w:color="62294B" w:themeColor="accent4"/>
          <w:bottom w:val="single" w:sz="8" w:space="0" w:color="62294B" w:themeColor="accent4"/>
          <w:right w:val="single" w:sz="8" w:space="0" w:color="62294B" w:themeColor="accent4"/>
        </w:tcBorders>
      </w:tcPr>
    </w:tblStylePr>
    <w:tblStylePr w:type="firstCol">
      <w:rPr>
        <w:b/>
        <w:bCs/>
      </w:rPr>
    </w:tblStylePr>
    <w:tblStylePr w:type="lastCol">
      <w:rPr>
        <w:b/>
        <w:bCs/>
      </w:rPr>
    </w:tblStylePr>
    <w:tblStylePr w:type="band1Vert">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tblStylePr w:type="band1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style>
  <w:style w:type="table" w:styleId="LightList-Accent5">
    <w:name w:val="Light List Accent 5"/>
    <w:basedOn w:val="TableNormal"/>
    <w:uiPriority w:val="61"/>
    <w:semiHidden/>
    <w:unhideWhenUsed/>
    <w:rsid w:val="00920D86"/>
    <w:pPr>
      <w:spacing w:line="240" w:lineRule="auto"/>
    </w:p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tblBorders>
    </w:tblPr>
    <w:tblStylePr w:type="firstRow">
      <w:pPr>
        <w:spacing w:before="0" w:after="0" w:line="240" w:lineRule="auto"/>
      </w:pPr>
      <w:rPr>
        <w:b/>
        <w:bCs/>
        <w:color w:val="FFFFFF" w:themeColor="background1"/>
      </w:rPr>
      <w:tblPr/>
      <w:tcPr>
        <w:shd w:val="clear" w:color="auto" w:fill="FF8855" w:themeFill="accent5"/>
      </w:tcPr>
    </w:tblStylePr>
    <w:tblStylePr w:type="lastRow">
      <w:pPr>
        <w:spacing w:before="0" w:after="0" w:line="240" w:lineRule="auto"/>
      </w:pPr>
      <w:rPr>
        <w:b/>
        <w:bCs/>
      </w:rPr>
      <w:tblPr/>
      <w:tcPr>
        <w:tcBorders>
          <w:top w:val="double" w:sz="6" w:space="0" w:color="FF8855" w:themeColor="accent5"/>
          <w:left w:val="single" w:sz="8" w:space="0" w:color="FF8855" w:themeColor="accent5"/>
          <w:bottom w:val="single" w:sz="8" w:space="0" w:color="FF8855" w:themeColor="accent5"/>
          <w:right w:val="single" w:sz="8" w:space="0" w:color="FF8855" w:themeColor="accent5"/>
        </w:tcBorders>
      </w:tcPr>
    </w:tblStylePr>
    <w:tblStylePr w:type="firstCol">
      <w:rPr>
        <w:b/>
        <w:bCs/>
      </w:rPr>
    </w:tblStylePr>
    <w:tblStylePr w:type="lastCol">
      <w:rPr>
        <w:b/>
        <w:bCs/>
      </w:rPr>
    </w:tblStylePr>
    <w:tblStylePr w:type="band1Vert">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tblStylePr w:type="band1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style>
  <w:style w:type="table" w:styleId="LightList-Accent6">
    <w:name w:val="Light List Accent 6"/>
    <w:basedOn w:val="TableNormal"/>
    <w:uiPriority w:val="61"/>
    <w:semiHidden/>
    <w:unhideWhenUsed/>
    <w:rsid w:val="00920D86"/>
    <w:pPr>
      <w:spacing w:line="240" w:lineRule="auto"/>
    </w:p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tblBorders>
    </w:tblPr>
    <w:tblStylePr w:type="firstRow">
      <w:pPr>
        <w:spacing w:before="0" w:after="0" w:line="240" w:lineRule="auto"/>
      </w:pPr>
      <w:rPr>
        <w:b/>
        <w:bCs/>
        <w:color w:val="FFFFFF" w:themeColor="background1"/>
      </w:rPr>
      <w:tblPr/>
      <w:tcPr>
        <w:shd w:val="clear" w:color="auto" w:fill="E3E1D8" w:themeFill="accent6"/>
      </w:tcPr>
    </w:tblStylePr>
    <w:tblStylePr w:type="lastRow">
      <w:pPr>
        <w:spacing w:before="0" w:after="0" w:line="240" w:lineRule="auto"/>
      </w:pPr>
      <w:rPr>
        <w:b/>
        <w:bCs/>
      </w:rPr>
      <w:tblPr/>
      <w:tcPr>
        <w:tcBorders>
          <w:top w:val="double" w:sz="6" w:space="0" w:color="E3E1D8" w:themeColor="accent6"/>
          <w:left w:val="single" w:sz="8" w:space="0" w:color="E3E1D8" w:themeColor="accent6"/>
          <w:bottom w:val="single" w:sz="8" w:space="0" w:color="E3E1D8" w:themeColor="accent6"/>
          <w:right w:val="single" w:sz="8" w:space="0" w:color="E3E1D8" w:themeColor="accent6"/>
        </w:tcBorders>
      </w:tcPr>
    </w:tblStylePr>
    <w:tblStylePr w:type="firstCol">
      <w:rPr>
        <w:b/>
        <w:bCs/>
      </w:rPr>
    </w:tblStylePr>
    <w:tblStylePr w:type="lastCol">
      <w:rPr>
        <w:b/>
        <w:bCs/>
      </w:rPr>
    </w:tblStylePr>
    <w:tblStylePr w:type="band1Vert">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tblStylePr w:type="band1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style>
  <w:style w:type="table" w:styleId="LightShading">
    <w:name w:val="Light Shading"/>
    <w:basedOn w:val="TableNormal"/>
    <w:uiPriority w:val="60"/>
    <w:semiHidden/>
    <w:unhideWhenUsed/>
    <w:rsid w:val="00920D8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20D86"/>
    <w:pPr>
      <w:spacing w:line="240" w:lineRule="auto"/>
    </w:pPr>
    <w:rPr>
      <w:color w:val="032552" w:themeColor="accent1" w:themeShade="BF"/>
    </w:rPr>
    <w:tblPr>
      <w:tblStyleRowBandSize w:val="1"/>
      <w:tblStyleColBandSize w:val="1"/>
      <w:tblBorders>
        <w:top w:val="single" w:sz="8" w:space="0" w:color="05326E" w:themeColor="accent1"/>
        <w:bottom w:val="single" w:sz="8" w:space="0" w:color="05326E" w:themeColor="accent1"/>
      </w:tblBorders>
    </w:tblPr>
    <w:tblStylePr w:type="firstRow">
      <w:pPr>
        <w:spacing w:before="0" w:after="0" w:line="240" w:lineRule="auto"/>
      </w:pPr>
      <w:rPr>
        <w:b/>
        <w:bCs/>
      </w:rPr>
      <w:tblPr/>
      <w:tcPr>
        <w:tcBorders>
          <w:top w:val="single" w:sz="8" w:space="0" w:color="05326E" w:themeColor="accent1"/>
          <w:left w:val="nil"/>
          <w:bottom w:val="single" w:sz="8" w:space="0" w:color="05326E" w:themeColor="accent1"/>
          <w:right w:val="nil"/>
          <w:insideH w:val="nil"/>
          <w:insideV w:val="nil"/>
        </w:tcBorders>
      </w:tcPr>
    </w:tblStylePr>
    <w:tblStylePr w:type="lastRow">
      <w:pPr>
        <w:spacing w:before="0" w:after="0" w:line="240" w:lineRule="auto"/>
      </w:pPr>
      <w:rPr>
        <w:b/>
        <w:bCs/>
      </w:rPr>
      <w:tblPr/>
      <w:tcPr>
        <w:tcBorders>
          <w:top w:val="single" w:sz="8" w:space="0" w:color="05326E" w:themeColor="accent1"/>
          <w:left w:val="nil"/>
          <w:bottom w:val="single" w:sz="8" w:space="0" w:color="05326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C7FA" w:themeFill="accent1" w:themeFillTint="3F"/>
      </w:tcPr>
    </w:tblStylePr>
    <w:tblStylePr w:type="band1Horz">
      <w:tblPr/>
      <w:tcPr>
        <w:tcBorders>
          <w:left w:val="nil"/>
          <w:right w:val="nil"/>
          <w:insideH w:val="nil"/>
          <w:insideV w:val="nil"/>
        </w:tcBorders>
        <w:shd w:val="clear" w:color="auto" w:fill="A1C7FA" w:themeFill="accent1" w:themeFillTint="3F"/>
      </w:tcPr>
    </w:tblStylePr>
  </w:style>
  <w:style w:type="table" w:styleId="LightShading-Accent2">
    <w:name w:val="Light Shading Accent 2"/>
    <w:basedOn w:val="TableNormal"/>
    <w:uiPriority w:val="60"/>
    <w:semiHidden/>
    <w:unhideWhenUsed/>
    <w:rsid w:val="00920D86"/>
    <w:pPr>
      <w:spacing w:line="240" w:lineRule="auto"/>
    </w:pPr>
    <w:rPr>
      <w:color w:val="0D432F" w:themeColor="accent2" w:themeShade="BF"/>
    </w:rPr>
    <w:tblPr>
      <w:tblStyleRowBandSize w:val="1"/>
      <w:tblStyleColBandSize w:val="1"/>
      <w:tblBorders>
        <w:top w:val="single" w:sz="8" w:space="0" w:color="125A40" w:themeColor="accent2"/>
        <w:bottom w:val="single" w:sz="8" w:space="0" w:color="125A40" w:themeColor="accent2"/>
      </w:tblBorders>
    </w:tblPr>
    <w:tblStylePr w:type="firstRow">
      <w:pPr>
        <w:spacing w:before="0" w:after="0" w:line="240" w:lineRule="auto"/>
      </w:pPr>
      <w:rPr>
        <w:b/>
        <w:bCs/>
      </w:rPr>
      <w:tblPr/>
      <w:tcPr>
        <w:tcBorders>
          <w:top w:val="single" w:sz="8" w:space="0" w:color="125A40" w:themeColor="accent2"/>
          <w:left w:val="nil"/>
          <w:bottom w:val="single" w:sz="8" w:space="0" w:color="125A40" w:themeColor="accent2"/>
          <w:right w:val="nil"/>
          <w:insideH w:val="nil"/>
          <w:insideV w:val="nil"/>
        </w:tcBorders>
      </w:tcPr>
    </w:tblStylePr>
    <w:tblStylePr w:type="lastRow">
      <w:pPr>
        <w:spacing w:before="0" w:after="0" w:line="240" w:lineRule="auto"/>
      </w:pPr>
      <w:rPr>
        <w:b/>
        <w:bCs/>
      </w:rPr>
      <w:tblPr/>
      <w:tcPr>
        <w:tcBorders>
          <w:top w:val="single" w:sz="8" w:space="0" w:color="125A40" w:themeColor="accent2"/>
          <w:left w:val="nil"/>
          <w:bottom w:val="single" w:sz="8" w:space="0" w:color="125A4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CEED6" w:themeFill="accent2" w:themeFillTint="3F"/>
      </w:tcPr>
    </w:tblStylePr>
    <w:tblStylePr w:type="band1Horz">
      <w:tblPr/>
      <w:tcPr>
        <w:tcBorders>
          <w:left w:val="nil"/>
          <w:right w:val="nil"/>
          <w:insideH w:val="nil"/>
          <w:insideV w:val="nil"/>
        </w:tcBorders>
        <w:shd w:val="clear" w:color="auto" w:fill="ACEED6" w:themeFill="accent2" w:themeFillTint="3F"/>
      </w:tcPr>
    </w:tblStylePr>
  </w:style>
  <w:style w:type="table" w:styleId="LightShading-Accent3">
    <w:name w:val="Light Shading Accent 3"/>
    <w:basedOn w:val="TableNormal"/>
    <w:uiPriority w:val="60"/>
    <w:semiHidden/>
    <w:unhideWhenUsed/>
    <w:rsid w:val="00920D86"/>
    <w:pPr>
      <w:spacing w:line="240" w:lineRule="auto"/>
    </w:pPr>
    <w:rPr>
      <w:color w:val="7CB456" w:themeColor="accent3" w:themeShade="BF"/>
    </w:rPr>
    <w:tblPr>
      <w:tblStyleRowBandSize w:val="1"/>
      <w:tblStyleColBandSize w:val="1"/>
      <w:tblBorders>
        <w:top w:val="single" w:sz="8" w:space="0" w:color="ADD095" w:themeColor="accent3"/>
        <w:bottom w:val="single" w:sz="8" w:space="0" w:color="ADD095" w:themeColor="accent3"/>
      </w:tblBorders>
    </w:tblPr>
    <w:tblStylePr w:type="firstRow">
      <w:pPr>
        <w:spacing w:before="0" w:after="0" w:line="240" w:lineRule="auto"/>
      </w:pPr>
      <w:rPr>
        <w:b/>
        <w:bCs/>
      </w:rPr>
      <w:tblPr/>
      <w:tcPr>
        <w:tcBorders>
          <w:top w:val="single" w:sz="8" w:space="0" w:color="ADD095" w:themeColor="accent3"/>
          <w:left w:val="nil"/>
          <w:bottom w:val="single" w:sz="8" w:space="0" w:color="ADD095" w:themeColor="accent3"/>
          <w:right w:val="nil"/>
          <w:insideH w:val="nil"/>
          <w:insideV w:val="nil"/>
        </w:tcBorders>
      </w:tcPr>
    </w:tblStylePr>
    <w:tblStylePr w:type="lastRow">
      <w:pPr>
        <w:spacing w:before="0" w:after="0" w:line="240" w:lineRule="auto"/>
      </w:pPr>
      <w:rPr>
        <w:b/>
        <w:bCs/>
      </w:rPr>
      <w:tblPr/>
      <w:tcPr>
        <w:tcBorders>
          <w:top w:val="single" w:sz="8" w:space="0" w:color="ADD095" w:themeColor="accent3"/>
          <w:left w:val="nil"/>
          <w:bottom w:val="single" w:sz="8" w:space="0" w:color="ADD09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3E4" w:themeFill="accent3" w:themeFillTint="3F"/>
      </w:tcPr>
    </w:tblStylePr>
    <w:tblStylePr w:type="band1Horz">
      <w:tblPr/>
      <w:tcPr>
        <w:tcBorders>
          <w:left w:val="nil"/>
          <w:right w:val="nil"/>
          <w:insideH w:val="nil"/>
          <w:insideV w:val="nil"/>
        </w:tcBorders>
        <w:shd w:val="clear" w:color="auto" w:fill="EAF3E4" w:themeFill="accent3" w:themeFillTint="3F"/>
      </w:tcPr>
    </w:tblStylePr>
  </w:style>
  <w:style w:type="table" w:styleId="LightShading-Accent4">
    <w:name w:val="Light Shading Accent 4"/>
    <w:basedOn w:val="TableNormal"/>
    <w:uiPriority w:val="60"/>
    <w:semiHidden/>
    <w:unhideWhenUsed/>
    <w:rsid w:val="00920D86"/>
    <w:pPr>
      <w:spacing w:line="240" w:lineRule="auto"/>
    </w:pPr>
    <w:rPr>
      <w:color w:val="491E38" w:themeColor="accent4" w:themeShade="BF"/>
    </w:rPr>
    <w:tblPr>
      <w:tblStyleRowBandSize w:val="1"/>
      <w:tblStyleColBandSize w:val="1"/>
      <w:tblBorders>
        <w:top w:val="single" w:sz="8" w:space="0" w:color="62294B" w:themeColor="accent4"/>
        <w:bottom w:val="single" w:sz="8" w:space="0" w:color="62294B" w:themeColor="accent4"/>
      </w:tblBorders>
    </w:tblPr>
    <w:tblStylePr w:type="firstRow">
      <w:pPr>
        <w:spacing w:before="0" w:after="0" w:line="240" w:lineRule="auto"/>
      </w:pPr>
      <w:rPr>
        <w:b/>
        <w:bCs/>
      </w:rPr>
      <w:tblPr/>
      <w:tcPr>
        <w:tcBorders>
          <w:top w:val="single" w:sz="8" w:space="0" w:color="62294B" w:themeColor="accent4"/>
          <w:left w:val="nil"/>
          <w:bottom w:val="single" w:sz="8" w:space="0" w:color="62294B" w:themeColor="accent4"/>
          <w:right w:val="nil"/>
          <w:insideH w:val="nil"/>
          <w:insideV w:val="nil"/>
        </w:tcBorders>
      </w:tcPr>
    </w:tblStylePr>
    <w:tblStylePr w:type="lastRow">
      <w:pPr>
        <w:spacing w:before="0" w:after="0" w:line="240" w:lineRule="auto"/>
      </w:pPr>
      <w:rPr>
        <w:b/>
        <w:bCs/>
      </w:rPr>
      <w:tblPr/>
      <w:tcPr>
        <w:tcBorders>
          <w:top w:val="single" w:sz="8" w:space="0" w:color="62294B" w:themeColor="accent4"/>
          <w:left w:val="nil"/>
          <w:bottom w:val="single" w:sz="8" w:space="0" w:color="62294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BED4" w:themeFill="accent4" w:themeFillTint="3F"/>
      </w:tcPr>
    </w:tblStylePr>
    <w:tblStylePr w:type="band1Horz">
      <w:tblPr/>
      <w:tcPr>
        <w:tcBorders>
          <w:left w:val="nil"/>
          <w:right w:val="nil"/>
          <w:insideH w:val="nil"/>
          <w:insideV w:val="nil"/>
        </w:tcBorders>
        <w:shd w:val="clear" w:color="auto" w:fill="E4BED4" w:themeFill="accent4" w:themeFillTint="3F"/>
      </w:tcPr>
    </w:tblStylePr>
  </w:style>
  <w:style w:type="table" w:styleId="LightShading-Accent5">
    <w:name w:val="Light Shading Accent 5"/>
    <w:basedOn w:val="TableNormal"/>
    <w:uiPriority w:val="60"/>
    <w:semiHidden/>
    <w:unhideWhenUsed/>
    <w:rsid w:val="00920D86"/>
    <w:pPr>
      <w:spacing w:line="240" w:lineRule="auto"/>
    </w:pPr>
    <w:rPr>
      <w:color w:val="FE4B00" w:themeColor="accent5" w:themeShade="BF"/>
    </w:rPr>
    <w:tblPr>
      <w:tblStyleRowBandSize w:val="1"/>
      <w:tblStyleColBandSize w:val="1"/>
      <w:tblBorders>
        <w:top w:val="single" w:sz="8" w:space="0" w:color="FF8855" w:themeColor="accent5"/>
        <w:bottom w:val="single" w:sz="8" w:space="0" w:color="FF8855" w:themeColor="accent5"/>
      </w:tblBorders>
    </w:tblPr>
    <w:tblStylePr w:type="firstRow">
      <w:pPr>
        <w:spacing w:before="0" w:after="0" w:line="240" w:lineRule="auto"/>
      </w:pPr>
      <w:rPr>
        <w:b/>
        <w:bCs/>
      </w:rPr>
      <w:tblPr/>
      <w:tcPr>
        <w:tcBorders>
          <w:top w:val="single" w:sz="8" w:space="0" w:color="FF8855" w:themeColor="accent5"/>
          <w:left w:val="nil"/>
          <w:bottom w:val="single" w:sz="8" w:space="0" w:color="FF8855" w:themeColor="accent5"/>
          <w:right w:val="nil"/>
          <w:insideH w:val="nil"/>
          <w:insideV w:val="nil"/>
        </w:tcBorders>
      </w:tcPr>
    </w:tblStylePr>
    <w:tblStylePr w:type="lastRow">
      <w:pPr>
        <w:spacing w:before="0" w:after="0" w:line="240" w:lineRule="auto"/>
      </w:pPr>
      <w:rPr>
        <w:b/>
        <w:bCs/>
      </w:rPr>
      <w:tblPr/>
      <w:tcPr>
        <w:tcBorders>
          <w:top w:val="single" w:sz="8" w:space="0" w:color="FF8855" w:themeColor="accent5"/>
          <w:left w:val="nil"/>
          <w:bottom w:val="single" w:sz="8" w:space="0" w:color="FF885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1D5" w:themeFill="accent5" w:themeFillTint="3F"/>
      </w:tcPr>
    </w:tblStylePr>
    <w:tblStylePr w:type="band1Horz">
      <w:tblPr/>
      <w:tcPr>
        <w:tcBorders>
          <w:left w:val="nil"/>
          <w:right w:val="nil"/>
          <w:insideH w:val="nil"/>
          <w:insideV w:val="nil"/>
        </w:tcBorders>
        <w:shd w:val="clear" w:color="auto" w:fill="FFE1D5" w:themeFill="accent5" w:themeFillTint="3F"/>
      </w:tcPr>
    </w:tblStylePr>
  </w:style>
  <w:style w:type="table" w:styleId="LightShading-Accent6">
    <w:name w:val="Light Shading Accent 6"/>
    <w:basedOn w:val="TableNormal"/>
    <w:uiPriority w:val="60"/>
    <w:semiHidden/>
    <w:unhideWhenUsed/>
    <w:rsid w:val="00920D86"/>
    <w:pPr>
      <w:spacing w:line="240" w:lineRule="auto"/>
    </w:pPr>
    <w:rPr>
      <w:color w:val="B4AF97" w:themeColor="accent6" w:themeShade="BF"/>
    </w:rPr>
    <w:tblPr>
      <w:tblStyleRowBandSize w:val="1"/>
      <w:tblStyleColBandSize w:val="1"/>
      <w:tblBorders>
        <w:top w:val="single" w:sz="8" w:space="0" w:color="E3E1D8" w:themeColor="accent6"/>
        <w:bottom w:val="single" w:sz="8" w:space="0" w:color="E3E1D8" w:themeColor="accent6"/>
      </w:tblBorders>
    </w:tblPr>
    <w:tblStylePr w:type="firstRow">
      <w:pPr>
        <w:spacing w:before="0" w:after="0" w:line="240" w:lineRule="auto"/>
      </w:pPr>
      <w:rPr>
        <w:b/>
        <w:bCs/>
      </w:rPr>
      <w:tblPr/>
      <w:tcPr>
        <w:tcBorders>
          <w:top w:val="single" w:sz="8" w:space="0" w:color="E3E1D8" w:themeColor="accent6"/>
          <w:left w:val="nil"/>
          <w:bottom w:val="single" w:sz="8" w:space="0" w:color="E3E1D8" w:themeColor="accent6"/>
          <w:right w:val="nil"/>
          <w:insideH w:val="nil"/>
          <w:insideV w:val="nil"/>
        </w:tcBorders>
      </w:tcPr>
    </w:tblStylePr>
    <w:tblStylePr w:type="lastRow">
      <w:pPr>
        <w:spacing w:before="0" w:after="0" w:line="240" w:lineRule="auto"/>
      </w:pPr>
      <w:rPr>
        <w:b/>
        <w:bCs/>
      </w:rPr>
      <w:tblPr/>
      <w:tcPr>
        <w:tcBorders>
          <w:top w:val="single" w:sz="8" w:space="0" w:color="E3E1D8" w:themeColor="accent6"/>
          <w:left w:val="nil"/>
          <w:bottom w:val="single" w:sz="8" w:space="0" w:color="E3E1D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5" w:themeFill="accent6" w:themeFillTint="3F"/>
      </w:tcPr>
    </w:tblStylePr>
    <w:tblStylePr w:type="band1Horz">
      <w:tblPr/>
      <w:tcPr>
        <w:tcBorders>
          <w:left w:val="nil"/>
          <w:right w:val="nil"/>
          <w:insideH w:val="nil"/>
          <w:insideV w:val="nil"/>
        </w:tcBorders>
        <w:shd w:val="clear" w:color="auto" w:fill="F8F7F5" w:themeFill="accent6" w:themeFillTint="3F"/>
      </w:tcPr>
    </w:tblStylePr>
  </w:style>
  <w:style w:type="character" w:styleId="LineNumber">
    <w:name w:val="line number"/>
    <w:basedOn w:val="DefaultParagraphFont"/>
    <w:uiPriority w:val="99"/>
    <w:semiHidden/>
    <w:rsid w:val="00920D86"/>
    <w:rPr>
      <w:lang w:val="en-US"/>
    </w:rPr>
  </w:style>
  <w:style w:type="paragraph" w:styleId="List">
    <w:name w:val="List"/>
    <w:basedOn w:val="Normal"/>
    <w:uiPriority w:val="99"/>
    <w:semiHidden/>
    <w:rsid w:val="00920D86"/>
    <w:pPr>
      <w:ind w:left="283" w:hanging="283"/>
      <w:contextualSpacing/>
    </w:pPr>
  </w:style>
  <w:style w:type="paragraph" w:styleId="List2">
    <w:name w:val="List 2"/>
    <w:basedOn w:val="Normal"/>
    <w:uiPriority w:val="99"/>
    <w:semiHidden/>
    <w:rsid w:val="00920D86"/>
    <w:pPr>
      <w:ind w:left="566" w:hanging="283"/>
      <w:contextualSpacing/>
    </w:pPr>
  </w:style>
  <w:style w:type="paragraph" w:styleId="List3">
    <w:name w:val="List 3"/>
    <w:basedOn w:val="Normal"/>
    <w:uiPriority w:val="99"/>
    <w:semiHidden/>
    <w:rsid w:val="00920D86"/>
    <w:pPr>
      <w:ind w:left="849" w:hanging="283"/>
      <w:contextualSpacing/>
    </w:pPr>
  </w:style>
  <w:style w:type="paragraph" w:styleId="List4">
    <w:name w:val="List 4"/>
    <w:basedOn w:val="Normal"/>
    <w:uiPriority w:val="99"/>
    <w:semiHidden/>
    <w:rsid w:val="00920D86"/>
    <w:pPr>
      <w:ind w:left="1132" w:hanging="283"/>
      <w:contextualSpacing/>
    </w:pPr>
  </w:style>
  <w:style w:type="paragraph" w:styleId="List5">
    <w:name w:val="List 5"/>
    <w:basedOn w:val="Normal"/>
    <w:uiPriority w:val="99"/>
    <w:semiHidden/>
    <w:rsid w:val="00920D86"/>
    <w:pPr>
      <w:ind w:left="1415" w:hanging="283"/>
      <w:contextualSpacing/>
    </w:pPr>
  </w:style>
  <w:style w:type="paragraph" w:styleId="ListBullet2">
    <w:name w:val="List Bullet 2"/>
    <w:basedOn w:val="Normal"/>
    <w:uiPriority w:val="99"/>
    <w:semiHidden/>
    <w:rsid w:val="00920D86"/>
    <w:pPr>
      <w:numPr>
        <w:numId w:val="4"/>
      </w:numPr>
      <w:contextualSpacing/>
    </w:pPr>
  </w:style>
  <w:style w:type="paragraph" w:styleId="ListBullet3">
    <w:name w:val="List Bullet 3"/>
    <w:basedOn w:val="Normal"/>
    <w:uiPriority w:val="99"/>
    <w:semiHidden/>
    <w:rsid w:val="00920D86"/>
    <w:pPr>
      <w:numPr>
        <w:numId w:val="5"/>
      </w:numPr>
      <w:contextualSpacing/>
    </w:pPr>
  </w:style>
  <w:style w:type="paragraph" w:styleId="ListBullet4">
    <w:name w:val="List Bullet 4"/>
    <w:basedOn w:val="Normal"/>
    <w:uiPriority w:val="99"/>
    <w:semiHidden/>
    <w:rsid w:val="00920D86"/>
    <w:pPr>
      <w:numPr>
        <w:numId w:val="6"/>
      </w:numPr>
      <w:contextualSpacing/>
    </w:pPr>
  </w:style>
  <w:style w:type="paragraph" w:styleId="ListBullet5">
    <w:name w:val="List Bullet 5"/>
    <w:basedOn w:val="Normal"/>
    <w:uiPriority w:val="99"/>
    <w:semiHidden/>
    <w:rsid w:val="00920D86"/>
    <w:pPr>
      <w:numPr>
        <w:numId w:val="7"/>
      </w:numPr>
      <w:contextualSpacing/>
    </w:pPr>
  </w:style>
  <w:style w:type="paragraph" w:styleId="ListContinue">
    <w:name w:val="List Continue"/>
    <w:basedOn w:val="Normal"/>
    <w:uiPriority w:val="99"/>
    <w:semiHidden/>
    <w:rsid w:val="00920D86"/>
    <w:pPr>
      <w:spacing w:after="120"/>
      <w:ind w:left="283"/>
      <w:contextualSpacing/>
    </w:pPr>
  </w:style>
  <w:style w:type="paragraph" w:styleId="ListContinue2">
    <w:name w:val="List Continue 2"/>
    <w:basedOn w:val="Normal"/>
    <w:uiPriority w:val="99"/>
    <w:semiHidden/>
    <w:rsid w:val="00920D86"/>
    <w:pPr>
      <w:spacing w:after="120"/>
      <w:ind w:left="566"/>
      <w:contextualSpacing/>
    </w:pPr>
  </w:style>
  <w:style w:type="paragraph" w:styleId="ListContinue3">
    <w:name w:val="List Continue 3"/>
    <w:basedOn w:val="Normal"/>
    <w:uiPriority w:val="99"/>
    <w:semiHidden/>
    <w:rsid w:val="00920D86"/>
    <w:pPr>
      <w:spacing w:after="120"/>
      <w:ind w:left="849"/>
      <w:contextualSpacing/>
    </w:pPr>
  </w:style>
  <w:style w:type="paragraph" w:styleId="ListContinue4">
    <w:name w:val="List Continue 4"/>
    <w:basedOn w:val="Normal"/>
    <w:uiPriority w:val="99"/>
    <w:semiHidden/>
    <w:rsid w:val="00920D86"/>
    <w:pPr>
      <w:spacing w:after="120"/>
      <w:ind w:left="1132"/>
      <w:contextualSpacing/>
    </w:pPr>
  </w:style>
  <w:style w:type="paragraph" w:styleId="ListContinue5">
    <w:name w:val="List Continue 5"/>
    <w:basedOn w:val="Normal"/>
    <w:uiPriority w:val="99"/>
    <w:semiHidden/>
    <w:rsid w:val="00920D86"/>
    <w:pPr>
      <w:spacing w:after="120"/>
      <w:ind w:left="1415"/>
      <w:contextualSpacing/>
    </w:pPr>
  </w:style>
  <w:style w:type="paragraph" w:styleId="ListNumber2">
    <w:name w:val="List Number 2"/>
    <w:basedOn w:val="Normal"/>
    <w:uiPriority w:val="99"/>
    <w:semiHidden/>
    <w:rsid w:val="00920D86"/>
    <w:pPr>
      <w:numPr>
        <w:numId w:val="9"/>
      </w:numPr>
      <w:contextualSpacing/>
    </w:pPr>
  </w:style>
  <w:style w:type="paragraph" w:styleId="ListNumber3">
    <w:name w:val="List Number 3"/>
    <w:basedOn w:val="Normal"/>
    <w:uiPriority w:val="99"/>
    <w:semiHidden/>
    <w:rsid w:val="00920D86"/>
    <w:pPr>
      <w:numPr>
        <w:numId w:val="10"/>
      </w:numPr>
      <w:contextualSpacing/>
    </w:pPr>
  </w:style>
  <w:style w:type="paragraph" w:styleId="ListNumber4">
    <w:name w:val="List Number 4"/>
    <w:basedOn w:val="Normal"/>
    <w:uiPriority w:val="99"/>
    <w:semiHidden/>
    <w:rsid w:val="00920D86"/>
    <w:pPr>
      <w:numPr>
        <w:numId w:val="11"/>
      </w:numPr>
      <w:contextualSpacing/>
    </w:pPr>
  </w:style>
  <w:style w:type="paragraph" w:styleId="ListNumber5">
    <w:name w:val="List Number 5"/>
    <w:basedOn w:val="Normal"/>
    <w:uiPriority w:val="99"/>
    <w:semiHidden/>
    <w:rsid w:val="00920D86"/>
    <w:pPr>
      <w:numPr>
        <w:numId w:val="12"/>
      </w:numPr>
      <w:contextualSpacing/>
    </w:pPr>
  </w:style>
  <w:style w:type="paragraph" w:styleId="ListParagraph">
    <w:name w:val="List Paragraph"/>
    <w:aliases w:val="Heading1,body 2,List Paragraph1,Header bold,heading 7,List Paragraph11,bullets,Arial,Normal bullet 2,Forth level,List_Paragraph,Multilevel para_II,Listă colorată - Accentuare 11,Bullet,Citation List,Bullet line,Lista bullet,EU,lp1,Lista 1"/>
    <w:basedOn w:val="Normal"/>
    <w:link w:val="ListParagraphChar"/>
    <w:qFormat/>
    <w:rsid w:val="00920D86"/>
    <w:pPr>
      <w:ind w:left="720"/>
      <w:contextualSpacing/>
    </w:pPr>
  </w:style>
  <w:style w:type="table" w:styleId="ListTable1Light">
    <w:name w:val="List Table 1 Light"/>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1C78F4" w:themeColor="accent1" w:themeTint="99"/>
        </w:tcBorders>
      </w:tcPr>
    </w:tblStylePr>
    <w:tblStylePr w:type="lastRow">
      <w:rPr>
        <w:b/>
        <w:bCs/>
      </w:rPr>
      <w:tblPr/>
      <w:tcPr>
        <w:tcBorders>
          <w:top w:val="sing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1Light-Accent2">
    <w:name w:val="List Table 1 Light Accent 2"/>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35D69C" w:themeColor="accent2" w:themeTint="99"/>
        </w:tcBorders>
      </w:tcPr>
    </w:tblStylePr>
    <w:tblStylePr w:type="lastRow">
      <w:rPr>
        <w:b/>
        <w:bCs/>
      </w:rPr>
      <w:tblPr/>
      <w:tcPr>
        <w:tcBorders>
          <w:top w:val="sing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1Light-Accent3">
    <w:name w:val="List Table 1 Light Accent 3"/>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CDE2BF" w:themeColor="accent3" w:themeTint="99"/>
        </w:tcBorders>
      </w:tcPr>
    </w:tblStylePr>
    <w:tblStylePr w:type="lastRow">
      <w:rPr>
        <w:b/>
        <w:bCs/>
      </w:rPr>
      <w:tblPr/>
      <w:tcPr>
        <w:tcBorders>
          <w:top w:val="sing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1Light-Accent4">
    <w:name w:val="List Table 1 Light Accent 4"/>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BD6298" w:themeColor="accent4" w:themeTint="99"/>
        </w:tcBorders>
      </w:tcPr>
    </w:tblStylePr>
    <w:tblStylePr w:type="lastRow">
      <w:rPr>
        <w:b/>
        <w:bCs/>
      </w:rPr>
      <w:tblPr/>
      <w:tcPr>
        <w:tcBorders>
          <w:top w:val="sing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1Light-Accent5">
    <w:name w:val="List Table 1 Light Accent 5"/>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FFB799" w:themeColor="accent5" w:themeTint="99"/>
        </w:tcBorders>
      </w:tcPr>
    </w:tblStylePr>
    <w:tblStylePr w:type="lastRow">
      <w:rPr>
        <w:b/>
        <w:bCs/>
      </w:rPr>
      <w:tblPr/>
      <w:tcPr>
        <w:tcBorders>
          <w:top w:val="sing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1Light-Accent6">
    <w:name w:val="List Table 1 Light Accent 6"/>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EEECE7" w:themeColor="accent6" w:themeTint="99"/>
        </w:tcBorders>
      </w:tcPr>
    </w:tblStylePr>
    <w:tblStylePr w:type="lastRow">
      <w:rPr>
        <w:b/>
        <w:bCs/>
      </w:rPr>
      <w:tblPr/>
      <w:tcPr>
        <w:tcBorders>
          <w:top w:val="sing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2">
    <w:name w:val="List Table 2"/>
    <w:basedOn w:val="TableNormal"/>
    <w:uiPriority w:val="47"/>
    <w:rsid w:val="00920D8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20D86"/>
    <w:pPr>
      <w:spacing w:line="240" w:lineRule="auto"/>
    </w:pPr>
    <w:tblPr>
      <w:tblStyleRowBandSize w:val="1"/>
      <w:tblStyleColBandSize w:val="1"/>
      <w:tblBorders>
        <w:top w:val="single" w:sz="4" w:space="0" w:color="1C78F4" w:themeColor="accent1" w:themeTint="99"/>
        <w:bottom w:val="single" w:sz="4" w:space="0" w:color="1C78F4" w:themeColor="accent1" w:themeTint="99"/>
        <w:insideH w:val="single" w:sz="4" w:space="0" w:color="1C78F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2-Accent2">
    <w:name w:val="List Table 2 Accent 2"/>
    <w:basedOn w:val="TableNormal"/>
    <w:uiPriority w:val="47"/>
    <w:rsid w:val="00920D86"/>
    <w:pPr>
      <w:spacing w:line="240" w:lineRule="auto"/>
    </w:pPr>
    <w:tblPr>
      <w:tblStyleRowBandSize w:val="1"/>
      <w:tblStyleColBandSize w:val="1"/>
      <w:tblBorders>
        <w:top w:val="single" w:sz="4" w:space="0" w:color="35D69C" w:themeColor="accent2" w:themeTint="99"/>
        <w:bottom w:val="single" w:sz="4" w:space="0" w:color="35D69C" w:themeColor="accent2" w:themeTint="99"/>
        <w:insideH w:val="single" w:sz="4" w:space="0" w:color="35D69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2-Accent3">
    <w:name w:val="List Table 2 Accent 3"/>
    <w:basedOn w:val="TableNormal"/>
    <w:uiPriority w:val="47"/>
    <w:rsid w:val="00920D86"/>
    <w:pPr>
      <w:spacing w:line="240" w:lineRule="auto"/>
    </w:pPr>
    <w:tblPr>
      <w:tblStyleRowBandSize w:val="1"/>
      <w:tblStyleColBandSize w:val="1"/>
      <w:tblBorders>
        <w:top w:val="single" w:sz="4" w:space="0" w:color="CDE2BF" w:themeColor="accent3" w:themeTint="99"/>
        <w:bottom w:val="single" w:sz="4" w:space="0" w:color="CDE2BF" w:themeColor="accent3" w:themeTint="99"/>
        <w:insideH w:val="single" w:sz="4" w:space="0" w:color="CDE2B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2-Accent4">
    <w:name w:val="List Table 2 Accent 4"/>
    <w:basedOn w:val="TableNormal"/>
    <w:uiPriority w:val="47"/>
    <w:rsid w:val="00920D86"/>
    <w:pPr>
      <w:spacing w:line="240" w:lineRule="auto"/>
    </w:pPr>
    <w:tblPr>
      <w:tblStyleRowBandSize w:val="1"/>
      <w:tblStyleColBandSize w:val="1"/>
      <w:tblBorders>
        <w:top w:val="single" w:sz="4" w:space="0" w:color="BD6298" w:themeColor="accent4" w:themeTint="99"/>
        <w:bottom w:val="single" w:sz="4" w:space="0" w:color="BD6298" w:themeColor="accent4" w:themeTint="99"/>
        <w:insideH w:val="single" w:sz="4" w:space="0" w:color="BD629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2-Accent5">
    <w:name w:val="List Table 2 Accent 5"/>
    <w:basedOn w:val="TableNormal"/>
    <w:uiPriority w:val="47"/>
    <w:rsid w:val="00920D86"/>
    <w:pPr>
      <w:spacing w:line="240" w:lineRule="auto"/>
    </w:pPr>
    <w:tblPr>
      <w:tblStyleRowBandSize w:val="1"/>
      <w:tblStyleColBandSize w:val="1"/>
      <w:tblBorders>
        <w:top w:val="single" w:sz="4" w:space="0" w:color="FFB799" w:themeColor="accent5" w:themeTint="99"/>
        <w:bottom w:val="single" w:sz="4" w:space="0" w:color="FFB799" w:themeColor="accent5" w:themeTint="99"/>
        <w:insideH w:val="single" w:sz="4" w:space="0" w:color="FFB79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2-Accent6">
    <w:name w:val="List Table 2 Accent 6"/>
    <w:basedOn w:val="TableNormal"/>
    <w:uiPriority w:val="47"/>
    <w:rsid w:val="00920D86"/>
    <w:pPr>
      <w:spacing w:line="240" w:lineRule="auto"/>
    </w:pPr>
    <w:tblPr>
      <w:tblStyleRowBandSize w:val="1"/>
      <w:tblStyleColBandSize w:val="1"/>
      <w:tblBorders>
        <w:top w:val="single" w:sz="4" w:space="0" w:color="EEECE7" w:themeColor="accent6" w:themeTint="99"/>
        <w:bottom w:val="single" w:sz="4" w:space="0" w:color="EEECE7" w:themeColor="accent6" w:themeTint="99"/>
        <w:insideH w:val="single" w:sz="4" w:space="0" w:color="EEECE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3">
    <w:name w:val="List Table 3"/>
    <w:basedOn w:val="TableNormal"/>
    <w:uiPriority w:val="48"/>
    <w:rsid w:val="00920D8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20D86"/>
    <w:pPr>
      <w:spacing w:line="240" w:lineRule="auto"/>
    </w:pPr>
    <w:tblPr>
      <w:tblStyleRowBandSize w:val="1"/>
      <w:tblStyleColBandSize w:val="1"/>
      <w:tblBorders>
        <w:top w:val="single" w:sz="4" w:space="0" w:color="05326E" w:themeColor="accent1"/>
        <w:left w:val="single" w:sz="4" w:space="0" w:color="05326E" w:themeColor="accent1"/>
        <w:bottom w:val="single" w:sz="4" w:space="0" w:color="05326E" w:themeColor="accent1"/>
        <w:right w:val="single" w:sz="4" w:space="0" w:color="05326E" w:themeColor="accent1"/>
      </w:tblBorders>
    </w:tblPr>
    <w:tblStylePr w:type="firstRow">
      <w:rPr>
        <w:b/>
        <w:bCs/>
        <w:color w:val="FFFFFF" w:themeColor="background1"/>
      </w:rPr>
      <w:tblPr/>
      <w:tcPr>
        <w:shd w:val="clear" w:color="auto" w:fill="05326E" w:themeFill="accent1"/>
      </w:tcPr>
    </w:tblStylePr>
    <w:tblStylePr w:type="lastRow">
      <w:rPr>
        <w:b/>
        <w:bCs/>
      </w:rPr>
      <w:tblPr/>
      <w:tcPr>
        <w:tcBorders>
          <w:top w:val="double" w:sz="4" w:space="0" w:color="05326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326E" w:themeColor="accent1"/>
          <w:right w:val="single" w:sz="4" w:space="0" w:color="05326E" w:themeColor="accent1"/>
        </w:tcBorders>
      </w:tcPr>
    </w:tblStylePr>
    <w:tblStylePr w:type="band1Horz">
      <w:tblPr/>
      <w:tcPr>
        <w:tcBorders>
          <w:top w:val="single" w:sz="4" w:space="0" w:color="05326E" w:themeColor="accent1"/>
          <w:bottom w:val="single" w:sz="4" w:space="0" w:color="05326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326E" w:themeColor="accent1"/>
          <w:left w:val="nil"/>
        </w:tcBorders>
      </w:tcPr>
    </w:tblStylePr>
    <w:tblStylePr w:type="swCell">
      <w:tblPr/>
      <w:tcPr>
        <w:tcBorders>
          <w:top w:val="double" w:sz="4" w:space="0" w:color="05326E" w:themeColor="accent1"/>
          <w:right w:val="nil"/>
        </w:tcBorders>
      </w:tcPr>
    </w:tblStylePr>
  </w:style>
  <w:style w:type="table" w:styleId="ListTable3-Accent2">
    <w:name w:val="List Table 3 Accent 2"/>
    <w:basedOn w:val="TableNormal"/>
    <w:uiPriority w:val="48"/>
    <w:rsid w:val="00920D86"/>
    <w:pPr>
      <w:spacing w:line="240" w:lineRule="auto"/>
    </w:pPr>
    <w:tblPr>
      <w:tblStyleRowBandSize w:val="1"/>
      <w:tblStyleColBandSize w:val="1"/>
      <w:tblBorders>
        <w:top w:val="single" w:sz="4" w:space="0" w:color="125A40" w:themeColor="accent2"/>
        <w:left w:val="single" w:sz="4" w:space="0" w:color="125A40" w:themeColor="accent2"/>
        <w:bottom w:val="single" w:sz="4" w:space="0" w:color="125A40" w:themeColor="accent2"/>
        <w:right w:val="single" w:sz="4" w:space="0" w:color="125A40" w:themeColor="accent2"/>
      </w:tblBorders>
    </w:tblPr>
    <w:tblStylePr w:type="firstRow">
      <w:rPr>
        <w:b/>
        <w:bCs/>
        <w:color w:val="FFFFFF" w:themeColor="background1"/>
      </w:rPr>
      <w:tblPr/>
      <w:tcPr>
        <w:shd w:val="clear" w:color="auto" w:fill="125A40" w:themeFill="accent2"/>
      </w:tcPr>
    </w:tblStylePr>
    <w:tblStylePr w:type="lastRow">
      <w:rPr>
        <w:b/>
        <w:bCs/>
      </w:rPr>
      <w:tblPr/>
      <w:tcPr>
        <w:tcBorders>
          <w:top w:val="double" w:sz="4" w:space="0" w:color="125A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25A40" w:themeColor="accent2"/>
          <w:right w:val="single" w:sz="4" w:space="0" w:color="125A40" w:themeColor="accent2"/>
        </w:tcBorders>
      </w:tcPr>
    </w:tblStylePr>
    <w:tblStylePr w:type="band1Horz">
      <w:tblPr/>
      <w:tcPr>
        <w:tcBorders>
          <w:top w:val="single" w:sz="4" w:space="0" w:color="125A40" w:themeColor="accent2"/>
          <w:bottom w:val="single" w:sz="4" w:space="0" w:color="125A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25A40" w:themeColor="accent2"/>
          <w:left w:val="nil"/>
        </w:tcBorders>
      </w:tcPr>
    </w:tblStylePr>
    <w:tblStylePr w:type="swCell">
      <w:tblPr/>
      <w:tcPr>
        <w:tcBorders>
          <w:top w:val="double" w:sz="4" w:space="0" w:color="125A40" w:themeColor="accent2"/>
          <w:right w:val="nil"/>
        </w:tcBorders>
      </w:tcPr>
    </w:tblStylePr>
  </w:style>
  <w:style w:type="table" w:styleId="ListTable3-Accent3">
    <w:name w:val="List Table 3 Accent 3"/>
    <w:basedOn w:val="TableNormal"/>
    <w:uiPriority w:val="48"/>
    <w:rsid w:val="00920D86"/>
    <w:pPr>
      <w:spacing w:line="240" w:lineRule="auto"/>
    </w:pPr>
    <w:tblPr>
      <w:tblStyleRowBandSize w:val="1"/>
      <w:tblStyleColBandSize w:val="1"/>
      <w:tblBorders>
        <w:top w:val="single" w:sz="4" w:space="0" w:color="ADD095" w:themeColor="accent3"/>
        <w:left w:val="single" w:sz="4" w:space="0" w:color="ADD095" w:themeColor="accent3"/>
        <w:bottom w:val="single" w:sz="4" w:space="0" w:color="ADD095" w:themeColor="accent3"/>
        <w:right w:val="single" w:sz="4" w:space="0" w:color="ADD095" w:themeColor="accent3"/>
      </w:tblBorders>
    </w:tblPr>
    <w:tblStylePr w:type="firstRow">
      <w:rPr>
        <w:b/>
        <w:bCs/>
        <w:color w:val="FFFFFF" w:themeColor="background1"/>
      </w:rPr>
      <w:tblPr/>
      <w:tcPr>
        <w:shd w:val="clear" w:color="auto" w:fill="ADD095" w:themeFill="accent3"/>
      </w:tcPr>
    </w:tblStylePr>
    <w:tblStylePr w:type="lastRow">
      <w:rPr>
        <w:b/>
        <w:bCs/>
      </w:rPr>
      <w:tblPr/>
      <w:tcPr>
        <w:tcBorders>
          <w:top w:val="double" w:sz="4" w:space="0" w:color="ADD09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095" w:themeColor="accent3"/>
          <w:right w:val="single" w:sz="4" w:space="0" w:color="ADD095" w:themeColor="accent3"/>
        </w:tcBorders>
      </w:tcPr>
    </w:tblStylePr>
    <w:tblStylePr w:type="band1Horz">
      <w:tblPr/>
      <w:tcPr>
        <w:tcBorders>
          <w:top w:val="single" w:sz="4" w:space="0" w:color="ADD095" w:themeColor="accent3"/>
          <w:bottom w:val="single" w:sz="4" w:space="0" w:color="ADD09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095" w:themeColor="accent3"/>
          <w:left w:val="nil"/>
        </w:tcBorders>
      </w:tcPr>
    </w:tblStylePr>
    <w:tblStylePr w:type="swCell">
      <w:tblPr/>
      <w:tcPr>
        <w:tcBorders>
          <w:top w:val="double" w:sz="4" w:space="0" w:color="ADD095" w:themeColor="accent3"/>
          <w:right w:val="nil"/>
        </w:tcBorders>
      </w:tcPr>
    </w:tblStylePr>
  </w:style>
  <w:style w:type="table" w:styleId="ListTable3-Accent4">
    <w:name w:val="List Table 3 Accent 4"/>
    <w:basedOn w:val="TableNormal"/>
    <w:uiPriority w:val="48"/>
    <w:rsid w:val="00920D86"/>
    <w:pPr>
      <w:spacing w:line="240" w:lineRule="auto"/>
    </w:pPr>
    <w:tblPr>
      <w:tblStyleRowBandSize w:val="1"/>
      <w:tblStyleColBandSize w:val="1"/>
      <w:tblBorders>
        <w:top w:val="single" w:sz="4" w:space="0" w:color="62294B" w:themeColor="accent4"/>
        <w:left w:val="single" w:sz="4" w:space="0" w:color="62294B" w:themeColor="accent4"/>
        <w:bottom w:val="single" w:sz="4" w:space="0" w:color="62294B" w:themeColor="accent4"/>
        <w:right w:val="single" w:sz="4" w:space="0" w:color="62294B" w:themeColor="accent4"/>
      </w:tblBorders>
    </w:tblPr>
    <w:tblStylePr w:type="firstRow">
      <w:rPr>
        <w:b/>
        <w:bCs/>
        <w:color w:val="FFFFFF" w:themeColor="background1"/>
      </w:rPr>
      <w:tblPr/>
      <w:tcPr>
        <w:shd w:val="clear" w:color="auto" w:fill="62294B" w:themeFill="accent4"/>
      </w:tcPr>
    </w:tblStylePr>
    <w:tblStylePr w:type="lastRow">
      <w:rPr>
        <w:b/>
        <w:bCs/>
      </w:rPr>
      <w:tblPr/>
      <w:tcPr>
        <w:tcBorders>
          <w:top w:val="double" w:sz="4" w:space="0" w:color="62294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294B" w:themeColor="accent4"/>
          <w:right w:val="single" w:sz="4" w:space="0" w:color="62294B" w:themeColor="accent4"/>
        </w:tcBorders>
      </w:tcPr>
    </w:tblStylePr>
    <w:tblStylePr w:type="band1Horz">
      <w:tblPr/>
      <w:tcPr>
        <w:tcBorders>
          <w:top w:val="single" w:sz="4" w:space="0" w:color="62294B" w:themeColor="accent4"/>
          <w:bottom w:val="single" w:sz="4" w:space="0" w:color="62294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294B" w:themeColor="accent4"/>
          <w:left w:val="nil"/>
        </w:tcBorders>
      </w:tcPr>
    </w:tblStylePr>
    <w:tblStylePr w:type="swCell">
      <w:tblPr/>
      <w:tcPr>
        <w:tcBorders>
          <w:top w:val="double" w:sz="4" w:space="0" w:color="62294B" w:themeColor="accent4"/>
          <w:right w:val="nil"/>
        </w:tcBorders>
      </w:tcPr>
    </w:tblStylePr>
  </w:style>
  <w:style w:type="table" w:styleId="ListTable3-Accent5">
    <w:name w:val="List Table 3 Accent 5"/>
    <w:basedOn w:val="TableNormal"/>
    <w:uiPriority w:val="48"/>
    <w:rsid w:val="00920D86"/>
    <w:pPr>
      <w:spacing w:line="240" w:lineRule="auto"/>
    </w:pPr>
    <w:tblPr>
      <w:tblStyleRowBandSize w:val="1"/>
      <w:tblStyleColBandSize w:val="1"/>
      <w:tblBorders>
        <w:top w:val="single" w:sz="4" w:space="0" w:color="FF8855" w:themeColor="accent5"/>
        <w:left w:val="single" w:sz="4" w:space="0" w:color="FF8855" w:themeColor="accent5"/>
        <w:bottom w:val="single" w:sz="4" w:space="0" w:color="FF8855" w:themeColor="accent5"/>
        <w:right w:val="single" w:sz="4" w:space="0" w:color="FF8855" w:themeColor="accent5"/>
      </w:tblBorders>
    </w:tblPr>
    <w:tblStylePr w:type="firstRow">
      <w:rPr>
        <w:b/>
        <w:bCs/>
        <w:color w:val="FFFFFF" w:themeColor="background1"/>
      </w:rPr>
      <w:tblPr/>
      <w:tcPr>
        <w:shd w:val="clear" w:color="auto" w:fill="FF8855" w:themeFill="accent5"/>
      </w:tcPr>
    </w:tblStylePr>
    <w:tblStylePr w:type="lastRow">
      <w:rPr>
        <w:b/>
        <w:bCs/>
      </w:rPr>
      <w:tblPr/>
      <w:tcPr>
        <w:tcBorders>
          <w:top w:val="double" w:sz="4" w:space="0" w:color="FF885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855" w:themeColor="accent5"/>
          <w:right w:val="single" w:sz="4" w:space="0" w:color="FF8855" w:themeColor="accent5"/>
        </w:tcBorders>
      </w:tcPr>
    </w:tblStylePr>
    <w:tblStylePr w:type="band1Horz">
      <w:tblPr/>
      <w:tcPr>
        <w:tcBorders>
          <w:top w:val="single" w:sz="4" w:space="0" w:color="FF8855" w:themeColor="accent5"/>
          <w:bottom w:val="single" w:sz="4" w:space="0" w:color="FF885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855" w:themeColor="accent5"/>
          <w:left w:val="nil"/>
        </w:tcBorders>
      </w:tcPr>
    </w:tblStylePr>
    <w:tblStylePr w:type="swCell">
      <w:tblPr/>
      <w:tcPr>
        <w:tcBorders>
          <w:top w:val="double" w:sz="4" w:space="0" w:color="FF8855" w:themeColor="accent5"/>
          <w:right w:val="nil"/>
        </w:tcBorders>
      </w:tcPr>
    </w:tblStylePr>
  </w:style>
  <w:style w:type="table" w:styleId="ListTable3-Accent6">
    <w:name w:val="List Table 3 Accent 6"/>
    <w:basedOn w:val="TableNormal"/>
    <w:uiPriority w:val="48"/>
    <w:rsid w:val="00920D86"/>
    <w:pPr>
      <w:spacing w:line="240" w:lineRule="auto"/>
    </w:pPr>
    <w:tblPr>
      <w:tblStyleRowBandSize w:val="1"/>
      <w:tblStyleColBandSize w:val="1"/>
      <w:tblBorders>
        <w:top w:val="single" w:sz="4" w:space="0" w:color="E3E1D8" w:themeColor="accent6"/>
        <w:left w:val="single" w:sz="4" w:space="0" w:color="E3E1D8" w:themeColor="accent6"/>
        <w:bottom w:val="single" w:sz="4" w:space="0" w:color="E3E1D8" w:themeColor="accent6"/>
        <w:right w:val="single" w:sz="4" w:space="0" w:color="E3E1D8" w:themeColor="accent6"/>
      </w:tblBorders>
    </w:tblPr>
    <w:tblStylePr w:type="firstRow">
      <w:rPr>
        <w:b/>
        <w:bCs/>
        <w:color w:val="FFFFFF" w:themeColor="background1"/>
      </w:rPr>
      <w:tblPr/>
      <w:tcPr>
        <w:shd w:val="clear" w:color="auto" w:fill="E3E1D8" w:themeFill="accent6"/>
      </w:tcPr>
    </w:tblStylePr>
    <w:tblStylePr w:type="lastRow">
      <w:rPr>
        <w:b/>
        <w:bCs/>
      </w:rPr>
      <w:tblPr/>
      <w:tcPr>
        <w:tcBorders>
          <w:top w:val="double" w:sz="4" w:space="0" w:color="E3E1D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E1D8" w:themeColor="accent6"/>
          <w:right w:val="single" w:sz="4" w:space="0" w:color="E3E1D8" w:themeColor="accent6"/>
        </w:tcBorders>
      </w:tcPr>
    </w:tblStylePr>
    <w:tblStylePr w:type="band1Horz">
      <w:tblPr/>
      <w:tcPr>
        <w:tcBorders>
          <w:top w:val="single" w:sz="4" w:space="0" w:color="E3E1D8" w:themeColor="accent6"/>
          <w:bottom w:val="single" w:sz="4" w:space="0" w:color="E3E1D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E1D8" w:themeColor="accent6"/>
          <w:left w:val="nil"/>
        </w:tcBorders>
      </w:tcPr>
    </w:tblStylePr>
    <w:tblStylePr w:type="swCell">
      <w:tblPr/>
      <w:tcPr>
        <w:tcBorders>
          <w:top w:val="double" w:sz="4" w:space="0" w:color="E3E1D8" w:themeColor="accent6"/>
          <w:right w:val="nil"/>
        </w:tcBorders>
      </w:tcPr>
    </w:tblStylePr>
  </w:style>
  <w:style w:type="table" w:styleId="ListTable4">
    <w:name w:val="List Table 4"/>
    <w:basedOn w:val="TableNormal"/>
    <w:uiPriority w:val="49"/>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tblBorders>
    </w:tblPr>
    <w:tblStylePr w:type="firstRow">
      <w:rPr>
        <w:b/>
        <w:bCs/>
        <w:color w:val="FFFFFF" w:themeColor="background1"/>
      </w:rPr>
      <w:tblPr/>
      <w:tcPr>
        <w:tcBorders>
          <w:top w:val="single" w:sz="4" w:space="0" w:color="05326E" w:themeColor="accent1"/>
          <w:left w:val="single" w:sz="4" w:space="0" w:color="05326E" w:themeColor="accent1"/>
          <w:bottom w:val="single" w:sz="4" w:space="0" w:color="05326E" w:themeColor="accent1"/>
          <w:right w:val="single" w:sz="4" w:space="0" w:color="05326E" w:themeColor="accent1"/>
          <w:insideH w:val="nil"/>
        </w:tcBorders>
        <w:shd w:val="clear" w:color="auto" w:fill="05326E" w:themeFill="accent1"/>
      </w:tcPr>
    </w:tblStylePr>
    <w:tblStylePr w:type="lastRow">
      <w:rPr>
        <w:b/>
        <w:bCs/>
      </w:rPr>
      <w:tblPr/>
      <w:tcPr>
        <w:tcBorders>
          <w:top w:val="doub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4-Accent2">
    <w:name w:val="List Table 4 Accent 2"/>
    <w:basedOn w:val="TableNormal"/>
    <w:uiPriority w:val="49"/>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tblBorders>
    </w:tblPr>
    <w:tblStylePr w:type="firstRow">
      <w:rPr>
        <w:b/>
        <w:bCs/>
        <w:color w:val="FFFFFF" w:themeColor="background1"/>
      </w:rPr>
      <w:tblPr/>
      <w:tcPr>
        <w:tcBorders>
          <w:top w:val="single" w:sz="4" w:space="0" w:color="125A40" w:themeColor="accent2"/>
          <w:left w:val="single" w:sz="4" w:space="0" w:color="125A40" w:themeColor="accent2"/>
          <w:bottom w:val="single" w:sz="4" w:space="0" w:color="125A40" w:themeColor="accent2"/>
          <w:right w:val="single" w:sz="4" w:space="0" w:color="125A40" w:themeColor="accent2"/>
          <w:insideH w:val="nil"/>
        </w:tcBorders>
        <w:shd w:val="clear" w:color="auto" w:fill="125A40" w:themeFill="accent2"/>
      </w:tcPr>
    </w:tblStylePr>
    <w:tblStylePr w:type="lastRow">
      <w:rPr>
        <w:b/>
        <w:bCs/>
      </w:rPr>
      <w:tblPr/>
      <w:tcPr>
        <w:tcBorders>
          <w:top w:val="doub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4-Accent3">
    <w:name w:val="List Table 4 Accent 3"/>
    <w:basedOn w:val="TableNormal"/>
    <w:uiPriority w:val="49"/>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tblBorders>
    </w:tblPr>
    <w:tblStylePr w:type="firstRow">
      <w:rPr>
        <w:b/>
        <w:bCs/>
        <w:color w:val="FFFFFF" w:themeColor="background1"/>
      </w:rPr>
      <w:tblPr/>
      <w:tcPr>
        <w:tcBorders>
          <w:top w:val="single" w:sz="4" w:space="0" w:color="ADD095" w:themeColor="accent3"/>
          <w:left w:val="single" w:sz="4" w:space="0" w:color="ADD095" w:themeColor="accent3"/>
          <w:bottom w:val="single" w:sz="4" w:space="0" w:color="ADD095" w:themeColor="accent3"/>
          <w:right w:val="single" w:sz="4" w:space="0" w:color="ADD095" w:themeColor="accent3"/>
          <w:insideH w:val="nil"/>
        </w:tcBorders>
        <w:shd w:val="clear" w:color="auto" w:fill="ADD095" w:themeFill="accent3"/>
      </w:tcPr>
    </w:tblStylePr>
    <w:tblStylePr w:type="lastRow">
      <w:rPr>
        <w:b/>
        <w:bCs/>
      </w:rPr>
      <w:tblPr/>
      <w:tcPr>
        <w:tcBorders>
          <w:top w:val="doub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4-Accent4">
    <w:name w:val="List Table 4 Accent 4"/>
    <w:basedOn w:val="TableNormal"/>
    <w:uiPriority w:val="49"/>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tblBorders>
    </w:tblPr>
    <w:tblStylePr w:type="firstRow">
      <w:rPr>
        <w:b/>
        <w:bCs/>
        <w:color w:val="FFFFFF" w:themeColor="background1"/>
      </w:rPr>
      <w:tblPr/>
      <w:tcPr>
        <w:tcBorders>
          <w:top w:val="single" w:sz="4" w:space="0" w:color="62294B" w:themeColor="accent4"/>
          <w:left w:val="single" w:sz="4" w:space="0" w:color="62294B" w:themeColor="accent4"/>
          <w:bottom w:val="single" w:sz="4" w:space="0" w:color="62294B" w:themeColor="accent4"/>
          <w:right w:val="single" w:sz="4" w:space="0" w:color="62294B" w:themeColor="accent4"/>
          <w:insideH w:val="nil"/>
        </w:tcBorders>
        <w:shd w:val="clear" w:color="auto" w:fill="62294B" w:themeFill="accent4"/>
      </w:tcPr>
    </w:tblStylePr>
    <w:tblStylePr w:type="lastRow">
      <w:rPr>
        <w:b/>
        <w:bCs/>
      </w:rPr>
      <w:tblPr/>
      <w:tcPr>
        <w:tcBorders>
          <w:top w:val="doub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4-Accent5">
    <w:name w:val="List Table 4 Accent 5"/>
    <w:basedOn w:val="TableNormal"/>
    <w:uiPriority w:val="49"/>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tblBorders>
    </w:tblPr>
    <w:tblStylePr w:type="firstRow">
      <w:rPr>
        <w:b/>
        <w:bCs/>
        <w:color w:val="FFFFFF" w:themeColor="background1"/>
      </w:rPr>
      <w:tblPr/>
      <w:tcPr>
        <w:tcBorders>
          <w:top w:val="single" w:sz="4" w:space="0" w:color="FF8855" w:themeColor="accent5"/>
          <w:left w:val="single" w:sz="4" w:space="0" w:color="FF8855" w:themeColor="accent5"/>
          <w:bottom w:val="single" w:sz="4" w:space="0" w:color="FF8855" w:themeColor="accent5"/>
          <w:right w:val="single" w:sz="4" w:space="0" w:color="FF8855" w:themeColor="accent5"/>
          <w:insideH w:val="nil"/>
        </w:tcBorders>
        <w:shd w:val="clear" w:color="auto" w:fill="FF8855" w:themeFill="accent5"/>
      </w:tcPr>
    </w:tblStylePr>
    <w:tblStylePr w:type="lastRow">
      <w:rPr>
        <w:b/>
        <w:bCs/>
      </w:rPr>
      <w:tblPr/>
      <w:tcPr>
        <w:tcBorders>
          <w:top w:val="doub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4-Accent6">
    <w:name w:val="List Table 4 Accent 6"/>
    <w:basedOn w:val="TableNormal"/>
    <w:uiPriority w:val="49"/>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tblBorders>
    </w:tblPr>
    <w:tblStylePr w:type="firstRow">
      <w:rPr>
        <w:b/>
        <w:bCs/>
        <w:color w:val="FFFFFF" w:themeColor="background1"/>
      </w:rPr>
      <w:tblPr/>
      <w:tcPr>
        <w:tcBorders>
          <w:top w:val="single" w:sz="4" w:space="0" w:color="E3E1D8" w:themeColor="accent6"/>
          <w:left w:val="single" w:sz="4" w:space="0" w:color="E3E1D8" w:themeColor="accent6"/>
          <w:bottom w:val="single" w:sz="4" w:space="0" w:color="E3E1D8" w:themeColor="accent6"/>
          <w:right w:val="single" w:sz="4" w:space="0" w:color="E3E1D8" w:themeColor="accent6"/>
          <w:insideH w:val="nil"/>
        </w:tcBorders>
        <w:shd w:val="clear" w:color="auto" w:fill="E3E1D8" w:themeFill="accent6"/>
      </w:tcPr>
    </w:tblStylePr>
    <w:tblStylePr w:type="lastRow">
      <w:rPr>
        <w:b/>
        <w:bCs/>
      </w:rPr>
      <w:tblPr/>
      <w:tcPr>
        <w:tcBorders>
          <w:top w:val="doub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5Dark">
    <w:name w:val="List Table 5 Dark"/>
    <w:basedOn w:val="TableNormal"/>
    <w:uiPriority w:val="50"/>
    <w:rsid w:val="00920D8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20D86"/>
    <w:pPr>
      <w:spacing w:line="240" w:lineRule="auto"/>
    </w:pPr>
    <w:rPr>
      <w:color w:val="FFFFFF" w:themeColor="background1"/>
    </w:rPr>
    <w:tblPr>
      <w:tblStyleRowBandSize w:val="1"/>
      <w:tblStyleColBandSize w:val="1"/>
      <w:tblBorders>
        <w:top w:val="single" w:sz="24" w:space="0" w:color="05326E" w:themeColor="accent1"/>
        <w:left w:val="single" w:sz="24" w:space="0" w:color="05326E" w:themeColor="accent1"/>
        <w:bottom w:val="single" w:sz="24" w:space="0" w:color="05326E" w:themeColor="accent1"/>
        <w:right w:val="single" w:sz="24" w:space="0" w:color="05326E" w:themeColor="accent1"/>
      </w:tblBorders>
    </w:tblPr>
    <w:tcPr>
      <w:shd w:val="clear" w:color="auto" w:fill="05326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20D86"/>
    <w:pPr>
      <w:spacing w:line="240" w:lineRule="auto"/>
    </w:pPr>
    <w:rPr>
      <w:color w:val="FFFFFF" w:themeColor="background1"/>
    </w:rPr>
    <w:tblPr>
      <w:tblStyleRowBandSize w:val="1"/>
      <w:tblStyleColBandSize w:val="1"/>
      <w:tblBorders>
        <w:top w:val="single" w:sz="24" w:space="0" w:color="125A40" w:themeColor="accent2"/>
        <w:left w:val="single" w:sz="24" w:space="0" w:color="125A40" w:themeColor="accent2"/>
        <w:bottom w:val="single" w:sz="24" w:space="0" w:color="125A40" w:themeColor="accent2"/>
        <w:right w:val="single" w:sz="24" w:space="0" w:color="125A40" w:themeColor="accent2"/>
      </w:tblBorders>
    </w:tblPr>
    <w:tcPr>
      <w:shd w:val="clear" w:color="auto" w:fill="125A4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20D86"/>
    <w:pPr>
      <w:spacing w:line="240" w:lineRule="auto"/>
    </w:pPr>
    <w:rPr>
      <w:color w:val="FFFFFF" w:themeColor="background1"/>
    </w:rPr>
    <w:tblPr>
      <w:tblStyleRowBandSize w:val="1"/>
      <w:tblStyleColBandSize w:val="1"/>
      <w:tblBorders>
        <w:top w:val="single" w:sz="24" w:space="0" w:color="ADD095" w:themeColor="accent3"/>
        <w:left w:val="single" w:sz="24" w:space="0" w:color="ADD095" w:themeColor="accent3"/>
        <w:bottom w:val="single" w:sz="24" w:space="0" w:color="ADD095" w:themeColor="accent3"/>
        <w:right w:val="single" w:sz="24" w:space="0" w:color="ADD095" w:themeColor="accent3"/>
      </w:tblBorders>
    </w:tblPr>
    <w:tcPr>
      <w:shd w:val="clear" w:color="auto" w:fill="ADD09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20D86"/>
    <w:pPr>
      <w:spacing w:line="240" w:lineRule="auto"/>
    </w:pPr>
    <w:rPr>
      <w:color w:val="FFFFFF" w:themeColor="background1"/>
    </w:rPr>
    <w:tblPr>
      <w:tblStyleRowBandSize w:val="1"/>
      <w:tblStyleColBandSize w:val="1"/>
      <w:tblBorders>
        <w:top w:val="single" w:sz="24" w:space="0" w:color="62294B" w:themeColor="accent4"/>
        <w:left w:val="single" w:sz="24" w:space="0" w:color="62294B" w:themeColor="accent4"/>
        <w:bottom w:val="single" w:sz="24" w:space="0" w:color="62294B" w:themeColor="accent4"/>
        <w:right w:val="single" w:sz="24" w:space="0" w:color="62294B" w:themeColor="accent4"/>
      </w:tblBorders>
    </w:tblPr>
    <w:tcPr>
      <w:shd w:val="clear" w:color="auto" w:fill="62294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20D86"/>
    <w:pPr>
      <w:spacing w:line="240" w:lineRule="auto"/>
    </w:pPr>
    <w:rPr>
      <w:color w:val="FFFFFF" w:themeColor="background1"/>
    </w:rPr>
    <w:tblPr>
      <w:tblStyleRowBandSize w:val="1"/>
      <w:tblStyleColBandSize w:val="1"/>
      <w:tblBorders>
        <w:top w:val="single" w:sz="24" w:space="0" w:color="FF8855" w:themeColor="accent5"/>
        <w:left w:val="single" w:sz="24" w:space="0" w:color="FF8855" w:themeColor="accent5"/>
        <w:bottom w:val="single" w:sz="24" w:space="0" w:color="FF8855" w:themeColor="accent5"/>
        <w:right w:val="single" w:sz="24" w:space="0" w:color="FF8855" w:themeColor="accent5"/>
      </w:tblBorders>
    </w:tblPr>
    <w:tcPr>
      <w:shd w:val="clear" w:color="auto" w:fill="FF885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20D86"/>
    <w:pPr>
      <w:spacing w:line="240" w:lineRule="auto"/>
    </w:pPr>
    <w:rPr>
      <w:color w:val="FFFFFF" w:themeColor="background1"/>
    </w:rPr>
    <w:tblPr>
      <w:tblStyleRowBandSize w:val="1"/>
      <w:tblStyleColBandSize w:val="1"/>
      <w:tblBorders>
        <w:top w:val="single" w:sz="24" w:space="0" w:color="E3E1D8" w:themeColor="accent6"/>
        <w:left w:val="single" w:sz="24" w:space="0" w:color="E3E1D8" w:themeColor="accent6"/>
        <w:bottom w:val="single" w:sz="24" w:space="0" w:color="E3E1D8" w:themeColor="accent6"/>
        <w:right w:val="single" w:sz="24" w:space="0" w:color="E3E1D8" w:themeColor="accent6"/>
      </w:tblBorders>
    </w:tblPr>
    <w:tcPr>
      <w:shd w:val="clear" w:color="auto" w:fill="E3E1D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20D8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20D86"/>
    <w:pPr>
      <w:spacing w:line="240" w:lineRule="auto"/>
    </w:pPr>
    <w:rPr>
      <w:color w:val="032552" w:themeColor="accent1" w:themeShade="BF"/>
    </w:rPr>
    <w:tblPr>
      <w:tblStyleRowBandSize w:val="1"/>
      <w:tblStyleColBandSize w:val="1"/>
      <w:tblBorders>
        <w:top w:val="single" w:sz="4" w:space="0" w:color="05326E" w:themeColor="accent1"/>
        <w:bottom w:val="single" w:sz="4" w:space="0" w:color="05326E" w:themeColor="accent1"/>
      </w:tblBorders>
    </w:tblPr>
    <w:tblStylePr w:type="firstRow">
      <w:rPr>
        <w:b/>
        <w:bCs/>
      </w:rPr>
      <w:tblPr/>
      <w:tcPr>
        <w:tcBorders>
          <w:bottom w:val="single" w:sz="4" w:space="0" w:color="05326E" w:themeColor="accent1"/>
        </w:tcBorders>
      </w:tcPr>
    </w:tblStylePr>
    <w:tblStylePr w:type="lastRow">
      <w:rPr>
        <w:b/>
        <w:bCs/>
      </w:rPr>
      <w:tblPr/>
      <w:tcPr>
        <w:tcBorders>
          <w:top w:val="double" w:sz="4" w:space="0" w:color="05326E" w:themeColor="accent1"/>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6Colorful-Accent2">
    <w:name w:val="List Table 6 Colorful Accent 2"/>
    <w:basedOn w:val="TableNormal"/>
    <w:uiPriority w:val="51"/>
    <w:rsid w:val="00920D86"/>
    <w:pPr>
      <w:spacing w:line="240" w:lineRule="auto"/>
    </w:pPr>
    <w:rPr>
      <w:color w:val="0D432F" w:themeColor="accent2" w:themeShade="BF"/>
    </w:rPr>
    <w:tblPr>
      <w:tblStyleRowBandSize w:val="1"/>
      <w:tblStyleColBandSize w:val="1"/>
      <w:tblBorders>
        <w:top w:val="single" w:sz="4" w:space="0" w:color="125A40" w:themeColor="accent2"/>
        <w:bottom w:val="single" w:sz="4" w:space="0" w:color="125A40" w:themeColor="accent2"/>
      </w:tblBorders>
    </w:tblPr>
    <w:tblStylePr w:type="firstRow">
      <w:rPr>
        <w:b/>
        <w:bCs/>
      </w:rPr>
      <w:tblPr/>
      <w:tcPr>
        <w:tcBorders>
          <w:bottom w:val="single" w:sz="4" w:space="0" w:color="125A40" w:themeColor="accent2"/>
        </w:tcBorders>
      </w:tcPr>
    </w:tblStylePr>
    <w:tblStylePr w:type="lastRow">
      <w:rPr>
        <w:b/>
        <w:bCs/>
      </w:rPr>
      <w:tblPr/>
      <w:tcPr>
        <w:tcBorders>
          <w:top w:val="double" w:sz="4" w:space="0" w:color="125A40" w:themeColor="accent2"/>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6Colorful-Accent3">
    <w:name w:val="List Table 6 Colorful Accent 3"/>
    <w:basedOn w:val="TableNormal"/>
    <w:uiPriority w:val="51"/>
    <w:rsid w:val="00920D86"/>
    <w:pPr>
      <w:spacing w:line="240" w:lineRule="auto"/>
    </w:pPr>
    <w:rPr>
      <w:color w:val="7CB456" w:themeColor="accent3" w:themeShade="BF"/>
    </w:rPr>
    <w:tblPr>
      <w:tblStyleRowBandSize w:val="1"/>
      <w:tblStyleColBandSize w:val="1"/>
      <w:tblBorders>
        <w:top w:val="single" w:sz="4" w:space="0" w:color="ADD095" w:themeColor="accent3"/>
        <w:bottom w:val="single" w:sz="4" w:space="0" w:color="ADD095" w:themeColor="accent3"/>
      </w:tblBorders>
    </w:tblPr>
    <w:tblStylePr w:type="firstRow">
      <w:rPr>
        <w:b/>
        <w:bCs/>
      </w:rPr>
      <w:tblPr/>
      <w:tcPr>
        <w:tcBorders>
          <w:bottom w:val="single" w:sz="4" w:space="0" w:color="ADD095" w:themeColor="accent3"/>
        </w:tcBorders>
      </w:tcPr>
    </w:tblStylePr>
    <w:tblStylePr w:type="lastRow">
      <w:rPr>
        <w:b/>
        <w:bCs/>
      </w:rPr>
      <w:tblPr/>
      <w:tcPr>
        <w:tcBorders>
          <w:top w:val="double" w:sz="4" w:space="0" w:color="ADD095" w:themeColor="accent3"/>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6Colorful-Accent4">
    <w:name w:val="List Table 6 Colorful Accent 4"/>
    <w:basedOn w:val="TableNormal"/>
    <w:uiPriority w:val="51"/>
    <w:rsid w:val="00920D86"/>
    <w:pPr>
      <w:spacing w:line="240" w:lineRule="auto"/>
    </w:pPr>
    <w:rPr>
      <w:color w:val="491E38" w:themeColor="accent4" w:themeShade="BF"/>
    </w:rPr>
    <w:tblPr>
      <w:tblStyleRowBandSize w:val="1"/>
      <w:tblStyleColBandSize w:val="1"/>
      <w:tblBorders>
        <w:top w:val="single" w:sz="4" w:space="0" w:color="62294B" w:themeColor="accent4"/>
        <w:bottom w:val="single" w:sz="4" w:space="0" w:color="62294B" w:themeColor="accent4"/>
      </w:tblBorders>
    </w:tblPr>
    <w:tblStylePr w:type="firstRow">
      <w:rPr>
        <w:b/>
        <w:bCs/>
      </w:rPr>
      <w:tblPr/>
      <w:tcPr>
        <w:tcBorders>
          <w:bottom w:val="single" w:sz="4" w:space="0" w:color="62294B" w:themeColor="accent4"/>
        </w:tcBorders>
      </w:tcPr>
    </w:tblStylePr>
    <w:tblStylePr w:type="lastRow">
      <w:rPr>
        <w:b/>
        <w:bCs/>
      </w:rPr>
      <w:tblPr/>
      <w:tcPr>
        <w:tcBorders>
          <w:top w:val="double" w:sz="4" w:space="0" w:color="62294B" w:themeColor="accent4"/>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6Colorful-Accent5">
    <w:name w:val="List Table 6 Colorful Accent 5"/>
    <w:basedOn w:val="TableNormal"/>
    <w:uiPriority w:val="51"/>
    <w:rsid w:val="00920D86"/>
    <w:pPr>
      <w:spacing w:line="240" w:lineRule="auto"/>
    </w:pPr>
    <w:rPr>
      <w:color w:val="FE4B00" w:themeColor="accent5" w:themeShade="BF"/>
    </w:rPr>
    <w:tblPr>
      <w:tblStyleRowBandSize w:val="1"/>
      <w:tblStyleColBandSize w:val="1"/>
      <w:tblBorders>
        <w:top w:val="single" w:sz="4" w:space="0" w:color="FF8855" w:themeColor="accent5"/>
        <w:bottom w:val="single" w:sz="4" w:space="0" w:color="FF8855" w:themeColor="accent5"/>
      </w:tblBorders>
    </w:tblPr>
    <w:tblStylePr w:type="firstRow">
      <w:rPr>
        <w:b/>
        <w:bCs/>
      </w:rPr>
      <w:tblPr/>
      <w:tcPr>
        <w:tcBorders>
          <w:bottom w:val="single" w:sz="4" w:space="0" w:color="FF8855" w:themeColor="accent5"/>
        </w:tcBorders>
      </w:tcPr>
    </w:tblStylePr>
    <w:tblStylePr w:type="lastRow">
      <w:rPr>
        <w:b/>
        <w:bCs/>
      </w:rPr>
      <w:tblPr/>
      <w:tcPr>
        <w:tcBorders>
          <w:top w:val="double" w:sz="4" w:space="0" w:color="FF8855" w:themeColor="accent5"/>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6Colorful-Accent6">
    <w:name w:val="List Table 6 Colorful Accent 6"/>
    <w:basedOn w:val="TableNormal"/>
    <w:uiPriority w:val="51"/>
    <w:rsid w:val="00920D86"/>
    <w:pPr>
      <w:spacing w:line="240" w:lineRule="auto"/>
    </w:pPr>
    <w:rPr>
      <w:color w:val="B4AF97" w:themeColor="accent6" w:themeShade="BF"/>
    </w:rPr>
    <w:tblPr>
      <w:tblStyleRowBandSize w:val="1"/>
      <w:tblStyleColBandSize w:val="1"/>
      <w:tblBorders>
        <w:top w:val="single" w:sz="4" w:space="0" w:color="E3E1D8" w:themeColor="accent6"/>
        <w:bottom w:val="single" w:sz="4" w:space="0" w:color="E3E1D8" w:themeColor="accent6"/>
      </w:tblBorders>
    </w:tblPr>
    <w:tblStylePr w:type="firstRow">
      <w:rPr>
        <w:b/>
        <w:bCs/>
      </w:rPr>
      <w:tblPr/>
      <w:tcPr>
        <w:tcBorders>
          <w:bottom w:val="single" w:sz="4" w:space="0" w:color="E3E1D8" w:themeColor="accent6"/>
        </w:tcBorders>
      </w:tcPr>
    </w:tblStylePr>
    <w:tblStylePr w:type="lastRow">
      <w:rPr>
        <w:b/>
        <w:bCs/>
      </w:rPr>
      <w:tblPr/>
      <w:tcPr>
        <w:tcBorders>
          <w:top w:val="double" w:sz="4" w:space="0" w:color="E3E1D8" w:themeColor="accent6"/>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7Colorful">
    <w:name w:val="List Table 7 Colorful"/>
    <w:basedOn w:val="TableNormal"/>
    <w:uiPriority w:val="52"/>
    <w:rsid w:val="00920D8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20D86"/>
    <w:pPr>
      <w:spacing w:line="240" w:lineRule="auto"/>
    </w:pPr>
    <w:rPr>
      <w:color w:val="032552"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5326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5326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5326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5326E" w:themeColor="accent1"/>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20D86"/>
    <w:pPr>
      <w:spacing w:line="240" w:lineRule="auto"/>
    </w:pPr>
    <w:rPr>
      <w:color w:val="0D432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25A4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25A4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25A4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25A40" w:themeColor="accent2"/>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20D86"/>
    <w:pPr>
      <w:spacing w:line="240" w:lineRule="auto"/>
    </w:pPr>
    <w:rPr>
      <w:color w:val="7CB45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09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09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09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095" w:themeColor="accent3"/>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20D86"/>
    <w:pPr>
      <w:spacing w:line="240" w:lineRule="auto"/>
    </w:pPr>
    <w:rPr>
      <w:color w:val="491E3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294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294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294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294B" w:themeColor="accent4"/>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20D86"/>
    <w:pPr>
      <w:spacing w:line="240" w:lineRule="auto"/>
    </w:pPr>
    <w:rPr>
      <w:color w:val="FE4B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85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85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85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855" w:themeColor="accent5"/>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20D86"/>
    <w:pPr>
      <w:spacing w:line="240" w:lineRule="auto"/>
    </w:pPr>
    <w:rPr>
      <w:color w:val="B4AF9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3E1D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3E1D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3E1D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3E1D8" w:themeColor="accent6"/>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20D86"/>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920D86"/>
    <w:rPr>
      <w:rFonts w:ascii="Consolas" w:hAnsi="Consolas"/>
      <w:sz w:val="20"/>
      <w:szCs w:val="20"/>
      <w:lang w:val="en-US"/>
    </w:rPr>
  </w:style>
  <w:style w:type="table" w:styleId="MediumGrid1">
    <w:name w:val="Medium Grid 1"/>
    <w:basedOn w:val="TableNormal"/>
    <w:uiPriority w:val="67"/>
    <w:semiHidden/>
    <w:unhideWhenUsed/>
    <w:rsid w:val="00920D8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20D86"/>
    <w:pPr>
      <w:spacing w:line="240" w:lineRule="auto"/>
    </w:pPr>
    <w:tblPr>
      <w:tblStyleRowBandSize w:val="1"/>
      <w:tblStyleColBandSize w:val="1"/>
      <w:tbl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single" w:sz="8" w:space="0" w:color="095CCC" w:themeColor="accent1" w:themeTint="BF"/>
        <w:insideV w:val="single" w:sz="8" w:space="0" w:color="095CCC" w:themeColor="accent1" w:themeTint="BF"/>
      </w:tblBorders>
    </w:tblPr>
    <w:tcPr>
      <w:shd w:val="clear" w:color="auto" w:fill="A1C7FA" w:themeFill="accent1" w:themeFillTint="3F"/>
    </w:tcPr>
    <w:tblStylePr w:type="firstRow">
      <w:rPr>
        <w:b/>
        <w:bCs/>
      </w:rPr>
    </w:tblStylePr>
    <w:tblStylePr w:type="lastRow">
      <w:rPr>
        <w:b/>
        <w:bCs/>
      </w:rPr>
      <w:tblPr/>
      <w:tcPr>
        <w:tcBorders>
          <w:top w:val="single" w:sz="18" w:space="0" w:color="095CCC" w:themeColor="accent1" w:themeTint="BF"/>
        </w:tcBorders>
      </w:tcPr>
    </w:tblStylePr>
    <w:tblStylePr w:type="firstCol">
      <w:rPr>
        <w:b/>
        <w:bCs/>
      </w:rPr>
    </w:tblStylePr>
    <w:tblStylePr w:type="lastCol">
      <w:rPr>
        <w:b/>
        <w:bCs/>
      </w:rPr>
    </w:tblStylePr>
    <w:tblStylePr w:type="band1Vert">
      <w:tblPr/>
      <w:tcPr>
        <w:shd w:val="clear" w:color="auto" w:fill="428FF6" w:themeFill="accent1" w:themeFillTint="7F"/>
      </w:tcPr>
    </w:tblStylePr>
    <w:tblStylePr w:type="band1Horz">
      <w:tblPr/>
      <w:tcPr>
        <w:shd w:val="clear" w:color="auto" w:fill="428FF6" w:themeFill="accent1" w:themeFillTint="7F"/>
      </w:tcPr>
    </w:tblStylePr>
  </w:style>
  <w:style w:type="table" w:styleId="MediumGrid1-Accent2">
    <w:name w:val="Medium Grid 1 Accent 2"/>
    <w:basedOn w:val="TableNormal"/>
    <w:uiPriority w:val="67"/>
    <w:semiHidden/>
    <w:unhideWhenUsed/>
    <w:rsid w:val="00920D86"/>
    <w:pPr>
      <w:spacing w:line="240" w:lineRule="auto"/>
    </w:pPr>
    <w:tblPr>
      <w:tblStyleRowBandSize w:val="1"/>
      <w:tblStyleColBandSize w:val="1"/>
      <w:tbl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single" w:sz="8" w:space="0" w:color="22AD7B" w:themeColor="accent2" w:themeTint="BF"/>
        <w:insideV w:val="single" w:sz="8" w:space="0" w:color="22AD7B" w:themeColor="accent2" w:themeTint="BF"/>
      </w:tblBorders>
    </w:tblPr>
    <w:tcPr>
      <w:shd w:val="clear" w:color="auto" w:fill="ACEED6" w:themeFill="accent2" w:themeFillTint="3F"/>
    </w:tcPr>
    <w:tblStylePr w:type="firstRow">
      <w:rPr>
        <w:b/>
        <w:bCs/>
      </w:rPr>
    </w:tblStylePr>
    <w:tblStylePr w:type="lastRow">
      <w:rPr>
        <w:b/>
        <w:bCs/>
      </w:rPr>
      <w:tblPr/>
      <w:tcPr>
        <w:tcBorders>
          <w:top w:val="single" w:sz="18" w:space="0" w:color="22AD7B" w:themeColor="accent2" w:themeTint="BF"/>
        </w:tcBorders>
      </w:tcPr>
    </w:tblStylePr>
    <w:tblStylePr w:type="firstCol">
      <w:rPr>
        <w:b/>
        <w:bCs/>
      </w:rPr>
    </w:tblStylePr>
    <w:tblStylePr w:type="lastCol">
      <w:rPr>
        <w:b/>
        <w:bCs/>
      </w:rPr>
    </w:tblStylePr>
    <w:tblStylePr w:type="band1Vert">
      <w:tblPr/>
      <w:tcPr>
        <w:shd w:val="clear" w:color="auto" w:fill="58DDAC" w:themeFill="accent2" w:themeFillTint="7F"/>
      </w:tcPr>
    </w:tblStylePr>
    <w:tblStylePr w:type="band1Horz">
      <w:tblPr/>
      <w:tcPr>
        <w:shd w:val="clear" w:color="auto" w:fill="58DDAC" w:themeFill="accent2" w:themeFillTint="7F"/>
      </w:tcPr>
    </w:tblStylePr>
  </w:style>
  <w:style w:type="table" w:styleId="MediumGrid1-Accent3">
    <w:name w:val="Medium Grid 1 Accent 3"/>
    <w:basedOn w:val="TableNormal"/>
    <w:uiPriority w:val="67"/>
    <w:semiHidden/>
    <w:unhideWhenUsed/>
    <w:rsid w:val="00920D86"/>
    <w:pPr>
      <w:spacing w:line="240" w:lineRule="auto"/>
    </w:pPr>
    <w:tblPr>
      <w:tblStyleRowBandSize w:val="1"/>
      <w:tblStyleColBandSize w:val="1"/>
      <w:tbl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single" w:sz="8" w:space="0" w:color="C1DBAF" w:themeColor="accent3" w:themeTint="BF"/>
        <w:insideV w:val="single" w:sz="8" w:space="0" w:color="C1DBAF" w:themeColor="accent3" w:themeTint="BF"/>
      </w:tblBorders>
    </w:tblPr>
    <w:tcPr>
      <w:shd w:val="clear" w:color="auto" w:fill="EAF3E4" w:themeFill="accent3" w:themeFillTint="3F"/>
    </w:tcPr>
    <w:tblStylePr w:type="firstRow">
      <w:rPr>
        <w:b/>
        <w:bCs/>
      </w:rPr>
    </w:tblStylePr>
    <w:tblStylePr w:type="lastRow">
      <w:rPr>
        <w:b/>
        <w:bCs/>
      </w:rPr>
      <w:tblPr/>
      <w:tcPr>
        <w:tcBorders>
          <w:top w:val="single" w:sz="18" w:space="0" w:color="C1DBAF" w:themeColor="accent3" w:themeTint="BF"/>
        </w:tcBorders>
      </w:tcPr>
    </w:tblStylePr>
    <w:tblStylePr w:type="firstCol">
      <w:rPr>
        <w:b/>
        <w:bCs/>
      </w:rPr>
    </w:tblStylePr>
    <w:tblStylePr w:type="lastCol">
      <w:rPr>
        <w:b/>
        <w:bCs/>
      </w:rPr>
    </w:tblStylePr>
    <w:tblStylePr w:type="band1Vert">
      <w:tblPr/>
      <w:tcPr>
        <w:shd w:val="clear" w:color="auto" w:fill="D5E7CA" w:themeFill="accent3" w:themeFillTint="7F"/>
      </w:tcPr>
    </w:tblStylePr>
    <w:tblStylePr w:type="band1Horz">
      <w:tblPr/>
      <w:tcPr>
        <w:shd w:val="clear" w:color="auto" w:fill="D5E7CA" w:themeFill="accent3" w:themeFillTint="7F"/>
      </w:tcPr>
    </w:tblStylePr>
  </w:style>
  <w:style w:type="table" w:styleId="MediumGrid1-Accent4">
    <w:name w:val="Medium Grid 1 Accent 4"/>
    <w:basedOn w:val="TableNormal"/>
    <w:uiPriority w:val="67"/>
    <w:semiHidden/>
    <w:unhideWhenUsed/>
    <w:rsid w:val="00920D86"/>
    <w:pPr>
      <w:spacing w:line="240" w:lineRule="auto"/>
    </w:pPr>
    <w:tblPr>
      <w:tblStyleRowBandSize w:val="1"/>
      <w:tblStyleColBandSize w:val="1"/>
      <w:tbl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single" w:sz="8" w:space="0" w:color="A3447D" w:themeColor="accent4" w:themeTint="BF"/>
        <w:insideV w:val="single" w:sz="8" w:space="0" w:color="A3447D" w:themeColor="accent4" w:themeTint="BF"/>
      </w:tblBorders>
    </w:tblPr>
    <w:tcPr>
      <w:shd w:val="clear" w:color="auto" w:fill="E4BED4" w:themeFill="accent4" w:themeFillTint="3F"/>
    </w:tcPr>
    <w:tblStylePr w:type="firstRow">
      <w:rPr>
        <w:b/>
        <w:bCs/>
      </w:rPr>
    </w:tblStylePr>
    <w:tblStylePr w:type="lastRow">
      <w:rPr>
        <w:b/>
        <w:bCs/>
      </w:rPr>
      <w:tblPr/>
      <w:tcPr>
        <w:tcBorders>
          <w:top w:val="single" w:sz="18" w:space="0" w:color="A3447D" w:themeColor="accent4" w:themeTint="BF"/>
        </w:tcBorders>
      </w:tcPr>
    </w:tblStylePr>
    <w:tblStylePr w:type="firstCol">
      <w:rPr>
        <w:b/>
        <w:bCs/>
      </w:rPr>
    </w:tblStylePr>
    <w:tblStylePr w:type="lastCol">
      <w:rPr>
        <w:b/>
        <w:bCs/>
      </w:rPr>
    </w:tblStylePr>
    <w:tblStylePr w:type="band1Vert">
      <w:tblPr/>
      <w:tcPr>
        <w:shd w:val="clear" w:color="auto" w:fill="C87CA9" w:themeFill="accent4" w:themeFillTint="7F"/>
      </w:tcPr>
    </w:tblStylePr>
    <w:tblStylePr w:type="band1Horz">
      <w:tblPr/>
      <w:tcPr>
        <w:shd w:val="clear" w:color="auto" w:fill="C87CA9" w:themeFill="accent4" w:themeFillTint="7F"/>
      </w:tcPr>
    </w:tblStylePr>
  </w:style>
  <w:style w:type="table" w:styleId="MediumGrid1-Accent5">
    <w:name w:val="Medium Grid 1 Accent 5"/>
    <w:basedOn w:val="TableNormal"/>
    <w:uiPriority w:val="67"/>
    <w:semiHidden/>
    <w:unhideWhenUsed/>
    <w:rsid w:val="00920D86"/>
    <w:pPr>
      <w:spacing w:line="240" w:lineRule="auto"/>
    </w:pPr>
    <w:tblPr>
      <w:tblStyleRowBandSize w:val="1"/>
      <w:tblStyleColBandSize w:val="1"/>
      <w:tbl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single" w:sz="8" w:space="0" w:color="FFA57F" w:themeColor="accent5" w:themeTint="BF"/>
        <w:insideV w:val="single" w:sz="8" w:space="0" w:color="FFA57F" w:themeColor="accent5" w:themeTint="BF"/>
      </w:tblBorders>
    </w:tblPr>
    <w:tcPr>
      <w:shd w:val="clear" w:color="auto" w:fill="FFE1D5" w:themeFill="accent5" w:themeFillTint="3F"/>
    </w:tcPr>
    <w:tblStylePr w:type="firstRow">
      <w:rPr>
        <w:b/>
        <w:bCs/>
      </w:rPr>
    </w:tblStylePr>
    <w:tblStylePr w:type="lastRow">
      <w:rPr>
        <w:b/>
        <w:bCs/>
      </w:rPr>
      <w:tblPr/>
      <w:tcPr>
        <w:tcBorders>
          <w:top w:val="single" w:sz="18" w:space="0" w:color="FFA57F" w:themeColor="accent5" w:themeTint="BF"/>
        </w:tcBorders>
      </w:tcPr>
    </w:tblStylePr>
    <w:tblStylePr w:type="firstCol">
      <w:rPr>
        <w:b/>
        <w:bCs/>
      </w:rPr>
    </w:tblStylePr>
    <w:tblStylePr w:type="lastCol">
      <w:rPr>
        <w:b/>
        <w:bCs/>
      </w:rPr>
    </w:tblStylePr>
    <w:tblStylePr w:type="band1Vert">
      <w:tblPr/>
      <w:tcPr>
        <w:shd w:val="clear" w:color="auto" w:fill="FFC3AA" w:themeFill="accent5" w:themeFillTint="7F"/>
      </w:tcPr>
    </w:tblStylePr>
    <w:tblStylePr w:type="band1Horz">
      <w:tblPr/>
      <w:tcPr>
        <w:shd w:val="clear" w:color="auto" w:fill="FFC3AA" w:themeFill="accent5" w:themeFillTint="7F"/>
      </w:tcPr>
    </w:tblStylePr>
  </w:style>
  <w:style w:type="table" w:styleId="MediumGrid1-Accent6">
    <w:name w:val="Medium Grid 1 Accent 6"/>
    <w:basedOn w:val="TableNormal"/>
    <w:uiPriority w:val="67"/>
    <w:semiHidden/>
    <w:unhideWhenUsed/>
    <w:rsid w:val="00920D86"/>
    <w:pPr>
      <w:spacing w:line="240" w:lineRule="auto"/>
    </w:pPr>
    <w:tblPr>
      <w:tblStyleRowBandSize w:val="1"/>
      <w:tblStyleColBandSize w:val="1"/>
      <w:tbl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single" w:sz="8" w:space="0" w:color="EAE8E1" w:themeColor="accent6" w:themeTint="BF"/>
        <w:insideV w:val="single" w:sz="8" w:space="0" w:color="EAE8E1" w:themeColor="accent6" w:themeTint="BF"/>
      </w:tblBorders>
    </w:tblPr>
    <w:tcPr>
      <w:shd w:val="clear" w:color="auto" w:fill="F8F7F5" w:themeFill="accent6" w:themeFillTint="3F"/>
    </w:tcPr>
    <w:tblStylePr w:type="firstRow">
      <w:rPr>
        <w:b/>
        <w:bCs/>
      </w:rPr>
    </w:tblStylePr>
    <w:tblStylePr w:type="lastRow">
      <w:rPr>
        <w:b/>
        <w:bCs/>
      </w:rPr>
      <w:tblPr/>
      <w:tcPr>
        <w:tcBorders>
          <w:top w:val="single" w:sz="18" w:space="0" w:color="EAE8E1" w:themeColor="accent6" w:themeTint="BF"/>
        </w:tcBorders>
      </w:tcPr>
    </w:tblStylePr>
    <w:tblStylePr w:type="firstCol">
      <w:rPr>
        <w:b/>
        <w:bCs/>
      </w:rPr>
    </w:tblStylePr>
    <w:tblStylePr w:type="lastCol">
      <w:rPr>
        <w:b/>
        <w:bCs/>
      </w:rPr>
    </w:tblStylePr>
    <w:tblStylePr w:type="band1Vert">
      <w:tblPr/>
      <w:tcPr>
        <w:shd w:val="clear" w:color="auto" w:fill="F1EFEB" w:themeFill="accent6" w:themeFillTint="7F"/>
      </w:tcPr>
    </w:tblStylePr>
    <w:tblStylePr w:type="band1Horz">
      <w:tblPr/>
      <w:tcPr>
        <w:shd w:val="clear" w:color="auto" w:fill="F1EFEB" w:themeFill="accent6" w:themeFillTint="7F"/>
      </w:tcPr>
    </w:tblStylePr>
  </w:style>
  <w:style w:type="table" w:styleId="MediumGrid2">
    <w:name w:val="Medium Grid 2"/>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insideH w:val="single" w:sz="8" w:space="0" w:color="05326E" w:themeColor="accent1"/>
        <w:insideV w:val="single" w:sz="8" w:space="0" w:color="05326E" w:themeColor="accent1"/>
      </w:tblBorders>
    </w:tblPr>
    <w:tcPr>
      <w:shd w:val="clear" w:color="auto" w:fill="A1C7FA" w:themeFill="accent1" w:themeFillTint="3F"/>
    </w:tcPr>
    <w:tblStylePr w:type="firstRow">
      <w:rPr>
        <w:b/>
        <w:bCs/>
        <w:color w:val="000000" w:themeColor="text1"/>
      </w:rPr>
      <w:tblPr/>
      <w:tcPr>
        <w:shd w:val="clear" w:color="auto" w:fill="D9E8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D2FB" w:themeFill="accent1" w:themeFillTint="33"/>
      </w:tcPr>
    </w:tblStylePr>
    <w:tblStylePr w:type="band1Vert">
      <w:tblPr/>
      <w:tcPr>
        <w:shd w:val="clear" w:color="auto" w:fill="428FF6" w:themeFill="accent1" w:themeFillTint="7F"/>
      </w:tcPr>
    </w:tblStylePr>
    <w:tblStylePr w:type="band1Horz">
      <w:tblPr/>
      <w:tcPr>
        <w:tcBorders>
          <w:insideH w:val="single" w:sz="6" w:space="0" w:color="05326E" w:themeColor="accent1"/>
          <w:insideV w:val="single" w:sz="6" w:space="0" w:color="05326E" w:themeColor="accent1"/>
        </w:tcBorders>
        <w:shd w:val="clear" w:color="auto" w:fill="428FF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insideH w:val="single" w:sz="8" w:space="0" w:color="125A40" w:themeColor="accent2"/>
        <w:insideV w:val="single" w:sz="8" w:space="0" w:color="125A40" w:themeColor="accent2"/>
      </w:tblBorders>
    </w:tblPr>
    <w:tcPr>
      <w:shd w:val="clear" w:color="auto" w:fill="ACEED6" w:themeFill="accent2" w:themeFillTint="3F"/>
    </w:tcPr>
    <w:tblStylePr w:type="firstRow">
      <w:rPr>
        <w:b/>
        <w:bCs/>
        <w:color w:val="000000" w:themeColor="text1"/>
      </w:rPr>
      <w:tblPr/>
      <w:tcPr>
        <w:shd w:val="clear" w:color="auto" w:fill="DDF8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F1DD" w:themeFill="accent2" w:themeFillTint="33"/>
      </w:tcPr>
    </w:tblStylePr>
    <w:tblStylePr w:type="band1Vert">
      <w:tblPr/>
      <w:tcPr>
        <w:shd w:val="clear" w:color="auto" w:fill="58DDAC" w:themeFill="accent2" w:themeFillTint="7F"/>
      </w:tcPr>
    </w:tblStylePr>
    <w:tblStylePr w:type="band1Horz">
      <w:tblPr/>
      <w:tcPr>
        <w:tcBorders>
          <w:insideH w:val="single" w:sz="6" w:space="0" w:color="125A40" w:themeColor="accent2"/>
          <w:insideV w:val="single" w:sz="6" w:space="0" w:color="125A40" w:themeColor="accent2"/>
        </w:tcBorders>
        <w:shd w:val="clear" w:color="auto" w:fill="58DDA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insideH w:val="single" w:sz="8" w:space="0" w:color="ADD095" w:themeColor="accent3"/>
        <w:insideV w:val="single" w:sz="8" w:space="0" w:color="ADD095" w:themeColor="accent3"/>
      </w:tblBorders>
    </w:tblPr>
    <w:tcPr>
      <w:shd w:val="clear" w:color="auto" w:fill="EAF3E4" w:themeFill="accent3" w:themeFillTint="3F"/>
    </w:tcPr>
    <w:tblStylePr w:type="firstRow">
      <w:rPr>
        <w:b/>
        <w:bCs/>
        <w:color w:val="000000" w:themeColor="text1"/>
      </w:rPr>
      <w:tblPr/>
      <w:tcPr>
        <w:shd w:val="clear" w:color="auto" w:fill="F6FA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F5E9" w:themeFill="accent3" w:themeFillTint="33"/>
      </w:tcPr>
    </w:tblStylePr>
    <w:tblStylePr w:type="band1Vert">
      <w:tblPr/>
      <w:tcPr>
        <w:shd w:val="clear" w:color="auto" w:fill="D5E7CA" w:themeFill="accent3" w:themeFillTint="7F"/>
      </w:tcPr>
    </w:tblStylePr>
    <w:tblStylePr w:type="band1Horz">
      <w:tblPr/>
      <w:tcPr>
        <w:tcBorders>
          <w:insideH w:val="single" w:sz="6" w:space="0" w:color="ADD095" w:themeColor="accent3"/>
          <w:insideV w:val="single" w:sz="6" w:space="0" w:color="ADD095" w:themeColor="accent3"/>
        </w:tcBorders>
        <w:shd w:val="clear" w:color="auto" w:fill="D5E7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insideH w:val="single" w:sz="8" w:space="0" w:color="62294B" w:themeColor="accent4"/>
        <w:insideV w:val="single" w:sz="8" w:space="0" w:color="62294B" w:themeColor="accent4"/>
      </w:tblBorders>
    </w:tblPr>
    <w:tcPr>
      <w:shd w:val="clear" w:color="auto" w:fill="E4BED4" w:themeFill="accent4" w:themeFillTint="3F"/>
    </w:tcPr>
    <w:tblStylePr w:type="firstRow">
      <w:rPr>
        <w:b/>
        <w:bCs/>
        <w:color w:val="000000" w:themeColor="text1"/>
      </w:rPr>
      <w:tblPr/>
      <w:tcPr>
        <w:shd w:val="clear" w:color="auto" w:fill="F4E5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CADC" w:themeFill="accent4" w:themeFillTint="33"/>
      </w:tcPr>
    </w:tblStylePr>
    <w:tblStylePr w:type="band1Vert">
      <w:tblPr/>
      <w:tcPr>
        <w:shd w:val="clear" w:color="auto" w:fill="C87CA9" w:themeFill="accent4" w:themeFillTint="7F"/>
      </w:tcPr>
    </w:tblStylePr>
    <w:tblStylePr w:type="band1Horz">
      <w:tblPr/>
      <w:tcPr>
        <w:tcBorders>
          <w:insideH w:val="single" w:sz="6" w:space="0" w:color="62294B" w:themeColor="accent4"/>
          <w:insideV w:val="single" w:sz="6" w:space="0" w:color="62294B" w:themeColor="accent4"/>
        </w:tcBorders>
        <w:shd w:val="clear" w:color="auto" w:fill="C87CA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insideH w:val="single" w:sz="8" w:space="0" w:color="FF8855" w:themeColor="accent5"/>
        <w:insideV w:val="single" w:sz="8" w:space="0" w:color="FF8855" w:themeColor="accent5"/>
      </w:tblBorders>
    </w:tblPr>
    <w:tcPr>
      <w:shd w:val="clear" w:color="auto" w:fill="FFE1D5" w:themeFill="accent5" w:themeFillTint="3F"/>
    </w:tcPr>
    <w:tblStylePr w:type="firstRow">
      <w:rPr>
        <w:b/>
        <w:bCs/>
        <w:color w:val="000000" w:themeColor="text1"/>
      </w:rPr>
      <w:tblPr/>
      <w:tcPr>
        <w:shd w:val="clear" w:color="auto" w:fill="FFF3E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7DD" w:themeFill="accent5" w:themeFillTint="33"/>
      </w:tcPr>
    </w:tblStylePr>
    <w:tblStylePr w:type="band1Vert">
      <w:tblPr/>
      <w:tcPr>
        <w:shd w:val="clear" w:color="auto" w:fill="FFC3AA" w:themeFill="accent5" w:themeFillTint="7F"/>
      </w:tcPr>
    </w:tblStylePr>
    <w:tblStylePr w:type="band1Horz">
      <w:tblPr/>
      <w:tcPr>
        <w:tcBorders>
          <w:insideH w:val="single" w:sz="6" w:space="0" w:color="FF8855" w:themeColor="accent5"/>
          <w:insideV w:val="single" w:sz="6" w:space="0" w:color="FF8855" w:themeColor="accent5"/>
        </w:tcBorders>
        <w:shd w:val="clear" w:color="auto" w:fill="FFC3A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insideH w:val="single" w:sz="8" w:space="0" w:color="E3E1D8" w:themeColor="accent6"/>
        <w:insideV w:val="single" w:sz="8" w:space="0" w:color="E3E1D8" w:themeColor="accent6"/>
      </w:tblBorders>
    </w:tblPr>
    <w:tcPr>
      <w:shd w:val="clear" w:color="auto" w:fill="F8F7F5" w:themeFill="accent6" w:themeFillTint="3F"/>
    </w:tcPr>
    <w:tblStylePr w:type="firstRow">
      <w:rPr>
        <w:b/>
        <w:bCs/>
        <w:color w:val="000000" w:themeColor="text1"/>
      </w:rPr>
      <w:tblPr/>
      <w:tcPr>
        <w:shd w:val="clear" w:color="auto" w:fill="FCFC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8F7" w:themeFill="accent6" w:themeFillTint="33"/>
      </w:tcPr>
    </w:tblStylePr>
    <w:tblStylePr w:type="band1Vert">
      <w:tblPr/>
      <w:tcPr>
        <w:shd w:val="clear" w:color="auto" w:fill="F1EFEB" w:themeFill="accent6" w:themeFillTint="7F"/>
      </w:tcPr>
    </w:tblStylePr>
    <w:tblStylePr w:type="band1Horz">
      <w:tblPr/>
      <w:tcPr>
        <w:tcBorders>
          <w:insideH w:val="single" w:sz="6" w:space="0" w:color="E3E1D8" w:themeColor="accent6"/>
          <w:insideV w:val="single" w:sz="6" w:space="0" w:color="E3E1D8" w:themeColor="accent6"/>
        </w:tcBorders>
        <w:shd w:val="clear" w:color="auto" w:fill="F1EFE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C7F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5326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5326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5326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5326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8FF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8FF6" w:themeFill="accent1" w:themeFillTint="7F"/>
      </w:tcPr>
    </w:tblStylePr>
  </w:style>
  <w:style w:type="table" w:styleId="MediumGrid3-Accent2">
    <w:name w:val="Medium Grid 3 Accent 2"/>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CEED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25A4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25A4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25A4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25A4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8DDA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8DDAC" w:themeFill="accent2" w:themeFillTint="7F"/>
      </w:tcPr>
    </w:tblStylePr>
  </w:style>
  <w:style w:type="table" w:styleId="MediumGrid3-Accent3">
    <w:name w:val="Medium Grid 3 Accent 3"/>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3E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09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09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09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09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7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7CA" w:themeFill="accent3" w:themeFillTint="7F"/>
      </w:tcPr>
    </w:tblStylePr>
  </w:style>
  <w:style w:type="table" w:styleId="MediumGrid3-Accent4">
    <w:name w:val="Medium Grid 3 Accent 4"/>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BED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294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294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294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294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7CA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7CA9" w:themeFill="accent4" w:themeFillTint="7F"/>
      </w:tcPr>
    </w:tblStylePr>
  </w:style>
  <w:style w:type="table" w:styleId="MediumGrid3-Accent5">
    <w:name w:val="Medium Grid 3 Accent 5"/>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1D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85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85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85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85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3A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3AA" w:themeFill="accent5" w:themeFillTint="7F"/>
      </w:tcPr>
    </w:tblStylePr>
  </w:style>
  <w:style w:type="table" w:styleId="MediumGrid3-Accent6">
    <w:name w:val="Medium Grid 3 Accent 6"/>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3E1D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3E1D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3E1D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3E1D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EF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EFEB" w:themeFill="accent6" w:themeFillTint="7F"/>
      </w:tcPr>
    </w:tblStylePr>
  </w:style>
  <w:style w:type="table" w:styleId="MediumList1">
    <w:name w:val="Medium List 1"/>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DF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05326E" w:themeColor="accent1"/>
        <w:bottom w:val="single" w:sz="8" w:space="0" w:color="05326E" w:themeColor="accent1"/>
      </w:tblBorders>
    </w:tblPr>
    <w:tblStylePr w:type="firstRow">
      <w:rPr>
        <w:rFonts w:asciiTheme="majorHAnsi" w:eastAsiaTheme="majorEastAsia" w:hAnsiTheme="majorHAnsi" w:cstheme="majorBidi"/>
      </w:rPr>
      <w:tblPr/>
      <w:tcPr>
        <w:tcBorders>
          <w:top w:val="nil"/>
          <w:bottom w:val="single" w:sz="8" w:space="0" w:color="05326E" w:themeColor="accent1"/>
        </w:tcBorders>
      </w:tcPr>
    </w:tblStylePr>
    <w:tblStylePr w:type="lastRow">
      <w:rPr>
        <w:b/>
        <w:bCs/>
        <w:color w:val="009DF0" w:themeColor="text2"/>
      </w:rPr>
      <w:tblPr/>
      <w:tcPr>
        <w:tcBorders>
          <w:top w:val="single" w:sz="8" w:space="0" w:color="05326E" w:themeColor="accent1"/>
          <w:bottom w:val="single" w:sz="8" w:space="0" w:color="05326E" w:themeColor="accent1"/>
        </w:tcBorders>
      </w:tcPr>
    </w:tblStylePr>
    <w:tblStylePr w:type="firstCol">
      <w:rPr>
        <w:b/>
        <w:bCs/>
      </w:rPr>
    </w:tblStylePr>
    <w:tblStylePr w:type="lastCol">
      <w:rPr>
        <w:b/>
        <w:bCs/>
      </w:rPr>
      <w:tblPr/>
      <w:tcPr>
        <w:tcBorders>
          <w:top w:val="single" w:sz="8" w:space="0" w:color="05326E" w:themeColor="accent1"/>
          <w:bottom w:val="single" w:sz="8" w:space="0" w:color="05326E" w:themeColor="accent1"/>
        </w:tcBorders>
      </w:tcPr>
    </w:tblStylePr>
    <w:tblStylePr w:type="band1Vert">
      <w:tblPr/>
      <w:tcPr>
        <w:shd w:val="clear" w:color="auto" w:fill="A1C7FA" w:themeFill="accent1" w:themeFillTint="3F"/>
      </w:tcPr>
    </w:tblStylePr>
    <w:tblStylePr w:type="band1Horz">
      <w:tblPr/>
      <w:tcPr>
        <w:shd w:val="clear" w:color="auto" w:fill="A1C7FA" w:themeFill="accent1" w:themeFillTint="3F"/>
      </w:tcPr>
    </w:tblStylePr>
  </w:style>
  <w:style w:type="table" w:styleId="MediumList1-Accent2">
    <w:name w:val="Medium List 1 Accent 2"/>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125A40" w:themeColor="accent2"/>
        <w:bottom w:val="single" w:sz="8" w:space="0" w:color="125A40" w:themeColor="accent2"/>
      </w:tblBorders>
    </w:tblPr>
    <w:tblStylePr w:type="firstRow">
      <w:rPr>
        <w:rFonts w:asciiTheme="majorHAnsi" w:eastAsiaTheme="majorEastAsia" w:hAnsiTheme="majorHAnsi" w:cstheme="majorBidi"/>
      </w:rPr>
      <w:tblPr/>
      <w:tcPr>
        <w:tcBorders>
          <w:top w:val="nil"/>
          <w:bottom w:val="single" w:sz="8" w:space="0" w:color="125A40" w:themeColor="accent2"/>
        </w:tcBorders>
      </w:tcPr>
    </w:tblStylePr>
    <w:tblStylePr w:type="lastRow">
      <w:rPr>
        <w:b/>
        <w:bCs/>
        <w:color w:val="009DF0" w:themeColor="text2"/>
      </w:rPr>
      <w:tblPr/>
      <w:tcPr>
        <w:tcBorders>
          <w:top w:val="single" w:sz="8" w:space="0" w:color="125A40" w:themeColor="accent2"/>
          <w:bottom w:val="single" w:sz="8" w:space="0" w:color="125A40" w:themeColor="accent2"/>
        </w:tcBorders>
      </w:tcPr>
    </w:tblStylePr>
    <w:tblStylePr w:type="firstCol">
      <w:rPr>
        <w:b/>
        <w:bCs/>
      </w:rPr>
    </w:tblStylePr>
    <w:tblStylePr w:type="lastCol">
      <w:rPr>
        <w:b/>
        <w:bCs/>
      </w:rPr>
      <w:tblPr/>
      <w:tcPr>
        <w:tcBorders>
          <w:top w:val="single" w:sz="8" w:space="0" w:color="125A40" w:themeColor="accent2"/>
          <w:bottom w:val="single" w:sz="8" w:space="0" w:color="125A40" w:themeColor="accent2"/>
        </w:tcBorders>
      </w:tcPr>
    </w:tblStylePr>
    <w:tblStylePr w:type="band1Vert">
      <w:tblPr/>
      <w:tcPr>
        <w:shd w:val="clear" w:color="auto" w:fill="ACEED6" w:themeFill="accent2" w:themeFillTint="3F"/>
      </w:tcPr>
    </w:tblStylePr>
    <w:tblStylePr w:type="band1Horz">
      <w:tblPr/>
      <w:tcPr>
        <w:shd w:val="clear" w:color="auto" w:fill="ACEED6" w:themeFill="accent2" w:themeFillTint="3F"/>
      </w:tcPr>
    </w:tblStylePr>
  </w:style>
  <w:style w:type="table" w:styleId="MediumList1-Accent3">
    <w:name w:val="Medium List 1 Accent 3"/>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ADD095" w:themeColor="accent3"/>
        <w:bottom w:val="single" w:sz="8" w:space="0" w:color="ADD095" w:themeColor="accent3"/>
      </w:tblBorders>
    </w:tblPr>
    <w:tblStylePr w:type="firstRow">
      <w:rPr>
        <w:rFonts w:asciiTheme="majorHAnsi" w:eastAsiaTheme="majorEastAsia" w:hAnsiTheme="majorHAnsi" w:cstheme="majorBidi"/>
      </w:rPr>
      <w:tblPr/>
      <w:tcPr>
        <w:tcBorders>
          <w:top w:val="nil"/>
          <w:bottom w:val="single" w:sz="8" w:space="0" w:color="ADD095" w:themeColor="accent3"/>
        </w:tcBorders>
      </w:tcPr>
    </w:tblStylePr>
    <w:tblStylePr w:type="lastRow">
      <w:rPr>
        <w:b/>
        <w:bCs/>
        <w:color w:val="009DF0" w:themeColor="text2"/>
      </w:rPr>
      <w:tblPr/>
      <w:tcPr>
        <w:tcBorders>
          <w:top w:val="single" w:sz="8" w:space="0" w:color="ADD095" w:themeColor="accent3"/>
          <w:bottom w:val="single" w:sz="8" w:space="0" w:color="ADD095" w:themeColor="accent3"/>
        </w:tcBorders>
      </w:tcPr>
    </w:tblStylePr>
    <w:tblStylePr w:type="firstCol">
      <w:rPr>
        <w:b/>
        <w:bCs/>
      </w:rPr>
    </w:tblStylePr>
    <w:tblStylePr w:type="lastCol">
      <w:rPr>
        <w:b/>
        <w:bCs/>
      </w:rPr>
      <w:tblPr/>
      <w:tcPr>
        <w:tcBorders>
          <w:top w:val="single" w:sz="8" w:space="0" w:color="ADD095" w:themeColor="accent3"/>
          <w:bottom w:val="single" w:sz="8" w:space="0" w:color="ADD095" w:themeColor="accent3"/>
        </w:tcBorders>
      </w:tcPr>
    </w:tblStylePr>
    <w:tblStylePr w:type="band1Vert">
      <w:tblPr/>
      <w:tcPr>
        <w:shd w:val="clear" w:color="auto" w:fill="EAF3E4" w:themeFill="accent3" w:themeFillTint="3F"/>
      </w:tcPr>
    </w:tblStylePr>
    <w:tblStylePr w:type="band1Horz">
      <w:tblPr/>
      <w:tcPr>
        <w:shd w:val="clear" w:color="auto" w:fill="EAF3E4" w:themeFill="accent3" w:themeFillTint="3F"/>
      </w:tcPr>
    </w:tblStylePr>
  </w:style>
  <w:style w:type="table" w:styleId="MediumList1-Accent4">
    <w:name w:val="Medium List 1 Accent 4"/>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62294B" w:themeColor="accent4"/>
        <w:bottom w:val="single" w:sz="8" w:space="0" w:color="62294B" w:themeColor="accent4"/>
      </w:tblBorders>
    </w:tblPr>
    <w:tblStylePr w:type="firstRow">
      <w:rPr>
        <w:rFonts w:asciiTheme="majorHAnsi" w:eastAsiaTheme="majorEastAsia" w:hAnsiTheme="majorHAnsi" w:cstheme="majorBidi"/>
      </w:rPr>
      <w:tblPr/>
      <w:tcPr>
        <w:tcBorders>
          <w:top w:val="nil"/>
          <w:bottom w:val="single" w:sz="8" w:space="0" w:color="62294B" w:themeColor="accent4"/>
        </w:tcBorders>
      </w:tcPr>
    </w:tblStylePr>
    <w:tblStylePr w:type="lastRow">
      <w:rPr>
        <w:b/>
        <w:bCs/>
        <w:color w:val="009DF0" w:themeColor="text2"/>
      </w:rPr>
      <w:tblPr/>
      <w:tcPr>
        <w:tcBorders>
          <w:top w:val="single" w:sz="8" w:space="0" w:color="62294B" w:themeColor="accent4"/>
          <w:bottom w:val="single" w:sz="8" w:space="0" w:color="62294B" w:themeColor="accent4"/>
        </w:tcBorders>
      </w:tcPr>
    </w:tblStylePr>
    <w:tblStylePr w:type="firstCol">
      <w:rPr>
        <w:b/>
        <w:bCs/>
      </w:rPr>
    </w:tblStylePr>
    <w:tblStylePr w:type="lastCol">
      <w:rPr>
        <w:b/>
        <w:bCs/>
      </w:rPr>
      <w:tblPr/>
      <w:tcPr>
        <w:tcBorders>
          <w:top w:val="single" w:sz="8" w:space="0" w:color="62294B" w:themeColor="accent4"/>
          <w:bottom w:val="single" w:sz="8" w:space="0" w:color="62294B" w:themeColor="accent4"/>
        </w:tcBorders>
      </w:tcPr>
    </w:tblStylePr>
    <w:tblStylePr w:type="band1Vert">
      <w:tblPr/>
      <w:tcPr>
        <w:shd w:val="clear" w:color="auto" w:fill="E4BED4" w:themeFill="accent4" w:themeFillTint="3F"/>
      </w:tcPr>
    </w:tblStylePr>
    <w:tblStylePr w:type="band1Horz">
      <w:tblPr/>
      <w:tcPr>
        <w:shd w:val="clear" w:color="auto" w:fill="E4BED4" w:themeFill="accent4" w:themeFillTint="3F"/>
      </w:tcPr>
    </w:tblStylePr>
  </w:style>
  <w:style w:type="table" w:styleId="MediumList1-Accent5">
    <w:name w:val="Medium List 1 Accent 5"/>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FF8855" w:themeColor="accent5"/>
        <w:bottom w:val="single" w:sz="8" w:space="0" w:color="FF8855" w:themeColor="accent5"/>
      </w:tblBorders>
    </w:tblPr>
    <w:tblStylePr w:type="firstRow">
      <w:rPr>
        <w:rFonts w:asciiTheme="majorHAnsi" w:eastAsiaTheme="majorEastAsia" w:hAnsiTheme="majorHAnsi" w:cstheme="majorBidi"/>
      </w:rPr>
      <w:tblPr/>
      <w:tcPr>
        <w:tcBorders>
          <w:top w:val="nil"/>
          <w:bottom w:val="single" w:sz="8" w:space="0" w:color="FF8855" w:themeColor="accent5"/>
        </w:tcBorders>
      </w:tcPr>
    </w:tblStylePr>
    <w:tblStylePr w:type="lastRow">
      <w:rPr>
        <w:b/>
        <w:bCs/>
        <w:color w:val="009DF0" w:themeColor="text2"/>
      </w:rPr>
      <w:tblPr/>
      <w:tcPr>
        <w:tcBorders>
          <w:top w:val="single" w:sz="8" w:space="0" w:color="FF8855" w:themeColor="accent5"/>
          <w:bottom w:val="single" w:sz="8" w:space="0" w:color="FF8855" w:themeColor="accent5"/>
        </w:tcBorders>
      </w:tcPr>
    </w:tblStylePr>
    <w:tblStylePr w:type="firstCol">
      <w:rPr>
        <w:b/>
        <w:bCs/>
      </w:rPr>
    </w:tblStylePr>
    <w:tblStylePr w:type="lastCol">
      <w:rPr>
        <w:b/>
        <w:bCs/>
      </w:rPr>
      <w:tblPr/>
      <w:tcPr>
        <w:tcBorders>
          <w:top w:val="single" w:sz="8" w:space="0" w:color="FF8855" w:themeColor="accent5"/>
          <w:bottom w:val="single" w:sz="8" w:space="0" w:color="FF8855" w:themeColor="accent5"/>
        </w:tcBorders>
      </w:tcPr>
    </w:tblStylePr>
    <w:tblStylePr w:type="band1Vert">
      <w:tblPr/>
      <w:tcPr>
        <w:shd w:val="clear" w:color="auto" w:fill="FFE1D5" w:themeFill="accent5" w:themeFillTint="3F"/>
      </w:tcPr>
    </w:tblStylePr>
    <w:tblStylePr w:type="band1Horz">
      <w:tblPr/>
      <w:tcPr>
        <w:shd w:val="clear" w:color="auto" w:fill="FFE1D5" w:themeFill="accent5" w:themeFillTint="3F"/>
      </w:tcPr>
    </w:tblStylePr>
  </w:style>
  <w:style w:type="table" w:styleId="MediumList1-Accent6">
    <w:name w:val="Medium List 1 Accent 6"/>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E3E1D8" w:themeColor="accent6"/>
        <w:bottom w:val="single" w:sz="8" w:space="0" w:color="E3E1D8" w:themeColor="accent6"/>
      </w:tblBorders>
    </w:tblPr>
    <w:tblStylePr w:type="firstRow">
      <w:rPr>
        <w:rFonts w:asciiTheme="majorHAnsi" w:eastAsiaTheme="majorEastAsia" w:hAnsiTheme="majorHAnsi" w:cstheme="majorBidi"/>
      </w:rPr>
      <w:tblPr/>
      <w:tcPr>
        <w:tcBorders>
          <w:top w:val="nil"/>
          <w:bottom w:val="single" w:sz="8" w:space="0" w:color="E3E1D8" w:themeColor="accent6"/>
        </w:tcBorders>
      </w:tcPr>
    </w:tblStylePr>
    <w:tblStylePr w:type="lastRow">
      <w:rPr>
        <w:b/>
        <w:bCs/>
        <w:color w:val="009DF0" w:themeColor="text2"/>
      </w:rPr>
      <w:tblPr/>
      <w:tcPr>
        <w:tcBorders>
          <w:top w:val="single" w:sz="8" w:space="0" w:color="E3E1D8" w:themeColor="accent6"/>
          <w:bottom w:val="single" w:sz="8" w:space="0" w:color="E3E1D8" w:themeColor="accent6"/>
        </w:tcBorders>
      </w:tcPr>
    </w:tblStylePr>
    <w:tblStylePr w:type="firstCol">
      <w:rPr>
        <w:b/>
        <w:bCs/>
      </w:rPr>
    </w:tblStylePr>
    <w:tblStylePr w:type="lastCol">
      <w:rPr>
        <w:b/>
        <w:bCs/>
      </w:rPr>
      <w:tblPr/>
      <w:tcPr>
        <w:tcBorders>
          <w:top w:val="single" w:sz="8" w:space="0" w:color="E3E1D8" w:themeColor="accent6"/>
          <w:bottom w:val="single" w:sz="8" w:space="0" w:color="E3E1D8" w:themeColor="accent6"/>
        </w:tcBorders>
      </w:tcPr>
    </w:tblStylePr>
    <w:tblStylePr w:type="band1Vert">
      <w:tblPr/>
      <w:tcPr>
        <w:shd w:val="clear" w:color="auto" w:fill="F8F7F5" w:themeFill="accent6" w:themeFillTint="3F"/>
      </w:tcPr>
    </w:tblStylePr>
    <w:tblStylePr w:type="band1Horz">
      <w:tblPr/>
      <w:tcPr>
        <w:shd w:val="clear" w:color="auto" w:fill="F8F7F5" w:themeFill="accent6" w:themeFillTint="3F"/>
      </w:tcPr>
    </w:tblStylePr>
  </w:style>
  <w:style w:type="table" w:styleId="MediumList2">
    <w:name w:val="Medium List 2"/>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tblBorders>
    </w:tblPr>
    <w:tblStylePr w:type="firstRow">
      <w:rPr>
        <w:sz w:val="24"/>
        <w:szCs w:val="24"/>
      </w:rPr>
      <w:tblPr/>
      <w:tcPr>
        <w:tcBorders>
          <w:top w:val="nil"/>
          <w:left w:val="nil"/>
          <w:bottom w:val="single" w:sz="24" w:space="0" w:color="05326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5326E" w:themeColor="accent1"/>
          <w:insideH w:val="nil"/>
          <w:insideV w:val="nil"/>
        </w:tcBorders>
        <w:shd w:val="clear" w:color="auto" w:fill="FFFFFF" w:themeFill="background1"/>
      </w:tcPr>
    </w:tblStylePr>
    <w:tblStylePr w:type="lastCol">
      <w:tblPr/>
      <w:tcPr>
        <w:tcBorders>
          <w:top w:val="nil"/>
          <w:left w:val="single" w:sz="8" w:space="0" w:color="05326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C7FA" w:themeFill="accent1" w:themeFillTint="3F"/>
      </w:tcPr>
    </w:tblStylePr>
    <w:tblStylePr w:type="band1Horz">
      <w:tblPr/>
      <w:tcPr>
        <w:tcBorders>
          <w:top w:val="nil"/>
          <w:bottom w:val="nil"/>
          <w:insideH w:val="nil"/>
          <w:insideV w:val="nil"/>
        </w:tcBorders>
        <w:shd w:val="clear" w:color="auto" w:fill="A1C7F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tblBorders>
    </w:tblPr>
    <w:tblStylePr w:type="firstRow">
      <w:rPr>
        <w:sz w:val="24"/>
        <w:szCs w:val="24"/>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25A40" w:themeColor="accent2"/>
          <w:insideH w:val="nil"/>
          <w:insideV w:val="nil"/>
        </w:tcBorders>
        <w:shd w:val="clear" w:color="auto" w:fill="FFFFFF" w:themeFill="background1"/>
      </w:tcPr>
    </w:tblStylePr>
    <w:tblStylePr w:type="lastCol">
      <w:tblPr/>
      <w:tcPr>
        <w:tcBorders>
          <w:top w:val="nil"/>
          <w:left w:val="single" w:sz="8" w:space="0" w:color="125A4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EED6" w:themeFill="accent2" w:themeFillTint="3F"/>
      </w:tcPr>
    </w:tblStylePr>
    <w:tblStylePr w:type="band1Horz">
      <w:tblPr/>
      <w:tcPr>
        <w:tcBorders>
          <w:top w:val="nil"/>
          <w:bottom w:val="nil"/>
          <w:insideH w:val="nil"/>
          <w:insideV w:val="nil"/>
        </w:tcBorders>
        <w:shd w:val="clear" w:color="auto" w:fill="ACEED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tblBorders>
    </w:tblPr>
    <w:tblStylePr w:type="firstRow">
      <w:rPr>
        <w:sz w:val="24"/>
        <w:szCs w:val="24"/>
      </w:rPr>
      <w:tblPr/>
      <w:tcPr>
        <w:tcBorders>
          <w:top w:val="nil"/>
          <w:left w:val="nil"/>
          <w:bottom w:val="single" w:sz="24" w:space="0" w:color="ADD09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095" w:themeColor="accent3"/>
          <w:insideH w:val="nil"/>
          <w:insideV w:val="nil"/>
        </w:tcBorders>
        <w:shd w:val="clear" w:color="auto" w:fill="FFFFFF" w:themeFill="background1"/>
      </w:tcPr>
    </w:tblStylePr>
    <w:tblStylePr w:type="lastCol">
      <w:tblPr/>
      <w:tcPr>
        <w:tcBorders>
          <w:top w:val="nil"/>
          <w:left w:val="single" w:sz="8" w:space="0" w:color="ADD09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3E4" w:themeFill="accent3" w:themeFillTint="3F"/>
      </w:tcPr>
    </w:tblStylePr>
    <w:tblStylePr w:type="band1Horz">
      <w:tblPr/>
      <w:tcPr>
        <w:tcBorders>
          <w:top w:val="nil"/>
          <w:bottom w:val="nil"/>
          <w:insideH w:val="nil"/>
          <w:insideV w:val="nil"/>
        </w:tcBorders>
        <w:shd w:val="clear" w:color="auto" w:fill="EAF3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tblBorders>
    </w:tblPr>
    <w:tblStylePr w:type="firstRow">
      <w:rPr>
        <w:sz w:val="24"/>
        <w:szCs w:val="24"/>
      </w:rPr>
      <w:tblPr/>
      <w:tcPr>
        <w:tcBorders>
          <w:top w:val="nil"/>
          <w:left w:val="nil"/>
          <w:bottom w:val="single" w:sz="24" w:space="0" w:color="62294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294B" w:themeColor="accent4"/>
          <w:insideH w:val="nil"/>
          <w:insideV w:val="nil"/>
        </w:tcBorders>
        <w:shd w:val="clear" w:color="auto" w:fill="FFFFFF" w:themeFill="background1"/>
      </w:tcPr>
    </w:tblStylePr>
    <w:tblStylePr w:type="lastCol">
      <w:tblPr/>
      <w:tcPr>
        <w:tcBorders>
          <w:top w:val="nil"/>
          <w:left w:val="single" w:sz="8" w:space="0" w:color="62294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BED4" w:themeFill="accent4" w:themeFillTint="3F"/>
      </w:tcPr>
    </w:tblStylePr>
    <w:tblStylePr w:type="band1Horz">
      <w:tblPr/>
      <w:tcPr>
        <w:tcBorders>
          <w:top w:val="nil"/>
          <w:bottom w:val="nil"/>
          <w:insideH w:val="nil"/>
          <w:insideV w:val="nil"/>
        </w:tcBorders>
        <w:shd w:val="clear" w:color="auto" w:fill="E4BED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tblBorders>
    </w:tblPr>
    <w:tblStylePr w:type="firstRow">
      <w:rPr>
        <w:sz w:val="24"/>
        <w:szCs w:val="24"/>
      </w:rPr>
      <w:tblPr/>
      <w:tcPr>
        <w:tcBorders>
          <w:top w:val="nil"/>
          <w:left w:val="nil"/>
          <w:bottom w:val="single" w:sz="24" w:space="0" w:color="FF885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855" w:themeColor="accent5"/>
          <w:insideH w:val="nil"/>
          <w:insideV w:val="nil"/>
        </w:tcBorders>
        <w:shd w:val="clear" w:color="auto" w:fill="FFFFFF" w:themeFill="background1"/>
      </w:tcPr>
    </w:tblStylePr>
    <w:tblStylePr w:type="lastCol">
      <w:tblPr/>
      <w:tcPr>
        <w:tcBorders>
          <w:top w:val="nil"/>
          <w:left w:val="single" w:sz="8" w:space="0" w:color="FF885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1D5" w:themeFill="accent5" w:themeFillTint="3F"/>
      </w:tcPr>
    </w:tblStylePr>
    <w:tblStylePr w:type="band1Horz">
      <w:tblPr/>
      <w:tcPr>
        <w:tcBorders>
          <w:top w:val="nil"/>
          <w:bottom w:val="nil"/>
          <w:insideH w:val="nil"/>
          <w:insideV w:val="nil"/>
        </w:tcBorders>
        <w:shd w:val="clear" w:color="auto" w:fill="FFE1D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tblBorders>
    </w:tblPr>
    <w:tblStylePr w:type="firstRow">
      <w:rPr>
        <w:sz w:val="24"/>
        <w:szCs w:val="24"/>
      </w:rPr>
      <w:tblPr/>
      <w:tcPr>
        <w:tcBorders>
          <w:top w:val="nil"/>
          <w:left w:val="nil"/>
          <w:bottom w:val="single" w:sz="24" w:space="0" w:color="E3E1D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E1D8" w:themeColor="accent6"/>
          <w:insideH w:val="nil"/>
          <w:insideV w:val="nil"/>
        </w:tcBorders>
        <w:shd w:val="clear" w:color="auto" w:fill="FFFFFF" w:themeFill="background1"/>
      </w:tcPr>
    </w:tblStylePr>
    <w:tblStylePr w:type="lastCol">
      <w:tblPr/>
      <w:tcPr>
        <w:tcBorders>
          <w:top w:val="nil"/>
          <w:left w:val="single" w:sz="8" w:space="0" w:color="E3E1D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5" w:themeFill="accent6" w:themeFillTint="3F"/>
      </w:tcPr>
    </w:tblStylePr>
    <w:tblStylePr w:type="band1Horz">
      <w:tblPr/>
      <w:tcPr>
        <w:tcBorders>
          <w:top w:val="nil"/>
          <w:bottom w:val="nil"/>
          <w:insideH w:val="nil"/>
          <w:insideV w:val="nil"/>
        </w:tcBorders>
        <w:shd w:val="clear" w:color="auto" w:fill="F8F7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20D8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20D86"/>
    <w:pPr>
      <w:spacing w:line="240" w:lineRule="auto"/>
    </w:pPr>
    <w:tblPr>
      <w:tblStyleRowBandSize w:val="1"/>
      <w:tblStyleColBandSize w:val="1"/>
      <w:tbl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single" w:sz="8" w:space="0" w:color="095CCC" w:themeColor="accent1" w:themeTint="BF"/>
      </w:tblBorders>
    </w:tblPr>
    <w:tblStylePr w:type="firstRow">
      <w:pPr>
        <w:spacing w:before="0" w:after="0" w:line="240" w:lineRule="auto"/>
      </w:pPr>
      <w:rPr>
        <w:b/>
        <w:bCs/>
        <w:color w:val="FFFFFF" w:themeColor="background1"/>
      </w:rPr>
      <w:tblPr/>
      <w:tcPr>
        <w:tc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nil"/>
          <w:insideV w:val="nil"/>
        </w:tcBorders>
        <w:shd w:val="clear" w:color="auto" w:fill="05326E" w:themeFill="accent1"/>
      </w:tcPr>
    </w:tblStylePr>
    <w:tblStylePr w:type="lastRow">
      <w:pPr>
        <w:spacing w:before="0" w:after="0" w:line="240" w:lineRule="auto"/>
      </w:pPr>
      <w:rPr>
        <w:b/>
        <w:bCs/>
      </w:rPr>
      <w:tblPr/>
      <w:tcPr>
        <w:tcBorders>
          <w:top w:val="double" w:sz="6"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nil"/>
          <w:insideV w:val="nil"/>
        </w:tcBorders>
      </w:tcPr>
    </w:tblStylePr>
    <w:tblStylePr w:type="firstCol">
      <w:rPr>
        <w:b/>
        <w:bCs/>
      </w:rPr>
    </w:tblStylePr>
    <w:tblStylePr w:type="lastCol">
      <w:rPr>
        <w:b/>
        <w:bCs/>
      </w:rPr>
    </w:tblStylePr>
    <w:tblStylePr w:type="band1Vert">
      <w:tblPr/>
      <w:tcPr>
        <w:shd w:val="clear" w:color="auto" w:fill="A1C7FA" w:themeFill="accent1" w:themeFillTint="3F"/>
      </w:tcPr>
    </w:tblStylePr>
    <w:tblStylePr w:type="band1Horz">
      <w:tblPr/>
      <w:tcPr>
        <w:tcBorders>
          <w:insideH w:val="nil"/>
          <w:insideV w:val="nil"/>
        </w:tcBorders>
        <w:shd w:val="clear" w:color="auto" w:fill="A1C7F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20D86"/>
    <w:pPr>
      <w:spacing w:line="240" w:lineRule="auto"/>
    </w:pPr>
    <w:tblPr>
      <w:tblStyleRowBandSize w:val="1"/>
      <w:tblStyleColBandSize w:val="1"/>
      <w:tbl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single" w:sz="8" w:space="0" w:color="22AD7B" w:themeColor="accent2" w:themeTint="BF"/>
      </w:tblBorders>
    </w:tblPr>
    <w:tblStylePr w:type="firstRow">
      <w:pPr>
        <w:spacing w:before="0" w:after="0" w:line="240" w:lineRule="auto"/>
      </w:pPr>
      <w:rPr>
        <w:b/>
        <w:bCs/>
        <w:color w:val="FFFFFF" w:themeColor="background1"/>
      </w:rPr>
      <w:tblPr/>
      <w:tcPr>
        <w:tc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nil"/>
          <w:insideV w:val="nil"/>
        </w:tcBorders>
        <w:shd w:val="clear" w:color="auto" w:fill="125A40" w:themeFill="accent2"/>
      </w:tcPr>
    </w:tblStylePr>
    <w:tblStylePr w:type="lastRow">
      <w:pPr>
        <w:spacing w:before="0" w:after="0" w:line="240" w:lineRule="auto"/>
      </w:pPr>
      <w:rPr>
        <w:b/>
        <w:bCs/>
      </w:rPr>
      <w:tblPr/>
      <w:tcPr>
        <w:tcBorders>
          <w:top w:val="double" w:sz="6"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nil"/>
          <w:insideV w:val="nil"/>
        </w:tcBorders>
      </w:tcPr>
    </w:tblStylePr>
    <w:tblStylePr w:type="firstCol">
      <w:rPr>
        <w:b/>
        <w:bCs/>
      </w:rPr>
    </w:tblStylePr>
    <w:tblStylePr w:type="lastCol">
      <w:rPr>
        <w:b/>
        <w:bCs/>
      </w:rPr>
    </w:tblStylePr>
    <w:tblStylePr w:type="band1Vert">
      <w:tblPr/>
      <w:tcPr>
        <w:shd w:val="clear" w:color="auto" w:fill="ACEED6" w:themeFill="accent2" w:themeFillTint="3F"/>
      </w:tcPr>
    </w:tblStylePr>
    <w:tblStylePr w:type="band1Horz">
      <w:tblPr/>
      <w:tcPr>
        <w:tcBorders>
          <w:insideH w:val="nil"/>
          <w:insideV w:val="nil"/>
        </w:tcBorders>
        <w:shd w:val="clear" w:color="auto" w:fill="ACEED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20D86"/>
    <w:pPr>
      <w:spacing w:line="240" w:lineRule="auto"/>
    </w:pPr>
    <w:tblPr>
      <w:tblStyleRowBandSize w:val="1"/>
      <w:tblStyleColBandSize w:val="1"/>
      <w:tbl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single" w:sz="8" w:space="0" w:color="C1DBAF" w:themeColor="accent3" w:themeTint="BF"/>
      </w:tblBorders>
    </w:tblPr>
    <w:tblStylePr w:type="firstRow">
      <w:pPr>
        <w:spacing w:before="0" w:after="0" w:line="240" w:lineRule="auto"/>
      </w:pPr>
      <w:rPr>
        <w:b/>
        <w:bCs/>
        <w:color w:val="FFFFFF" w:themeColor="background1"/>
      </w:rPr>
      <w:tblPr/>
      <w:tcPr>
        <w:tc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nil"/>
          <w:insideV w:val="nil"/>
        </w:tcBorders>
        <w:shd w:val="clear" w:color="auto" w:fill="ADD095" w:themeFill="accent3"/>
      </w:tcPr>
    </w:tblStylePr>
    <w:tblStylePr w:type="lastRow">
      <w:pPr>
        <w:spacing w:before="0" w:after="0" w:line="240" w:lineRule="auto"/>
      </w:pPr>
      <w:rPr>
        <w:b/>
        <w:bCs/>
      </w:rPr>
      <w:tblPr/>
      <w:tcPr>
        <w:tcBorders>
          <w:top w:val="double" w:sz="6"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AF3E4" w:themeFill="accent3" w:themeFillTint="3F"/>
      </w:tcPr>
    </w:tblStylePr>
    <w:tblStylePr w:type="band1Horz">
      <w:tblPr/>
      <w:tcPr>
        <w:tcBorders>
          <w:insideH w:val="nil"/>
          <w:insideV w:val="nil"/>
        </w:tcBorders>
        <w:shd w:val="clear" w:color="auto" w:fill="EAF3E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20D86"/>
    <w:pPr>
      <w:spacing w:line="240" w:lineRule="auto"/>
    </w:pPr>
    <w:tblPr>
      <w:tblStyleRowBandSize w:val="1"/>
      <w:tblStyleColBandSize w:val="1"/>
      <w:tbl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single" w:sz="8" w:space="0" w:color="A3447D" w:themeColor="accent4" w:themeTint="BF"/>
      </w:tblBorders>
    </w:tblPr>
    <w:tblStylePr w:type="firstRow">
      <w:pPr>
        <w:spacing w:before="0" w:after="0" w:line="240" w:lineRule="auto"/>
      </w:pPr>
      <w:rPr>
        <w:b/>
        <w:bCs/>
        <w:color w:val="FFFFFF" w:themeColor="background1"/>
      </w:rPr>
      <w:tblPr/>
      <w:tcPr>
        <w:tc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nil"/>
          <w:insideV w:val="nil"/>
        </w:tcBorders>
        <w:shd w:val="clear" w:color="auto" w:fill="62294B" w:themeFill="accent4"/>
      </w:tcPr>
    </w:tblStylePr>
    <w:tblStylePr w:type="lastRow">
      <w:pPr>
        <w:spacing w:before="0" w:after="0" w:line="240" w:lineRule="auto"/>
      </w:pPr>
      <w:rPr>
        <w:b/>
        <w:bCs/>
      </w:rPr>
      <w:tblPr/>
      <w:tcPr>
        <w:tcBorders>
          <w:top w:val="double" w:sz="6"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BED4" w:themeFill="accent4" w:themeFillTint="3F"/>
      </w:tcPr>
    </w:tblStylePr>
    <w:tblStylePr w:type="band1Horz">
      <w:tblPr/>
      <w:tcPr>
        <w:tcBorders>
          <w:insideH w:val="nil"/>
          <w:insideV w:val="nil"/>
        </w:tcBorders>
        <w:shd w:val="clear" w:color="auto" w:fill="E4BED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20D86"/>
    <w:pPr>
      <w:spacing w:line="240" w:lineRule="auto"/>
    </w:pPr>
    <w:tblPr>
      <w:tblStyleRowBandSize w:val="1"/>
      <w:tblStyleColBandSize w:val="1"/>
      <w:tbl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single" w:sz="8" w:space="0" w:color="FFA57F" w:themeColor="accent5" w:themeTint="BF"/>
      </w:tblBorders>
    </w:tblPr>
    <w:tblStylePr w:type="firstRow">
      <w:pPr>
        <w:spacing w:before="0" w:after="0" w:line="240" w:lineRule="auto"/>
      </w:pPr>
      <w:rPr>
        <w:b/>
        <w:bCs/>
        <w:color w:val="FFFFFF" w:themeColor="background1"/>
      </w:rPr>
      <w:tblPr/>
      <w:tcPr>
        <w:tc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nil"/>
          <w:insideV w:val="nil"/>
        </w:tcBorders>
        <w:shd w:val="clear" w:color="auto" w:fill="FF8855" w:themeFill="accent5"/>
      </w:tcPr>
    </w:tblStylePr>
    <w:tblStylePr w:type="lastRow">
      <w:pPr>
        <w:spacing w:before="0" w:after="0" w:line="240" w:lineRule="auto"/>
      </w:pPr>
      <w:rPr>
        <w:b/>
        <w:bCs/>
      </w:rPr>
      <w:tblPr/>
      <w:tcPr>
        <w:tcBorders>
          <w:top w:val="double" w:sz="6"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1D5" w:themeFill="accent5" w:themeFillTint="3F"/>
      </w:tcPr>
    </w:tblStylePr>
    <w:tblStylePr w:type="band1Horz">
      <w:tblPr/>
      <w:tcPr>
        <w:tcBorders>
          <w:insideH w:val="nil"/>
          <w:insideV w:val="nil"/>
        </w:tcBorders>
        <w:shd w:val="clear" w:color="auto" w:fill="FFE1D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20D86"/>
    <w:pPr>
      <w:spacing w:line="240" w:lineRule="auto"/>
    </w:pPr>
    <w:tblPr>
      <w:tblStyleRowBandSize w:val="1"/>
      <w:tblStyleColBandSize w:val="1"/>
      <w:tbl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single" w:sz="8" w:space="0" w:color="EAE8E1" w:themeColor="accent6" w:themeTint="BF"/>
      </w:tblBorders>
    </w:tblPr>
    <w:tblStylePr w:type="firstRow">
      <w:pPr>
        <w:spacing w:before="0" w:after="0" w:line="240" w:lineRule="auto"/>
      </w:pPr>
      <w:rPr>
        <w:b/>
        <w:bCs/>
        <w:color w:val="FFFFFF" w:themeColor="background1"/>
      </w:rPr>
      <w:tblPr/>
      <w:tcPr>
        <w:tc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nil"/>
          <w:insideV w:val="nil"/>
        </w:tcBorders>
        <w:shd w:val="clear" w:color="auto" w:fill="E3E1D8" w:themeFill="accent6"/>
      </w:tcPr>
    </w:tblStylePr>
    <w:tblStylePr w:type="lastRow">
      <w:pPr>
        <w:spacing w:before="0" w:after="0" w:line="240" w:lineRule="auto"/>
      </w:pPr>
      <w:rPr>
        <w:b/>
        <w:bCs/>
      </w:rPr>
      <w:tblPr/>
      <w:tcPr>
        <w:tcBorders>
          <w:top w:val="double" w:sz="6"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F7F5" w:themeFill="accent6" w:themeFillTint="3F"/>
      </w:tcPr>
    </w:tblStylePr>
    <w:tblStylePr w:type="band1Horz">
      <w:tblPr/>
      <w:tcPr>
        <w:tcBorders>
          <w:insideH w:val="nil"/>
          <w:insideV w:val="nil"/>
        </w:tcBorders>
        <w:shd w:val="clear" w:color="auto" w:fill="F8F7F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5326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5326E" w:themeFill="accent1"/>
      </w:tcPr>
    </w:tblStylePr>
    <w:tblStylePr w:type="lastCol">
      <w:rPr>
        <w:b/>
        <w:bCs/>
        <w:color w:val="FFFFFF" w:themeColor="background1"/>
      </w:rPr>
      <w:tblPr/>
      <w:tcPr>
        <w:tcBorders>
          <w:left w:val="nil"/>
          <w:right w:val="nil"/>
          <w:insideH w:val="nil"/>
          <w:insideV w:val="nil"/>
        </w:tcBorders>
        <w:shd w:val="clear" w:color="auto" w:fill="05326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25A4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25A40" w:themeFill="accent2"/>
      </w:tcPr>
    </w:tblStylePr>
    <w:tblStylePr w:type="lastCol">
      <w:rPr>
        <w:b/>
        <w:bCs/>
        <w:color w:val="FFFFFF" w:themeColor="background1"/>
      </w:rPr>
      <w:tblPr/>
      <w:tcPr>
        <w:tcBorders>
          <w:left w:val="nil"/>
          <w:right w:val="nil"/>
          <w:insideH w:val="nil"/>
          <w:insideV w:val="nil"/>
        </w:tcBorders>
        <w:shd w:val="clear" w:color="auto" w:fill="125A4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09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095" w:themeFill="accent3"/>
      </w:tcPr>
    </w:tblStylePr>
    <w:tblStylePr w:type="lastCol">
      <w:rPr>
        <w:b/>
        <w:bCs/>
        <w:color w:val="FFFFFF" w:themeColor="background1"/>
      </w:rPr>
      <w:tblPr/>
      <w:tcPr>
        <w:tcBorders>
          <w:left w:val="nil"/>
          <w:right w:val="nil"/>
          <w:insideH w:val="nil"/>
          <w:insideV w:val="nil"/>
        </w:tcBorders>
        <w:shd w:val="clear" w:color="auto" w:fill="ADD09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294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294B" w:themeFill="accent4"/>
      </w:tcPr>
    </w:tblStylePr>
    <w:tblStylePr w:type="lastCol">
      <w:rPr>
        <w:b/>
        <w:bCs/>
        <w:color w:val="FFFFFF" w:themeColor="background1"/>
      </w:rPr>
      <w:tblPr/>
      <w:tcPr>
        <w:tcBorders>
          <w:left w:val="nil"/>
          <w:right w:val="nil"/>
          <w:insideH w:val="nil"/>
          <w:insideV w:val="nil"/>
        </w:tcBorders>
        <w:shd w:val="clear" w:color="auto" w:fill="62294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85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855" w:themeFill="accent5"/>
      </w:tcPr>
    </w:tblStylePr>
    <w:tblStylePr w:type="lastCol">
      <w:rPr>
        <w:b/>
        <w:bCs/>
        <w:color w:val="FFFFFF" w:themeColor="background1"/>
      </w:rPr>
      <w:tblPr/>
      <w:tcPr>
        <w:tcBorders>
          <w:left w:val="nil"/>
          <w:right w:val="nil"/>
          <w:insideH w:val="nil"/>
          <w:insideV w:val="nil"/>
        </w:tcBorders>
        <w:shd w:val="clear" w:color="auto" w:fill="FF885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3E1D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3E1D8" w:themeFill="accent6"/>
      </w:tcPr>
    </w:tblStylePr>
    <w:tblStylePr w:type="lastCol">
      <w:rPr>
        <w:b/>
        <w:bCs/>
        <w:color w:val="FFFFFF" w:themeColor="background1"/>
      </w:rPr>
      <w:tblPr/>
      <w:tcPr>
        <w:tcBorders>
          <w:left w:val="nil"/>
          <w:right w:val="nil"/>
          <w:insideH w:val="nil"/>
          <w:insideV w:val="nil"/>
        </w:tcBorders>
        <w:shd w:val="clear" w:color="auto" w:fill="E3E1D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920D86"/>
    <w:rPr>
      <w:color w:val="2B579A"/>
      <w:shd w:val="clear" w:color="auto" w:fill="E6E6E6"/>
      <w:lang w:val="en-US"/>
    </w:rPr>
  </w:style>
  <w:style w:type="paragraph" w:styleId="MessageHeader">
    <w:name w:val="Message Header"/>
    <w:basedOn w:val="Normal"/>
    <w:link w:val="MessageHeaderChar"/>
    <w:uiPriority w:val="99"/>
    <w:semiHidden/>
    <w:rsid w:val="00920D86"/>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20D86"/>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920D86"/>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920D86"/>
    <w:pPr>
      <w:spacing w:line="240" w:lineRule="auto"/>
    </w:pPr>
  </w:style>
  <w:style w:type="character" w:customStyle="1" w:styleId="NoteHeadingChar">
    <w:name w:val="Note Heading Char"/>
    <w:basedOn w:val="DefaultParagraphFont"/>
    <w:link w:val="NoteHeading"/>
    <w:uiPriority w:val="99"/>
    <w:semiHidden/>
    <w:rsid w:val="00920D86"/>
    <w:rPr>
      <w:lang w:val="en-US"/>
    </w:rPr>
  </w:style>
  <w:style w:type="table" w:styleId="PlainTable1">
    <w:name w:val="Plain Table 1"/>
    <w:basedOn w:val="TableNormal"/>
    <w:uiPriority w:val="41"/>
    <w:rsid w:val="00920D8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20D8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0D8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20D8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20D8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920D8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20D86"/>
    <w:rPr>
      <w:rFonts w:ascii="Consolas" w:hAnsi="Consolas"/>
      <w:sz w:val="21"/>
      <w:szCs w:val="21"/>
      <w:lang w:val="en-US"/>
    </w:rPr>
  </w:style>
  <w:style w:type="paragraph" w:styleId="Salutation">
    <w:name w:val="Salutation"/>
    <w:basedOn w:val="Normal"/>
    <w:next w:val="Normal"/>
    <w:link w:val="SalutationChar"/>
    <w:uiPriority w:val="99"/>
    <w:semiHidden/>
    <w:rsid w:val="00920D86"/>
  </w:style>
  <w:style w:type="character" w:customStyle="1" w:styleId="SalutationChar">
    <w:name w:val="Salutation Char"/>
    <w:basedOn w:val="DefaultParagraphFont"/>
    <w:link w:val="Salutation"/>
    <w:uiPriority w:val="99"/>
    <w:semiHidden/>
    <w:rsid w:val="00920D86"/>
    <w:rPr>
      <w:lang w:val="en-US"/>
    </w:rPr>
  </w:style>
  <w:style w:type="character" w:styleId="SmartHyperlink">
    <w:name w:val="Smart Hyperlink"/>
    <w:basedOn w:val="DefaultParagraphFont"/>
    <w:uiPriority w:val="99"/>
    <w:semiHidden/>
    <w:rsid w:val="00920D86"/>
    <w:rPr>
      <w:u w:val="dotted"/>
      <w:lang w:val="en-US"/>
    </w:rPr>
  </w:style>
  <w:style w:type="table" w:styleId="Table3Deffects1">
    <w:name w:val="Table 3D effects 1"/>
    <w:basedOn w:val="TableNormal"/>
    <w:uiPriority w:val="99"/>
    <w:semiHidden/>
    <w:unhideWhenUsed/>
    <w:rsid w:val="00920D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20D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20D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20D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20D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20D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20D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20D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20D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20D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20D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20D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20D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20D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20D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20D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20D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20D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20D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20D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20D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20D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20D8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20D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20D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20D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20D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20D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20D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20D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20D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20D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20D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20D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20D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20D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rsid w:val="00920D86"/>
    <w:rPr>
      <w:color w:val="808080"/>
      <w:shd w:val="clear" w:color="auto" w:fill="E6E6E6"/>
      <w:lang w:val="en-US"/>
    </w:rPr>
  </w:style>
  <w:style w:type="paragraph" w:customStyle="1" w:styleId="DocumentInfo">
    <w:name w:val="Document Info"/>
    <w:basedOn w:val="Normal"/>
    <w:uiPriority w:val="6"/>
    <w:semiHidden/>
    <w:rsid w:val="00920D86"/>
    <w:pPr>
      <w:spacing w:line="200" w:lineRule="atLeast"/>
    </w:pPr>
    <w:rPr>
      <w:sz w:val="14"/>
    </w:rPr>
  </w:style>
  <w:style w:type="paragraph" w:customStyle="1" w:styleId="DearRow">
    <w:name w:val="DearRow"/>
    <w:basedOn w:val="Normal"/>
    <w:uiPriority w:val="99"/>
    <w:semiHidden/>
    <w:rsid w:val="00920D86"/>
    <w:pPr>
      <w:spacing w:after="40"/>
      <w:contextualSpacing/>
    </w:pPr>
    <w:rPr>
      <w:rFonts w:eastAsia="Times New Roman" w:cs="Times New Roman"/>
    </w:rPr>
  </w:style>
  <w:style w:type="paragraph" w:customStyle="1" w:styleId="Template-CompanyInfo">
    <w:name w:val="Template - Company Info"/>
    <w:basedOn w:val="Template"/>
    <w:uiPriority w:val="8"/>
    <w:semiHidden/>
    <w:rsid w:val="00920D86"/>
    <w:rPr>
      <w:sz w:val="12"/>
    </w:rPr>
  </w:style>
  <w:style w:type="paragraph" w:customStyle="1" w:styleId="Template-FilePath">
    <w:name w:val="Template - File Path"/>
    <w:basedOn w:val="Template"/>
    <w:uiPriority w:val="8"/>
    <w:semiHidden/>
    <w:rsid w:val="00920D86"/>
    <w:pPr>
      <w:spacing w:line="160" w:lineRule="atLeast"/>
    </w:pPr>
    <w:rPr>
      <w:sz w:val="10"/>
    </w:rPr>
  </w:style>
  <w:style w:type="paragraph" w:customStyle="1" w:styleId="Template-DocId">
    <w:name w:val="Template - Doc Id"/>
    <w:basedOn w:val="Template"/>
    <w:uiPriority w:val="8"/>
    <w:semiHidden/>
    <w:rsid w:val="00920D86"/>
    <w:rPr>
      <w:sz w:val="12"/>
    </w:rPr>
  </w:style>
  <w:style w:type="table" w:customStyle="1" w:styleId="Ramboll-Table">
    <w:name w:val="Ramboll - Table"/>
    <w:basedOn w:val="TableNormal"/>
    <w:uiPriority w:val="99"/>
    <w:rsid w:val="00920D86"/>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920D86"/>
    <w:rPr>
      <w:b/>
    </w:rPr>
  </w:style>
  <w:style w:type="character" w:customStyle="1" w:styleId="TOC4Char">
    <w:name w:val="TOC 4 Char"/>
    <w:basedOn w:val="DefaultParagraphFont"/>
    <w:link w:val="TOC4"/>
    <w:uiPriority w:val="39"/>
    <w:semiHidden/>
    <w:rsid w:val="00920D86"/>
    <w:rPr>
      <w:rFonts w:eastAsia="Times New Roman" w:cs="Times New Roman"/>
      <w:lang w:val="en-US"/>
    </w:rPr>
  </w:style>
  <w:style w:type="paragraph" w:customStyle="1" w:styleId="Documentdataleadtext">
    <w:name w:val="Document data leadtext"/>
    <w:basedOn w:val="Normal"/>
    <w:uiPriority w:val="8"/>
    <w:semiHidden/>
    <w:rsid w:val="00920D86"/>
    <w:rPr>
      <w:rFonts w:eastAsia="Times New Roman" w:cs="Times New Roman"/>
      <w:sz w:val="14"/>
    </w:rPr>
  </w:style>
  <w:style w:type="paragraph" w:customStyle="1" w:styleId="Documentdatatext">
    <w:name w:val="Document data text"/>
    <w:basedOn w:val="Normal"/>
    <w:uiPriority w:val="8"/>
    <w:semiHidden/>
    <w:rsid w:val="00920D86"/>
    <w:rPr>
      <w:rFonts w:eastAsia="Times New Roman" w:cs="Times New Roman"/>
      <w:b/>
    </w:rPr>
  </w:style>
  <w:style w:type="paragraph" w:customStyle="1" w:styleId="FrontpageHeading1">
    <w:name w:val="Frontpage Heading 1"/>
    <w:basedOn w:val="Normal"/>
    <w:link w:val="FrontpageHeading1Char"/>
    <w:uiPriority w:val="8"/>
    <w:rsid w:val="00053E7C"/>
    <w:pPr>
      <w:spacing w:after="500" w:line="1080" w:lineRule="exact"/>
      <w:contextualSpacing/>
    </w:pPr>
    <w:rPr>
      <w:rFonts w:eastAsia="Times New Roman" w:cs="Times New Roman"/>
      <w:color w:val="FFFFFF"/>
      <w:sz w:val="102"/>
    </w:rPr>
  </w:style>
  <w:style w:type="paragraph" w:customStyle="1" w:styleId="H1-NOTTOC">
    <w:name w:val="H1 - NOT TOC"/>
    <w:basedOn w:val="Heading1"/>
    <w:next w:val="Normal"/>
    <w:uiPriority w:val="4"/>
    <w:rsid w:val="00920D86"/>
    <w:pPr>
      <w:numPr>
        <w:numId w:val="1"/>
      </w:numPr>
      <w:outlineLvl w:val="9"/>
    </w:pPr>
  </w:style>
  <w:style w:type="character" w:customStyle="1" w:styleId="FrontpageHeading1Char">
    <w:name w:val="Frontpage Heading 1 Char"/>
    <w:basedOn w:val="DefaultParagraphFont"/>
    <w:link w:val="FrontpageHeading1"/>
    <w:uiPriority w:val="8"/>
    <w:rsid w:val="00053E7C"/>
    <w:rPr>
      <w:rFonts w:eastAsia="Times New Roman" w:cs="Times New Roman"/>
      <w:color w:val="FFFFFF"/>
      <w:sz w:val="102"/>
      <w:lang w:val="en-US"/>
    </w:rPr>
  </w:style>
  <w:style w:type="character" w:customStyle="1" w:styleId="Caption-Header">
    <w:name w:val="Caption - Header"/>
    <w:basedOn w:val="DefaultParagraphFont"/>
    <w:uiPriority w:val="6"/>
    <w:qFormat/>
    <w:rsid w:val="00920D86"/>
    <w:rPr>
      <w:rFonts w:ascii="Verdana" w:hAnsi="Verdana" w:cs="Times New Roman"/>
      <w:color w:val="009DE0"/>
      <w:sz w:val="13"/>
      <w:lang w:val="en-US"/>
    </w:rPr>
  </w:style>
  <w:style w:type="paragraph" w:customStyle="1" w:styleId="Template-ReftoFrontpageheading2">
    <w:name w:val="Template - Ref to Frontpage heading 2"/>
    <w:basedOn w:val="Normal"/>
    <w:link w:val="Template-ReftoFrontpageheading2Char"/>
    <w:uiPriority w:val="8"/>
    <w:semiHidden/>
    <w:rsid w:val="00920D86"/>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8"/>
    <w:semiHidden/>
    <w:rsid w:val="00920D86"/>
    <w:rPr>
      <w:rFonts w:eastAsia="Times New Roman" w:cs="Times New Roman"/>
      <w:b/>
      <w:caps/>
      <w:noProof/>
      <w:color w:val="009DE0"/>
      <w:sz w:val="22"/>
      <w:szCs w:val="24"/>
      <w:lang w:val="en-US"/>
    </w:rPr>
  </w:style>
  <w:style w:type="paragraph" w:customStyle="1" w:styleId="RevisionData">
    <w:name w:val="Revision Data"/>
    <w:basedOn w:val="Normal"/>
    <w:uiPriority w:val="7"/>
    <w:semiHidden/>
    <w:rsid w:val="00920D86"/>
    <w:rPr>
      <w:rFonts w:eastAsia="Times New Roman" w:cs="Times New Roman"/>
      <w:sz w:val="14"/>
    </w:rPr>
  </w:style>
  <w:style w:type="paragraph" w:customStyle="1" w:styleId="RevisionDataText">
    <w:name w:val="Revision Data Text"/>
    <w:basedOn w:val="Normal"/>
    <w:uiPriority w:val="7"/>
    <w:semiHidden/>
    <w:rsid w:val="00920D86"/>
    <w:rPr>
      <w:rFonts w:eastAsia="Times New Roman" w:cs="Times New Roman"/>
      <w:b/>
    </w:rPr>
  </w:style>
  <w:style w:type="paragraph" w:customStyle="1" w:styleId="Optional1">
    <w:name w:val="Optional 1"/>
    <w:basedOn w:val="RevisionDataText"/>
    <w:uiPriority w:val="7"/>
    <w:semiHidden/>
    <w:rsid w:val="00920D86"/>
  </w:style>
  <w:style w:type="paragraph" w:customStyle="1" w:styleId="Optional2">
    <w:name w:val="Optional 2"/>
    <w:basedOn w:val="RevisionDataText"/>
    <w:uiPriority w:val="7"/>
    <w:semiHidden/>
    <w:rsid w:val="00920D86"/>
  </w:style>
  <w:style w:type="paragraph" w:customStyle="1" w:styleId="Normal-Optional1leadtext">
    <w:name w:val="Normal - Optional 1 leadtext"/>
    <w:basedOn w:val="Documentdataleadtext"/>
    <w:uiPriority w:val="99"/>
    <w:semiHidden/>
    <w:rsid w:val="00920D86"/>
  </w:style>
  <w:style w:type="paragraph" w:customStyle="1" w:styleId="Optional2leadtext">
    <w:name w:val="Optional 2 leadtext"/>
    <w:basedOn w:val="Normal-Optional1leadtext"/>
    <w:uiPriority w:val="7"/>
    <w:semiHidden/>
    <w:rsid w:val="00920D86"/>
  </w:style>
  <w:style w:type="paragraph" w:customStyle="1" w:styleId="Template-Disclaimer">
    <w:name w:val="Template - Disclaimer"/>
    <w:basedOn w:val="Normal"/>
    <w:uiPriority w:val="8"/>
    <w:semiHidden/>
    <w:rsid w:val="00920D86"/>
    <w:pPr>
      <w:spacing w:line="200" w:lineRule="atLeast"/>
    </w:pPr>
    <w:rPr>
      <w:sz w:val="14"/>
    </w:rPr>
  </w:style>
  <w:style w:type="paragraph" w:customStyle="1" w:styleId="FactBoxHeading1">
    <w:name w:val="Fact Box Heading 1"/>
    <w:basedOn w:val="Normal"/>
    <w:next w:val="Normal"/>
    <w:uiPriority w:val="7"/>
    <w:rsid w:val="00920D86"/>
    <w:pPr>
      <w:spacing w:line="320" w:lineRule="atLeast"/>
    </w:pPr>
    <w:rPr>
      <w:rFonts w:eastAsia="Times New Roman" w:cs="Times New Roman"/>
      <w:b/>
      <w:color w:val="FFFFFF"/>
      <w:sz w:val="30"/>
    </w:rPr>
  </w:style>
  <w:style w:type="paragraph" w:customStyle="1" w:styleId="FactBoxHeading3">
    <w:name w:val="Fact Box Heading 3"/>
    <w:basedOn w:val="Normal"/>
    <w:next w:val="FactBoxBodytext"/>
    <w:uiPriority w:val="7"/>
    <w:rsid w:val="00920D86"/>
    <w:pPr>
      <w:spacing w:after="100" w:line="220" w:lineRule="atLeast"/>
    </w:pPr>
    <w:rPr>
      <w:rFonts w:eastAsia="Times New Roman" w:cs="Times New Roman"/>
      <w:b/>
      <w:color w:val="FFFFFF"/>
    </w:rPr>
  </w:style>
  <w:style w:type="paragraph" w:customStyle="1" w:styleId="FactBoxBodytext">
    <w:name w:val="Fact Box Body text"/>
    <w:basedOn w:val="Normal"/>
    <w:uiPriority w:val="7"/>
    <w:rsid w:val="00920D86"/>
    <w:pPr>
      <w:spacing w:after="120" w:line="280" w:lineRule="atLeast"/>
      <w:contextualSpacing/>
    </w:pPr>
    <w:rPr>
      <w:rFonts w:eastAsia="Times New Roman" w:cs="Times New Roman"/>
      <w:color w:val="FFFFFF"/>
    </w:rPr>
  </w:style>
  <w:style w:type="paragraph" w:customStyle="1" w:styleId="Caption-Text">
    <w:name w:val="Caption - Text"/>
    <w:basedOn w:val="Normal"/>
    <w:next w:val="Normal"/>
    <w:qFormat/>
    <w:rsid w:val="00920D86"/>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7"/>
    <w:semiHidden/>
    <w:rsid w:val="00920D86"/>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7"/>
    <w:semiHidden/>
    <w:rsid w:val="00920D86"/>
    <w:pPr>
      <w:keepNext w:val="0"/>
      <w:keepLines w:val="0"/>
      <w:numPr>
        <w:numId w:val="13"/>
      </w:numPr>
      <w:spacing w:before="0"/>
      <w:outlineLvl w:val="7"/>
    </w:pPr>
  </w:style>
  <w:style w:type="paragraph" w:customStyle="1" w:styleId="TOCHeading-Indent">
    <w:name w:val="TOC Heading - Indent"/>
    <w:basedOn w:val="TOCHeading"/>
    <w:uiPriority w:val="39"/>
    <w:semiHidden/>
    <w:rsid w:val="00920D86"/>
    <w:pPr>
      <w:ind w:left="-567"/>
    </w:pPr>
  </w:style>
  <w:style w:type="paragraph" w:customStyle="1" w:styleId="FactBoxHeading2">
    <w:name w:val="Fact Box Heading 2"/>
    <w:basedOn w:val="Normal"/>
    <w:uiPriority w:val="7"/>
    <w:rsid w:val="00920D86"/>
    <w:pPr>
      <w:spacing w:after="160"/>
    </w:pPr>
    <w:rPr>
      <w:rFonts w:eastAsia="Times New Roman" w:cs="Times New Roman"/>
      <w:b/>
      <w:color w:val="FFFFFF"/>
      <w:sz w:val="22"/>
    </w:rPr>
  </w:style>
  <w:style w:type="paragraph" w:customStyle="1" w:styleId="FrontpageInfo">
    <w:name w:val="Frontpage Info"/>
    <w:basedOn w:val="Normal"/>
    <w:uiPriority w:val="8"/>
    <w:rsid w:val="00053E7C"/>
    <w:pPr>
      <w:spacing w:line="360" w:lineRule="atLeast"/>
    </w:pPr>
    <w:rPr>
      <w:color w:val="FFFFFF"/>
      <w:sz w:val="30"/>
    </w:rPr>
  </w:style>
  <w:style w:type="paragraph" w:customStyle="1" w:styleId="H2-NOTTOC">
    <w:name w:val="H2 - NOT TOC"/>
    <w:basedOn w:val="Heading2"/>
    <w:next w:val="Normal"/>
    <w:uiPriority w:val="4"/>
    <w:rsid w:val="00920D86"/>
    <w:pPr>
      <w:numPr>
        <w:numId w:val="1"/>
      </w:numPr>
      <w:outlineLvl w:val="9"/>
    </w:pPr>
  </w:style>
  <w:style w:type="paragraph" w:customStyle="1" w:styleId="H3-NOTTOC">
    <w:name w:val="H3 - NOT TOC"/>
    <w:basedOn w:val="Heading3"/>
    <w:next w:val="Normal"/>
    <w:uiPriority w:val="4"/>
    <w:rsid w:val="00920D86"/>
    <w:pPr>
      <w:numPr>
        <w:numId w:val="1"/>
      </w:numPr>
      <w:outlineLvl w:val="9"/>
    </w:pPr>
  </w:style>
  <w:style w:type="paragraph" w:customStyle="1" w:styleId="H4-NOTTOC">
    <w:name w:val="H4 - NOT TOC"/>
    <w:basedOn w:val="Heading4"/>
    <w:next w:val="Normal"/>
    <w:uiPriority w:val="4"/>
    <w:rsid w:val="00920D86"/>
    <w:pPr>
      <w:numPr>
        <w:numId w:val="1"/>
      </w:numPr>
      <w:outlineLvl w:val="9"/>
    </w:pPr>
  </w:style>
  <w:style w:type="paragraph" w:customStyle="1" w:styleId="Titlepage">
    <w:name w:val="Titlepage"/>
    <w:basedOn w:val="Subtitle"/>
    <w:uiPriority w:val="8"/>
    <w:semiHidden/>
    <w:qFormat/>
    <w:rsid w:val="00920D86"/>
    <w:pPr>
      <w:framePr w:wrap="around" w:vAnchor="page" w:hAnchor="page" w:x="1163" w:y="4310"/>
      <w:numPr>
        <w:ilvl w:val="0"/>
      </w:numPr>
      <w:contextualSpacing w:val="0"/>
    </w:pPr>
    <w:rPr>
      <w:rFonts w:eastAsia="Times New Roman" w:cs="Times New Roman"/>
      <w:b/>
      <w:iCs w:val="0"/>
      <w:color w:val="009DF0" w:themeColor="text2"/>
    </w:rPr>
  </w:style>
  <w:style w:type="paragraph" w:customStyle="1" w:styleId="Headnote">
    <w:name w:val="Head note"/>
    <w:basedOn w:val="Normal"/>
    <w:uiPriority w:val="2"/>
    <w:rsid w:val="00920D86"/>
    <w:pPr>
      <w:spacing w:after="280" w:line="280" w:lineRule="atLeast"/>
    </w:pPr>
    <w:rPr>
      <w:rFonts w:eastAsia="Times New Roman" w:cs="Times New Roman"/>
      <w:b/>
      <w:color w:val="4D4D4D"/>
      <w:sz w:val="21"/>
    </w:rPr>
  </w:style>
  <w:style w:type="paragraph" w:customStyle="1" w:styleId="FigureHeading">
    <w:name w:val="Figure Heading"/>
    <w:basedOn w:val="Normal"/>
    <w:uiPriority w:val="5"/>
    <w:rsid w:val="00920D86"/>
    <w:rPr>
      <w:b/>
      <w:color w:val="009DF0" w:themeColor="text2"/>
    </w:rPr>
  </w:style>
  <w:style w:type="paragraph" w:customStyle="1" w:styleId="OrgName">
    <w:name w:val="Org Name"/>
    <w:basedOn w:val="Normal"/>
    <w:uiPriority w:val="5"/>
    <w:rsid w:val="00920D86"/>
    <w:pPr>
      <w:spacing w:line="200" w:lineRule="atLeast"/>
    </w:pPr>
    <w:rPr>
      <w:rFonts w:eastAsia="Times New Roman" w:cs="Times New Roman"/>
      <w:b/>
      <w:color w:val="FFFFFF"/>
      <w:sz w:val="16"/>
    </w:rPr>
  </w:style>
  <w:style w:type="paragraph" w:customStyle="1" w:styleId="BackpageWeb">
    <w:name w:val="Backpage Web"/>
    <w:basedOn w:val="Normal"/>
    <w:uiPriority w:val="8"/>
    <w:rsid w:val="00E37AEE"/>
    <w:pPr>
      <w:spacing w:line="290" w:lineRule="atLeast"/>
    </w:pPr>
    <w:rPr>
      <w:color w:val="009DF0" w:themeColor="text2"/>
      <w:sz w:val="24"/>
    </w:rPr>
  </w:style>
  <w:style w:type="paragraph" w:customStyle="1" w:styleId="Default">
    <w:name w:val="Default"/>
    <w:rsid w:val="00964042"/>
    <w:pPr>
      <w:autoSpaceDE w:val="0"/>
      <w:autoSpaceDN w:val="0"/>
      <w:adjustRightInd w:val="0"/>
      <w:spacing w:line="240" w:lineRule="auto"/>
    </w:pPr>
    <w:rPr>
      <w:rFonts w:ascii="Calibri" w:hAnsi="Calibri" w:cs="Calibri"/>
      <w:color w:val="000000"/>
      <w:sz w:val="24"/>
      <w:szCs w:val="24"/>
      <w:lang w:val="ro-RO"/>
    </w:rPr>
  </w:style>
  <w:style w:type="character" w:customStyle="1" w:styleId="ListParagraphChar">
    <w:name w:val="List Paragraph Char"/>
    <w:aliases w:val="Heading1 Char,body 2 Char,List Paragraph1 Char,Header bold Char,heading 7 Char,List Paragraph11 Char,bullets Char,Arial Char,Normal bullet 2 Char,Forth level Char,List_Paragraph Char,Multilevel para_II Char,Bullet Char,EU Char"/>
    <w:link w:val="ListParagraph"/>
    <w:uiPriority w:val="34"/>
    <w:qFormat/>
    <w:locked/>
    <w:rsid w:val="00964042"/>
    <w:rPr>
      <w:lang w:val="en-US"/>
    </w:rPr>
  </w:style>
  <w:style w:type="character" w:customStyle="1" w:styleId="CaptionChar">
    <w:name w:val="Caption Char"/>
    <w:aliases w:val="Map Char Char1,Map Char1,Map Char Char Char Char Char Char,Caption Char Char Car Car Char,Caption Char Char Car Car Car Char,Map Char Char Char Car Car Char,Caption Char Char Char,Map Char Char Char1,Map Char Char Char Char,Titlu Tabel Char"/>
    <w:link w:val="Caption"/>
    <w:uiPriority w:val="3"/>
    <w:qFormat/>
    <w:locked/>
    <w:rsid w:val="00BC1CD7"/>
    <w:rPr>
      <w:b/>
      <w:bCs/>
      <w:color w:val="009DF0" w:themeColor="text2"/>
      <w:sz w:val="14"/>
      <w:lang w:val="en-US"/>
    </w:rPr>
  </w:style>
  <w:style w:type="paragraph" w:styleId="Revision">
    <w:name w:val="Revision"/>
    <w:hidden/>
    <w:uiPriority w:val="99"/>
    <w:semiHidden/>
    <w:rsid w:val="00693554"/>
    <w:pPr>
      <w:spacing w:line="240" w:lineRule="auto"/>
    </w:pPr>
    <w:rPr>
      <w:lang w:val="en-US"/>
    </w:rPr>
  </w:style>
  <w:style w:type="table" w:customStyle="1" w:styleId="Rambolltebel11">
    <w:name w:val="Ramboll tebel 11"/>
    <w:basedOn w:val="TableNormal"/>
    <w:next w:val="GridTable5Dark-Accent1"/>
    <w:uiPriority w:val="50"/>
    <w:rsid w:val="00FD4EE4"/>
    <w:pPr>
      <w:spacing w:before="60" w:after="60" w:line="276" w:lineRule="auto"/>
    </w:pPr>
    <w:rPr>
      <w:sz w:val="16"/>
    </w:rPr>
    <w:tblPr>
      <w:tblStyleRowBandSize w:val="1"/>
      <w:tblStyleCol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FFFFFF"/>
      <w:vAlign w:val="center"/>
    </w:tcPr>
    <w:tblStylePr w:type="firstRow">
      <w:rPr>
        <w:rFonts w:ascii="Verdana" w:hAnsi="Verdana"/>
        <w:b/>
        <w:bCs/>
        <w:color w:val="FFFFFF"/>
        <w:sz w:val="18"/>
      </w:rPr>
      <w:tblPr/>
      <w:tcPr>
        <w:shd w:val="clear" w:color="auto" w:fill="009DF0"/>
      </w:tcPr>
    </w:tblStylePr>
    <w:tblStylePr w:type="lastRow">
      <w:rPr>
        <w:rFonts w:ascii="Verdana" w:hAnsi="Verdana"/>
        <w:b/>
        <w:bCs/>
        <w:color w:val="auto"/>
        <w:sz w:val="18"/>
      </w:rPr>
      <w:tblPr/>
      <w:tcPr>
        <w:shd w:val="clear" w:color="auto" w:fill="BFBFBF"/>
      </w:tcPr>
    </w:tblStylePr>
    <w:tblStylePr w:type="firstCol">
      <w:pPr>
        <w:wordWrap/>
        <w:jc w:val="center"/>
      </w:pPr>
      <w:rPr>
        <w:rFonts w:ascii="Verdana" w:hAnsi="Verdana"/>
        <w:b/>
        <w:bCs/>
        <w:color w:val="FFFFFF"/>
        <w:sz w:val="16"/>
      </w:rPr>
      <w:tblPr/>
      <w:tcPr>
        <w:shd w:val="clear" w:color="auto" w:fill="009DF0"/>
      </w:tcPr>
    </w:tblStylePr>
    <w:tblStylePr w:type="lastCol">
      <w:rPr>
        <w:rFonts w:ascii="Verdana" w:hAnsi="Verdana"/>
        <w:b w:val="0"/>
        <w:bCs/>
        <w:color w:val="FFFFFF"/>
        <w:sz w:val="16"/>
      </w:rPr>
      <w:tblPr/>
      <w:tcPr>
        <w:shd w:val="clear" w:color="auto" w:fill="FFFFFF"/>
      </w:tcPr>
    </w:tblStylePr>
    <w:tblStylePr w:type="band1Vert">
      <w:rPr>
        <w:rFonts w:ascii="Verdana" w:hAnsi="Verdana"/>
        <w:sz w:val="16"/>
      </w:rPr>
      <w:tblPr/>
      <w:tcPr>
        <w:shd w:val="clear" w:color="auto" w:fill="FFFFFF"/>
      </w:tcPr>
    </w:tblStylePr>
    <w:tblStylePr w:type="band2Vert">
      <w:rPr>
        <w:rFonts w:ascii="Verdana" w:hAnsi="Verdana"/>
        <w:sz w:val="16"/>
      </w:rPr>
      <w:tblPr/>
      <w:tcPr>
        <w:shd w:val="clear" w:color="auto" w:fill="FFFFFF"/>
      </w:tcPr>
    </w:tblStylePr>
    <w:tblStylePr w:type="band1Horz">
      <w:rPr>
        <w:rFonts w:ascii="Verdana" w:hAnsi="Verdana"/>
        <w:sz w:val="16"/>
      </w:rPr>
    </w:tblStylePr>
    <w:tblStylePr w:type="band2Horz">
      <w:rPr>
        <w:rFonts w:ascii="Verdana" w:hAnsi="Verdana"/>
        <w:sz w:val="16"/>
      </w:rPr>
    </w:tblStylePr>
  </w:style>
  <w:style w:type="paragraph" w:customStyle="1" w:styleId="text-start">
    <w:name w:val="text-start"/>
    <w:basedOn w:val="Normal"/>
    <w:rsid w:val="00AF32D5"/>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msonormal0">
    <w:name w:val="msonormal"/>
    <w:basedOn w:val="Normal"/>
    <w:rsid w:val="00FC3738"/>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xl64">
    <w:name w:val="xl64"/>
    <w:basedOn w:val="Normal"/>
    <w:rsid w:val="00FC3738"/>
    <w:pPr>
      <w:spacing w:before="100" w:beforeAutospacing="1" w:after="100" w:afterAutospacing="1" w:line="240" w:lineRule="auto"/>
      <w:textAlignment w:val="center"/>
    </w:pPr>
    <w:rPr>
      <w:rFonts w:ascii="Times New Roman" w:eastAsia="Times New Roman" w:hAnsi="Times New Roman" w:cs="Times New Roman"/>
      <w:sz w:val="24"/>
      <w:szCs w:val="24"/>
      <w:lang w:val="ro-RO" w:eastAsia="ro-RO"/>
    </w:rPr>
  </w:style>
  <w:style w:type="paragraph" w:customStyle="1" w:styleId="xl65">
    <w:name w:val="xl65"/>
    <w:basedOn w:val="Normal"/>
    <w:rsid w:val="00FC3738"/>
    <w:pPr>
      <w:spacing w:before="100" w:beforeAutospacing="1" w:after="100" w:afterAutospacing="1" w:line="240" w:lineRule="auto"/>
      <w:jc w:val="center"/>
      <w:textAlignment w:val="center"/>
    </w:pPr>
    <w:rPr>
      <w:rFonts w:ascii="Times New Roman" w:eastAsia="Times New Roman" w:hAnsi="Times New Roman" w:cs="Times New Roman"/>
      <w:sz w:val="24"/>
      <w:szCs w:val="24"/>
      <w:lang w:val="ro-RO" w:eastAsia="ro-RO"/>
    </w:rPr>
  </w:style>
  <w:style w:type="table" w:customStyle="1" w:styleId="TableGrid0">
    <w:name w:val="TableGrid"/>
    <w:qFormat/>
    <w:rsid w:val="00A873A3"/>
    <w:pPr>
      <w:spacing w:line="240" w:lineRule="auto"/>
    </w:pPr>
    <w:rPr>
      <w:rFonts w:ascii="Aptos" w:eastAsia="DengXian" w:hAnsi="Aptos"/>
      <w:sz w:val="20"/>
      <w:szCs w:val="20"/>
      <w:lang w:val="ro-RO" w:eastAsia="ro-RO"/>
    </w:rPr>
    <w:tblPr>
      <w:tblCellMar>
        <w:top w:w="0" w:type="dxa"/>
        <w:left w:w="0" w:type="dxa"/>
        <w:bottom w:w="0" w:type="dxa"/>
        <w:right w:w="0" w:type="dxa"/>
      </w:tblCellMar>
    </w:tblPr>
  </w:style>
  <w:style w:type="paragraph" w:customStyle="1" w:styleId="footnotedescription">
    <w:name w:val="footnote description"/>
    <w:next w:val="Normal"/>
    <w:link w:val="footnotedescriptionChar"/>
    <w:qFormat/>
    <w:rsid w:val="002F0E1E"/>
    <w:pPr>
      <w:spacing w:after="80" w:line="259" w:lineRule="auto"/>
    </w:pPr>
    <w:rPr>
      <w:rFonts w:eastAsia="Verdana" w:cs="Verdana"/>
      <w:color w:val="000000"/>
      <w:sz w:val="13"/>
      <w:szCs w:val="22"/>
      <w:lang w:val="en-GB" w:eastAsia="en-GB"/>
    </w:rPr>
  </w:style>
  <w:style w:type="character" w:customStyle="1" w:styleId="footnotedescriptionChar">
    <w:name w:val="footnote description Char"/>
    <w:link w:val="footnotedescription"/>
    <w:qFormat/>
    <w:rsid w:val="002F0E1E"/>
    <w:rPr>
      <w:rFonts w:eastAsia="Verdana" w:cs="Verdana"/>
      <w:color w:val="000000"/>
      <w:sz w:val="13"/>
      <w:szCs w:val="22"/>
      <w:lang w:val="en-GB" w:eastAsia="en-GB"/>
    </w:rPr>
  </w:style>
  <w:style w:type="character" w:customStyle="1" w:styleId="footnotemark">
    <w:name w:val="footnote mark"/>
    <w:rsid w:val="002F0E1E"/>
    <w:rPr>
      <w:rFonts w:ascii="Verdana" w:eastAsia="Verdana" w:hAnsi="Verdana" w:cs="Verdana"/>
      <w:color w:val="000000"/>
      <w:sz w:val="13"/>
      <w:vertAlign w:val="superscript"/>
    </w:rPr>
  </w:style>
  <w:style w:type="paragraph" w:customStyle="1" w:styleId="xl66">
    <w:name w:val="xl66"/>
    <w:basedOn w:val="Normal"/>
    <w:rsid w:val="005B48A2"/>
    <w:pPr>
      <w:pBdr>
        <w:top w:val="single" w:sz="4" w:space="0" w:color="B0B0B0"/>
        <w:left w:val="single" w:sz="4" w:space="0" w:color="B0B0B0"/>
        <w:bottom w:val="single" w:sz="4" w:space="0" w:color="B0B0B0"/>
        <w:right w:val="single" w:sz="4" w:space="0" w:color="B0B0B0"/>
      </w:pBd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xl67">
    <w:name w:val="xl67"/>
    <w:basedOn w:val="Normal"/>
    <w:rsid w:val="005B48A2"/>
    <w:pPr>
      <w:pBdr>
        <w:top w:val="single" w:sz="4" w:space="0" w:color="B0B0B0"/>
        <w:left w:val="single" w:sz="4" w:space="0" w:color="B0B0B0"/>
        <w:bottom w:val="single" w:sz="4" w:space="0" w:color="B0B0B0"/>
        <w:right w:val="single" w:sz="4" w:space="0" w:color="B0B0B0"/>
      </w:pBdr>
      <w:shd w:val="clear" w:color="E8F4F4" w:fill="E0F0F0"/>
      <w:spacing w:before="100" w:beforeAutospacing="1" w:after="100" w:afterAutospacing="1" w:line="240" w:lineRule="auto"/>
      <w:jc w:val="center"/>
      <w:textAlignment w:val="center"/>
    </w:pPr>
    <w:rPr>
      <w:rFonts w:ascii="Arial" w:eastAsia="Times New Roman" w:hAnsi="Arial" w:cs="Arial"/>
      <w:b/>
      <w:bCs/>
      <w:sz w:val="20"/>
      <w:szCs w:val="20"/>
      <w:lang w:val="ro-RO" w:eastAsia="ro-RO"/>
    </w:rPr>
  </w:style>
  <w:style w:type="paragraph" w:customStyle="1" w:styleId="xl68">
    <w:name w:val="xl68"/>
    <w:basedOn w:val="Normal"/>
    <w:rsid w:val="005B48A2"/>
    <w:pPr>
      <w:pBdr>
        <w:top w:val="single" w:sz="4" w:space="0" w:color="B0B0B0"/>
        <w:left w:val="single" w:sz="4" w:space="0" w:color="B0B0B0"/>
        <w:bottom w:val="single" w:sz="4" w:space="0" w:color="B0B0B0"/>
        <w:right w:val="single" w:sz="4" w:space="0" w:color="B0B0B0"/>
      </w:pBdr>
      <w:shd w:val="clear" w:color="008080" w:fill="01696F"/>
      <w:spacing w:before="100" w:beforeAutospacing="1" w:after="100" w:afterAutospacing="1" w:line="240" w:lineRule="auto"/>
      <w:jc w:val="center"/>
      <w:textAlignment w:val="center"/>
    </w:pPr>
    <w:rPr>
      <w:rFonts w:ascii="Arial" w:eastAsia="Times New Roman" w:hAnsi="Arial" w:cs="Arial"/>
      <w:b/>
      <w:bCs/>
      <w:color w:val="FFFFFF"/>
      <w:lang w:val="ro-RO" w:eastAsia="ro-RO"/>
    </w:rPr>
  </w:style>
  <w:style w:type="paragraph" w:customStyle="1" w:styleId="xl69">
    <w:name w:val="xl69"/>
    <w:basedOn w:val="Normal"/>
    <w:rsid w:val="005B48A2"/>
    <w:pPr>
      <w:pBdr>
        <w:top w:val="single" w:sz="4" w:space="0" w:color="B0B0B0"/>
        <w:left w:val="single" w:sz="4" w:space="0" w:color="B0B0B0"/>
        <w:bottom w:val="single" w:sz="4" w:space="0" w:color="B0B0B0"/>
        <w:right w:val="single" w:sz="4" w:space="0" w:color="B0B0B0"/>
      </w:pBdr>
      <w:shd w:val="clear" w:color="F5F5F5" w:fill="F5FAFA"/>
      <w:spacing w:before="100" w:beforeAutospacing="1" w:after="100" w:afterAutospacing="1" w:line="240" w:lineRule="auto"/>
      <w:jc w:val="center"/>
      <w:textAlignment w:val="center"/>
    </w:pPr>
    <w:rPr>
      <w:rFonts w:ascii="Arial" w:eastAsia="Times New Roman" w:hAnsi="Arial" w:cs="Arial"/>
      <w:b/>
      <w:bCs/>
      <w:sz w:val="20"/>
      <w:szCs w:val="20"/>
      <w:lang w:val="ro-RO" w:eastAsia="ro-RO"/>
    </w:rPr>
  </w:style>
  <w:style w:type="paragraph" w:customStyle="1" w:styleId="xl70">
    <w:name w:val="xl70"/>
    <w:basedOn w:val="Normal"/>
    <w:rsid w:val="005B48A2"/>
    <w:pPr>
      <w:pBdr>
        <w:top w:val="single" w:sz="4" w:space="0" w:color="B0B0B0"/>
        <w:left w:val="single" w:sz="4" w:space="0" w:color="B0B0B0"/>
        <w:bottom w:val="single" w:sz="4" w:space="0" w:color="B0B0B0"/>
        <w:right w:val="single" w:sz="4" w:space="0" w:color="B0B0B0"/>
      </w:pBdr>
      <w:shd w:val="clear" w:color="F5F5F5" w:fill="F5FAFA"/>
      <w:spacing w:before="100" w:beforeAutospacing="1" w:after="100" w:afterAutospacing="1" w:line="240" w:lineRule="auto"/>
      <w:textAlignment w:val="center"/>
    </w:pPr>
    <w:rPr>
      <w:rFonts w:ascii="Arial" w:eastAsia="Times New Roman" w:hAnsi="Arial" w:cs="Arial"/>
      <w:b/>
      <w:bCs/>
      <w:sz w:val="20"/>
      <w:szCs w:val="20"/>
      <w:lang w:val="ro-RO" w:eastAsia="ro-RO"/>
    </w:rPr>
  </w:style>
  <w:style w:type="paragraph" w:customStyle="1" w:styleId="xl71">
    <w:name w:val="xl71"/>
    <w:basedOn w:val="Normal"/>
    <w:rsid w:val="005B48A2"/>
    <w:pPr>
      <w:pBdr>
        <w:top w:val="single" w:sz="4" w:space="0" w:color="B0B0B0"/>
        <w:left w:val="single" w:sz="4" w:space="0" w:color="B0B0B0"/>
        <w:bottom w:val="single" w:sz="4" w:space="0" w:color="B0B0B0"/>
        <w:right w:val="single" w:sz="4" w:space="0" w:color="B0B0B0"/>
      </w:pBdr>
      <w:shd w:val="clear" w:color="B0B0B0" w:fill="8BC34A"/>
      <w:spacing w:before="100" w:beforeAutospacing="1" w:after="100" w:afterAutospacing="1" w:line="240" w:lineRule="auto"/>
      <w:jc w:val="center"/>
      <w:textAlignment w:val="center"/>
    </w:pPr>
    <w:rPr>
      <w:rFonts w:ascii="Arial" w:eastAsia="Times New Roman" w:hAnsi="Arial" w:cs="Arial"/>
      <w:b/>
      <w:bCs/>
      <w:color w:val="1B5E20"/>
      <w:lang w:val="ro-RO" w:eastAsia="ro-RO"/>
    </w:rPr>
  </w:style>
  <w:style w:type="paragraph" w:customStyle="1" w:styleId="xl72">
    <w:name w:val="xl72"/>
    <w:basedOn w:val="Normal"/>
    <w:rsid w:val="005B48A2"/>
    <w:pPr>
      <w:pBdr>
        <w:top w:val="single" w:sz="4" w:space="0" w:color="B0B0B0"/>
        <w:left w:val="single" w:sz="4" w:space="0" w:color="B0B0B0"/>
        <w:bottom w:val="single" w:sz="4" w:space="0" w:color="B0B0B0"/>
        <w:right w:val="single" w:sz="4" w:space="0" w:color="B0B0B0"/>
      </w:pBdr>
      <w:shd w:val="clear" w:color="F5FAFA" w:fill="F5F5F5"/>
      <w:spacing w:before="100" w:beforeAutospacing="1" w:after="100" w:afterAutospacing="1" w:line="240" w:lineRule="auto"/>
      <w:jc w:val="center"/>
      <w:textAlignment w:val="center"/>
    </w:pPr>
    <w:rPr>
      <w:rFonts w:ascii="Arial" w:eastAsia="Times New Roman" w:hAnsi="Arial" w:cs="Arial"/>
      <w:color w:val="999999"/>
      <w:lang w:val="ro-RO" w:eastAsia="ro-RO"/>
    </w:rPr>
  </w:style>
  <w:style w:type="paragraph" w:customStyle="1" w:styleId="xl73">
    <w:name w:val="xl73"/>
    <w:basedOn w:val="Normal"/>
    <w:rsid w:val="005B48A2"/>
    <w:pPr>
      <w:pBdr>
        <w:top w:val="single" w:sz="4" w:space="0" w:color="B0B0B0"/>
        <w:left w:val="single" w:sz="4" w:space="0" w:color="B0B0B0"/>
        <w:bottom w:val="single" w:sz="4" w:space="0" w:color="B0B0B0"/>
        <w:right w:val="single" w:sz="4" w:space="0" w:color="B0B0B0"/>
      </w:pBdr>
      <w:shd w:val="clear" w:color="1B5E20" w:fill="1B7A3D"/>
      <w:spacing w:before="100" w:beforeAutospacing="1" w:after="100" w:afterAutospacing="1" w:line="240" w:lineRule="auto"/>
      <w:jc w:val="center"/>
      <w:textAlignment w:val="center"/>
    </w:pPr>
    <w:rPr>
      <w:rFonts w:ascii="Arial" w:eastAsia="Times New Roman" w:hAnsi="Arial" w:cs="Arial"/>
      <w:b/>
      <w:bCs/>
      <w:color w:val="FFFFFF"/>
      <w:lang w:val="ro-RO" w:eastAsia="ro-RO"/>
    </w:rPr>
  </w:style>
  <w:style w:type="paragraph" w:customStyle="1" w:styleId="xl74">
    <w:name w:val="xl74"/>
    <w:basedOn w:val="Normal"/>
    <w:rsid w:val="005B48A2"/>
    <w:pPr>
      <w:pBdr>
        <w:top w:val="single" w:sz="4" w:space="0" w:color="B0B0B0"/>
        <w:left w:val="single" w:sz="4" w:space="0" w:color="B0B0B0"/>
        <w:bottom w:val="single" w:sz="4" w:space="0" w:color="B0B0B0"/>
        <w:right w:val="single" w:sz="4" w:space="0" w:color="B0B0B0"/>
      </w:pBdr>
      <w:shd w:val="clear" w:color="FF6600" w:fill="FF9800"/>
      <w:spacing w:before="100" w:beforeAutospacing="1" w:after="100" w:afterAutospacing="1" w:line="240" w:lineRule="auto"/>
      <w:jc w:val="center"/>
      <w:textAlignment w:val="center"/>
    </w:pPr>
    <w:rPr>
      <w:rFonts w:ascii="Arial" w:eastAsia="Times New Roman" w:hAnsi="Arial" w:cs="Arial"/>
      <w:b/>
      <w:bCs/>
      <w:color w:val="FFFFFF"/>
      <w:lang w:val="ro-RO" w:eastAsia="ro-RO"/>
    </w:rPr>
  </w:style>
  <w:style w:type="paragraph" w:customStyle="1" w:styleId="xl75">
    <w:name w:val="xl75"/>
    <w:basedOn w:val="Normal"/>
    <w:rsid w:val="005B48A2"/>
    <w:pPr>
      <w:pBdr>
        <w:top w:val="single" w:sz="4" w:space="0" w:color="B0B0B0"/>
        <w:left w:val="single" w:sz="4" w:space="0" w:color="B0B0B0"/>
        <w:bottom w:val="single" w:sz="4" w:space="0" w:color="B0B0B0"/>
        <w:right w:val="single" w:sz="4" w:space="0" w:color="B0B0B0"/>
      </w:pBdr>
      <w:spacing w:before="100" w:beforeAutospacing="1" w:after="100" w:afterAutospacing="1" w:line="240" w:lineRule="auto"/>
      <w:jc w:val="center"/>
      <w:textAlignment w:val="center"/>
    </w:pPr>
    <w:rPr>
      <w:rFonts w:ascii="Arial" w:eastAsia="Times New Roman" w:hAnsi="Arial" w:cs="Arial"/>
      <w:b/>
      <w:bCs/>
      <w:sz w:val="20"/>
      <w:szCs w:val="20"/>
      <w:lang w:val="ro-RO" w:eastAsia="ro-RO"/>
    </w:rPr>
  </w:style>
  <w:style w:type="paragraph" w:customStyle="1" w:styleId="xl76">
    <w:name w:val="xl76"/>
    <w:basedOn w:val="Normal"/>
    <w:rsid w:val="005B48A2"/>
    <w:pPr>
      <w:pBdr>
        <w:top w:val="single" w:sz="4" w:space="0" w:color="B0B0B0"/>
        <w:left w:val="single" w:sz="4" w:space="0" w:color="B0B0B0"/>
        <w:bottom w:val="single" w:sz="4" w:space="0" w:color="B0B0B0"/>
        <w:right w:val="single" w:sz="4" w:space="0" w:color="B0B0B0"/>
      </w:pBdr>
      <w:spacing w:before="100" w:beforeAutospacing="1" w:after="100" w:afterAutospacing="1" w:line="240" w:lineRule="auto"/>
      <w:jc w:val="center"/>
      <w:textAlignment w:val="center"/>
    </w:pPr>
    <w:rPr>
      <w:rFonts w:ascii="Arial" w:eastAsia="Times New Roman" w:hAnsi="Arial" w:cs="Arial"/>
      <w:i/>
      <w:iCs/>
      <w:color w:val="555555"/>
      <w:lang w:val="ro-RO" w:eastAsia="ro-RO"/>
    </w:rPr>
  </w:style>
  <w:style w:type="paragraph" w:customStyle="1" w:styleId="xl77">
    <w:name w:val="xl77"/>
    <w:basedOn w:val="Normal"/>
    <w:rsid w:val="005B48A2"/>
    <w:pPr>
      <w:pBdr>
        <w:top w:val="single" w:sz="4" w:space="0" w:color="B0B0B0"/>
        <w:left w:val="single" w:sz="4" w:space="14" w:color="B0B0B0"/>
        <w:bottom w:val="single" w:sz="4" w:space="0" w:color="B0B0B0"/>
        <w:right w:val="single" w:sz="4" w:space="0" w:color="B0B0B0"/>
      </w:pBdr>
      <w:spacing w:before="100" w:beforeAutospacing="1" w:after="100" w:afterAutospacing="1" w:line="240" w:lineRule="auto"/>
      <w:ind w:firstLineChars="200" w:firstLine="200"/>
      <w:textAlignment w:val="center"/>
    </w:pPr>
    <w:rPr>
      <w:rFonts w:ascii="Arial" w:eastAsia="Times New Roman" w:hAnsi="Arial" w:cs="Arial"/>
      <w:lang w:val="ro-RO" w:eastAsia="ro-RO"/>
    </w:rPr>
  </w:style>
  <w:style w:type="paragraph" w:customStyle="1" w:styleId="xl78">
    <w:name w:val="xl78"/>
    <w:basedOn w:val="Normal"/>
    <w:rsid w:val="005B48A2"/>
    <w:pPr>
      <w:pBdr>
        <w:top w:val="single" w:sz="4" w:space="0" w:color="B0B0B0"/>
        <w:left w:val="single" w:sz="4" w:space="0" w:color="B0B0B0"/>
        <w:bottom w:val="single" w:sz="4" w:space="0" w:color="B0B0B0"/>
        <w:right w:val="single" w:sz="4" w:space="0" w:color="B0B0B0"/>
      </w:pBdr>
      <w:spacing w:before="100" w:beforeAutospacing="1" w:after="100" w:afterAutospacing="1" w:line="240" w:lineRule="auto"/>
      <w:jc w:val="center"/>
      <w:textAlignment w:val="center"/>
    </w:pPr>
    <w:rPr>
      <w:rFonts w:ascii="Arial" w:eastAsia="Times New Roman" w:hAnsi="Arial" w:cs="Arial"/>
      <w:color w:val="BBBBBB"/>
      <w:sz w:val="16"/>
      <w:szCs w:val="16"/>
      <w:lang w:val="ro-RO" w:eastAsia="ro-RO"/>
    </w:rPr>
  </w:style>
  <w:style w:type="paragraph" w:customStyle="1" w:styleId="xl79">
    <w:name w:val="xl79"/>
    <w:basedOn w:val="Normal"/>
    <w:rsid w:val="005B48A2"/>
    <w:pPr>
      <w:pBdr>
        <w:top w:val="single" w:sz="4" w:space="0" w:color="B0B0B0"/>
        <w:left w:val="single" w:sz="4" w:space="0" w:color="B0B0B0"/>
        <w:bottom w:val="single" w:sz="4" w:space="0" w:color="B0B0B0"/>
        <w:right w:val="single" w:sz="4" w:space="0" w:color="B0B0B0"/>
      </w:pBdr>
      <w:shd w:val="clear" w:color="993366" w:fill="D32F2F"/>
      <w:spacing w:before="100" w:beforeAutospacing="1" w:after="100" w:afterAutospacing="1" w:line="240" w:lineRule="auto"/>
      <w:jc w:val="center"/>
      <w:textAlignment w:val="center"/>
    </w:pPr>
    <w:rPr>
      <w:rFonts w:ascii="Arial" w:eastAsia="Times New Roman" w:hAnsi="Arial" w:cs="Arial"/>
      <w:b/>
      <w:bCs/>
      <w:color w:val="FFFFFF"/>
      <w:lang w:val="ro-RO" w:eastAsia="ro-RO"/>
    </w:rPr>
  </w:style>
  <w:style w:type="paragraph" w:customStyle="1" w:styleId="xl80">
    <w:name w:val="xl80"/>
    <w:basedOn w:val="Normal"/>
    <w:rsid w:val="005B48A2"/>
    <w:pPr>
      <w:pBdr>
        <w:top w:val="single" w:sz="4" w:space="0" w:color="B0B0B0"/>
        <w:left w:val="single" w:sz="4" w:space="0" w:color="B0B0B0"/>
        <w:bottom w:val="single" w:sz="4" w:space="0" w:color="B0B0B0"/>
        <w:right w:val="single" w:sz="4" w:space="0" w:color="B0B0B0"/>
      </w:pBdr>
      <w:shd w:val="clear" w:color="E8F4F4" w:fill="E0F0F0"/>
      <w:spacing w:before="100" w:beforeAutospacing="1" w:after="100" w:afterAutospacing="1" w:line="240" w:lineRule="auto"/>
      <w:textAlignment w:val="center"/>
    </w:pPr>
    <w:rPr>
      <w:rFonts w:ascii="Arial" w:eastAsia="Times New Roman" w:hAnsi="Arial" w:cs="Arial"/>
      <w:b/>
      <w:bCs/>
      <w:sz w:val="20"/>
      <w:szCs w:val="20"/>
      <w:lang w:val="ro-RO" w:eastAsia="ro-RO"/>
    </w:rPr>
  </w:style>
  <w:style w:type="paragraph" w:customStyle="1" w:styleId="xl81">
    <w:name w:val="xl81"/>
    <w:basedOn w:val="Normal"/>
    <w:rsid w:val="005B48A2"/>
    <w:pPr>
      <w:pBdr>
        <w:top w:val="single" w:sz="4" w:space="0" w:color="B0B0B0"/>
        <w:left w:val="single" w:sz="4" w:space="0" w:color="B0B0B0"/>
        <w:bottom w:val="single" w:sz="4" w:space="0" w:color="B0B0B0"/>
        <w:right w:val="single" w:sz="4" w:space="0" w:color="B0B0B0"/>
      </w:pBdr>
      <w:shd w:val="clear" w:color="E0F0F0" w:fill="E8F4F4"/>
      <w:spacing w:before="100" w:beforeAutospacing="1" w:after="100" w:afterAutospacing="1" w:line="240" w:lineRule="auto"/>
      <w:textAlignment w:val="center"/>
    </w:pPr>
    <w:rPr>
      <w:rFonts w:ascii="Arial" w:eastAsia="Times New Roman" w:hAnsi="Arial" w:cs="Arial"/>
      <w:b/>
      <w:bCs/>
      <w:color w:val="01696F"/>
      <w:sz w:val="20"/>
      <w:szCs w:val="20"/>
      <w:lang w:val="ro-RO" w:eastAsia="ro-RO"/>
    </w:rPr>
  </w:style>
  <w:style w:type="paragraph" w:customStyle="1" w:styleId="xl82">
    <w:name w:val="xl82"/>
    <w:basedOn w:val="Normal"/>
    <w:rsid w:val="00357859"/>
    <w:pPr>
      <w:pBdr>
        <w:top w:val="single" w:sz="4" w:space="0" w:color="B0B0B0"/>
        <w:left w:val="single" w:sz="4" w:space="0" w:color="B0B0B0"/>
        <w:bottom w:val="single" w:sz="4" w:space="0" w:color="B0B0B0"/>
        <w:right w:val="single" w:sz="4" w:space="0" w:color="B0B0B0"/>
      </w:pBdr>
      <w:shd w:val="clear" w:color="E8F4F4" w:fill="E0F0F0"/>
      <w:spacing w:before="100" w:beforeAutospacing="1" w:after="100" w:afterAutospacing="1" w:line="240" w:lineRule="auto"/>
      <w:textAlignment w:val="center"/>
    </w:pPr>
    <w:rPr>
      <w:rFonts w:ascii="Nunito" w:eastAsia="Times New Roman" w:hAnsi="Nunito" w:cs="Times New Roman"/>
      <w:b/>
      <w:bCs/>
      <w:sz w:val="16"/>
      <w:szCs w:val="16"/>
      <w:lang w:val="ro-RO" w:eastAsia="ro-RO"/>
    </w:rPr>
  </w:style>
  <w:style w:type="paragraph" w:customStyle="1" w:styleId="xl83">
    <w:name w:val="xl83"/>
    <w:basedOn w:val="Normal"/>
    <w:rsid w:val="00357859"/>
    <w:pPr>
      <w:pBdr>
        <w:top w:val="single" w:sz="4" w:space="0" w:color="B0B0B0"/>
        <w:left w:val="single" w:sz="4" w:space="0" w:color="B0B0B0"/>
        <w:bottom w:val="single" w:sz="4" w:space="0" w:color="B0B0B0"/>
        <w:right w:val="single" w:sz="4" w:space="0" w:color="B0B0B0"/>
      </w:pBdr>
      <w:shd w:val="clear" w:color="E8F4F4" w:fill="E0F0F0"/>
      <w:spacing w:before="100" w:beforeAutospacing="1" w:after="100" w:afterAutospacing="1" w:line="240" w:lineRule="auto"/>
      <w:jc w:val="center"/>
      <w:textAlignment w:val="center"/>
    </w:pPr>
    <w:rPr>
      <w:rFonts w:ascii="Nunito" w:eastAsia="Times New Roman" w:hAnsi="Nunito" w:cs="Times New Roman"/>
      <w:b/>
      <w:bCs/>
      <w:sz w:val="16"/>
      <w:szCs w:val="16"/>
      <w:lang w:val="ro-RO" w:eastAsia="ro-RO"/>
    </w:rPr>
  </w:style>
  <w:style w:type="numbering" w:customStyle="1" w:styleId="NoList1">
    <w:name w:val="No List1"/>
    <w:next w:val="NoList"/>
    <w:uiPriority w:val="99"/>
    <w:semiHidden/>
    <w:unhideWhenUsed/>
    <w:rsid w:val="00421B94"/>
  </w:style>
  <w:style w:type="paragraph" w:customStyle="1" w:styleId="Strong1">
    <w:name w:val="Strong1"/>
    <w:qFormat/>
    <w:rsid w:val="00421B94"/>
    <w:pPr>
      <w:spacing w:line="240" w:lineRule="auto"/>
    </w:pPr>
    <w:rPr>
      <w:rFonts w:ascii="Arial" w:eastAsia="Arial" w:hAnsi="Arial" w:cs="Arial"/>
      <w:b/>
      <w:bCs/>
      <w:sz w:val="20"/>
      <w:szCs w:val="20"/>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9286">
      <w:bodyDiv w:val="1"/>
      <w:marLeft w:val="0"/>
      <w:marRight w:val="0"/>
      <w:marTop w:val="0"/>
      <w:marBottom w:val="0"/>
      <w:divBdr>
        <w:top w:val="none" w:sz="0" w:space="0" w:color="auto"/>
        <w:left w:val="none" w:sz="0" w:space="0" w:color="auto"/>
        <w:bottom w:val="none" w:sz="0" w:space="0" w:color="auto"/>
        <w:right w:val="none" w:sz="0" w:space="0" w:color="auto"/>
      </w:divBdr>
    </w:div>
    <w:div w:id="69355409">
      <w:bodyDiv w:val="1"/>
      <w:marLeft w:val="0"/>
      <w:marRight w:val="0"/>
      <w:marTop w:val="0"/>
      <w:marBottom w:val="0"/>
      <w:divBdr>
        <w:top w:val="none" w:sz="0" w:space="0" w:color="auto"/>
        <w:left w:val="none" w:sz="0" w:space="0" w:color="auto"/>
        <w:bottom w:val="none" w:sz="0" w:space="0" w:color="auto"/>
        <w:right w:val="none" w:sz="0" w:space="0" w:color="auto"/>
      </w:divBdr>
    </w:div>
    <w:div w:id="179439379">
      <w:bodyDiv w:val="1"/>
      <w:marLeft w:val="0"/>
      <w:marRight w:val="0"/>
      <w:marTop w:val="0"/>
      <w:marBottom w:val="0"/>
      <w:divBdr>
        <w:top w:val="none" w:sz="0" w:space="0" w:color="auto"/>
        <w:left w:val="none" w:sz="0" w:space="0" w:color="auto"/>
        <w:bottom w:val="none" w:sz="0" w:space="0" w:color="auto"/>
        <w:right w:val="none" w:sz="0" w:space="0" w:color="auto"/>
      </w:divBdr>
    </w:div>
    <w:div w:id="219950637">
      <w:bodyDiv w:val="1"/>
      <w:marLeft w:val="0"/>
      <w:marRight w:val="0"/>
      <w:marTop w:val="0"/>
      <w:marBottom w:val="0"/>
      <w:divBdr>
        <w:top w:val="none" w:sz="0" w:space="0" w:color="auto"/>
        <w:left w:val="none" w:sz="0" w:space="0" w:color="auto"/>
        <w:bottom w:val="none" w:sz="0" w:space="0" w:color="auto"/>
        <w:right w:val="none" w:sz="0" w:space="0" w:color="auto"/>
      </w:divBdr>
    </w:div>
    <w:div w:id="306008830">
      <w:bodyDiv w:val="1"/>
      <w:marLeft w:val="0"/>
      <w:marRight w:val="0"/>
      <w:marTop w:val="0"/>
      <w:marBottom w:val="0"/>
      <w:divBdr>
        <w:top w:val="none" w:sz="0" w:space="0" w:color="auto"/>
        <w:left w:val="none" w:sz="0" w:space="0" w:color="auto"/>
        <w:bottom w:val="none" w:sz="0" w:space="0" w:color="auto"/>
        <w:right w:val="none" w:sz="0" w:space="0" w:color="auto"/>
      </w:divBdr>
    </w:div>
    <w:div w:id="437992385">
      <w:bodyDiv w:val="1"/>
      <w:marLeft w:val="0"/>
      <w:marRight w:val="0"/>
      <w:marTop w:val="0"/>
      <w:marBottom w:val="0"/>
      <w:divBdr>
        <w:top w:val="none" w:sz="0" w:space="0" w:color="auto"/>
        <w:left w:val="none" w:sz="0" w:space="0" w:color="auto"/>
        <w:bottom w:val="none" w:sz="0" w:space="0" w:color="auto"/>
        <w:right w:val="none" w:sz="0" w:space="0" w:color="auto"/>
      </w:divBdr>
    </w:div>
    <w:div w:id="485780448">
      <w:bodyDiv w:val="1"/>
      <w:marLeft w:val="0"/>
      <w:marRight w:val="0"/>
      <w:marTop w:val="0"/>
      <w:marBottom w:val="0"/>
      <w:divBdr>
        <w:top w:val="none" w:sz="0" w:space="0" w:color="auto"/>
        <w:left w:val="none" w:sz="0" w:space="0" w:color="auto"/>
        <w:bottom w:val="none" w:sz="0" w:space="0" w:color="auto"/>
        <w:right w:val="none" w:sz="0" w:space="0" w:color="auto"/>
      </w:divBdr>
      <w:divsChild>
        <w:div w:id="120660124">
          <w:marLeft w:val="0"/>
          <w:marRight w:val="0"/>
          <w:marTop w:val="0"/>
          <w:marBottom w:val="0"/>
          <w:divBdr>
            <w:top w:val="none" w:sz="0" w:space="0" w:color="auto"/>
            <w:left w:val="none" w:sz="0" w:space="0" w:color="auto"/>
            <w:bottom w:val="none" w:sz="0" w:space="0" w:color="auto"/>
            <w:right w:val="none" w:sz="0" w:space="0" w:color="auto"/>
          </w:divBdr>
        </w:div>
      </w:divsChild>
    </w:div>
    <w:div w:id="524101729">
      <w:bodyDiv w:val="1"/>
      <w:marLeft w:val="0"/>
      <w:marRight w:val="0"/>
      <w:marTop w:val="0"/>
      <w:marBottom w:val="0"/>
      <w:divBdr>
        <w:top w:val="none" w:sz="0" w:space="0" w:color="auto"/>
        <w:left w:val="none" w:sz="0" w:space="0" w:color="auto"/>
        <w:bottom w:val="none" w:sz="0" w:space="0" w:color="auto"/>
        <w:right w:val="none" w:sz="0" w:space="0" w:color="auto"/>
      </w:divBdr>
    </w:div>
    <w:div w:id="575015896">
      <w:bodyDiv w:val="1"/>
      <w:marLeft w:val="0"/>
      <w:marRight w:val="0"/>
      <w:marTop w:val="0"/>
      <w:marBottom w:val="0"/>
      <w:divBdr>
        <w:top w:val="none" w:sz="0" w:space="0" w:color="auto"/>
        <w:left w:val="none" w:sz="0" w:space="0" w:color="auto"/>
        <w:bottom w:val="none" w:sz="0" w:space="0" w:color="auto"/>
        <w:right w:val="none" w:sz="0" w:space="0" w:color="auto"/>
      </w:divBdr>
    </w:div>
    <w:div w:id="744841612">
      <w:bodyDiv w:val="1"/>
      <w:marLeft w:val="0"/>
      <w:marRight w:val="0"/>
      <w:marTop w:val="0"/>
      <w:marBottom w:val="0"/>
      <w:divBdr>
        <w:top w:val="none" w:sz="0" w:space="0" w:color="auto"/>
        <w:left w:val="none" w:sz="0" w:space="0" w:color="auto"/>
        <w:bottom w:val="none" w:sz="0" w:space="0" w:color="auto"/>
        <w:right w:val="none" w:sz="0" w:space="0" w:color="auto"/>
      </w:divBdr>
    </w:div>
    <w:div w:id="772551189">
      <w:bodyDiv w:val="1"/>
      <w:marLeft w:val="0"/>
      <w:marRight w:val="0"/>
      <w:marTop w:val="0"/>
      <w:marBottom w:val="0"/>
      <w:divBdr>
        <w:top w:val="none" w:sz="0" w:space="0" w:color="auto"/>
        <w:left w:val="none" w:sz="0" w:space="0" w:color="auto"/>
        <w:bottom w:val="none" w:sz="0" w:space="0" w:color="auto"/>
        <w:right w:val="none" w:sz="0" w:space="0" w:color="auto"/>
      </w:divBdr>
    </w:div>
    <w:div w:id="796610543">
      <w:bodyDiv w:val="1"/>
      <w:marLeft w:val="0"/>
      <w:marRight w:val="0"/>
      <w:marTop w:val="0"/>
      <w:marBottom w:val="0"/>
      <w:divBdr>
        <w:top w:val="none" w:sz="0" w:space="0" w:color="auto"/>
        <w:left w:val="none" w:sz="0" w:space="0" w:color="auto"/>
        <w:bottom w:val="none" w:sz="0" w:space="0" w:color="auto"/>
        <w:right w:val="none" w:sz="0" w:space="0" w:color="auto"/>
      </w:divBdr>
    </w:div>
    <w:div w:id="844589142">
      <w:bodyDiv w:val="1"/>
      <w:marLeft w:val="0"/>
      <w:marRight w:val="0"/>
      <w:marTop w:val="0"/>
      <w:marBottom w:val="0"/>
      <w:divBdr>
        <w:top w:val="none" w:sz="0" w:space="0" w:color="auto"/>
        <w:left w:val="none" w:sz="0" w:space="0" w:color="auto"/>
        <w:bottom w:val="none" w:sz="0" w:space="0" w:color="auto"/>
        <w:right w:val="none" w:sz="0" w:space="0" w:color="auto"/>
      </w:divBdr>
    </w:div>
    <w:div w:id="845250324">
      <w:bodyDiv w:val="1"/>
      <w:marLeft w:val="0"/>
      <w:marRight w:val="0"/>
      <w:marTop w:val="0"/>
      <w:marBottom w:val="0"/>
      <w:divBdr>
        <w:top w:val="none" w:sz="0" w:space="0" w:color="auto"/>
        <w:left w:val="none" w:sz="0" w:space="0" w:color="auto"/>
        <w:bottom w:val="none" w:sz="0" w:space="0" w:color="auto"/>
        <w:right w:val="none" w:sz="0" w:space="0" w:color="auto"/>
      </w:divBdr>
    </w:div>
    <w:div w:id="847258411">
      <w:bodyDiv w:val="1"/>
      <w:marLeft w:val="0"/>
      <w:marRight w:val="0"/>
      <w:marTop w:val="0"/>
      <w:marBottom w:val="0"/>
      <w:divBdr>
        <w:top w:val="none" w:sz="0" w:space="0" w:color="auto"/>
        <w:left w:val="none" w:sz="0" w:space="0" w:color="auto"/>
        <w:bottom w:val="none" w:sz="0" w:space="0" w:color="auto"/>
        <w:right w:val="none" w:sz="0" w:space="0" w:color="auto"/>
      </w:divBdr>
    </w:div>
    <w:div w:id="908347972">
      <w:bodyDiv w:val="1"/>
      <w:marLeft w:val="0"/>
      <w:marRight w:val="0"/>
      <w:marTop w:val="0"/>
      <w:marBottom w:val="0"/>
      <w:divBdr>
        <w:top w:val="none" w:sz="0" w:space="0" w:color="auto"/>
        <w:left w:val="none" w:sz="0" w:space="0" w:color="auto"/>
        <w:bottom w:val="none" w:sz="0" w:space="0" w:color="auto"/>
        <w:right w:val="none" w:sz="0" w:space="0" w:color="auto"/>
      </w:divBdr>
    </w:div>
    <w:div w:id="962886031">
      <w:bodyDiv w:val="1"/>
      <w:marLeft w:val="0"/>
      <w:marRight w:val="0"/>
      <w:marTop w:val="0"/>
      <w:marBottom w:val="0"/>
      <w:divBdr>
        <w:top w:val="none" w:sz="0" w:space="0" w:color="auto"/>
        <w:left w:val="none" w:sz="0" w:space="0" w:color="auto"/>
        <w:bottom w:val="none" w:sz="0" w:space="0" w:color="auto"/>
        <w:right w:val="none" w:sz="0" w:space="0" w:color="auto"/>
      </w:divBdr>
    </w:div>
    <w:div w:id="1042628898">
      <w:bodyDiv w:val="1"/>
      <w:marLeft w:val="0"/>
      <w:marRight w:val="0"/>
      <w:marTop w:val="0"/>
      <w:marBottom w:val="0"/>
      <w:divBdr>
        <w:top w:val="none" w:sz="0" w:space="0" w:color="auto"/>
        <w:left w:val="none" w:sz="0" w:space="0" w:color="auto"/>
        <w:bottom w:val="none" w:sz="0" w:space="0" w:color="auto"/>
        <w:right w:val="none" w:sz="0" w:space="0" w:color="auto"/>
      </w:divBdr>
    </w:div>
    <w:div w:id="1067143826">
      <w:bodyDiv w:val="1"/>
      <w:marLeft w:val="0"/>
      <w:marRight w:val="0"/>
      <w:marTop w:val="0"/>
      <w:marBottom w:val="0"/>
      <w:divBdr>
        <w:top w:val="none" w:sz="0" w:space="0" w:color="auto"/>
        <w:left w:val="none" w:sz="0" w:space="0" w:color="auto"/>
        <w:bottom w:val="none" w:sz="0" w:space="0" w:color="auto"/>
        <w:right w:val="none" w:sz="0" w:space="0" w:color="auto"/>
      </w:divBdr>
    </w:div>
    <w:div w:id="1070536772">
      <w:bodyDiv w:val="1"/>
      <w:marLeft w:val="0"/>
      <w:marRight w:val="0"/>
      <w:marTop w:val="0"/>
      <w:marBottom w:val="0"/>
      <w:divBdr>
        <w:top w:val="none" w:sz="0" w:space="0" w:color="auto"/>
        <w:left w:val="none" w:sz="0" w:space="0" w:color="auto"/>
        <w:bottom w:val="none" w:sz="0" w:space="0" w:color="auto"/>
        <w:right w:val="none" w:sz="0" w:space="0" w:color="auto"/>
      </w:divBdr>
    </w:div>
    <w:div w:id="1107651467">
      <w:bodyDiv w:val="1"/>
      <w:marLeft w:val="0"/>
      <w:marRight w:val="0"/>
      <w:marTop w:val="0"/>
      <w:marBottom w:val="0"/>
      <w:divBdr>
        <w:top w:val="none" w:sz="0" w:space="0" w:color="auto"/>
        <w:left w:val="none" w:sz="0" w:space="0" w:color="auto"/>
        <w:bottom w:val="none" w:sz="0" w:space="0" w:color="auto"/>
        <w:right w:val="none" w:sz="0" w:space="0" w:color="auto"/>
      </w:divBdr>
    </w:div>
    <w:div w:id="1179390687">
      <w:bodyDiv w:val="1"/>
      <w:marLeft w:val="0"/>
      <w:marRight w:val="0"/>
      <w:marTop w:val="0"/>
      <w:marBottom w:val="0"/>
      <w:divBdr>
        <w:top w:val="none" w:sz="0" w:space="0" w:color="auto"/>
        <w:left w:val="none" w:sz="0" w:space="0" w:color="auto"/>
        <w:bottom w:val="none" w:sz="0" w:space="0" w:color="auto"/>
        <w:right w:val="none" w:sz="0" w:space="0" w:color="auto"/>
      </w:divBdr>
    </w:div>
    <w:div w:id="1197432036">
      <w:bodyDiv w:val="1"/>
      <w:marLeft w:val="0"/>
      <w:marRight w:val="0"/>
      <w:marTop w:val="0"/>
      <w:marBottom w:val="0"/>
      <w:divBdr>
        <w:top w:val="none" w:sz="0" w:space="0" w:color="auto"/>
        <w:left w:val="none" w:sz="0" w:space="0" w:color="auto"/>
        <w:bottom w:val="none" w:sz="0" w:space="0" w:color="auto"/>
        <w:right w:val="none" w:sz="0" w:space="0" w:color="auto"/>
      </w:divBdr>
    </w:div>
    <w:div w:id="1200627983">
      <w:bodyDiv w:val="1"/>
      <w:marLeft w:val="0"/>
      <w:marRight w:val="0"/>
      <w:marTop w:val="0"/>
      <w:marBottom w:val="0"/>
      <w:divBdr>
        <w:top w:val="none" w:sz="0" w:space="0" w:color="auto"/>
        <w:left w:val="none" w:sz="0" w:space="0" w:color="auto"/>
        <w:bottom w:val="none" w:sz="0" w:space="0" w:color="auto"/>
        <w:right w:val="none" w:sz="0" w:space="0" w:color="auto"/>
      </w:divBdr>
    </w:div>
    <w:div w:id="1228878081">
      <w:bodyDiv w:val="1"/>
      <w:marLeft w:val="0"/>
      <w:marRight w:val="0"/>
      <w:marTop w:val="0"/>
      <w:marBottom w:val="0"/>
      <w:divBdr>
        <w:top w:val="none" w:sz="0" w:space="0" w:color="auto"/>
        <w:left w:val="none" w:sz="0" w:space="0" w:color="auto"/>
        <w:bottom w:val="none" w:sz="0" w:space="0" w:color="auto"/>
        <w:right w:val="none" w:sz="0" w:space="0" w:color="auto"/>
      </w:divBdr>
    </w:div>
    <w:div w:id="1278869699">
      <w:bodyDiv w:val="1"/>
      <w:marLeft w:val="0"/>
      <w:marRight w:val="0"/>
      <w:marTop w:val="0"/>
      <w:marBottom w:val="0"/>
      <w:divBdr>
        <w:top w:val="none" w:sz="0" w:space="0" w:color="auto"/>
        <w:left w:val="none" w:sz="0" w:space="0" w:color="auto"/>
        <w:bottom w:val="none" w:sz="0" w:space="0" w:color="auto"/>
        <w:right w:val="none" w:sz="0" w:space="0" w:color="auto"/>
      </w:divBdr>
    </w:div>
    <w:div w:id="1305432530">
      <w:bodyDiv w:val="1"/>
      <w:marLeft w:val="0"/>
      <w:marRight w:val="0"/>
      <w:marTop w:val="0"/>
      <w:marBottom w:val="0"/>
      <w:divBdr>
        <w:top w:val="none" w:sz="0" w:space="0" w:color="auto"/>
        <w:left w:val="none" w:sz="0" w:space="0" w:color="auto"/>
        <w:bottom w:val="none" w:sz="0" w:space="0" w:color="auto"/>
        <w:right w:val="none" w:sz="0" w:space="0" w:color="auto"/>
      </w:divBdr>
    </w:div>
    <w:div w:id="1397776182">
      <w:bodyDiv w:val="1"/>
      <w:marLeft w:val="0"/>
      <w:marRight w:val="0"/>
      <w:marTop w:val="0"/>
      <w:marBottom w:val="0"/>
      <w:divBdr>
        <w:top w:val="none" w:sz="0" w:space="0" w:color="auto"/>
        <w:left w:val="none" w:sz="0" w:space="0" w:color="auto"/>
        <w:bottom w:val="none" w:sz="0" w:space="0" w:color="auto"/>
        <w:right w:val="none" w:sz="0" w:space="0" w:color="auto"/>
      </w:divBdr>
    </w:div>
    <w:div w:id="1451390707">
      <w:bodyDiv w:val="1"/>
      <w:marLeft w:val="0"/>
      <w:marRight w:val="0"/>
      <w:marTop w:val="0"/>
      <w:marBottom w:val="0"/>
      <w:divBdr>
        <w:top w:val="none" w:sz="0" w:space="0" w:color="auto"/>
        <w:left w:val="none" w:sz="0" w:space="0" w:color="auto"/>
        <w:bottom w:val="none" w:sz="0" w:space="0" w:color="auto"/>
        <w:right w:val="none" w:sz="0" w:space="0" w:color="auto"/>
      </w:divBdr>
    </w:div>
    <w:div w:id="1458530495">
      <w:bodyDiv w:val="1"/>
      <w:marLeft w:val="0"/>
      <w:marRight w:val="0"/>
      <w:marTop w:val="0"/>
      <w:marBottom w:val="0"/>
      <w:divBdr>
        <w:top w:val="none" w:sz="0" w:space="0" w:color="auto"/>
        <w:left w:val="none" w:sz="0" w:space="0" w:color="auto"/>
        <w:bottom w:val="none" w:sz="0" w:space="0" w:color="auto"/>
        <w:right w:val="none" w:sz="0" w:space="0" w:color="auto"/>
      </w:divBdr>
    </w:div>
    <w:div w:id="1496721669">
      <w:bodyDiv w:val="1"/>
      <w:marLeft w:val="0"/>
      <w:marRight w:val="0"/>
      <w:marTop w:val="0"/>
      <w:marBottom w:val="0"/>
      <w:divBdr>
        <w:top w:val="none" w:sz="0" w:space="0" w:color="auto"/>
        <w:left w:val="none" w:sz="0" w:space="0" w:color="auto"/>
        <w:bottom w:val="none" w:sz="0" w:space="0" w:color="auto"/>
        <w:right w:val="none" w:sz="0" w:space="0" w:color="auto"/>
      </w:divBdr>
    </w:div>
    <w:div w:id="1637444491">
      <w:bodyDiv w:val="1"/>
      <w:marLeft w:val="0"/>
      <w:marRight w:val="0"/>
      <w:marTop w:val="0"/>
      <w:marBottom w:val="0"/>
      <w:divBdr>
        <w:top w:val="none" w:sz="0" w:space="0" w:color="auto"/>
        <w:left w:val="none" w:sz="0" w:space="0" w:color="auto"/>
        <w:bottom w:val="none" w:sz="0" w:space="0" w:color="auto"/>
        <w:right w:val="none" w:sz="0" w:space="0" w:color="auto"/>
      </w:divBdr>
    </w:div>
    <w:div w:id="1669601416">
      <w:bodyDiv w:val="1"/>
      <w:marLeft w:val="0"/>
      <w:marRight w:val="0"/>
      <w:marTop w:val="0"/>
      <w:marBottom w:val="0"/>
      <w:divBdr>
        <w:top w:val="none" w:sz="0" w:space="0" w:color="auto"/>
        <w:left w:val="none" w:sz="0" w:space="0" w:color="auto"/>
        <w:bottom w:val="none" w:sz="0" w:space="0" w:color="auto"/>
        <w:right w:val="none" w:sz="0" w:space="0" w:color="auto"/>
      </w:divBdr>
    </w:div>
    <w:div w:id="1740251595">
      <w:bodyDiv w:val="1"/>
      <w:marLeft w:val="0"/>
      <w:marRight w:val="0"/>
      <w:marTop w:val="0"/>
      <w:marBottom w:val="0"/>
      <w:divBdr>
        <w:top w:val="none" w:sz="0" w:space="0" w:color="auto"/>
        <w:left w:val="none" w:sz="0" w:space="0" w:color="auto"/>
        <w:bottom w:val="none" w:sz="0" w:space="0" w:color="auto"/>
        <w:right w:val="none" w:sz="0" w:space="0" w:color="auto"/>
      </w:divBdr>
    </w:div>
    <w:div w:id="1801613136">
      <w:bodyDiv w:val="1"/>
      <w:marLeft w:val="0"/>
      <w:marRight w:val="0"/>
      <w:marTop w:val="0"/>
      <w:marBottom w:val="0"/>
      <w:divBdr>
        <w:top w:val="none" w:sz="0" w:space="0" w:color="auto"/>
        <w:left w:val="none" w:sz="0" w:space="0" w:color="auto"/>
        <w:bottom w:val="none" w:sz="0" w:space="0" w:color="auto"/>
        <w:right w:val="none" w:sz="0" w:space="0" w:color="auto"/>
      </w:divBdr>
    </w:div>
    <w:div w:id="1876501862">
      <w:bodyDiv w:val="1"/>
      <w:marLeft w:val="0"/>
      <w:marRight w:val="0"/>
      <w:marTop w:val="0"/>
      <w:marBottom w:val="0"/>
      <w:divBdr>
        <w:top w:val="none" w:sz="0" w:space="0" w:color="auto"/>
        <w:left w:val="none" w:sz="0" w:space="0" w:color="auto"/>
        <w:bottom w:val="none" w:sz="0" w:space="0" w:color="auto"/>
        <w:right w:val="none" w:sz="0" w:space="0" w:color="auto"/>
      </w:divBdr>
    </w:div>
    <w:div w:id="1936667938">
      <w:bodyDiv w:val="1"/>
      <w:marLeft w:val="0"/>
      <w:marRight w:val="0"/>
      <w:marTop w:val="0"/>
      <w:marBottom w:val="0"/>
      <w:divBdr>
        <w:top w:val="none" w:sz="0" w:space="0" w:color="auto"/>
        <w:left w:val="none" w:sz="0" w:space="0" w:color="auto"/>
        <w:bottom w:val="none" w:sz="0" w:space="0" w:color="auto"/>
        <w:right w:val="none" w:sz="0" w:space="0" w:color="auto"/>
      </w:divBdr>
    </w:div>
    <w:div w:id="1976332325">
      <w:bodyDiv w:val="1"/>
      <w:marLeft w:val="0"/>
      <w:marRight w:val="0"/>
      <w:marTop w:val="0"/>
      <w:marBottom w:val="0"/>
      <w:divBdr>
        <w:top w:val="none" w:sz="0" w:space="0" w:color="auto"/>
        <w:left w:val="none" w:sz="0" w:space="0" w:color="auto"/>
        <w:bottom w:val="none" w:sz="0" w:space="0" w:color="auto"/>
        <w:right w:val="none" w:sz="0" w:space="0" w:color="auto"/>
      </w:divBdr>
    </w:div>
    <w:div w:id="2001040855">
      <w:bodyDiv w:val="1"/>
      <w:marLeft w:val="0"/>
      <w:marRight w:val="0"/>
      <w:marTop w:val="0"/>
      <w:marBottom w:val="0"/>
      <w:divBdr>
        <w:top w:val="none" w:sz="0" w:space="0" w:color="auto"/>
        <w:left w:val="none" w:sz="0" w:space="0" w:color="auto"/>
        <w:bottom w:val="none" w:sz="0" w:space="0" w:color="auto"/>
        <w:right w:val="none" w:sz="0" w:space="0" w:color="auto"/>
      </w:divBdr>
    </w:div>
    <w:div w:id="2017687333">
      <w:bodyDiv w:val="1"/>
      <w:marLeft w:val="0"/>
      <w:marRight w:val="0"/>
      <w:marTop w:val="0"/>
      <w:marBottom w:val="0"/>
      <w:divBdr>
        <w:top w:val="none" w:sz="0" w:space="0" w:color="auto"/>
        <w:left w:val="none" w:sz="0" w:space="0" w:color="auto"/>
        <w:bottom w:val="none" w:sz="0" w:space="0" w:color="auto"/>
        <w:right w:val="none" w:sz="0" w:space="0" w:color="auto"/>
      </w:divBdr>
    </w:div>
    <w:div w:id="211828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musat\AppData\Local\Temp\Templafy\WordVsto\Cover%20and%20Content,%20narrow%20text.dotx" TargetMode="External"/></Relationships>
</file>

<file path=word/theme/theme1.xml><?xml version="1.0" encoding="utf-8"?>
<a:theme xmlns:a="http://schemas.openxmlformats.org/drawingml/2006/main" name="Ramboll">
  <a:themeElements>
    <a:clrScheme name="Rambøll_2021">
      <a:dk1>
        <a:srgbClr val="000000"/>
      </a:dk1>
      <a:lt1>
        <a:srgbClr val="FFFFFF"/>
      </a:lt1>
      <a:dk2>
        <a:srgbClr val="009DF0"/>
      </a:dk2>
      <a:lt2>
        <a:srgbClr val="273943"/>
      </a:lt2>
      <a:accent1>
        <a:srgbClr val="05326E"/>
      </a:accent1>
      <a:accent2>
        <a:srgbClr val="125A40"/>
      </a:accent2>
      <a:accent3>
        <a:srgbClr val="ADD095"/>
      </a:accent3>
      <a:accent4>
        <a:srgbClr val="62294B"/>
      </a:accent4>
      <a:accent5>
        <a:srgbClr val="FF8855"/>
      </a:accent5>
      <a:accent6>
        <a:srgbClr val="E3E1D8"/>
      </a:accent6>
      <a:hlink>
        <a:srgbClr val="009DF0"/>
      </a:hlink>
      <a:folHlink>
        <a:srgbClr val="CCEBFD"/>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Black">
      <a:srgbClr val="000000"/>
    </a:custClr>
    <a:custClr name="Mountain 100%">
      <a:srgbClr val="273943"/>
    </a:custClr>
    <a:custClr name="Cyan 100%">
      <a:srgbClr val="009DF0"/>
    </a:custClr>
    <a:custClr name="Ocean 100%">
      <a:srgbClr val="05326E"/>
    </a:custClr>
    <a:custClr name="Forest 100%">
      <a:srgbClr val="125A40"/>
    </a:custClr>
    <a:custClr name="Grass 100%">
      <a:srgbClr val="ADD095"/>
    </a:custClr>
    <a:custClr name="Heath 100%">
      <a:srgbClr val="61294B"/>
    </a:custClr>
    <a:custClr name="Field 100%">
      <a:srgbClr val="FF8855"/>
    </a:custClr>
    <a:custClr name="Pebble 100%">
      <a:srgbClr val="E3E1D8"/>
    </a:custClr>
    <a:custClr name="Sand 100%">
      <a:srgbClr val="FFE682"/>
    </a:custClr>
    <a:custClr name="Text color">
      <a:srgbClr val="333333"/>
    </a:custClr>
    <a:custClr name="Mountain 80%">
      <a:srgbClr val="47525A"/>
    </a:custClr>
    <a:custClr name="Cyan 80%">
      <a:srgbClr val="33B1F3"/>
    </a:custClr>
    <a:custClr name="Ocean 80%">
      <a:srgbClr val="375B8B"/>
    </a:custClr>
    <a:custClr name="Forest 80%">
      <a:srgbClr val="417B66"/>
    </a:custClr>
    <a:custClr name="Grass 80%">
      <a:srgbClr val="BDD9AA"/>
    </a:custClr>
    <a:custClr name="Heath 80%">
      <a:srgbClr val="794B62"/>
    </a:custClr>
    <a:custClr name="Field 80%">
      <a:srgbClr val="F89D73"/>
    </a:custClr>
    <a:custClr name="Pebble 80%">
      <a:srgbClr val="E9E7E0"/>
    </a:custClr>
    <a:custClr name="Sand 80%">
      <a:srgbClr val="FCE783"/>
    </a:custClr>
    <a:custClr name="White">
      <a:srgbClr val="FFFFFF"/>
    </a:custClr>
    <a:custClr name="Mountain 60%">
      <a:srgbClr val="7D888E"/>
    </a:custClr>
    <a:custClr name="Cyan 60%">
      <a:srgbClr val="66C4F6"/>
    </a:custClr>
    <a:custClr name="Ocean 60%">
      <a:srgbClr val="6984A8"/>
    </a:custClr>
    <a:custClr name="Forest 60%">
      <a:srgbClr val="719C8C"/>
    </a:custClr>
    <a:custClr name="Grass 60%">
      <a:srgbClr val="CEE3BF"/>
    </a:custClr>
    <a:custClr name="Heath 60%">
      <a:srgbClr val="A17F93"/>
    </a:custClr>
    <a:custClr name="Field 60%">
      <a:srgbClr val="FFB899"/>
    </a:custClr>
    <a:custClr name="Pebble 60%">
      <a:srgbClr val="EEEDE8"/>
    </a:custClr>
    <a:custClr name="Sand 60%">
      <a:srgbClr val="FFFAB4"/>
    </a:custClr>
    <a:custClr name="White">
      <a:srgbClr val="FFFFFF"/>
    </a:custClr>
    <a:custClr name="Mountain 40%">
      <a:srgbClr val="D3D7D9"/>
    </a:custClr>
    <a:custClr name="Cyan 40%">
      <a:srgbClr val="CCEBFD"/>
    </a:custClr>
    <a:custClr name="Ocean 40%">
      <a:srgbClr val="CED6E3"/>
    </a:custClr>
    <a:custClr name="Forest 40%">
      <a:srgbClr val="CFDED9"/>
    </a:custClr>
    <a:custClr name="Grass 40%">
      <a:srgbClr val="EFF7EA"/>
    </a:custClr>
    <a:custClr name="Heath 40%">
      <a:srgbClr val="DFD4DA"/>
    </a:custClr>
    <a:custClr name="Field 40%">
      <a:srgbClr val="FFE7DD"/>
    </a:custClr>
    <a:custClr name="Pebble 40%">
      <a:srgbClr val="F9F9F7"/>
    </a:custClr>
    <a:custClr name="Sand 40%">
      <a:srgbClr val="FFFAE6"/>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required":true,"helpTexts":{},"spacing":{},"shareValue":false,"type":"datePicker","name":"Date","label":"Date"},{"distinct":false,"hideIfNoUserInteractionRequired":false,"required":true,"defaultValue":"Exclude","autoSelectFirstOption":false,"helpTexts":{},"spacing":{},"shareValue":false,"type":"dropDown","dataSourceName":"Filename","dataSourceFieldName":"Filename","name":"FilePath","label":"File Path"}],"formDataEntries":[{"name":"Date","value":"krZ8ZpOil6vw/DwGsFvYUQ=="},{"name":"FilePath","value":"bU6CliS5PQ96wPysEIuDxM9wxSC5U6AtqAVekLmyXrY="}]}]]></TemplafyFormConfiguration>
</file>

<file path=customXml/item2.xml><?xml version="1.0" encoding="utf-8"?>
<TemplafyTemplateConfiguration><![CDATA[{"elementsMetadata":[{"elementConfiguration":{"binding":"{{Translate(\"ProjectName\")}}","promptAiService":false,"visibility":"","removeAndKeepContent":false,"disableUpdates":false,"type":"text"},"type":"richTextContentControl","id":"88958f1b-2fd1-4a0f-a91f-5564b6dbf8a6"},{"elementConfiguration":{"binding":"{{Translate(\"ClientName\")}}","promptAiService":false,"visibility":"","removeAndKeepContent":false,"disableUpdates":false,"type":"text"},"type":"richTextContentControl","id":"0ca994c5-e279-4b3a-bf1b-8436622ea3ec"},{"elementConfiguration":{"binding":"{{Translate(\"PreparedBy\")}}","promptAiService":false,"visibility":"","removeAndKeepContent":false,"disableUpdates":false,"type":"text"},"type":"richTextContentControl","id":"a1b60c01-5927-4a20-a241-17f72813e87b"},{"elementConfiguration":{"binding":"{{Translate(\"Checkedby\")}}","promptAiService":false,"visibility":"","removeAndKeepContent":false,"disableUpdates":false,"type":"text"},"type":"richTextContentControl","id":"f0141311-fc6c-45c6-9129-212bafdb5c2e"},{"elementConfiguration":{"binding":"{{Translate(\"Approvedby\")}}","promptAiService":false,"visibility":"","removeAndKeepContent":false,"disableUpdates":false,"type":"text"},"type":"richTextContentControl","id":"cb73afe2-cc2f-41d8-bca4-6c95d505c659"},{"elementConfiguration":{"binding":"{{Translate(\"TypeOfProposal\")}}","promptAiService":false,"visibility":"","removeAndKeepContent":false,"disableUpdates":false,"type":"text"},"type":"richTextContentControl","id":"bf2a6679-18cb-4834-9f3f-122b270dc084"},{"elementConfiguration":{"binding":"{{Translate(\"Date\")}}","promptAiService":false,"visibility":"","removeAndKeepContent":false,"disableUpdates":false,"type":"text"},"type":"richTextContentControl","id":"d31364c2-7446-414c-b5c3-080ba40ccc6e"},{"elementConfiguration":{"binding":"{{Translate(\"BidderTender\")}}","promptAiService":false,"visibility":"","removeAndKeepContent":false,"disableUpdates":false,"type":"text"},"type":"richTextContentControl","id":"db5cae09-a890-4699-b9c4-d5d95c5b86fc"},{"elementConfiguration":{"binding":"{{Translate(\"Contents\")}}","promptAiService":false,"visibility":"","removeAndKeepContent":false,"disableUpdates":false,"type":"text"},"type":"richTextContentControl","id":"a3a0a0e1-d2dd-412a-af24-2b0b326f6eef"},{"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e9fc2e7d-f9ab-45c8-a6a8-51ae0e6c1fc5"},{"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93b35a16-eb92-4f02-a58d-14de74921cb4"},{"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7b7ccf6f-3a97-4579-8532-1560cbcaa7ef"},{"elementConfiguration":{"binding":"{{Switch(UserProfile.DocumentLanguage.Language, \"da-DK\", UserProfile.Office.AddressLocal, \"en-GB\", UserProfile.Office.AddressEnglish, \"en-US\", UserProfile.Office.AddressEnglish, \"et-EE\", UserProfile.Office.AddressLocal, \"fo-FO\", UserProfile.Office.AddressLocal, \"fi-FI\", UserProfile.Office.AddressLocal, \"fr-FR\", UserProfile.Office.AddressLocal, \"de-DE\", UserProfile.Office.AddressLocal, \"it-IT\", UserProfile.Office.AddressLocal, \"ja-JP\", UserProfile.Office.AddressLocal, \"mi-NZ\", UserProfile.Office.AddressLocal, \"nb-NO\", UserProfile.Office.AddressLocal, \"nn-NO\", UserProfile.Office.AddressLocal, \"pl-PL\", UserProfile.Office.AddressLocal, \"ru-RU\", UserProfile.Office.AddressLocal, \"es-ES\", UserProfile.Office.AddressLocal, \"sv-SE\", UserProfile.Office.AddressLocal,\"da-DK\")}}","promptAiService":false,"visibility":"","removeAndKeepContent":false,"disableUpdates":false,"type":"text"},"type":"richTextContentControl","id":"6eb60b7b-2a9d-44e8-958d-78cf4cb3c4bc"},{"elementConfiguration":{"visibility":"{{IfElse(Equals(UserProfile.Office.Phone, \"\"), VisibilityType.Hidden, VisibilityType.Visible)}}","disableUpdates":false,"type":"group"},"type":"richTextContentControl","id":"96f6d9e1-727c-4c67-b7a9-1f4b5fae4de5"},{"elementConfiguration":{"binding":"{{Translate(\"T\")}}","promptAiService":false,"removeAndKeepContent":false,"disableUpdates":false,"type":"text"},"type":"richTextContentControl","id":"73cd7f23-a96b-4419-b07d-00b3d6b07ca8"},{"elementConfiguration":{"binding":"{{UserProfile.Office.Phone}}","promptAiService":false,"visibility":"","removeAndKeepContent":false,"disableUpdates":false,"type":"text"},"type":"richTextContentControl","id":"f3cbd38e-db8e-4638-82ae-5c1678e8403f"},{"elementConfiguration":{"visibility":"{{IfElse(Equals(UserProfile.Office.Fax, \"\"), VisibilityType.Hidden, VisibilityType.Visible)}}","disableUpdates":false,"type":"group"},"type":"richTextContentControl","id":"7ed455e6-08fe-494e-97ef-a8d7018dfe2c"},{"elementConfiguration":{"binding":"{{Translate(\"F\")}}","promptAiService":false,"removeAndKeepContent":false,"disableUpdates":false,"type":"text"},"type":"richTextContentControl","id":"0eb7b62b-f0df-4a76-971a-82b6a1ba1da0"},{"elementConfiguration":{"binding":"{{UserProfile.Office.Fax}}","promptAiService":false,"visibility":"","removeAndKeepContent":false,"disableUpdates":false,"type":"text"},"type":"richTextContentControl","id":"622dd437-b611-447a-94ab-4567187c07df"},{"elementConfiguration":{"binding":"{{Switch(UserProfile.DocumentLanguage.Language,\"en-US\", UserProfile.Office.WebEnglish,\"en-GB\", UserProfile.Office.WebLocal,\"de-DE\", UserProfile.Office.WebLocal,\"es-ES\", UserProfile.Office.WebLocal,\"et-EE\", UserProfile.Office.WebLocal,\"fr-FR\", UserProfile.Office.WebLocal,\"fo-FO\", UserProfile.Office.WebLocal,\"it-IT\", UserProfile.Office.WebLocal,\"nb-NO\", UserProfile.Office.WebLocal,\"nn-NO\", UserProfile.Office.WebLocal,\"pl-PL\", UserProfile.Office.WebLocal,\"ru-RU\", UserProfile.Office.WebLocal,\"sv-SE\",UserProfile.Office.WebLocal,UserProfile.Office.WebLocal)}}","promptAiService":false,"visibility":"","removeAndKeepContent":false,"disableUpdates":false,"type":"text"},"type":"richTextContentControl","id":"1af4992a-c2b3-4dbd-ad0a-ff0dcab3172b"},{"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a175b555-f159-4e99-b70d-b5a104e5b490"},{"elementConfiguration":{"binding":"{{Switch(UserProfile.DocumentLanguage.Language, \"da-DK\", UserProfile.Office.AddressLocal, \"en-GB\", UserProfile.Office.AddressEnglish, \"en-US\", UserProfile.Office.AddressEnglish, \"et-EE\", UserProfile.Office.AddressLocal, \"fo-FO\", UserProfile.Office.AddressLocal, \"fi-FI\", UserProfile.Office.AddressLocal, \"fr-FR\", UserProfile.Office.AddressLocal, \"de-DE\", UserProfile.Office.AddressLocal, \"it-IT\", UserProfile.Office.AddressLocal, \"ja-JP\", UserProfile.Office.AddressLocal, \"mi-NZ\", UserProfile.Office.AddressLocal, \"nb-NO\", UserProfile.Office.AddressLocal, \"nn-NO\", UserProfile.Office.AddressLocal, \"pl-PL\", UserProfile.Office.AddressLocal, \"ru-RU\", UserProfile.Office.AddressLocal, \"es-ES\", UserProfile.Office.AddressLocal, \"sv-SE\", UserProfile.Office.AddressLocal,\"da-DK\")}}","promptAiService":false,"visibility":"","removeAndKeepContent":false,"disableUpdates":false,"type":"text"},"type":"richTextContentControl","id":"532dd737-ae3b-452d-aedb-b31857ce3e03"},{"elementConfiguration":{"visibility":"{{IfElse(Equals(UserProfile.Office.Phone, \"\"), VisibilityType.Hidden, VisibilityType.Visible)}}","disableUpdates":false,"type":"group"},"type":"richTextContentControl","id":"e96527c1-574f-4796-aa52-fcef5290427e"},{"elementConfiguration":{"binding":"{{Translate(\"T\")}}","promptAiService":false,"removeAndKeepContent":false,"disableUpdates":false,"type":"text"},"type":"richTextContentControl","id":"de55d772-de5e-40cb-a19d-48f8eb44cfb9"},{"elementConfiguration":{"binding":"{{UserProfile.Office.Phone}}","promptAiService":false,"visibility":"","removeAndKeepContent":false,"disableUpdates":false,"type":"text"},"type":"richTextContentControl","id":"f6fb2989-2b1c-4378-9844-d44a7c28cacc"},{"elementConfiguration":{"visibility":"{{IfElse(Equals(UserProfile.Office.Fax, \"\"), VisibilityType.Hidden, VisibilityType.Visible)}}","disableUpdates":false,"type":"group"},"type":"richTextContentControl","id":"7abd2dea-d451-4659-9dc0-8b502ce09a24"},{"elementConfiguration":{"binding":"{{Translate(\"F\")}}","promptAiService":false,"removeAndKeepContent":false,"disableUpdates":false,"type":"text"},"type":"richTextContentControl","id":"e80c302e-4df2-478d-913e-b69e28690acb"},{"elementConfiguration":{"binding":"{{UserProfile.Office.Fax}}","promptAiService":false,"visibility":"","removeAndKeepContent":false,"disableUpdates":false,"type":"text"},"type":"richTextContentControl","id":"be280105-98d7-475f-aaf2-22ecb2e5cb4a"},{"elementConfiguration":{"binding":"{{Switch(UserProfile.DocumentLanguage.Language,\"en-US\", UserProfile.Office.WebEnglish,\"en-GB\", UserProfile.Office.WebLocal,\"de-DE\", UserProfile.Office.WebLocal,\"es-ES\", UserProfile.Office.WebLocal,\"et-EE\", UserProfile.Office.WebLocal,\"fr-FR\", UserProfile.Office.WebLocal,\"fo-FO\", UserProfile.Office.WebLocal,\"it-IT\", UserProfile.Office.WebLocal,\"nb-NO\", UserProfile.Office.WebLocal,\"nn-NO\", UserProfile.Office.WebLocal,\"pl-PL\", UserProfile.Office.WebLocal,\"ru-RU\", UserProfile.Office.WebLocal,\"sv-SE\",UserProfile.Office.WebLocal,UserProfile.Office.WebLocal)}}","promptAiService":false,"visibility":"","removeAndKeepContent":false,"disableUpdates":false,"type":"text"},"type":"richTextContentControl","id":"3fec30a7-2e25-46d5-b530-f32c15ec9bd0"},{"elementConfiguration":{"binding":"{{Switch(UserProfile.DocumentLanguage.Language,\"en-US\", UserProfile.Office.LegalNameEnglish,\"en-GB\", UserProfile.Office.LegalNameLocal,\"de-DE\", UserProfile.Office.LegalNameLocal,\"es-ES\", UserProfile.Office.LegalNameLocal,\"et-EE\", UserProfile.Office.LegalNameLocal,\"fr-FR\", UserProfile.Office.LegalNameLocal,\"fo-FO\", UserProfile.Office.LegalNameLocal,\"it-IT\", UserProfile.Office.LegalNameLocal,\"nb-NO\", UserProfile.Office.LegalNameLocal,\"nn-NO\", UserProfile.Office.LegalNameLocal,\"pl-PL\", UserProfile.Office.LegalNameLocal,\"ru-RU\", UserProfile.Office.LegalNameLocal,\"sv-SE\",UserProfile.Office.LegalNameLocal,UserProfile.Office.LegalNameLocal)}}","promptAiService":false,"visibility":"","removeAndKeepContent":false,"disableUpdates":false,"type":"text"},"type":"richTextContentControl","id":"4b371d69-f070-4ff4-aba6-438d72ce10e5"},{"elementConfiguration":{"binding":"{{Switch(UserProfile.DocumentLanguage.Language,\"en-US\", UserProfile.Office.CvrEnglish,\"en-GB\", UserProfile.Office.CvrLocal,\"de-DE\", UserProfile.Office.CvrLocal,\"es-ES\", UserProfile.Office.CvrLocal,\"et-EE\", UserProfile.Office.CvrLocal,\"fr-FR\", UserProfile.Office.CvrLocal,\"fo-FO\", UserProfile.Office.CvrLocal,\"it-IT\", UserProfile.Office.CvrLocal,\"nb-NO\", UserProfile.Office.CvrLocal,\"nn-NO\", UserProfile.Office.CvrLocal,\"pl-PL\", UserProfile.Office.CvrLocal,\"ru-RU\", UserProfile.Office.CvrLocal,\"sv-SE\",UserProfile.Office.CvrLocal,UserProfile.Office.CvrLocal)}}","promptAiService":false,"visibility":"","removeAndKeepContent":false,"disableUpdates":false,"type":"text"},"type":"richTextContentControl","id":"baa9a91c-9345-45df-a1b1-e022ba846b44"},{"elementConfiguration":{"binding":"{{Switch(UserProfile.DocumentLanguage.Language,\"en-US\", UserProfile.Office.LegalNameEnglish,\"en-GB\", UserProfile.Office.LegalNameLocal,\"de-DE\", UserProfile.Office.LegalNameLocal,\"es-ES\", UserProfile.Office.LegalNameLocal,\"et-EE\", UserProfile.Office.LegalNameLocal,\"fr-FR\", UserProfile.Office.LegalNameLocal,\"fo-FO\", UserProfile.Office.LegalNameLocal,\"it-IT\", UserProfile.Office.LegalNameLocal,\"nb-NO\", UserProfile.Office.LegalNameLocal,\"nn-NO\", UserProfile.Office.LegalNameLocal,\"pl-PL\", UserProfile.Office.LegalNameLocal,\"ru-RU\", UserProfile.Office.LegalNameLocal,\"sv-SE\",UserProfile.Office.LegalNameLocal,UserProfile.Office.LegalNameLocal)}}","promptAiService":false,"visibility":"","removeAndKeepContent":false,"disableUpdates":false,"type":"text"},"type":"richTextContentControl","id":"b0a6ee81-aceb-48c5-a781-9a15d1dc504c"},{"elementConfiguration":{"binding":"{{Switch(UserProfile.DocumentLanguage.Language,\"en-US\", UserProfile.Office.CvrEnglish,\"en-GB\", UserProfile.Office.CvrLocal,\"de-DE\", UserProfile.Office.CvrLocal,\"es-ES\", UserProfile.Office.CvrLocal,\"et-EE\", UserProfile.Office.CvrLocal,\"fr-FR\", UserProfile.Office.CvrLocal,\"fo-FO\", UserProfile.Office.CvrLocal,\"it-IT\", UserProfile.Office.CvrLocal,\"nb-NO\", UserProfile.Office.CvrLocal,\"nn-NO\", UserProfile.Office.CvrLocal,\"pl-PL\", UserProfile.Office.CvrLocal,\"ru-RU\", UserProfile.Office.CvrLocal,\"sv-SE\",UserProfile.Office.CvrLocal,UserProfile.Office.CvrLocal)}}","promptAiService":false,"visibility":"","removeAndKeepContent":false,"disableUpdates":false,"type":"text"},"type":"richTextContentControl","id":"dc0f2c2d-99d8-49c1-8b86-9a467087b821"},{"elementConfiguration":{"visibility":"{{IfElse(Equals(Form.FilePath.Filename, \"Exclude\"), VisibilityType.Hidden, VisibilityType.Visible)}}","disableUpdates":false,"type":"group"},"type":"richTextContentControl","id":"aa43fd63-ad5b-4535-9f99-9df62477479d"},{"elementConfiguration":{"visibility":"{{IfElse(Equals(Form.FilePath.Filename, \"Exclude\"), VisibilityType.Hidden, VisibilityType.Visible)}}","disableUpdates":false,"type":"group"},"type":"richTextContentControl","id":"55a2c2cf-4462-4ede-a1e1-d86299c017a1"},{"elementConfiguration":{"visibility":"{{IfElse(Equals(Form.FilePath.Filename, \"Exclude\"), VisibilityType.Hidden, VisibilityType.Visible)}}","disableUpdates":false,"type":"group"},"type":"richTextContentControl","id":"d0a5646a-1610-4830-8f6c-868e492a9074"},{"elementConfiguration":{"visibility":"{{IfElse(Equals(Form.FilePath.Filename, \"Exclude\"), VisibilityType.Hidden, VisibilityType.Visible)}}","disableUpdates":false,"type":"group"},"type":"richTextContentControl","id":"2394fdb2-24f9-4f93-92bb-9ed6b26b8460"},{"elementConfiguration":{"visibility":"{{IfElse(Equals(Form.FilePath.Filename, \"Exclude\"), VisibilityType.Hidden, VisibilityType.Visible)}}","disableUpdates":false,"type":"group"},"type":"richTextContentControl","id":"6e43c3f8-6b6b-4b29-ba5a-8803f7dbfac3"},{"elementConfiguration":{"visibility":"{{IfElse(Equals(Form.FilePath.Filename, \"Exclude\"), VisibilityType.Hidden, VisibilityType.Visible)}}","disableUpdates":false,"type":"group"},"type":"richTextContentControl","id":"efe0fa0d-2619-4db6-bb15-57f384347c38"}],"transformationConfigurations":[{"language":"{{DocumentLanguage}}","disableUpdates":false,"type":"proofingLanguage"},{"colorTheme":"{{UserProfile.Office.ColorThemeRef.ColorTheme}}","disableUpdates":false,"originalColorThemeXml":"<a:clrScheme name=\"Ramboll\" xmlns:a=\"http://schemas.openxmlformats.org/drawingml/2006/main\"><a:dk1><a:srgbClr val=\"333333\" /></a:dk1><a:lt1><a:srgbClr val=\"FFFFFF\" /></a:lt1><a:dk2><a:srgbClr val=\"009DF0\" /></a:dk2><a:lt2><a:srgbClr val=\"797766\" /></a:lt2><a:accent1><a:srgbClr val=\"ADDDFF\" /></a:accent1><a:accent2><a:srgbClr val=\"3AA551\" /></a:accent2><a:accent3><a:srgbClr val=\"A8D100\" /></a:accent3><a:accent4><a:srgbClr val=\"C40079\" /></a:accent4><a:accent5><a:srgbClr val=\"C63418\" /></a:accent5><a:accent6><a:srgbClr val=\"D0CFC9\" /></a:accent6><a:hlink><a:srgbClr val=\"009DF0\" /></a:hlink><a:folHlink><a:srgbClr val=\"ADDDFF\" /></a:folHlink></a:clrScheme>","type":"colorTheme"},{"propertyName":"Ram_Document_Date","propertyValue":"{{FormatDateTime(Form.Date,Translate(\"DateCustomA\"),DocumentLanguage)}}","disableUpdates":false,"type":"customDocumentProperty"}],"templateName":"Cover and Content, narrow text","templateDescription":"","enableDocumentContentUpdater":true,"version":"2.0"}]]></TemplafyTemplate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FEE0F-62A4-4FEB-86F4-6D0D8E9653B3}">
  <ds:schemaRefs/>
</ds:datastoreItem>
</file>

<file path=customXml/itemProps2.xml><?xml version="1.0" encoding="utf-8"?>
<ds:datastoreItem xmlns:ds="http://schemas.openxmlformats.org/officeDocument/2006/customXml" ds:itemID="{54EC4ECF-2763-464C-AD61-D274C4536F32}">
  <ds:schemaRefs/>
</ds:datastoreItem>
</file>

<file path=customXml/itemProps3.xml><?xml version="1.0" encoding="utf-8"?>
<ds:datastoreItem xmlns:ds="http://schemas.openxmlformats.org/officeDocument/2006/customXml" ds:itemID="{BA0F4E66-68B3-4BA9-9FB3-36EF3CC0D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Cover and Content, narrow text.dotx</Template>
  <TotalTime>73</TotalTime>
  <Pages>18</Pages>
  <Words>8344</Words>
  <Characters>50567</Characters>
  <Application>Microsoft Office Word</Application>
  <DocSecurity>0</DocSecurity>
  <Lines>919</Lines>
  <Paragraphs>550</Paragraphs>
  <ScaleCrop>false</ScaleCrop>
  <HeadingPairs>
    <vt:vector size="2" baseType="variant">
      <vt:variant>
        <vt:lpstr>Title</vt:lpstr>
      </vt:variant>
      <vt:variant>
        <vt:i4>1</vt:i4>
      </vt:variant>
    </vt:vector>
  </HeadingPairs>
  <TitlesOfParts>
    <vt:vector size="1" baseType="lpstr">
      <vt:lpstr>Raport Mediu</vt:lpstr>
    </vt:vector>
  </TitlesOfParts>
  <Company/>
  <LinksUpToDate>false</LinksUpToDate>
  <CharactersWithSpaces>58361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Mediu</dc:title>
  <dc:subject/>
  <dc:creator>Nicoleta Gabriela Musat</dc:creator>
  <cp:keywords/>
  <dc:description/>
  <cp:lastModifiedBy>Ileana Falcescu</cp:lastModifiedBy>
  <cp:revision>5</cp:revision>
  <dcterms:created xsi:type="dcterms:W3CDTF">2026-03-23T06:48:00Z</dcterms:created>
  <dcterms:modified xsi:type="dcterms:W3CDTF">2026-03-23T12:04:00Z</dcterms:modified>
  <cp:category>PLANUL NAȚIONAL DE GESTIONARE A DEȘEURILOR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ctbox">
    <vt:lpwstr>True</vt:lpwstr>
  </property>
  <property fmtid="{D5CDD505-2E9C-101B-9397-08002B2CF9AE}" pid="3" name="TenderInsertImage">
    <vt:lpwstr>True</vt:lpwstr>
  </property>
  <property fmtid="{D5CDD505-2E9C-101B-9397-08002B2CF9AE}" pid="4" name="TenderWhiteBorder">
    <vt:lpwstr>True</vt:lpwstr>
  </property>
  <property fmtid="{D5CDD505-2E9C-101B-9397-08002B2CF9AE}" pid="5" name="templatetype">
    <vt:lpwstr>coverandcontent</vt:lpwstr>
  </property>
  <property fmtid="{D5CDD505-2E9C-101B-9397-08002B2CF9AE}" pid="6" name="Doc_AcceptedBy">
    <vt:lpwstr/>
  </property>
  <property fmtid="{D5CDD505-2E9C-101B-9397-08002B2CF9AE}" pid="7" name="Doc_AcceptedDate">
    <vt:lpwstr/>
  </property>
  <property fmtid="{D5CDD505-2E9C-101B-9397-08002B2CF9AE}" pid="8" name="Doc_ApprovedPublicationBy">
    <vt:lpwstr/>
  </property>
  <property fmtid="{D5CDD505-2E9C-101B-9397-08002B2CF9AE}" pid="9" name="Doc_ApprovedPublicationDate">
    <vt:lpwstr/>
  </property>
  <property fmtid="{D5CDD505-2E9C-101B-9397-08002B2CF9AE}" pid="10" name="Doc_ApprovedSharingBy">
    <vt:lpwstr/>
  </property>
  <property fmtid="{D5CDD505-2E9C-101B-9397-08002B2CF9AE}" pid="11" name="Doc_ApprovedSharingDate">
    <vt:lpwstr/>
  </property>
  <property fmtid="{D5CDD505-2E9C-101B-9397-08002B2CF9AE}" pid="12" name="Doc_CheckedBy">
    <vt:lpwstr/>
  </property>
  <property fmtid="{D5CDD505-2E9C-101B-9397-08002B2CF9AE}" pid="13" name="Doc_CheckedDate">
    <vt:lpwstr/>
  </property>
  <property fmtid="{D5CDD505-2E9C-101B-9397-08002B2CF9AE}" pid="14" name="Doc_Client">
    <vt:lpwstr/>
  </property>
  <property fmtid="{D5CDD505-2E9C-101B-9397-08002B2CF9AE}" pid="15" name="Doc_DesignStatus">
    <vt:lpwstr/>
  </property>
  <property fmtid="{D5CDD505-2E9C-101B-9397-08002B2CF9AE}" pid="16" name="Doc_DocNumber">
    <vt:lpwstr/>
  </property>
  <property fmtid="{D5CDD505-2E9C-101B-9397-08002B2CF9AE}" pid="17" name="Doc_DocTitle1">
    <vt:lpwstr/>
  </property>
  <property fmtid="{D5CDD505-2E9C-101B-9397-08002B2CF9AE}" pid="18" name="Doc_DocTitle2">
    <vt:lpwstr/>
  </property>
  <property fmtid="{D5CDD505-2E9C-101B-9397-08002B2CF9AE}" pid="19" name="Doc_DocTitle3">
    <vt:lpwstr/>
  </property>
  <property fmtid="{D5CDD505-2E9C-101B-9397-08002B2CF9AE}" pid="20" name="Doc_DocTitle4">
    <vt:lpwstr/>
  </property>
  <property fmtid="{D5CDD505-2E9C-101B-9397-08002B2CF9AE}" pid="21" name="Doc_MaconomyID">
    <vt:lpwstr/>
  </property>
  <property fmtid="{D5CDD505-2E9C-101B-9397-08002B2CF9AE}" pid="22" name="Doc_Originator">
    <vt:lpwstr/>
  </property>
  <property fmtid="{D5CDD505-2E9C-101B-9397-08002B2CF9AE}" pid="23" name="Doc_PreparedBy">
    <vt:lpwstr/>
  </property>
  <property fmtid="{D5CDD505-2E9C-101B-9397-08002B2CF9AE}" pid="24" name="Doc_PreparedDate">
    <vt:lpwstr/>
  </property>
  <property fmtid="{D5CDD505-2E9C-101B-9397-08002B2CF9AE}" pid="25" name="Doc_ProjectName">
    <vt:lpwstr/>
  </property>
  <property fmtid="{D5CDD505-2E9C-101B-9397-08002B2CF9AE}" pid="26" name="Doc_Revision">
    <vt:lpwstr/>
  </property>
  <property fmtid="{D5CDD505-2E9C-101B-9397-08002B2CF9AE}" pid="27" name="Doc_Revision1">
    <vt:lpwstr/>
  </property>
  <property fmtid="{D5CDD505-2E9C-101B-9397-08002B2CF9AE}" pid="28" name="Doc_Revision10">
    <vt:lpwstr/>
  </property>
  <property fmtid="{D5CDD505-2E9C-101B-9397-08002B2CF9AE}" pid="29" name="Doc_Revision10ApprovedBy">
    <vt:lpwstr/>
  </property>
  <property fmtid="{D5CDD505-2E9C-101B-9397-08002B2CF9AE}" pid="30" name="Doc_Revision10CheckedBy">
    <vt:lpwstr/>
  </property>
  <property fmtid="{D5CDD505-2E9C-101B-9397-08002B2CF9AE}" pid="31" name="Doc_Revision10Date">
    <vt:lpwstr/>
  </property>
  <property fmtid="{D5CDD505-2E9C-101B-9397-08002B2CF9AE}" pid="32" name="Doc_Revision10DesignedBy">
    <vt:lpwstr/>
  </property>
  <property fmtid="{D5CDD505-2E9C-101B-9397-08002B2CF9AE}" pid="33" name="Doc_Revision10Note">
    <vt:lpwstr/>
  </property>
  <property fmtid="{D5CDD505-2E9C-101B-9397-08002B2CF9AE}" pid="34" name="Doc_Revision10PreparedBy">
    <vt:lpwstr/>
  </property>
  <property fmtid="{D5CDD505-2E9C-101B-9397-08002B2CF9AE}" pid="35" name="Doc_Revision11">
    <vt:lpwstr/>
  </property>
  <property fmtid="{D5CDD505-2E9C-101B-9397-08002B2CF9AE}" pid="36" name="Doc_Revision11ApprovedBy">
    <vt:lpwstr/>
  </property>
  <property fmtid="{D5CDD505-2E9C-101B-9397-08002B2CF9AE}" pid="37" name="Doc_Revision11CheckedBy">
    <vt:lpwstr/>
  </property>
  <property fmtid="{D5CDD505-2E9C-101B-9397-08002B2CF9AE}" pid="38" name="Doc_Revision11Date">
    <vt:lpwstr/>
  </property>
  <property fmtid="{D5CDD505-2E9C-101B-9397-08002B2CF9AE}" pid="39" name="Doc_Revision11DesignedBy">
    <vt:lpwstr/>
  </property>
  <property fmtid="{D5CDD505-2E9C-101B-9397-08002B2CF9AE}" pid="40" name="Doc_Revision11Note">
    <vt:lpwstr/>
  </property>
  <property fmtid="{D5CDD505-2E9C-101B-9397-08002B2CF9AE}" pid="41" name="Doc_Revision11PreparedBy">
    <vt:lpwstr/>
  </property>
  <property fmtid="{D5CDD505-2E9C-101B-9397-08002B2CF9AE}" pid="42" name="Doc_Revision12">
    <vt:lpwstr/>
  </property>
  <property fmtid="{D5CDD505-2E9C-101B-9397-08002B2CF9AE}" pid="43" name="Doc_Revision12ApprovedBy">
    <vt:lpwstr/>
  </property>
  <property fmtid="{D5CDD505-2E9C-101B-9397-08002B2CF9AE}" pid="44" name="Doc_Revision12CheckedBy">
    <vt:lpwstr/>
  </property>
  <property fmtid="{D5CDD505-2E9C-101B-9397-08002B2CF9AE}" pid="45" name="Doc_Revision12Date">
    <vt:lpwstr/>
  </property>
  <property fmtid="{D5CDD505-2E9C-101B-9397-08002B2CF9AE}" pid="46" name="Doc_Revision12DesignedBy">
    <vt:lpwstr/>
  </property>
  <property fmtid="{D5CDD505-2E9C-101B-9397-08002B2CF9AE}" pid="47" name="Doc_Revision12Note">
    <vt:lpwstr/>
  </property>
  <property fmtid="{D5CDD505-2E9C-101B-9397-08002B2CF9AE}" pid="48" name="Doc_Revision12PreparedBy">
    <vt:lpwstr/>
  </property>
  <property fmtid="{D5CDD505-2E9C-101B-9397-08002B2CF9AE}" pid="49" name="Doc_Revision1ApprovedBy">
    <vt:lpwstr/>
  </property>
  <property fmtid="{D5CDD505-2E9C-101B-9397-08002B2CF9AE}" pid="50" name="Doc_Revision1CheckedBy">
    <vt:lpwstr/>
  </property>
  <property fmtid="{D5CDD505-2E9C-101B-9397-08002B2CF9AE}" pid="51" name="Doc_Revision1Date">
    <vt:lpwstr/>
  </property>
  <property fmtid="{D5CDD505-2E9C-101B-9397-08002B2CF9AE}" pid="52" name="Doc_Revision1DesignedBy">
    <vt:lpwstr/>
  </property>
  <property fmtid="{D5CDD505-2E9C-101B-9397-08002B2CF9AE}" pid="53" name="Doc_Revision1Note">
    <vt:lpwstr/>
  </property>
  <property fmtid="{D5CDD505-2E9C-101B-9397-08002B2CF9AE}" pid="54" name="Doc_Revision1PreparedBy">
    <vt:lpwstr/>
  </property>
  <property fmtid="{D5CDD505-2E9C-101B-9397-08002B2CF9AE}" pid="55" name="Doc_Revision2">
    <vt:lpwstr/>
  </property>
  <property fmtid="{D5CDD505-2E9C-101B-9397-08002B2CF9AE}" pid="56" name="Doc_Revision2ApprovedBy">
    <vt:lpwstr/>
  </property>
  <property fmtid="{D5CDD505-2E9C-101B-9397-08002B2CF9AE}" pid="57" name="Doc_Revision2CheckedBy">
    <vt:lpwstr/>
  </property>
  <property fmtid="{D5CDD505-2E9C-101B-9397-08002B2CF9AE}" pid="58" name="Doc_Revision2Date">
    <vt:lpwstr/>
  </property>
  <property fmtid="{D5CDD505-2E9C-101B-9397-08002B2CF9AE}" pid="59" name="Doc_Revision2DesignedBy">
    <vt:lpwstr/>
  </property>
  <property fmtid="{D5CDD505-2E9C-101B-9397-08002B2CF9AE}" pid="60" name="Doc_Revision2Note">
    <vt:lpwstr/>
  </property>
  <property fmtid="{D5CDD505-2E9C-101B-9397-08002B2CF9AE}" pid="61" name="Doc_Revision2PreparedBy">
    <vt:lpwstr/>
  </property>
  <property fmtid="{D5CDD505-2E9C-101B-9397-08002B2CF9AE}" pid="62" name="Doc_Revision3">
    <vt:lpwstr/>
  </property>
  <property fmtid="{D5CDD505-2E9C-101B-9397-08002B2CF9AE}" pid="63" name="Doc_Revision3ApprovedBy">
    <vt:lpwstr/>
  </property>
  <property fmtid="{D5CDD505-2E9C-101B-9397-08002B2CF9AE}" pid="64" name="Doc_Revision3CheckedBy">
    <vt:lpwstr/>
  </property>
  <property fmtid="{D5CDD505-2E9C-101B-9397-08002B2CF9AE}" pid="65" name="Doc_Revision3Date">
    <vt:lpwstr/>
  </property>
  <property fmtid="{D5CDD505-2E9C-101B-9397-08002B2CF9AE}" pid="66" name="Doc_Revision3DesignedBy">
    <vt:lpwstr/>
  </property>
  <property fmtid="{D5CDD505-2E9C-101B-9397-08002B2CF9AE}" pid="67" name="Doc_Revision3Note">
    <vt:lpwstr/>
  </property>
  <property fmtid="{D5CDD505-2E9C-101B-9397-08002B2CF9AE}" pid="68" name="Doc_Revision3PreparedBy">
    <vt:lpwstr/>
  </property>
  <property fmtid="{D5CDD505-2E9C-101B-9397-08002B2CF9AE}" pid="69" name="Doc_Revision4">
    <vt:lpwstr/>
  </property>
  <property fmtid="{D5CDD505-2E9C-101B-9397-08002B2CF9AE}" pid="70" name="Doc_Revision4ApprovedBy">
    <vt:lpwstr/>
  </property>
  <property fmtid="{D5CDD505-2E9C-101B-9397-08002B2CF9AE}" pid="71" name="Doc_Revision4CheckedBy">
    <vt:lpwstr/>
  </property>
  <property fmtid="{D5CDD505-2E9C-101B-9397-08002B2CF9AE}" pid="72" name="Doc_Revision4Date">
    <vt:lpwstr/>
  </property>
  <property fmtid="{D5CDD505-2E9C-101B-9397-08002B2CF9AE}" pid="73" name="Doc_Revision4DesignedBy">
    <vt:lpwstr/>
  </property>
  <property fmtid="{D5CDD505-2E9C-101B-9397-08002B2CF9AE}" pid="74" name="Doc_Revision4Note">
    <vt:lpwstr/>
  </property>
  <property fmtid="{D5CDD505-2E9C-101B-9397-08002B2CF9AE}" pid="75" name="Doc_Revision4PreparedBy">
    <vt:lpwstr/>
  </property>
  <property fmtid="{D5CDD505-2E9C-101B-9397-08002B2CF9AE}" pid="76" name="Doc_Revision5">
    <vt:lpwstr/>
  </property>
  <property fmtid="{D5CDD505-2E9C-101B-9397-08002B2CF9AE}" pid="77" name="Doc_Revision5ApprovedBy">
    <vt:lpwstr/>
  </property>
  <property fmtid="{D5CDD505-2E9C-101B-9397-08002B2CF9AE}" pid="78" name="Doc_Revision5CheckedBy">
    <vt:lpwstr/>
  </property>
  <property fmtid="{D5CDD505-2E9C-101B-9397-08002B2CF9AE}" pid="79" name="Doc_Revision5Date">
    <vt:lpwstr/>
  </property>
  <property fmtid="{D5CDD505-2E9C-101B-9397-08002B2CF9AE}" pid="80" name="Doc_Revision5DesignedBy">
    <vt:lpwstr/>
  </property>
  <property fmtid="{D5CDD505-2E9C-101B-9397-08002B2CF9AE}" pid="81" name="Doc_Revision5Note">
    <vt:lpwstr/>
  </property>
  <property fmtid="{D5CDD505-2E9C-101B-9397-08002B2CF9AE}" pid="82" name="Doc_Revision5PreparedBy">
    <vt:lpwstr/>
  </property>
  <property fmtid="{D5CDD505-2E9C-101B-9397-08002B2CF9AE}" pid="83" name="Doc_Revision6">
    <vt:lpwstr/>
  </property>
  <property fmtid="{D5CDD505-2E9C-101B-9397-08002B2CF9AE}" pid="84" name="Doc_Revision6ApprovedBy">
    <vt:lpwstr/>
  </property>
  <property fmtid="{D5CDD505-2E9C-101B-9397-08002B2CF9AE}" pid="85" name="Doc_Revision6CheckedBy">
    <vt:lpwstr/>
  </property>
  <property fmtid="{D5CDD505-2E9C-101B-9397-08002B2CF9AE}" pid="86" name="Doc_Revision6Date">
    <vt:lpwstr/>
  </property>
  <property fmtid="{D5CDD505-2E9C-101B-9397-08002B2CF9AE}" pid="87" name="Doc_Revision6DesignedBy">
    <vt:lpwstr/>
  </property>
  <property fmtid="{D5CDD505-2E9C-101B-9397-08002B2CF9AE}" pid="88" name="Doc_Revision6Note">
    <vt:lpwstr/>
  </property>
  <property fmtid="{D5CDD505-2E9C-101B-9397-08002B2CF9AE}" pid="89" name="Doc_Revision6PreparedBy">
    <vt:lpwstr/>
  </property>
  <property fmtid="{D5CDD505-2E9C-101B-9397-08002B2CF9AE}" pid="90" name="Doc_Revision7">
    <vt:lpwstr/>
  </property>
  <property fmtid="{D5CDD505-2E9C-101B-9397-08002B2CF9AE}" pid="91" name="Doc_Revision7ApprovedBy">
    <vt:lpwstr/>
  </property>
  <property fmtid="{D5CDD505-2E9C-101B-9397-08002B2CF9AE}" pid="92" name="Doc_Revision7CheckedBy">
    <vt:lpwstr/>
  </property>
  <property fmtid="{D5CDD505-2E9C-101B-9397-08002B2CF9AE}" pid="93" name="Doc_Revision7Date">
    <vt:lpwstr/>
  </property>
  <property fmtid="{D5CDD505-2E9C-101B-9397-08002B2CF9AE}" pid="94" name="Doc_Revision7DesignedBy">
    <vt:lpwstr/>
  </property>
  <property fmtid="{D5CDD505-2E9C-101B-9397-08002B2CF9AE}" pid="95" name="Doc_Revision7Note">
    <vt:lpwstr/>
  </property>
  <property fmtid="{D5CDD505-2E9C-101B-9397-08002B2CF9AE}" pid="96" name="Doc_Revision7PreparedBy">
    <vt:lpwstr/>
  </property>
  <property fmtid="{D5CDD505-2E9C-101B-9397-08002B2CF9AE}" pid="97" name="Doc_Revision8">
    <vt:lpwstr/>
  </property>
  <property fmtid="{D5CDD505-2E9C-101B-9397-08002B2CF9AE}" pid="98" name="Doc_Revision8ApprovedBy">
    <vt:lpwstr/>
  </property>
  <property fmtid="{D5CDD505-2E9C-101B-9397-08002B2CF9AE}" pid="99" name="Doc_Revision8CheckedBy">
    <vt:lpwstr/>
  </property>
  <property fmtid="{D5CDD505-2E9C-101B-9397-08002B2CF9AE}" pid="100" name="Doc_Revision8Date">
    <vt:lpwstr/>
  </property>
  <property fmtid="{D5CDD505-2E9C-101B-9397-08002B2CF9AE}" pid="101" name="Doc_Revision8DesignedBy">
    <vt:lpwstr/>
  </property>
  <property fmtid="{D5CDD505-2E9C-101B-9397-08002B2CF9AE}" pid="102" name="Doc_Revision8Note">
    <vt:lpwstr/>
  </property>
  <property fmtid="{D5CDD505-2E9C-101B-9397-08002B2CF9AE}" pid="103" name="Doc_Revision8PreparedBy">
    <vt:lpwstr/>
  </property>
  <property fmtid="{D5CDD505-2E9C-101B-9397-08002B2CF9AE}" pid="104" name="Doc_Revision9">
    <vt:lpwstr/>
  </property>
  <property fmtid="{D5CDD505-2E9C-101B-9397-08002B2CF9AE}" pid="105" name="Doc_Revision9ApprovedBy">
    <vt:lpwstr/>
  </property>
  <property fmtid="{D5CDD505-2E9C-101B-9397-08002B2CF9AE}" pid="106" name="Doc_Revision9CheckedBy">
    <vt:lpwstr/>
  </property>
  <property fmtid="{D5CDD505-2E9C-101B-9397-08002B2CF9AE}" pid="107" name="Doc_Revision9Date">
    <vt:lpwstr/>
  </property>
  <property fmtid="{D5CDD505-2E9C-101B-9397-08002B2CF9AE}" pid="108" name="Doc_Revision9DesignedBy">
    <vt:lpwstr/>
  </property>
  <property fmtid="{D5CDD505-2E9C-101B-9397-08002B2CF9AE}" pid="109" name="Doc_Revision9Note">
    <vt:lpwstr/>
  </property>
  <property fmtid="{D5CDD505-2E9C-101B-9397-08002B2CF9AE}" pid="110" name="Doc_Revision9PreparedBy">
    <vt:lpwstr/>
  </property>
  <property fmtid="{D5CDD505-2E9C-101B-9397-08002B2CF9AE}" pid="111" name="Doc_RevisionNote">
    <vt:lpwstr/>
  </property>
  <property fmtid="{D5CDD505-2E9C-101B-9397-08002B2CF9AE}" pid="112" name="Doc_SecurityClassification">
    <vt:lpwstr/>
  </property>
  <property fmtid="{D5CDD505-2E9C-101B-9397-08002B2CF9AE}" pid="113" name="Doc_Suitability">
    <vt:lpwstr/>
  </property>
  <property fmtid="{D5CDD505-2E9C-101B-9397-08002B2CF9AE}" pid="114" name="Doc_Unique_ProjectID">
    <vt:lpwstr/>
  </property>
  <property fmtid="{D5CDD505-2E9C-101B-9397-08002B2CF9AE}" pid="115" name="Document_FileName">
    <vt:lpwstr/>
  </property>
  <property fmtid="{D5CDD505-2E9C-101B-9397-08002B2CF9AE}" pid="116" name="Document_Name">
    <vt:lpwstr/>
  </property>
  <property fmtid="{D5CDD505-2E9C-101B-9397-08002B2CF9AE}" pid="117" name="Document_Number">
    <vt:lpwstr/>
  </property>
  <property fmtid="{D5CDD505-2E9C-101B-9397-08002B2CF9AE}" pid="118" name="Document_Version">
    <vt:lpwstr/>
  </property>
  <property fmtid="{D5CDD505-2E9C-101B-9397-08002B2CF9AE}" pid="119" name="Document_VersionSeq">
    <vt:lpwstr/>
  </property>
  <property fmtid="{D5CDD505-2E9C-101B-9397-08002B2CF9AE}" pid="120" name="Folder_Code">
    <vt:lpwstr/>
  </property>
  <property fmtid="{D5CDD505-2E9C-101B-9397-08002B2CF9AE}" pid="121" name="Folder_CreateDate">
    <vt:lpwstr/>
  </property>
  <property fmtid="{D5CDD505-2E9C-101B-9397-08002B2CF9AE}" pid="122" name="Folder_Creator">
    <vt:lpwstr/>
  </property>
  <property fmtid="{D5CDD505-2E9C-101B-9397-08002B2CF9AE}" pid="123" name="Folder_CreatorDesc">
    <vt:lpwstr/>
  </property>
  <property fmtid="{D5CDD505-2E9C-101B-9397-08002B2CF9AE}" pid="124" name="Folder_Description">
    <vt:lpwstr/>
  </property>
  <property fmtid="{D5CDD505-2E9C-101B-9397-08002B2CF9AE}" pid="125" name="Folder_Manager">
    <vt:lpwstr/>
  </property>
  <property fmtid="{D5CDD505-2E9C-101B-9397-08002B2CF9AE}" pid="126" name="Folder_ManagerDesc">
    <vt:lpwstr/>
  </property>
  <property fmtid="{D5CDD505-2E9C-101B-9397-08002B2CF9AE}" pid="127" name="Folder_Name">
    <vt:lpwstr/>
  </property>
  <property fmtid="{D5CDD505-2E9C-101B-9397-08002B2CF9AE}" pid="128" name="Folder_Number">
    <vt:lpwstr/>
  </property>
  <property fmtid="{D5CDD505-2E9C-101B-9397-08002B2CF9AE}" pid="129" name="Folder_Storage">
    <vt:lpwstr/>
  </property>
  <property fmtid="{D5CDD505-2E9C-101B-9397-08002B2CF9AE}" pid="130" name="Folder_StorageDesc">
    <vt:lpwstr/>
  </property>
  <property fmtid="{D5CDD505-2E9C-101B-9397-08002B2CF9AE}" pid="131" name="Folder_UpdateDate">
    <vt:lpwstr/>
  </property>
  <property fmtid="{D5CDD505-2E9C-101B-9397-08002B2CF9AE}" pid="132" name="Folder_UpdateDesc">
    <vt:lpwstr/>
  </property>
  <property fmtid="{D5CDD505-2E9C-101B-9397-08002B2CF9AE}" pid="133" name="Folder_Updater">
    <vt:lpwstr/>
  </property>
  <property fmtid="{D5CDD505-2E9C-101B-9397-08002B2CF9AE}" pid="134" name="Ram_Document_AltName_AltName">
    <vt:lpwstr/>
  </property>
  <property fmtid="{D5CDD505-2E9C-101B-9397-08002B2CF9AE}" pid="135" name="Ram_Document_AltName_DocName">
    <vt:lpwstr/>
  </property>
  <property fmtid="{D5CDD505-2E9C-101B-9397-08002B2CF9AE}" pid="136" name="Ram_Document_AltName_Part1">
    <vt:lpwstr/>
  </property>
  <property fmtid="{D5CDD505-2E9C-101B-9397-08002B2CF9AE}" pid="137" name="Ram_Document_AltName_Part2">
    <vt:lpwstr/>
  </property>
  <property fmtid="{D5CDD505-2E9C-101B-9397-08002B2CF9AE}" pid="138" name="Ram_Document_AltName_Part3">
    <vt:lpwstr/>
  </property>
  <property fmtid="{D5CDD505-2E9C-101B-9397-08002B2CF9AE}" pid="139" name="Ram_Document_AltName_Part4">
    <vt:lpwstr/>
  </property>
  <property fmtid="{D5CDD505-2E9C-101B-9397-08002B2CF9AE}" pid="140" name="Ram_Document_AltName_Part5">
    <vt:lpwstr/>
  </property>
  <property fmtid="{D5CDD505-2E9C-101B-9397-08002B2CF9AE}" pid="141" name="Ram_Document_AltName_Part6">
    <vt:lpwstr/>
  </property>
  <property fmtid="{D5CDD505-2E9C-101B-9397-08002B2CF9AE}" pid="142" name="Ram_Document_AltName_Part7">
    <vt:lpwstr/>
  </property>
  <property fmtid="{D5CDD505-2E9C-101B-9397-08002B2CF9AE}" pid="143" name="Ram_Document_AltName_Part8">
    <vt:lpwstr/>
  </property>
  <property fmtid="{D5CDD505-2E9C-101B-9397-08002B2CF9AE}" pid="144" name="Ram_Document_AltName_Part9">
    <vt:lpwstr/>
  </property>
  <property fmtid="{D5CDD505-2E9C-101B-9397-08002B2CF9AE}" pid="145" name="Ram_Document_CustomerDocName">
    <vt:lpwstr/>
  </property>
  <property fmtid="{D5CDD505-2E9C-101B-9397-08002B2CF9AE}" pid="146" name="Ram_Document_CustomerDocNumber">
    <vt:lpwstr/>
  </property>
  <property fmtid="{D5CDD505-2E9C-101B-9397-08002B2CF9AE}" pid="147" name="Ram_Project_ClientName">
    <vt:lpwstr/>
  </property>
  <property fmtid="{D5CDD505-2E9C-101B-9397-08002B2CF9AE}" pid="148" name="Ram_WorkArea_Client">
    <vt:lpwstr/>
  </property>
  <property fmtid="{D5CDD505-2E9C-101B-9397-08002B2CF9AE}" pid="149" name="Ram_WorkArea_ProjectName">
    <vt:lpwstr/>
  </property>
  <property fmtid="{D5CDD505-2E9C-101B-9397-08002B2CF9AE}" pid="150" name="Ram_Document_ApprovedBy">
    <vt:lpwstr/>
  </property>
  <property fmtid="{D5CDD505-2E9C-101B-9397-08002B2CF9AE}" pid="151" name="Ram_Document_CheckedBy">
    <vt:lpwstr/>
  </property>
  <property fmtid="{D5CDD505-2E9C-101B-9397-08002B2CF9AE}" pid="152" name="Ram_Document_Date">
    <vt:lpwstr>February 17, 2025</vt:lpwstr>
  </property>
  <property fmtid="{D5CDD505-2E9C-101B-9397-08002B2CF9AE}" pid="153" name="Ram_Document_DocID">
    <vt:lpwstr/>
  </property>
  <property fmtid="{D5CDD505-2E9C-101B-9397-08002B2CF9AE}" pid="154" name="Ram_Document_DocStructureID">
    <vt:lpwstr/>
  </property>
  <property fmtid="{D5CDD505-2E9C-101B-9397-08002B2CF9AE}" pid="155" name="Ram_Document_PreparedBy">
    <vt:lpwstr/>
  </property>
  <property fmtid="{D5CDD505-2E9C-101B-9397-08002B2CF9AE}" pid="156" name="Ram_Document_Title1">
    <vt:lpwstr/>
  </property>
  <property fmtid="{D5CDD505-2E9C-101B-9397-08002B2CF9AE}" pid="157" name="Ram_Document_Title2">
    <vt:lpwstr/>
  </property>
  <property fmtid="{D5CDD505-2E9C-101B-9397-08002B2CF9AE}" pid="158" name="Ram_Document_Version">
    <vt:lpwstr/>
  </property>
  <property fmtid="{D5CDD505-2E9C-101B-9397-08002B2CF9AE}" pid="159" name="Ram_Document_VersionDescription">
    <vt:lpwstr/>
  </property>
  <property fmtid="{D5CDD505-2E9C-101B-9397-08002B2CF9AE}" pid="160" name="Ram_Project_Name">
    <vt:lpwstr/>
  </property>
  <property fmtid="{D5CDD505-2E9C-101B-9397-08002B2CF9AE}" pid="161" name="Ram_Project_Number">
    <vt:lpwstr/>
  </property>
  <property fmtid="{D5CDD505-2E9C-101B-9397-08002B2CF9AE}" pid="162" name="Ram_Document_Project_Field1">
    <vt:lpwstr/>
  </property>
  <property fmtid="{D5CDD505-2E9C-101B-9397-08002B2CF9AE}" pid="163" name="Ram_Document_Project_Field2">
    <vt:lpwstr/>
  </property>
  <property fmtid="{D5CDD505-2E9C-101B-9397-08002B2CF9AE}" pid="164" name="Ram_Document_Project_Field3">
    <vt:lpwstr/>
  </property>
  <property fmtid="{D5CDD505-2E9C-101B-9397-08002B2CF9AE}" pid="165" name="Ram_Document_PreparedBy_FullName">
    <vt:lpwstr/>
  </property>
  <property fmtid="{D5CDD505-2E9C-101B-9397-08002B2CF9AE}" pid="166" name="Ram_Document_Client_Version">
    <vt:lpwstr/>
  </property>
  <property fmtid="{D5CDD505-2E9C-101B-9397-08002B2CF9AE}" pid="167" name="Ram_Document_Client_Version_Description">
    <vt:lpwstr/>
  </property>
  <property fmtid="{D5CDD505-2E9C-101B-9397-08002B2CF9AE}" pid="168" name="Ram_Document_URN">
    <vt:lpwstr/>
  </property>
  <property fmtid="{D5CDD505-2E9C-101B-9397-08002B2CF9AE}" pid="169" name="Doc_CreatedDate">
    <vt:lpwstr/>
  </property>
  <property fmtid="{D5CDD505-2E9C-101B-9397-08002B2CF9AE}" pid="170" name="InsertImageBackpage">
    <vt:lpwstr>True</vt:lpwstr>
  </property>
  <property fmtid="{D5CDD505-2E9C-101B-9397-08002B2CF9AE}" pid="171" name="TenderCoverpage">
    <vt:lpwstr>True</vt:lpwstr>
  </property>
  <property fmtid="{D5CDD505-2E9C-101B-9397-08002B2CF9AE}" pid="172" name="ExtraLogo">
    <vt:lpwstr>True</vt:lpwstr>
  </property>
  <property fmtid="{D5CDD505-2E9C-101B-9397-08002B2CF9AE}" pid="173" name="UpdateDocument">
    <vt:lpwstr>true</vt:lpwstr>
  </property>
  <property fmtid="{D5CDD505-2E9C-101B-9397-08002B2CF9AE}" pid="174" name="TemplafyTenantId">
    <vt:lpwstr>ramboll</vt:lpwstr>
  </property>
  <property fmtid="{D5CDD505-2E9C-101B-9397-08002B2CF9AE}" pid="175" name="TemplafyTemplateId">
    <vt:lpwstr>636452954907126925</vt:lpwstr>
  </property>
  <property fmtid="{D5CDD505-2E9C-101B-9397-08002B2CF9AE}" pid="176" name="TemplafyUserProfileId">
    <vt:lpwstr>637835489890785528</vt:lpwstr>
  </property>
  <property fmtid="{D5CDD505-2E9C-101B-9397-08002B2CF9AE}" pid="177" name="TemplafyLanguageCode">
    <vt:lpwstr>en-US</vt:lpwstr>
  </property>
  <property fmtid="{D5CDD505-2E9C-101B-9397-08002B2CF9AE}" pid="178" name="TemplafyFromBlank">
    <vt:bool>false</vt:bool>
  </property>
  <property fmtid="{D5CDD505-2E9C-101B-9397-08002B2CF9AE}" pid="179" name="Ram_Project_Manager">
    <vt:lpwstr/>
  </property>
  <property fmtid="{D5CDD505-2E9C-101B-9397-08002B2CF9AE}" pid="180" name="Ram_WorkArea_MaconomyProjectID">
    <vt:lpwstr/>
  </property>
  <property fmtid="{D5CDD505-2E9C-101B-9397-08002B2CF9AE}" pid="181" name="ClassificationContentMarkingFooterShapeIds">
    <vt:lpwstr>559068d4,177483f1,5b1f643f,478dd4c9,6fcb78c4,5469637d,75a54544,5e11480a,6a275e29,7e99c93b,6f23c499,568ddf07</vt:lpwstr>
  </property>
  <property fmtid="{D5CDD505-2E9C-101B-9397-08002B2CF9AE}" pid="182" name="ClassificationContentMarkingFooterFontProps">
    <vt:lpwstr>#000000,7,Verdana</vt:lpwstr>
  </property>
  <property fmtid="{D5CDD505-2E9C-101B-9397-08002B2CF9AE}" pid="183" name="ClassificationContentMarkingFooterText">
    <vt:lpwstr>Confidential</vt:lpwstr>
  </property>
  <property fmtid="{D5CDD505-2E9C-101B-9397-08002B2CF9AE}" pid="184" name="MSIP_Label_20ea7001-5c24-4702-a3ac-e436ccb02747_Enabled">
    <vt:lpwstr>true</vt:lpwstr>
  </property>
  <property fmtid="{D5CDD505-2E9C-101B-9397-08002B2CF9AE}" pid="185" name="MSIP_Label_20ea7001-5c24-4702-a3ac-e436ccb02747_SetDate">
    <vt:lpwstr>2025-02-17T15:31:52Z</vt:lpwstr>
  </property>
  <property fmtid="{D5CDD505-2E9C-101B-9397-08002B2CF9AE}" pid="186" name="MSIP_Label_20ea7001-5c24-4702-a3ac-e436ccb02747_Method">
    <vt:lpwstr>Standard</vt:lpwstr>
  </property>
  <property fmtid="{D5CDD505-2E9C-101B-9397-08002B2CF9AE}" pid="187" name="MSIP_Label_20ea7001-5c24-4702-a3ac-e436ccb02747_Name">
    <vt:lpwstr>Confidential</vt:lpwstr>
  </property>
  <property fmtid="{D5CDD505-2E9C-101B-9397-08002B2CF9AE}" pid="188" name="MSIP_Label_20ea7001-5c24-4702-a3ac-e436ccb02747_SiteId">
    <vt:lpwstr>c8823c91-be81-4f89-b024-6c3dd789c106</vt:lpwstr>
  </property>
  <property fmtid="{D5CDD505-2E9C-101B-9397-08002B2CF9AE}" pid="189" name="MSIP_Label_20ea7001-5c24-4702-a3ac-e436ccb02747_ActionId">
    <vt:lpwstr>2a488d5b-d9b7-4032-b03d-6fd4538dab35</vt:lpwstr>
  </property>
  <property fmtid="{D5CDD505-2E9C-101B-9397-08002B2CF9AE}" pid="190" name="MSIP_Label_20ea7001-5c24-4702-a3ac-e436ccb02747_ContentBits">
    <vt:lpwstr>2</vt:lpwstr>
  </property>
</Properties>
</file>