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D6F6" w14:textId="50D56330" w:rsidR="00B10C6D" w:rsidRPr="00187708" w:rsidRDefault="007379A4" w:rsidP="00B15900">
      <w:pPr>
        <w:spacing w:after="120" w:line="240" w:lineRule="auto"/>
        <w:rPr>
          <w:rFonts w:ascii="Nunito" w:hAnsi="Nunito"/>
          <w:lang w:val="ro-RO"/>
        </w:rPr>
      </w:pPr>
      <w:r w:rsidRPr="00187708">
        <w:rPr>
          <w:rFonts w:ascii="Nunito" w:hAnsi="Nunito"/>
          <w:noProof/>
          <w:lang w:val="ro-RO"/>
        </w:rPr>
        <w:drawing>
          <wp:anchor distT="0" distB="0" distL="114300" distR="114300" simplePos="0" relativeHeight="251658252" behindDoc="1" locked="0" layoutInCell="1" allowOverlap="1" wp14:anchorId="254AF70A" wp14:editId="22335045">
            <wp:simplePos x="0" y="0"/>
            <wp:positionH relativeFrom="page">
              <wp:align>right</wp:align>
            </wp:positionH>
            <wp:positionV relativeFrom="paragraph">
              <wp:posOffset>-1278255</wp:posOffset>
            </wp:positionV>
            <wp:extent cx="7562215" cy="4256212"/>
            <wp:effectExtent l="0" t="0" r="635" b="0"/>
            <wp:wrapNone/>
            <wp:docPr id="161538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81572" name="Picture 1"/>
                    <pic:cNvPicPr/>
                  </pic:nvPicPr>
                  <pic:blipFill rotWithShape="1">
                    <a:blip r:embed="rId10" cstate="print">
                      <a:extLst>
                        <a:ext uri="{28A0092B-C50C-407E-A947-70E740481C1C}">
                          <a14:useLocalDpi xmlns:a14="http://schemas.microsoft.com/office/drawing/2010/main" val="0"/>
                        </a:ext>
                      </a:extLst>
                    </a:blip>
                    <a:srcRect r="8"/>
                    <a:stretch/>
                  </pic:blipFill>
                  <pic:spPr>
                    <a:xfrm>
                      <a:off x="0" y="0"/>
                      <a:ext cx="7562215" cy="4256212"/>
                    </a:xfrm>
                    <a:prstGeom prst="rect">
                      <a:avLst/>
                    </a:prstGeom>
                  </pic:spPr>
                </pic:pic>
              </a:graphicData>
            </a:graphic>
            <wp14:sizeRelH relativeFrom="page">
              <wp14:pctWidth>0</wp14:pctWidth>
            </wp14:sizeRelH>
            <wp14:sizeRelV relativeFrom="page">
              <wp14:pctHeight>0</wp14:pctHeight>
            </wp14:sizeRelV>
          </wp:anchor>
        </w:drawing>
      </w:r>
    </w:p>
    <w:p w14:paraId="0B25159F" w14:textId="10612EF5" w:rsidR="00B10C6D" w:rsidRPr="00187708" w:rsidRDefault="00B10C6D" w:rsidP="00B15900">
      <w:pPr>
        <w:spacing w:after="120" w:line="240" w:lineRule="auto"/>
        <w:rPr>
          <w:rFonts w:ascii="Nunito" w:hAnsi="Nunito"/>
          <w:lang w:val="ro-RO"/>
        </w:rPr>
      </w:pPr>
    </w:p>
    <w:p w14:paraId="024ED2F7" w14:textId="77777777" w:rsidR="00B10C6D" w:rsidRPr="00187708" w:rsidRDefault="00B10C6D" w:rsidP="00B15900">
      <w:pPr>
        <w:spacing w:after="120" w:line="240" w:lineRule="auto"/>
        <w:rPr>
          <w:rFonts w:ascii="Nunito" w:hAnsi="Nunito"/>
          <w:lang w:val="ro-RO"/>
        </w:rPr>
      </w:pPr>
    </w:p>
    <w:p w14:paraId="0CD674DC" w14:textId="77777777" w:rsidR="00B10C6D" w:rsidRPr="00187708" w:rsidRDefault="00B10C6D" w:rsidP="00B15900">
      <w:pPr>
        <w:spacing w:after="120" w:line="240" w:lineRule="auto"/>
        <w:rPr>
          <w:rFonts w:ascii="Nunito" w:hAnsi="Nunito"/>
          <w:lang w:val="ro-RO"/>
        </w:rPr>
      </w:pPr>
    </w:p>
    <w:p w14:paraId="31EDA94A" w14:textId="77777777" w:rsidR="00B10C6D" w:rsidRPr="00187708" w:rsidRDefault="00B10C6D" w:rsidP="00B15900">
      <w:pPr>
        <w:spacing w:after="120" w:line="240" w:lineRule="auto"/>
        <w:rPr>
          <w:rFonts w:ascii="Nunito" w:hAnsi="Nunito"/>
          <w:lang w:val="ro-RO"/>
        </w:rPr>
      </w:pPr>
    </w:p>
    <w:p w14:paraId="55F91C49" w14:textId="77777777" w:rsidR="00B10C6D" w:rsidRPr="00187708" w:rsidRDefault="00B10C6D" w:rsidP="00B15900">
      <w:pPr>
        <w:spacing w:after="120" w:line="240" w:lineRule="auto"/>
        <w:rPr>
          <w:rFonts w:ascii="Nunito" w:hAnsi="Nunito"/>
          <w:lang w:val="ro-RO"/>
        </w:rPr>
      </w:pPr>
    </w:p>
    <w:p w14:paraId="0B2D853F" w14:textId="77777777" w:rsidR="00B10C6D" w:rsidRPr="00187708" w:rsidRDefault="00B10C6D" w:rsidP="00B15900">
      <w:pPr>
        <w:spacing w:after="120" w:line="240" w:lineRule="auto"/>
        <w:rPr>
          <w:rFonts w:ascii="Nunito" w:hAnsi="Nunito"/>
          <w:lang w:val="ro-RO"/>
        </w:rPr>
      </w:pPr>
    </w:p>
    <w:p w14:paraId="0D32DA6A" w14:textId="77777777" w:rsidR="00B10C6D" w:rsidRPr="00187708" w:rsidRDefault="00B10C6D" w:rsidP="00B15900">
      <w:pPr>
        <w:spacing w:after="120" w:line="240" w:lineRule="auto"/>
        <w:rPr>
          <w:rFonts w:ascii="Nunito" w:hAnsi="Nunito"/>
          <w:lang w:val="ro-RO"/>
        </w:rPr>
      </w:pPr>
    </w:p>
    <w:p w14:paraId="2386520C" w14:textId="77777777" w:rsidR="00B10C6D" w:rsidRPr="00187708" w:rsidRDefault="00B10C6D" w:rsidP="00B15900">
      <w:pPr>
        <w:spacing w:after="120" w:line="240" w:lineRule="auto"/>
        <w:rPr>
          <w:rFonts w:ascii="Nunito" w:hAnsi="Nunito"/>
          <w:lang w:val="ro-RO"/>
        </w:rPr>
      </w:pPr>
    </w:p>
    <w:p w14:paraId="7A6E2F86" w14:textId="3937BB86" w:rsidR="00B10C6D" w:rsidRPr="00187708" w:rsidRDefault="00245C61" w:rsidP="00B15900">
      <w:pPr>
        <w:tabs>
          <w:tab w:val="left" w:pos="5400"/>
        </w:tabs>
        <w:spacing w:after="120" w:line="240" w:lineRule="auto"/>
        <w:rPr>
          <w:rFonts w:ascii="Nunito" w:hAnsi="Nunito"/>
          <w:lang w:val="ro-RO"/>
        </w:rPr>
      </w:pPr>
      <w:r w:rsidRPr="00187708">
        <w:rPr>
          <w:rFonts w:ascii="Nunito" w:hAnsi="Nunito"/>
          <w:lang w:val="ro-RO"/>
        </w:rPr>
        <w:tab/>
      </w:r>
    </w:p>
    <w:p w14:paraId="190051F6" w14:textId="77777777" w:rsidR="00B10C6D" w:rsidRPr="00187708" w:rsidRDefault="00B10C6D" w:rsidP="00B15900">
      <w:pPr>
        <w:spacing w:after="120" w:line="240" w:lineRule="auto"/>
        <w:rPr>
          <w:rFonts w:ascii="Nunito" w:hAnsi="Nunito"/>
          <w:lang w:val="ro-RO"/>
        </w:rPr>
      </w:pPr>
    </w:p>
    <w:p w14:paraId="5CBDD153" w14:textId="77777777" w:rsidR="00B10C6D" w:rsidRPr="00187708" w:rsidRDefault="00B10C6D" w:rsidP="00B15900">
      <w:pPr>
        <w:spacing w:after="120" w:line="240" w:lineRule="auto"/>
        <w:rPr>
          <w:rFonts w:ascii="Nunito" w:hAnsi="Nunito"/>
          <w:lang w:val="ro-RO"/>
        </w:rPr>
      </w:pPr>
    </w:p>
    <w:p w14:paraId="5648B26C" w14:textId="77777777" w:rsidR="00B10C6D" w:rsidRPr="00187708" w:rsidRDefault="00B10C6D" w:rsidP="00B15900">
      <w:pPr>
        <w:spacing w:after="120" w:line="240" w:lineRule="auto"/>
        <w:rPr>
          <w:rFonts w:ascii="Nunito" w:hAnsi="Nunito"/>
          <w:lang w:val="ro-RO"/>
        </w:rPr>
      </w:pPr>
    </w:p>
    <w:p w14:paraId="52A88657" w14:textId="77777777" w:rsidR="00B10C6D" w:rsidRPr="00187708" w:rsidRDefault="00B10C6D" w:rsidP="00B15900">
      <w:pPr>
        <w:spacing w:after="120" w:line="240" w:lineRule="auto"/>
        <w:rPr>
          <w:rFonts w:ascii="Nunito" w:hAnsi="Nunito"/>
          <w:lang w:val="ro-RO"/>
        </w:rPr>
      </w:pPr>
    </w:p>
    <w:p w14:paraId="1993DBF0" w14:textId="77777777" w:rsidR="00B10C6D" w:rsidRPr="00187708" w:rsidRDefault="00B10C6D" w:rsidP="00B15900">
      <w:pPr>
        <w:spacing w:after="120" w:line="240" w:lineRule="auto"/>
        <w:rPr>
          <w:rFonts w:ascii="Nunito" w:hAnsi="Nunito"/>
          <w:lang w:val="ro-RO"/>
        </w:rPr>
      </w:pPr>
    </w:p>
    <w:p w14:paraId="2B063188" w14:textId="77777777" w:rsidR="00B10C6D" w:rsidRPr="00187708" w:rsidRDefault="00B10C6D" w:rsidP="00B15900">
      <w:pPr>
        <w:spacing w:after="120" w:line="240" w:lineRule="auto"/>
        <w:rPr>
          <w:rFonts w:ascii="Nunito" w:hAnsi="Nunito"/>
          <w:lang w:val="ro-RO"/>
        </w:rPr>
      </w:pPr>
    </w:p>
    <w:p w14:paraId="37C86081" w14:textId="416C81CE" w:rsidR="00B10C6D" w:rsidRPr="00187708" w:rsidRDefault="00A253F3" w:rsidP="00023275">
      <w:pPr>
        <w:pStyle w:val="Heading1"/>
        <w:spacing w:before="0" w:after="120" w:line="240" w:lineRule="auto"/>
        <w:ind w:left="-142"/>
        <w:rPr>
          <w:rFonts w:ascii="Nunito" w:hAnsi="Nunito"/>
          <w:lang w:val="ro-RO"/>
        </w:rPr>
      </w:pPr>
      <w:bookmarkStart w:id="0" w:name="_Toc222903174"/>
      <w:r w:rsidRPr="00187708">
        <w:rPr>
          <w:rFonts w:ascii="Nunito" w:hAnsi="Nunito"/>
          <w:lang w:val="ro-RO"/>
        </w:rPr>
        <w:t>INTRODUCERE</w:t>
      </w:r>
      <w:bookmarkEnd w:id="0"/>
      <w:r w:rsidR="00023275" w:rsidRPr="00187708">
        <w:rPr>
          <w:rFonts w:ascii="Nunito" w:hAnsi="Nunito"/>
          <w:lang w:val="ro-RO"/>
        </w:rPr>
        <w:br/>
        <w:t>_____________________________________________________________________</w:t>
      </w:r>
    </w:p>
    <w:p w14:paraId="28DD7B76" w14:textId="77777777" w:rsidR="00A253F3" w:rsidRPr="00187708" w:rsidRDefault="00A253F3" w:rsidP="00B15900">
      <w:pPr>
        <w:spacing w:after="120" w:line="240" w:lineRule="auto"/>
        <w:rPr>
          <w:rFonts w:ascii="Nunito" w:hAnsi="Nunito"/>
          <w:lang w:val="ro-RO"/>
        </w:rPr>
      </w:pPr>
    </w:p>
    <w:p w14:paraId="74B1B1F1"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Planul Național de Gestionare a Deșeurilor (PNGD) este elaborat în cadrul atribuțiilor de strategie și planificare ale Ministerului Mediului, Apelor și Pădurilor (MMAP), instituție care realizează politica la nivel național în domenii ce includ economia circulară și gestionarea deșeurilor și care elaborează, actualizează și coordonează aplicarea PNGD.</w:t>
      </w:r>
    </w:p>
    <w:p w14:paraId="60046D60"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În acest context, scopul PNGD este de a dezvolta un cadru general pentru asigurarea unui sistem durabil de gestionare a deșeurilor la nivel național, în vederea îndeplinirii obiectivelor și țintelor europene transpuse în legislația națională. Obiectivul general al PNGD este definirea politicii naționale de gestionare a deșeurilor, fundamentată pe cerințele europene și pe caracteristicile naționale și/sau locale, asigurând premisele tranziției către economia circulară și aplicarea cu prioritate a ierarhiei deșeurilor în cadrul fiecărei decizii, investiții sau măsuri de planificare.</w:t>
      </w:r>
    </w:p>
    <w:p w14:paraId="24E4DB69"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Totodată, PNGD urmărește: caracterizarea situației actuale (cantități de deșeuri generate și gestionate, instalații existente), identificarea elementelor care cauzează un management ineficient al deșeurilor, stabilirea obiectivelor și țintelor pe baza prevederilor legale și a obiectivelor strategice stabilite prin Strategia Națională de Gestionare a Deșeurilor (SNGD), precum și identificarea necesităților investiționale.</w:t>
      </w:r>
    </w:p>
    <w:p w14:paraId="7AC21552"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Coordonatele temporale ale PNGD sunt stabilite astfel: perioada de elaborare 2024–2025; perioada de analiză pentru descrierea situației actuale 2020–2022 (cu anul 2022 ca an de referință pentru cantitățile de deșeuri); anul 2025 ca an de referință pentru descrierea sistemelor de colectare existente și modificările prevăzute, instalațiile existente și proiectele planificate; perioada de proiecții 2023–2035; iar perioada de planificare 2026–2035.</w:t>
      </w:r>
    </w:p>
    <w:p w14:paraId="64232ADA" w14:textId="03463A05" w:rsidR="00B10C6D" w:rsidRPr="00187708" w:rsidRDefault="00023275" w:rsidP="00023275">
      <w:pPr>
        <w:spacing w:after="120" w:line="240" w:lineRule="auto"/>
        <w:jc w:val="both"/>
        <w:rPr>
          <w:rFonts w:ascii="Nunito" w:hAnsi="Nunito"/>
          <w:lang w:val="ro-RO"/>
        </w:rPr>
      </w:pPr>
      <w:r w:rsidRPr="00187708">
        <w:rPr>
          <w:rFonts w:ascii="Nunito" w:hAnsi="Nunito"/>
          <w:lang w:val="ro-RO"/>
        </w:rPr>
        <w:t>În stabilirea măsurilor și în estimarea noilor capacități de investiții au fost avute în vedere obiectivele și țintele naționale și europene aplicabile până în anul 2035, inclusiv cerințele pachetului economiei circulare (iunie 2018), astfel încât să fie evitată supra- sau sub-capacitarea instalațiilor noi.</w:t>
      </w:r>
    </w:p>
    <w:p w14:paraId="0928AA9D" w14:textId="77777777" w:rsidR="00B10C6D" w:rsidRPr="00187708" w:rsidRDefault="00B10C6D" w:rsidP="00B15900">
      <w:pPr>
        <w:spacing w:after="120" w:line="240" w:lineRule="auto"/>
        <w:rPr>
          <w:rFonts w:ascii="Nunito" w:hAnsi="Nunito"/>
          <w:lang w:val="ro-RO"/>
        </w:rPr>
      </w:pPr>
    </w:p>
    <w:p w14:paraId="08D634A4" w14:textId="5E09E8C0" w:rsidR="00C91FB5" w:rsidRPr="00187708" w:rsidRDefault="00B10C6D" w:rsidP="00B15900">
      <w:pPr>
        <w:spacing w:after="120" w:line="240" w:lineRule="auto"/>
        <w:rPr>
          <w:rFonts w:ascii="Nunito" w:hAnsi="Nunito"/>
          <w:lang w:val="ro-RO"/>
        </w:rPr>
      </w:pPr>
      <w:r w:rsidRPr="00187708">
        <w:rPr>
          <w:rFonts w:ascii="Nunito" w:hAnsi="Nunito"/>
          <w:lang w:val="ro-RO"/>
        </w:rPr>
        <w:br w:type="page"/>
      </w:r>
    </w:p>
    <w:p w14:paraId="6A4AD394" w14:textId="6105B0A5" w:rsidR="00063E48" w:rsidRPr="00187708" w:rsidRDefault="00063E48" w:rsidP="00B15900">
      <w:pPr>
        <w:spacing w:after="120" w:line="240" w:lineRule="auto"/>
        <w:jc w:val="both"/>
        <w:rPr>
          <w:rFonts w:ascii="Nunito" w:hAnsi="Nunito"/>
          <w:lang w:val="ro-RO"/>
        </w:rPr>
      </w:pPr>
    </w:p>
    <w:p w14:paraId="5D5F55C8" w14:textId="72D785F5" w:rsidR="00DD745E" w:rsidRPr="00187708" w:rsidRDefault="00DD745E" w:rsidP="00B15900">
      <w:pPr>
        <w:spacing w:after="120" w:line="240" w:lineRule="auto"/>
        <w:jc w:val="both"/>
        <w:rPr>
          <w:rFonts w:ascii="Nunito" w:hAnsi="Nunito"/>
          <w:lang w:val="ro-RO"/>
        </w:rPr>
      </w:pPr>
      <w:r w:rsidRPr="00187708">
        <w:rPr>
          <w:rFonts w:ascii="Nunito" w:hAnsi="Nunito"/>
          <w:lang w:val="ro-RO"/>
        </w:rPr>
        <w:t>Planul Național de Gestionare a Deșeurilor (PNGD) este elaborat în cadrul atribuțiilor de strategie și planificare ale Ministerului Mediului, Apelor și Pădurilor (MMAP), instituție care realizează politica la nivel național în domenii ce includ economia circulară și gestionarea deșeurilor și care elaborează, actualizează și coordonează aplicarea PNGD.</w:t>
      </w:r>
    </w:p>
    <w:p w14:paraId="3F12DAFA" w14:textId="77777777" w:rsidR="00DD745E" w:rsidRPr="00187708" w:rsidRDefault="00DD745E" w:rsidP="00B15900">
      <w:pPr>
        <w:spacing w:after="120" w:line="240" w:lineRule="auto"/>
        <w:jc w:val="both"/>
        <w:rPr>
          <w:rFonts w:ascii="Nunito" w:hAnsi="Nunito"/>
          <w:lang w:val="ro-RO"/>
        </w:rPr>
      </w:pPr>
      <w:r w:rsidRPr="00187708">
        <w:rPr>
          <w:rFonts w:ascii="Nunito" w:hAnsi="Nunito"/>
          <w:lang w:val="ro-RO"/>
        </w:rPr>
        <w:t>În acest context, scopul PNGD este de a dezvolta un cadru general pentru asigurarea unui sistem durabil de gestionare a deșeurilor la nivel național, în vederea îndeplinirii obiectivelor și țintelor europene transpuse în legislația națională. Obiectivul general al PNGD este definirea politicii naționale de gestionare a deșeurilor, fundamentată pe cerințele europene și pe caracteristicile naționale și/sau locale, asigurând premisele tranziției către economia circulară și aplicarea cu prioritate a ierarhiei deșeurilor în cadrul fiecărei decizii, investiții sau măsuri de planificare.</w:t>
      </w:r>
    </w:p>
    <w:p w14:paraId="75537A10" w14:textId="0E75D433" w:rsidR="003C109D" w:rsidRPr="00187708" w:rsidRDefault="00DD745E" w:rsidP="00B15900">
      <w:pPr>
        <w:spacing w:after="120" w:line="240" w:lineRule="auto"/>
        <w:jc w:val="both"/>
        <w:rPr>
          <w:rFonts w:ascii="Nunito" w:hAnsi="Nunito"/>
          <w:lang w:val="ro-RO"/>
        </w:rPr>
      </w:pPr>
      <w:r w:rsidRPr="00187708">
        <w:rPr>
          <w:rFonts w:ascii="Nunito" w:hAnsi="Nunito"/>
          <w:lang w:val="ro-RO"/>
        </w:rPr>
        <w:t>Totodată, PNGD urmărește: caracterizarea situației actuale (cantități de deșeuri generate și gestionate, instalații existente), identificarea elementelor care cauzează un management ineficient al deșeurilor, stabilirea obiectivelor și țintelor pe baza prevederilor legale și a obiectivelor strategice stabilite prin Strategia Națională de Gestionare a Deșeurilor (SNGD), precum și identificarea necesităților investiționale.</w:t>
      </w:r>
    </w:p>
    <w:p w14:paraId="7E9E59D4" w14:textId="77777777" w:rsidR="003C109D" w:rsidRPr="00187708" w:rsidRDefault="003C109D" w:rsidP="00B15900">
      <w:pPr>
        <w:spacing w:after="120" w:line="240" w:lineRule="auto"/>
        <w:jc w:val="both"/>
        <w:rPr>
          <w:rFonts w:ascii="Nunito" w:hAnsi="Nunito"/>
          <w:lang w:val="ro-RO"/>
        </w:rPr>
      </w:pPr>
      <w:r w:rsidRPr="00187708">
        <w:rPr>
          <w:rFonts w:ascii="Nunito" w:hAnsi="Nunito"/>
          <w:lang w:val="ro-RO"/>
        </w:rPr>
        <w:t>Coordonatele temporale ale PNGD sunt stabilite astfel: perioada de elaborare 2024–2025; perioada de analiză pentru descrierea situației actuale 2020–2022 (cu anul 2022 ca an de referință pentru cantitățile de deșeuri); anul 2025 ca an de referință pentru descrierea sistemelor de colectare existente și modificările prevăzute, instalațiile existente și proiectele planificate; perioada de proiecții 2023–2035; iar perioada de planificare 2026–2035.</w:t>
      </w:r>
    </w:p>
    <w:p w14:paraId="1BE91C05" w14:textId="77777777" w:rsidR="003C109D" w:rsidRPr="00187708" w:rsidRDefault="003C109D" w:rsidP="00B15900">
      <w:pPr>
        <w:spacing w:after="120" w:line="240" w:lineRule="auto"/>
        <w:jc w:val="both"/>
        <w:rPr>
          <w:rFonts w:ascii="Nunito" w:hAnsi="Nunito"/>
          <w:lang w:val="ro-RO"/>
        </w:rPr>
      </w:pPr>
      <w:r w:rsidRPr="00187708">
        <w:rPr>
          <w:rFonts w:ascii="Nunito" w:hAnsi="Nunito"/>
          <w:lang w:val="ro-RO"/>
        </w:rPr>
        <w:t>În stabilirea măsurilor și în estimarea noilor capacități de investiții au fost avute în vedere obiectivele și țintele naționale și europene aplicabile până în anul 2035, inclusiv cerințele pachetului economiei circulare (iunie 2018), astfel încât să fie evitată supra- sau sub-capacitarea instalațiilor noi.</w:t>
      </w:r>
    </w:p>
    <w:p w14:paraId="57D54BC5" w14:textId="42A3625E" w:rsidR="003C109D" w:rsidRPr="00187708" w:rsidRDefault="003C109D" w:rsidP="00B15900">
      <w:pPr>
        <w:spacing w:after="120" w:line="240" w:lineRule="auto"/>
        <w:jc w:val="both"/>
        <w:rPr>
          <w:rFonts w:ascii="Nunito" w:hAnsi="Nunito"/>
          <w:lang w:val="ro-RO"/>
        </w:rPr>
      </w:pPr>
      <w:r w:rsidRPr="00187708">
        <w:rPr>
          <w:rFonts w:ascii="Nunito" w:hAnsi="Nunito"/>
          <w:lang w:val="ro-RO"/>
        </w:rPr>
        <w:t>Structura PNGD și a Planului național de prevenire a generării deșeurilor (PNPGD) este prezentată schematic, cu mențiunea că secțiunile capitolelor de planificare sunt adaptate specificului fiecărei categorii de deșeuri. Proiecții ale cantităților generate sunt realizate doar pentru categoriile pentru care acestea sunt relevante (existând ținte europene și/sau naționale), iar secțiunile privind prognoza populației, analiza alternativelor și evaluarea macro-suportabilității se realizează doar pentru deșeurile municipale.</w:t>
      </w:r>
    </w:p>
    <w:p w14:paraId="292F5969" w14:textId="26FA88A6" w:rsidR="003C109D" w:rsidRPr="00187708" w:rsidRDefault="003C109D" w:rsidP="00B15900">
      <w:pPr>
        <w:spacing w:after="120" w:line="240" w:lineRule="auto"/>
        <w:jc w:val="both"/>
        <w:rPr>
          <w:rFonts w:ascii="Nunito" w:hAnsi="Nunito"/>
          <w:lang w:val="ro-RO"/>
        </w:rPr>
      </w:pPr>
      <w:r w:rsidRPr="00187708">
        <w:rPr>
          <w:rFonts w:ascii="Nunito" w:hAnsi="Nunito"/>
          <w:lang w:val="ro-RO"/>
        </w:rPr>
        <w:t>În ansamblu, PNGD include: (i) capitolul „Cadrul general” (informații generale de planificare și legislația națională și europeană), (ii) capitolul „Date socio-economice”, (iii) capitole de planificare care includ situația existentă, obiective și ținte, prognoze (unde este cazul) și planuri de acțiune, (iv) capitolul privind Programul național de prevenire a generării deșeurilor și (v) capitolul privind Planul de monitorizare (indicatori și modul de aplicare).</w:t>
      </w:r>
    </w:p>
    <w:p w14:paraId="154113DE" w14:textId="1885D196" w:rsidR="003C109D" w:rsidRPr="00187708" w:rsidRDefault="003C109D" w:rsidP="00B15900">
      <w:pPr>
        <w:spacing w:after="120" w:line="240" w:lineRule="auto"/>
        <w:jc w:val="both"/>
        <w:rPr>
          <w:rFonts w:ascii="Nunito" w:hAnsi="Nunito"/>
          <w:lang w:val="ro-RO"/>
        </w:rPr>
      </w:pPr>
      <w:r w:rsidRPr="00187708">
        <w:rPr>
          <w:rFonts w:ascii="Nunito" w:hAnsi="Nunito"/>
          <w:lang w:val="ro-RO"/>
        </w:rPr>
        <w:t>PNGD și PNPGD se evaluează cel puțin o dată la 6 ani și se revizuiesc, după caz, de către autoritatea publică centrală pentru protecția mediului, în baza raportului de monitorizare, iar monitorizarea se realizează anual.</w:t>
      </w:r>
    </w:p>
    <w:p w14:paraId="5218295E" w14:textId="4A24E5AD" w:rsidR="00B02E25" w:rsidRPr="00187708" w:rsidRDefault="00B02E25" w:rsidP="00B15900">
      <w:pPr>
        <w:spacing w:after="120" w:line="240" w:lineRule="auto"/>
        <w:jc w:val="both"/>
        <w:rPr>
          <w:rFonts w:ascii="Nunito" w:hAnsi="Nunito"/>
          <w:lang w:val="ro-RO"/>
        </w:rPr>
      </w:pPr>
      <w:r w:rsidRPr="00187708">
        <w:rPr>
          <w:rFonts w:ascii="Nunito" w:hAnsi="Nunito"/>
          <w:lang w:val="ro-RO"/>
        </w:rPr>
        <w:t>Procesul de planificare aferent PNGD acoperă întreg teritoriul României.</w:t>
      </w:r>
    </w:p>
    <w:p w14:paraId="4DDD54E4" w14:textId="41861526" w:rsidR="006F39BF" w:rsidRPr="00187708" w:rsidRDefault="006F39BF" w:rsidP="00B15900">
      <w:pPr>
        <w:spacing w:after="120" w:line="240" w:lineRule="auto"/>
        <w:jc w:val="both"/>
        <w:rPr>
          <w:rFonts w:ascii="Nunito" w:hAnsi="Nunito"/>
          <w:lang w:val="ro-RO"/>
        </w:rPr>
      </w:pPr>
      <w:r w:rsidRPr="00187708">
        <w:rPr>
          <w:rFonts w:ascii="Nunito" w:hAnsi="Nunito"/>
          <w:lang w:val="ro-RO"/>
        </w:rPr>
        <w:t>Categoriile de deșeuri avute în vedere în PNGD sunt cele reglementate de OUG nr. 92/2021 privind regimul deșeurilor, cu modificările și completările ulterioare, aprobată prin Legea nr. 17/2023, incluzând: deșeuri municipale și fluxuri speciale (deșeuri alimentare; deșeuri de ambalaje; deșeuri de echipamente electrice și electronice; deșeuri de baterii și acumulatori; vehicule scoase din uz; anvelope uzate; uleiuri uzate; deșeuri din construcții și desființări; nămoluri rezultate de la epurarea apelor uzate orășenești; deșeuri cu conținut de PCB; deșeuri cu conținut de azbest), precum și deșeuri rezultate din activitățile sanitare și veterinare, deșeuri industriale și deșeuri din agricultură, silvicultură și pescuit.</w:t>
      </w:r>
    </w:p>
    <w:p w14:paraId="757F3DA8" w14:textId="3F0E8B4A" w:rsidR="003C109D" w:rsidRPr="00187708" w:rsidRDefault="006F39BF" w:rsidP="00B15900">
      <w:pPr>
        <w:spacing w:after="120" w:line="240" w:lineRule="auto"/>
        <w:jc w:val="both"/>
        <w:rPr>
          <w:rFonts w:ascii="Nunito" w:hAnsi="Nunito"/>
          <w:lang w:val="ro-RO"/>
        </w:rPr>
      </w:pPr>
      <w:r w:rsidRPr="00187708">
        <w:rPr>
          <w:rFonts w:ascii="Nunito" w:hAnsi="Nunito"/>
          <w:lang w:val="ro-RO"/>
        </w:rPr>
        <w:t>Sunt precizate și categorii care nu fac obiectul planificării (de exemplu: efluenți gazoși emiși în atmosferă, anumite categorii de soluri și materiale excavate în condiții specifice, deșeuri radioactive, explozivi dezafectați).</w:t>
      </w:r>
    </w:p>
    <w:p w14:paraId="3ECED6AC" w14:textId="13EB9376" w:rsidR="006F39BF" w:rsidRPr="00187708" w:rsidRDefault="006F39BF" w:rsidP="00B15900">
      <w:pPr>
        <w:spacing w:after="120" w:line="240" w:lineRule="auto"/>
        <w:jc w:val="both"/>
        <w:rPr>
          <w:rFonts w:ascii="Nunito" w:hAnsi="Nunito"/>
          <w:lang w:val="ro-RO"/>
        </w:rPr>
      </w:pPr>
      <w:r w:rsidRPr="00187708">
        <w:rPr>
          <w:rFonts w:ascii="Nunito" w:hAnsi="Nunito"/>
          <w:lang w:val="ro-RO"/>
        </w:rPr>
        <w:t>La începutul procesului de elaborare a PNGD au fost constituite două grupuri de lucru: unul restrâns și unul extins. Grupul restrâns a inclus reprezentanți ai MMAP, ANMAP, BEI JASPERS, BEI PASSA și consultantul; grupul extins a inclus, pe lângă acestea, și instituții publice cu atribuții relevante, structuri de control și finanțare, instituții de statistică și prognoză, ministere de linie, precum și organizații neguvernamentale și private din domeniul deșeurilor.</w:t>
      </w:r>
    </w:p>
    <w:p w14:paraId="718CF925" w14:textId="200E6299" w:rsidR="006F39BF" w:rsidRPr="00187708" w:rsidRDefault="006F39BF" w:rsidP="00B15900">
      <w:pPr>
        <w:spacing w:after="120" w:line="240" w:lineRule="auto"/>
        <w:jc w:val="both"/>
        <w:rPr>
          <w:rFonts w:ascii="Nunito" w:hAnsi="Nunito"/>
          <w:lang w:val="ro-RO"/>
        </w:rPr>
      </w:pPr>
      <w:r w:rsidRPr="00187708">
        <w:rPr>
          <w:rFonts w:ascii="Nunito" w:hAnsi="Nunito"/>
          <w:lang w:val="ro-RO"/>
        </w:rPr>
        <w:t>În cadrul procesului au fost elaborate documente de analiză dedicate, inclusiv un raport privind cadrul instituțional existent și implementarea măsurilor de guvernanță și un raport privind analiza implementării PNGD/PNPGD și elementele ce trebuie incluse în documentele revizuite.</w:t>
      </w:r>
    </w:p>
    <w:p w14:paraId="292F016E" w14:textId="7C131308" w:rsidR="006F39BF" w:rsidRPr="00187708" w:rsidRDefault="006F39BF" w:rsidP="00B15900">
      <w:pPr>
        <w:spacing w:after="120" w:line="240" w:lineRule="auto"/>
        <w:jc w:val="both"/>
        <w:rPr>
          <w:rFonts w:ascii="Nunito" w:hAnsi="Nunito"/>
          <w:lang w:val="ro-RO"/>
        </w:rPr>
      </w:pPr>
      <w:r w:rsidRPr="00187708">
        <w:rPr>
          <w:rFonts w:ascii="Nunito" w:hAnsi="Nunito"/>
          <w:lang w:val="ro-RO"/>
        </w:rPr>
        <w:t>Descrierea situației actuale a gestionării deșeurilor la nivel național a fost realizată pentru perioada 2020–2022, iar anul 2022 este utilizat ca an de referință pentru calculul prognozei de generare a deșeurilor.</w:t>
      </w:r>
    </w:p>
    <w:p w14:paraId="09A217B2" w14:textId="0B569189" w:rsidR="006F39BF" w:rsidRPr="00187708" w:rsidRDefault="006F39BF" w:rsidP="00B15900">
      <w:pPr>
        <w:spacing w:after="120" w:line="240" w:lineRule="auto"/>
        <w:jc w:val="both"/>
        <w:rPr>
          <w:rFonts w:ascii="Nunito" w:hAnsi="Nunito"/>
          <w:lang w:val="ro-RO"/>
        </w:rPr>
      </w:pPr>
      <w:r w:rsidRPr="00187708">
        <w:rPr>
          <w:rFonts w:ascii="Nunito" w:hAnsi="Nunito"/>
          <w:lang w:val="ro-RO"/>
        </w:rPr>
        <w:lastRenderedPageBreak/>
        <w:t>Sursele de date și informații utilizate includ instituții și baze de date relevante la nivel național, precum și informații furnizate de autoritățile publice județene și structurile asociative care implementează proiecte de management integrat al deșeurilor, respectiv informații de la actori implicați în gestionarea deșeurilor (administratorul SGR, organizații de implementare a răspunderii extinse a producătorilor, organizații profesionale etc.).</w:t>
      </w:r>
    </w:p>
    <w:p w14:paraId="5C36A7A0" w14:textId="1F7F4796" w:rsidR="00D03D54" w:rsidRPr="00187708" w:rsidRDefault="00D03D54" w:rsidP="00B15900">
      <w:pPr>
        <w:pStyle w:val="Heading2"/>
        <w:spacing w:line="240" w:lineRule="auto"/>
        <w:rPr>
          <w:rFonts w:ascii="Nunito" w:hAnsi="Nunito"/>
          <w:lang w:val="ro-RO"/>
        </w:rPr>
      </w:pPr>
      <w:bookmarkStart w:id="1" w:name="_Toc222903176"/>
      <w:r w:rsidRPr="00187708">
        <w:rPr>
          <w:rFonts w:ascii="Nunito" w:hAnsi="Nunito"/>
          <w:lang w:val="ro-RO"/>
        </w:rPr>
        <w:t>Procedura SEA (Evaluare Strategică de Mediu)</w:t>
      </w:r>
      <w:bookmarkEnd w:id="1"/>
    </w:p>
    <w:p w14:paraId="10697F99"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Evaluarea de mediu reprezintă o componentă integrantă a procedurii de adoptare a planurilor și programelor susceptibile să genereze efecte semnificative asupra mediului. Procedura este reglementată prin Hotărârea Guvernului nr. 1076/2004 privind stabilirea procedurii de realizare a evaluării de mediu pentru planuri și programe, act normativ care transpune în legislația națională prevederile Directivei 2001/42/CE a Parlamentului European și a Consiliului din 27 iunie 2001 privind evaluarea efectelor anumitor planuri și programe asupra mediului (Directiva SEA).</w:t>
      </w:r>
    </w:p>
    <w:p w14:paraId="3A50D84A"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Prezentul document constituie Raportul de mediu elaborat în cadrul procedurii de evaluare strategică de mediu pentru Planul Național de Gestionare a Deșeurilor (PNGD), inițiat și coordonat de autoritatea publică responsabilă cu elaborarea planului, respectiv Ministerul Mediului, Apelor și Pădurilor.</w:t>
      </w:r>
    </w:p>
    <w:p w14:paraId="4A866234"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În conformitate cu prevederile HG nr. 1076/2004, titularul planului a inițiat procedura de evaluare de mediu prin transmiterea primei versiuni a PNGD către autoritatea competentă pentru protecția mediului, în vederea încadrării planului și a stabilirii necesității aplicării procedurii SEA.</w:t>
      </w:r>
    </w:p>
    <w:p w14:paraId="20723E22"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În urma analizării primei versiuni a planului, Ministerul Mediului, Apelor și Pădurilor a comunicat, prin adresa nr. …/data …, necesitatea continuării procedurii de evaluare de mediu pentru Planul Național de Gestionare a Deșeurilor și a elaborării Raportului de mediu, având în vedere următoarele considerente:</w:t>
      </w:r>
    </w:p>
    <w:p w14:paraId="59C65EA4"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caracterul strategic al planului și rolul său de cadru pentru decizii ulterioare, PNGD urmând să stabilească direcțiile principale pentru asigurarea unui management durabil al deșeurilor la nivel național;</w:t>
      </w:r>
    </w:p>
    <w:p w14:paraId="2A298D93"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influența asupra fluxurilor de deșeuri și a opțiunilor de tratare și eliminare, prin definirea premiselor de reorganizare a sistemului național de gestionare a deșeurilor;</w:t>
      </w:r>
    </w:p>
    <w:p w14:paraId="17290BA2"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potențialul de a genera efecte semnificative asupra mediului, inclusiv asupra aerului, apelor, solului, utilizării terenurilor, biodiversității și sănătății populației, în special prin dezvoltarea sau modernizarea infrastructurii de colectare și tratare;</w:t>
      </w:r>
    </w:p>
    <w:p w14:paraId="1CB0076B"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rolul de fundament pentru politici și investiții în sectorul deșeurilor, cu implicații directe asupra amplasării, tipului de proiecte și presiunilor de mediu asociate.</w:t>
      </w:r>
    </w:p>
    <w:p w14:paraId="281944E0" w14:textId="77777777" w:rsidR="00023275" w:rsidRPr="00187708" w:rsidRDefault="00023275" w:rsidP="00023275">
      <w:pPr>
        <w:spacing w:after="120" w:line="240" w:lineRule="auto"/>
        <w:rPr>
          <w:rFonts w:ascii="Nunito" w:eastAsia="Times New Roman" w:hAnsi="Nunito" w:cs="Times New Roman"/>
          <w:lang w:val="ro-RO" w:eastAsia="ro-RO"/>
        </w:rPr>
      </w:pPr>
      <w:r w:rsidRPr="00187708">
        <w:rPr>
          <w:rFonts w:ascii="Nunito" w:eastAsia="Times New Roman" w:hAnsi="Nunito" w:cs="Times New Roman"/>
          <w:lang w:val="ro-RO" w:eastAsia="ro-RO"/>
        </w:rPr>
        <w:t>Totodată, Ministerul Mediului, Apelor și Pădurilor a stabilit că pentru PNGD nu este necesară parcurgerea procedurii de evaluare adecvată și, în consecință, nu se impune elaborarea unui studiu de evaluare adecvată.</w:t>
      </w:r>
    </w:p>
    <w:p w14:paraId="6C741745" w14:textId="77777777" w:rsidR="00023275" w:rsidRPr="00187708" w:rsidRDefault="00023275" w:rsidP="00023275">
      <w:pPr>
        <w:spacing w:after="120" w:line="240" w:lineRule="auto"/>
        <w:rPr>
          <w:rFonts w:ascii="Nunito" w:eastAsia="Times New Roman" w:hAnsi="Nunito" w:cs="Times New Roman"/>
          <w:lang w:val="ro-RO" w:eastAsia="ro-RO"/>
        </w:rPr>
      </w:pPr>
      <w:r w:rsidRPr="00187708">
        <w:rPr>
          <w:rFonts w:ascii="Nunito" w:eastAsia="Times New Roman" w:hAnsi="Nunito" w:cs="Times New Roman"/>
          <w:lang w:val="ro-RO" w:eastAsia="ro-RO"/>
        </w:rPr>
        <w:t>Raportul de mediu aferent PNGD a fost elaborat în conformitate cu cerințele prevăzute în Anexa nr. 2 la HG nr. 1076/2004 și a inclus următoarele etape principale:</w:t>
      </w:r>
    </w:p>
    <w:p w14:paraId="3CADA05D"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analiza stării actuale a mediului, pe baza datelor și informațiilor disponibile la nivel național și regional relevante pentru sectorul deșeurilor;</w:t>
      </w:r>
    </w:p>
    <w:p w14:paraId="6BEDD1A5"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identificarea aspectelor și problemelor de mediu relevante în contextul gestionării deșeurilor, inclusiv prevenirea generării, colectarea separată, tratarea, valorificarea, eliminarea, depozitarea neconformă și emisiile asociate;</w:t>
      </w:r>
    </w:p>
    <w:p w14:paraId="1D909A2F"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definirea obiectivelor relevante de mediu la care planul trebuie să răspundă, în corelare cu cadrul legislativ și strategic aplicabil;</w:t>
      </w:r>
    </w:p>
    <w:p w14:paraId="4F77BEA3"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analiza evoluției probabile a stării mediului în absența implementării planului (alternativa 0);</w:t>
      </w:r>
    </w:p>
    <w:p w14:paraId="3FD94A95"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evaluarea efectelor asupra mediului generate de implementarea PNGD, inclusiv prin analiza contribuției obiectivelor și măsurilor propuse la atingerea obiectivelor de mediu și la reducerea presiunilor asupra factorilor de mediu;</w:t>
      </w:r>
    </w:p>
    <w:p w14:paraId="0E0F0807"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identificarea indicatorilor de mediu necesari pentru monitorizarea efectelor planului și a progresului în implementare.</w:t>
      </w:r>
    </w:p>
    <w:p w14:paraId="71B3BC79" w14:textId="77777777" w:rsidR="00023275" w:rsidRPr="00187708" w:rsidRDefault="00023275" w:rsidP="00023275">
      <w:pPr>
        <w:spacing w:after="120" w:line="240" w:lineRule="auto"/>
        <w:rPr>
          <w:rFonts w:ascii="Nunito" w:eastAsia="Times New Roman" w:hAnsi="Nunito" w:cs="Times New Roman"/>
          <w:lang w:val="ro-RO" w:eastAsia="ro-RO"/>
        </w:rPr>
      </w:pPr>
      <w:r w:rsidRPr="00187708">
        <w:rPr>
          <w:rFonts w:ascii="Nunito" w:eastAsia="Times New Roman" w:hAnsi="Nunito" w:cs="Times New Roman"/>
          <w:lang w:val="ro-RO" w:eastAsia="ro-RO"/>
        </w:rPr>
        <w:t>La elaborarea Raportului de mediu au fost avute în vedere ghiduri, manuale și acte normative relevante pentru domeniul evaluării de mediu și al protecției mediului, dintre care se menționează, fără a se limita la acestea:</w:t>
      </w:r>
    </w:p>
    <w:p w14:paraId="1752562F"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„Manual privind aplicarea procedurii de realizare a evaluării de mediu pentru planuri și programe” (Manual SEA), elaborat de MMGA și ANPM, aprobat prin Ordinul nr. 117/2006;</w:t>
      </w:r>
    </w:p>
    <w:p w14:paraId="4CC11606"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„Ghidul generic privind evaluarea de mediu pentru planuri și programe”, elaborat în cadrul proiectului EuropeAid/121491/D/SER/RO (PHARE 2004/016-772.03.03) privind întărirea capacității instituționale pentru implementarea Directivei SEA și a Directivei de Raportare;</w:t>
      </w:r>
    </w:p>
    <w:p w14:paraId="2676D2ED"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lastRenderedPageBreak/>
        <w:t>Legea nr. 349/2011 pentru ratificarea Protocolului privind evaluarea strategică de mediu, semnat la Kiev, la Convenția privind evaluarea impactului asupra mediului în context transfrontieră, adoptată la Espoo;</w:t>
      </w:r>
    </w:p>
    <w:p w14:paraId="37869368"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Legea nr. 22/2001 pentru ratificarea Convenției privind evaluarea impactului asupra mediului în context transfrontieră, adoptată la Espoo;</w:t>
      </w:r>
    </w:p>
    <w:p w14:paraId="40D1D74B"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Directiva 2001/42/CE privind evaluarea efectelor anumitor planuri și programe asupra mediului, transpusă în legislația națională prin HG nr. 1076/2004;</w:t>
      </w:r>
    </w:p>
    <w:p w14:paraId="4D3D4245"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Ordonanța de urgență nr. 195/2005 privind protecția mediului, cu modificările și completările ulterioare;</w:t>
      </w:r>
    </w:p>
    <w:p w14:paraId="42242BBB"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Legea apelor nr. 107/1996, cu modificările și completările ulterioare;</w:t>
      </w:r>
    </w:p>
    <w:p w14:paraId="00AE7689"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Legea nr. 104/2011 privind calitatea aerului înconjurător, cu modificările și completările ulterioare;</w:t>
      </w:r>
    </w:p>
    <w:p w14:paraId="400611D4" w14:textId="77777777" w:rsidR="00023275" w:rsidRPr="00187708" w:rsidRDefault="00023275" w:rsidP="00D540AB">
      <w:pPr>
        <w:pStyle w:val="ListParagraph"/>
        <w:numPr>
          <w:ilvl w:val="0"/>
          <w:numId w:val="17"/>
        </w:numPr>
        <w:spacing w:after="120" w:line="240" w:lineRule="auto"/>
        <w:ind w:left="426" w:hanging="284"/>
        <w:rPr>
          <w:rFonts w:ascii="Nunito" w:eastAsia="Times New Roman" w:hAnsi="Nunito" w:cs="Times New Roman"/>
          <w:lang w:val="ro-RO" w:eastAsia="ro-RO"/>
        </w:rPr>
      </w:pPr>
      <w:r w:rsidRPr="00187708">
        <w:rPr>
          <w:rFonts w:ascii="Nunito" w:eastAsia="Times New Roman" w:hAnsi="Nunito" w:cs="Times New Roman"/>
          <w:lang w:val="ro-RO" w:eastAsia="ro-RO"/>
        </w:rPr>
        <w:t>legislația în vigoare referitoare la calitatea aerului, apei și solului, biodiversitate, managementul deșeurilor, controlul poluării industriale și managementul riscului.</w:t>
      </w:r>
    </w:p>
    <w:p w14:paraId="43E6C45D" w14:textId="77777777" w:rsidR="00023275" w:rsidRPr="00187708" w:rsidRDefault="00023275" w:rsidP="00023275">
      <w:pPr>
        <w:spacing w:after="120" w:line="240" w:lineRule="auto"/>
        <w:rPr>
          <w:rFonts w:ascii="Nunito" w:eastAsia="Times New Roman" w:hAnsi="Nunito" w:cs="Times New Roman"/>
          <w:lang w:val="ro-RO" w:eastAsia="ro-RO"/>
        </w:rPr>
      </w:pPr>
      <w:r w:rsidRPr="00187708">
        <w:rPr>
          <w:rFonts w:ascii="Nunito" w:eastAsia="Times New Roman" w:hAnsi="Nunito" w:cs="Times New Roman"/>
          <w:lang w:val="ro-RO" w:eastAsia="ro-RO"/>
        </w:rPr>
        <w:t>Raportul de mediu reprezintă documentația prin care sunt identificate, descrise și evaluate efectele semnificative posibile asupra mediului generate de aplicarea planului, precum și alternativele rezonabile ale acestuia, luând în considerare obiectivele planului și aria geografică aferentă, în conformitate cu cerințele Anexei nr. 2 la HG nr. 1076/2004.</w:t>
      </w:r>
    </w:p>
    <w:p w14:paraId="4240F6ED" w14:textId="3B711D89" w:rsidR="005364C6" w:rsidRPr="00187708" w:rsidRDefault="00375A76" w:rsidP="00023275">
      <w:pPr>
        <w:spacing w:after="120" w:line="240" w:lineRule="auto"/>
        <w:contextualSpacing/>
        <w:jc w:val="both"/>
        <w:rPr>
          <w:rFonts w:ascii="Nunito" w:hAnsi="Nunito"/>
          <w:lang w:val="ro-RO"/>
        </w:rPr>
      </w:pPr>
      <w:r w:rsidRPr="00187708">
        <w:rPr>
          <w:rFonts w:ascii="Nunito" w:hAnsi="Nunito"/>
          <w:lang w:val="ro-RO"/>
        </w:rPr>
        <w:t xml:space="preserve">Raportul de </w:t>
      </w:r>
      <w:r w:rsidR="00D4596F" w:rsidRPr="00187708">
        <w:rPr>
          <w:rFonts w:ascii="Nunito" w:hAnsi="Nunito"/>
          <w:lang w:val="ro-RO"/>
        </w:rPr>
        <w:t xml:space="preserve">mediu este elaborat de </w:t>
      </w:r>
      <w:r w:rsidR="00D51119" w:rsidRPr="00187708">
        <w:rPr>
          <w:rFonts w:ascii="Nunito" w:hAnsi="Nunito"/>
          <w:lang w:val="ro-RO"/>
        </w:rPr>
        <w:t>către</w:t>
      </w:r>
      <w:r w:rsidR="00657E7D" w:rsidRPr="00187708">
        <w:rPr>
          <w:rFonts w:ascii="Nunito" w:hAnsi="Nunito"/>
          <w:lang w:val="ro-RO"/>
        </w:rPr>
        <w:t xml:space="preserve"> </w:t>
      </w:r>
      <w:r w:rsidR="005364C6" w:rsidRPr="00187708">
        <w:rPr>
          <w:rFonts w:ascii="Nunito" w:hAnsi="Nunito"/>
          <w:lang w:val="ro-RO"/>
        </w:rPr>
        <w:t>SC Ramboll South East Europe SR</w:t>
      </w:r>
      <w:r w:rsidR="00B3587C" w:rsidRPr="00187708">
        <w:rPr>
          <w:rFonts w:ascii="Nunito" w:hAnsi="Nunito"/>
          <w:lang w:val="ro-RO"/>
        </w:rPr>
        <w:t xml:space="preserve">L, </w:t>
      </w:r>
      <w:r w:rsidR="0010215A" w:rsidRPr="00187708">
        <w:rPr>
          <w:rFonts w:ascii="Nunito" w:hAnsi="Nunito"/>
          <w:lang w:val="ro-RO"/>
        </w:rPr>
        <w:t>companie înscrisă în Registrul experților atestați pentru elaborarea de studii de mediu și deține următoarele certificate de atestare: Certificat Seria RGX nr. 333/06.11.2025, Certificat Seria RGX nr. 430/04.12.2025, Certificat Seria RGX nr. 777/18.12.2025. Atestarea acoperă următoarele domenii și tipuri de studii: Raport de Evaluare a Impactului asupra Mediului (RIM-2, RIM-3, RIM-5, RIM-6, RIM-7, RIM-11a, RIM-11b, RIM-11c), Raport de Amplasament (RA-1, RA-7, RA-8), Raport de Mediu (RM-3, RM-7, RM-11a, RM-11b, RM-11c, RM-12, RM-13b), Bilanț de Mediu (BM-1, BM-5, BM-6, BM-7, BM-8, BM-9, BM-11b, BM-11c, BM-13b), Studiu de Evaluare Adecvată (EA), Studiu privind Evaluarea și Gestionarea Schimbărilor Climatice (EGSC), studii de evaluare a calității aerului (EGCA) și monitorizarea biodiversității (MB).</w:t>
      </w:r>
    </w:p>
    <w:p w14:paraId="42E46F22" w14:textId="514DC408" w:rsidR="00375A76" w:rsidRPr="00187708" w:rsidRDefault="00D51119" w:rsidP="00023275">
      <w:pPr>
        <w:pStyle w:val="ListParagraph"/>
        <w:spacing w:after="120" w:line="240" w:lineRule="auto"/>
        <w:jc w:val="both"/>
        <w:rPr>
          <w:rFonts w:ascii="Nunito" w:hAnsi="Nunito"/>
          <w:lang w:val="ro-RO"/>
        </w:rPr>
      </w:pPr>
      <w:r w:rsidRPr="00187708">
        <w:rPr>
          <w:rFonts w:ascii="Nunito" w:hAnsi="Nunito"/>
          <w:lang w:val="ro-RO"/>
        </w:rPr>
        <w:t xml:space="preserve"> </w:t>
      </w:r>
    </w:p>
    <w:p w14:paraId="1E841505" w14:textId="77777777" w:rsidR="00EC756F" w:rsidRPr="00187708" w:rsidRDefault="00EC756F" w:rsidP="00023275">
      <w:pPr>
        <w:spacing w:after="120" w:line="240" w:lineRule="auto"/>
        <w:jc w:val="both"/>
        <w:rPr>
          <w:rFonts w:ascii="Nunito" w:hAnsi="Nunito"/>
          <w:lang w:val="ro-RO"/>
        </w:rPr>
      </w:pPr>
    </w:p>
    <w:p w14:paraId="40B8B0A1" w14:textId="77777777" w:rsidR="006F39BF" w:rsidRPr="00187708" w:rsidRDefault="006F39BF" w:rsidP="00B15900">
      <w:pPr>
        <w:spacing w:after="120" w:line="240" w:lineRule="auto"/>
        <w:jc w:val="both"/>
        <w:rPr>
          <w:rFonts w:ascii="Nunito" w:hAnsi="Nunito"/>
          <w:lang w:val="ro-RO"/>
        </w:rPr>
      </w:pPr>
    </w:p>
    <w:p w14:paraId="0B659F91" w14:textId="77777777" w:rsidR="006F39BF" w:rsidRPr="00187708" w:rsidRDefault="006F39BF" w:rsidP="00B15900">
      <w:pPr>
        <w:spacing w:after="120" w:line="240" w:lineRule="auto"/>
        <w:jc w:val="both"/>
        <w:rPr>
          <w:rFonts w:ascii="Nunito" w:hAnsi="Nunito"/>
          <w:lang w:val="ro-RO"/>
        </w:rPr>
      </w:pPr>
    </w:p>
    <w:p w14:paraId="21F38AFD" w14:textId="12A1CA24" w:rsidR="004D3EFD" w:rsidRPr="00187708" w:rsidRDefault="004D3EFD" w:rsidP="00B15900">
      <w:pPr>
        <w:spacing w:after="120" w:line="240" w:lineRule="auto"/>
        <w:jc w:val="both"/>
        <w:rPr>
          <w:rFonts w:ascii="Nunito" w:hAnsi="Nunito"/>
          <w:lang w:val="ro-RO"/>
        </w:rPr>
      </w:pPr>
    </w:p>
    <w:p w14:paraId="63AD679D" w14:textId="384B5684" w:rsidR="00BE5293" w:rsidRPr="00187708" w:rsidRDefault="00BE5293" w:rsidP="00B15900">
      <w:pPr>
        <w:spacing w:after="120" w:line="240" w:lineRule="auto"/>
        <w:jc w:val="both"/>
        <w:rPr>
          <w:rFonts w:ascii="Nunito" w:hAnsi="Nunito"/>
          <w:lang w:val="ro-RO"/>
        </w:rPr>
      </w:pPr>
      <w:r w:rsidRPr="00187708">
        <w:rPr>
          <w:rFonts w:ascii="Nunito" w:hAnsi="Nunito"/>
          <w:lang w:val="ro-RO"/>
        </w:rPr>
        <w:br w:type="page"/>
      </w:r>
    </w:p>
    <w:p w14:paraId="26D8E569" w14:textId="6B7ADF11" w:rsidR="00B10C6D" w:rsidRPr="00187708" w:rsidRDefault="005E281E" w:rsidP="00B15900">
      <w:pPr>
        <w:spacing w:after="120" w:line="240" w:lineRule="auto"/>
        <w:rPr>
          <w:rFonts w:ascii="Nunito" w:hAnsi="Nunito"/>
          <w:lang w:val="ro-RO"/>
        </w:rPr>
      </w:pPr>
      <w:r w:rsidRPr="00187708">
        <w:rPr>
          <w:rFonts w:ascii="Nunito" w:hAnsi="Nunito"/>
          <w:noProof/>
          <w:lang w:val="ro-RO"/>
        </w:rPr>
        <w:lastRenderedPageBreak/>
        <w:drawing>
          <wp:anchor distT="0" distB="0" distL="114300" distR="114300" simplePos="0" relativeHeight="251658253" behindDoc="1" locked="0" layoutInCell="1" allowOverlap="1" wp14:anchorId="12285982" wp14:editId="47269F8E">
            <wp:simplePos x="0" y="0"/>
            <wp:positionH relativeFrom="page">
              <wp:align>right</wp:align>
            </wp:positionH>
            <wp:positionV relativeFrom="paragraph">
              <wp:posOffset>-1278255</wp:posOffset>
            </wp:positionV>
            <wp:extent cx="7562215" cy="3895725"/>
            <wp:effectExtent l="0" t="0" r="635" b="9525"/>
            <wp:wrapNone/>
            <wp:docPr id="16337724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72434" name="Picture 5"/>
                    <pic:cNvPicPr>
                      <a:picLocks noChangeAspect="1"/>
                    </pic:cNvPicPr>
                  </pic:nvPicPr>
                  <pic:blipFill rotWithShape="1">
                    <a:blip r:embed="rId11" cstate="print">
                      <a:extLst>
                        <a:ext uri="{28A0092B-C50C-407E-A947-70E740481C1C}">
                          <a14:useLocalDpi xmlns:a14="http://schemas.microsoft.com/office/drawing/2010/main" val="0"/>
                        </a:ext>
                      </a:extLst>
                    </a:blip>
                    <a:srcRect/>
                    <a:stretch/>
                  </pic:blipFill>
                  <pic:spPr>
                    <a:xfrm>
                      <a:off x="0" y="0"/>
                      <a:ext cx="7562215" cy="3895725"/>
                    </a:xfrm>
                    <a:prstGeom prst="rect">
                      <a:avLst/>
                    </a:prstGeom>
                  </pic:spPr>
                </pic:pic>
              </a:graphicData>
            </a:graphic>
            <wp14:sizeRelH relativeFrom="page">
              <wp14:pctWidth>0</wp14:pctWidth>
            </wp14:sizeRelH>
            <wp14:sizeRelV relativeFrom="page">
              <wp14:pctHeight>0</wp14:pctHeight>
            </wp14:sizeRelV>
          </wp:anchor>
        </w:drawing>
      </w:r>
    </w:p>
    <w:p w14:paraId="77E8A55C" w14:textId="77777777" w:rsidR="00B10C6D" w:rsidRPr="00187708" w:rsidRDefault="00B10C6D" w:rsidP="00B15900">
      <w:pPr>
        <w:spacing w:after="120" w:line="240" w:lineRule="auto"/>
        <w:rPr>
          <w:rFonts w:ascii="Nunito" w:hAnsi="Nunito"/>
          <w:lang w:val="ro-RO"/>
        </w:rPr>
      </w:pPr>
    </w:p>
    <w:p w14:paraId="4FB6DCF7" w14:textId="60A66B9A" w:rsidR="00B10C6D" w:rsidRPr="00187708" w:rsidRDefault="00B10C6D" w:rsidP="00B15900">
      <w:pPr>
        <w:spacing w:after="120" w:line="240" w:lineRule="auto"/>
        <w:rPr>
          <w:rFonts w:ascii="Nunito" w:hAnsi="Nunito"/>
          <w:lang w:val="ro-RO"/>
        </w:rPr>
      </w:pPr>
    </w:p>
    <w:p w14:paraId="45C2F7AD" w14:textId="77777777" w:rsidR="00B10C6D" w:rsidRPr="00187708" w:rsidRDefault="00B10C6D" w:rsidP="00B15900">
      <w:pPr>
        <w:spacing w:after="120" w:line="240" w:lineRule="auto"/>
        <w:rPr>
          <w:rFonts w:ascii="Nunito" w:hAnsi="Nunito"/>
          <w:lang w:val="ro-RO"/>
        </w:rPr>
      </w:pPr>
    </w:p>
    <w:p w14:paraId="01AB7E08" w14:textId="77777777" w:rsidR="00B10C6D" w:rsidRPr="00187708" w:rsidRDefault="00B10C6D" w:rsidP="00B15900">
      <w:pPr>
        <w:spacing w:after="120" w:line="240" w:lineRule="auto"/>
        <w:rPr>
          <w:rFonts w:ascii="Nunito" w:hAnsi="Nunito"/>
          <w:lang w:val="ro-RO"/>
        </w:rPr>
      </w:pPr>
    </w:p>
    <w:p w14:paraId="65F834E6" w14:textId="77777777" w:rsidR="00B10C6D" w:rsidRPr="00187708" w:rsidRDefault="00B10C6D" w:rsidP="00B15900">
      <w:pPr>
        <w:spacing w:after="120" w:line="240" w:lineRule="auto"/>
        <w:rPr>
          <w:rFonts w:ascii="Nunito" w:hAnsi="Nunito"/>
          <w:lang w:val="ro-RO"/>
        </w:rPr>
      </w:pPr>
    </w:p>
    <w:p w14:paraId="40691D80" w14:textId="77777777" w:rsidR="00B10C6D" w:rsidRPr="00187708" w:rsidRDefault="00B10C6D" w:rsidP="00B15900">
      <w:pPr>
        <w:spacing w:after="120" w:line="240" w:lineRule="auto"/>
        <w:rPr>
          <w:rFonts w:ascii="Nunito" w:hAnsi="Nunito"/>
          <w:lang w:val="ro-RO"/>
        </w:rPr>
      </w:pPr>
    </w:p>
    <w:p w14:paraId="356DFD7B" w14:textId="77777777" w:rsidR="00B10C6D" w:rsidRPr="00187708" w:rsidRDefault="00B10C6D" w:rsidP="00B15900">
      <w:pPr>
        <w:spacing w:after="120" w:line="240" w:lineRule="auto"/>
        <w:rPr>
          <w:rFonts w:ascii="Nunito" w:hAnsi="Nunito"/>
          <w:lang w:val="ro-RO"/>
        </w:rPr>
      </w:pPr>
    </w:p>
    <w:p w14:paraId="4612EABF" w14:textId="77777777" w:rsidR="00B10C6D" w:rsidRPr="00187708" w:rsidRDefault="00B10C6D" w:rsidP="00B15900">
      <w:pPr>
        <w:spacing w:after="120" w:line="240" w:lineRule="auto"/>
        <w:rPr>
          <w:rFonts w:ascii="Nunito" w:hAnsi="Nunito"/>
          <w:lang w:val="ro-RO"/>
        </w:rPr>
      </w:pPr>
    </w:p>
    <w:p w14:paraId="35AFFF7A" w14:textId="77777777" w:rsidR="00B10C6D" w:rsidRPr="00187708" w:rsidRDefault="00B10C6D" w:rsidP="00B15900">
      <w:pPr>
        <w:spacing w:after="120" w:line="240" w:lineRule="auto"/>
        <w:rPr>
          <w:rFonts w:ascii="Nunito" w:hAnsi="Nunito"/>
          <w:lang w:val="ro-RO"/>
        </w:rPr>
      </w:pPr>
    </w:p>
    <w:p w14:paraId="2A3E04E1" w14:textId="77777777" w:rsidR="00B10C6D" w:rsidRPr="00187708" w:rsidRDefault="00B10C6D" w:rsidP="00B15900">
      <w:pPr>
        <w:spacing w:after="120" w:line="240" w:lineRule="auto"/>
        <w:rPr>
          <w:rFonts w:ascii="Nunito" w:hAnsi="Nunito"/>
          <w:lang w:val="ro-RO"/>
        </w:rPr>
      </w:pPr>
    </w:p>
    <w:p w14:paraId="70015A3B" w14:textId="77777777" w:rsidR="00B10C6D" w:rsidRPr="00187708" w:rsidRDefault="00B10C6D" w:rsidP="00B15900">
      <w:pPr>
        <w:spacing w:after="120" w:line="240" w:lineRule="auto"/>
        <w:rPr>
          <w:rFonts w:ascii="Nunito" w:hAnsi="Nunito"/>
          <w:lang w:val="ro-RO"/>
        </w:rPr>
      </w:pPr>
    </w:p>
    <w:p w14:paraId="51E26B74" w14:textId="77777777" w:rsidR="00B10C6D" w:rsidRPr="00187708" w:rsidRDefault="00B10C6D" w:rsidP="00B15900">
      <w:pPr>
        <w:spacing w:after="120" w:line="240" w:lineRule="auto"/>
        <w:rPr>
          <w:rFonts w:ascii="Nunito" w:hAnsi="Nunito"/>
          <w:lang w:val="ro-RO"/>
        </w:rPr>
      </w:pPr>
    </w:p>
    <w:p w14:paraId="67E84572" w14:textId="77777777" w:rsidR="00B10C6D" w:rsidRPr="00187708" w:rsidRDefault="00B10C6D" w:rsidP="00B15900">
      <w:pPr>
        <w:spacing w:after="120" w:line="240" w:lineRule="auto"/>
        <w:rPr>
          <w:rFonts w:ascii="Nunito" w:hAnsi="Nunito"/>
          <w:lang w:val="ro-RO"/>
        </w:rPr>
      </w:pPr>
    </w:p>
    <w:p w14:paraId="0343832B" w14:textId="77777777" w:rsidR="00B10C6D" w:rsidRPr="00187708" w:rsidRDefault="00B10C6D" w:rsidP="00B15900">
      <w:pPr>
        <w:spacing w:after="120" w:line="240" w:lineRule="auto"/>
        <w:rPr>
          <w:rFonts w:ascii="Nunito" w:hAnsi="Nunito"/>
          <w:lang w:val="ro-RO"/>
        </w:rPr>
      </w:pPr>
    </w:p>
    <w:p w14:paraId="39D2A4F8" w14:textId="08606496" w:rsidR="00B10C6D" w:rsidRPr="00187708" w:rsidRDefault="00A253F3" w:rsidP="00081F91">
      <w:pPr>
        <w:pStyle w:val="Heading1"/>
        <w:spacing w:before="0" w:after="120" w:line="240" w:lineRule="auto"/>
        <w:ind w:left="0" w:hanging="284"/>
        <w:rPr>
          <w:rFonts w:ascii="Nunito" w:hAnsi="Nunito"/>
          <w:lang w:val="ro-RO"/>
        </w:rPr>
      </w:pPr>
      <w:bookmarkStart w:id="2" w:name="_Toc222903177"/>
      <w:r w:rsidRPr="00187708">
        <w:rPr>
          <w:rFonts w:ascii="Nunito" w:hAnsi="Nunito"/>
          <w:lang w:val="ro-RO"/>
        </w:rPr>
        <w:t>EXPUNEREA CONŢINUTULUI ŞI A OBIECTIVELOR PRINCIPALE ALE PLANULUI ŞI A RELAŢIEI CU ALTE PLANURI ŞI PROGRAME RELEVANTE</w:t>
      </w:r>
      <w:bookmarkEnd w:id="2"/>
    </w:p>
    <w:p w14:paraId="609DFBCC" w14:textId="2D268CE2" w:rsidR="00081F91" w:rsidRPr="00187708" w:rsidRDefault="00081F91" w:rsidP="00B15900">
      <w:pPr>
        <w:rPr>
          <w:lang w:val="ro-RO"/>
        </w:rPr>
      </w:pPr>
      <w:r w:rsidRPr="00187708">
        <w:rPr>
          <w:color w:val="009DF0" w:themeColor="text2"/>
          <w:lang w:val="ro-RO"/>
        </w:rPr>
        <w:t>__________________________________________________________________________________</w:t>
      </w:r>
    </w:p>
    <w:p w14:paraId="639C617E" w14:textId="77777777" w:rsidR="00081F91" w:rsidRPr="00187708" w:rsidRDefault="00081F91">
      <w:pPr>
        <w:spacing w:after="120" w:line="240" w:lineRule="auto"/>
        <w:jc w:val="both"/>
        <w:rPr>
          <w:rFonts w:ascii="Nunito" w:hAnsi="Nunito"/>
          <w:lang w:val="ro-RO"/>
        </w:rPr>
      </w:pPr>
    </w:p>
    <w:p w14:paraId="10A4AE50" w14:textId="4E9274EC" w:rsidR="00415210" w:rsidRPr="00187708" w:rsidRDefault="0041634C" w:rsidP="00B15900">
      <w:pPr>
        <w:spacing w:after="120" w:line="240" w:lineRule="auto"/>
        <w:jc w:val="both"/>
        <w:rPr>
          <w:rFonts w:ascii="Nunito" w:hAnsi="Nunito"/>
          <w:lang w:val="ro-RO"/>
        </w:rPr>
      </w:pPr>
      <w:r w:rsidRPr="00187708">
        <w:rPr>
          <w:rFonts w:ascii="Nunito" w:hAnsi="Nunito"/>
          <w:lang w:val="ro-RO"/>
        </w:rPr>
        <w:t xml:space="preserve">Prezentul capitol conturează cadrul în care este elaborat și </w:t>
      </w:r>
      <w:r w:rsidR="00A03AC0" w:rsidRPr="00187708">
        <w:rPr>
          <w:rFonts w:ascii="Nunito" w:hAnsi="Nunito"/>
          <w:lang w:val="ro-RO"/>
        </w:rPr>
        <w:t xml:space="preserve">modul de </w:t>
      </w:r>
      <w:r w:rsidRPr="00187708">
        <w:rPr>
          <w:rFonts w:ascii="Nunito" w:hAnsi="Nunito"/>
          <w:lang w:val="ro-RO"/>
        </w:rPr>
        <w:t>implementa</w:t>
      </w:r>
      <w:r w:rsidR="00A03AC0" w:rsidRPr="00187708">
        <w:rPr>
          <w:rFonts w:ascii="Nunito" w:hAnsi="Nunito"/>
          <w:lang w:val="ro-RO"/>
        </w:rPr>
        <w:t>re al</w:t>
      </w:r>
      <w:r w:rsidRPr="00187708">
        <w:rPr>
          <w:rFonts w:ascii="Nunito" w:hAnsi="Nunito"/>
          <w:lang w:val="ro-RO"/>
        </w:rPr>
        <w:t xml:space="preserve"> Planul Național de Gestionare a Deșeurilor, evidențiind contextul actual al sectorului, elementele structurale ale documentului și direcțiile strategice asumate. De asemenea, sunt analizate conexiunile planului cu alte documente programatice relevante, pentru a evidenția nivelul de integrare în politicile publice din domeniul protecției mediului și al economiei circulare, precum și contribuția sa la atingerea țintelor asumate la nivel european și național.</w:t>
      </w:r>
    </w:p>
    <w:p w14:paraId="7ADE7BF8" w14:textId="0090B182" w:rsidR="00B10C6D" w:rsidRPr="00187708" w:rsidRDefault="00415210" w:rsidP="00B15900">
      <w:pPr>
        <w:spacing w:after="120" w:line="240" w:lineRule="auto"/>
        <w:jc w:val="both"/>
        <w:rPr>
          <w:rFonts w:ascii="Nunito" w:eastAsiaTheme="majorEastAsia" w:hAnsi="Nunito" w:cstheme="majorBidi"/>
          <w:b/>
          <w:bCs/>
          <w:color w:val="009DF0" w:themeColor="text2"/>
          <w:sz w:val="28"/>
          <w:szCs w:val="28"/>
          <w:lang w:val="ro-RO"/>
        </w:rPr>
      </w:pPr>
      <w:r w:rsidRPr="00187708">
        <w:rPr>
          <w:rFonts w:ascii="Nunito" w:hAnsi="Nunito"/>
          <w:lang w:val="ro-RO"/>
        </w:rPr>
        <w:t>Planul Național de Gestionare a Deșeurilor (PNGD), stabilește cadrul pentru un sistem durabil de gestionare a deșeurilor la nivel național, în conformitate cu legislația europeană și națională. Scopul său este de a facilita tranziția către o economie circulară, în care deșeurile devin resurse și ierarhia deșeurilor este respectată în decizii și investiții. Obiectivele includ caracterizarea situației actuale, identificarea problemelor, stabilirea țintelor și necesităților investiționale, precum și reducerea impactului negativ asupra mediului. PNGD sprijină implementarea politicilor UE privind prevenirea, reciclarea și reutilizarea deșeurilor.</w:t>
      </w:r>
      <w:r w:rsidR="00B10C6D" w:rsidRPr="00187708">
        <w:rPr>
          <w:rFonts w:ascii="Nunito" w:hAnsi="Nunito"/>
          <w:lang w:val="ro-RO"/>
        </w:rPr>
        <w:br w:type="page"/>
      </w:r>
    </w:p>
    <w:p w14:paraId="78F9BE59" w14:textId="77777777" w:rsidR="00785FDC" w:rsidRPr="00187708" w:rsidRDefault="00785FDC" w:rsidP="00B15900">
      <w:pPr>
        <w:spacing w:after="120" w:line="240" w:lineRule="auto"/>
        <w:rPr>
          <w:rFonts w:ascii="Nunito" w:hAnsi="Nunito"/>
          <w:lang w:val="ro-RO"/>
        </w:rPr>
      </w:pPr>
    </w:p>
    <w:p w14:paraId="77550B22" w14:textId="02A34A1D" w:rsidR="00785FDC" w:rsidRPr="00187708" w:rsidRDefault="00A253F3" w:rsidP="00B15900">
      <w:pPr>
        <w:pStyle w:val="Heading2"/>
        <w:spacing w:line="240" w:lineRule="auto"/>
        <w:rPr>
          <w:rFonts w:ascii="Nunito" w:hAnsi="Nunito"/>
          <w:lang w:val="ro-RO"/>
        </w:rPr>
      </w:pPr>
      <w:bookmarkStart w:id="3" w:name="_Toc222903178"/>
      <w:r w:rsidRPr="00187708">
        <w:rPr>
          <w:rFonts w:ascii="Nunito" w:hAnsi="Nunito"/>
          <w:lang w:val="ro-RO"/>
        </w:rPr>
        <w:t>Contextul actual</w:t>
      </w:r>
      <w:bookmarkEnd w:id="3"/>
    </w:p>
    <w:p w14:paraId="10C06E34" w14:textId="75FF9C47" w:rsidR="00132EAE" w:rsidRPr="00187708" w:rsidRDefault="00132EAE" w:rsidP="00B15900">
      <w:pPr>
        <w:spacing w:after="120" w:line="240" w:lineRule="auto"/>
        <w:jc w:val="both"/>
        <w:rPr>
          <w:rFonts w:ascii="Nunito" w:hAnsi="Nunito"/>
          <w:lang w:val="ro-RO"/>
        </w:rPr>
      </w:pPr>
      <w:r w:rsidRPr="00187708">
        <w:rPr>
          <w:rFonts w:ascii="Nunito" w:hAnsi="Nunito"/>
          <w:lang w:val="ro-RO"/>
        </w:rPr>
        <w:t xml:space="preserve">Gestionarea deșeurilor în România se realizează în </w:t>
      </w:r>
      <w:r w:rsidR="0097213D" w:rsidRPr="00187708">
        <w:rPr>
          <w:rFonts w:ascii="Nunito" w:hAnsi="Nunito"/>
          <w:lang w:val="ro-RO"/>
        </w:rPr>
        <w:t>contextul</w:t>
      </w:r>
      <w:r w:rsidRPr="00187708">
        <w:rPr>
          <w:rFonts w:ascii="Nunito" w:hAnsi="Nunito"/>
          <w:lang w:val="ro-RO"/>
        </w:rPr>
        <w:t xml:space="preserve"> tranziției către economia circulară, </w:t>
      </w:r>
      <w:r w:rsidR="0097213D" w:rsidRPr="00187708">
        <w:rPr>
          <w:rFonts w:ascii="Nunito" w:hAnsi="Nunito"/>
          <w:lang w:val="ro-RO"/>
        </w:rPr>
        <w:t>un model de producție și consum care urmărește menținerea materialelor și produselor în uz cât mai mult timp prin reutilizare, reparare, renovare și reciclare, reducând la minimum deșeurile și emisiile asociate.</w:t>
      </w:r>
      <w:r w:rsidRPr="00187708">
        <w:rPr>
          <w:rFonts w:ascii="Nunito" w:hAnsi="Nunito"/>
          <w:lang w:val="ro-RO"/>
        </w:rPr>
        <w:t xml:space="preserve"> În acest context,politicile europene (o parte deja transpuse în legislația națională) oferă cadrul pentru îmbunătățirea gestionării deșeurilor, stimularea colectării separate și a reciclării, limitarea utilizării depozitelor și crearea de stimulente pentru schimbarea comportamentului consumatorilor, cu accent pe reducerea cantităților generate și a substanțelor nocive din fluxurile de deșeuri.</w:t>
      </w:r>
    </w:p>
    <w:p w14:paraId="54E559B1" w14:textId="77777777" w:rsidR="00132EAE" w:rsidRPr="00187708" w:rsidRDefault="00132EAE" w:rsidP="00B15900">
      <w:pPr>
        <w:spacing w:after="120" w:line="240" w:lineRule="auto"/>
        <w:jc w:val="both"/>
        <w:rPr>
          <w:rFonts w:ascii="Nunito" w:hAnsi="Nunito"/>
          <w:lang w:val="ro-RO"/>
        </w:rPr>
      </w:pPr>
      <w:r w:rsidRPr="00187708">
        <w:rPr>
          <w:rFonts w:ascii="Nunito" w:hAnsi="Nunito"/>
          <w:lang w:val="ro-RO"/>
        </w:rPr>
        <w:t>Politica națională privind deșeurile este fundamentată pe principiile ierarhiei deșeurilor, răspunderii extinse a producătorului, precauției, prevenției, „poluatorul plătește”, proximității și autosuficienței. În practică, aceasta presupune orientarea măsurilor către prevenire, pregătire pentru reutilizare și reciclare, concomitent cu reducerea eliminării prin depozitare și creșterea eficienței utilizării resurselor.rUn element definitoriu al contextului recent îl reprezintă implementarea Sistemului de Garanție–Returnare (SGR) pentru ambalajele primare nereutilizabile, aplicabil la nivel național. SGR este reglementat prin cadrul normativ specific și stabilește obiective minime anuale de returnare, crescătoare, pentru sticlă, plastic și metal, începând cu anul 2024 și consolidându-se după 2026. Datele operaționale evidențiază o creștere a performanței de returnare și o contribuție directă la îmbunătățirea colectării separate și a reciclării pentru fluxul de ambalaje vizat.</w:t>
      </w:r>
    </w:p>
    <w:p w14:paraId="4A8C0326" w14:textId="4A98AC45" w:rsidR="00132EAE" w:rsidRPr="00187708" w:rsidRDefault="00132EAE" w:rsidP="00B15900">
      <w:pPr>
        <w:spacing w:after="120" w:line="240" w:lineRule="auto"/>
        <w:jc w:val="both"/>
        <w:rPr>
          <w:rFonts w:ascii="Nunito" w:hAnsi="Nunito"/>
          <w:lang w:val="ro-RO"/>
        </w:rPr>
      </w:pPr>
      <w:r w:rsidRPr="00187708">
        <w:rPr>
          <w:rFonts w:ascii="Nunito" w:hAnsi="Nunito"/>
          <w:lang w:val="ro-RO"/>
        </w:rPr>
        <w:t>În paralel, funcționează mecanismele asociate răspunderii extinse a producătorului pentru ambalaje și alte fluxuri relevante, precum și cerințe privind trasabilitatea tranzacțiilor cu deșeuri de ambalaje prin sisteme informatice dedicate, utilizate pentru monitorizare, verificare și validarea cantităților luate în calcul la îndeplinirea obiectivelor de reciclare/valorificare.</w:t>
      </w:r>
    </w:p>
    <w:p w14:paraId="5641933F" w14:textId="2056C373" w:rsidR="00132EAE" w:rsidRPr="00187708" w:rsidRDefault="00132EAE" w:rsidP="00B15900">
      <w:pPr>
        <w:spacing w:after="120" w:line="240" w:lineRule="auto"/>
        <w:jc w:val="both"/>
        <w:rPr>
          <w:rFonts w:ascii="Nunito" w:hAnsi="Nunito"/>
          <w:lang w:val="ro-RO"/>
        </w:rPr>
      </w:pPr>
      <w:r w:rsidRPr="00187708">
        <w:rPr>
          <w:rFonts w:ascii="Nunito" w:hAnsi="Nunito"/>
          <w:lang w:val="ro-RO"/>
        </w:rPr>
        <w:t>Contextul socio-demografic influențează direct generarea și compoziția deșeurilor. Tendințele recente indică scăderea populației rezidente, concentrarea majoritară a populației în mediul urban și accentuarea îmbătrânirii demografice, elemente care trebuie avute în vedere în prognoze și în dimensionarea infrastructurii de colectare, tratare și valorificare.</w:t>
      </w:r>
    </w:p>
    <w:p w14:paraId="53458386" w14:textId="2CBACDE6" w:rsidR="00132EAE" w:rsidRPr="00187708" w:rsidRDefault="00132EAE" w:rsidP="00B15900">
      <w:pPr>
        <w:spacing w:after="120" w:line="240" w:lineRule="auto"/>
        <w:jc w:val="both"/>
        <w:rPr>
          <w:rFonts w:ascii="Nunito" w:hAnsi="Nunito"/>
          <w:lang w:val="ro-RO"/>
        </w:rPr>
      </w:pPr>
      <w:r w:rsidRPr="00187708">
        <w:rPr>
          <w:rFonts w:ascii="Nunito" w:hAnsi="Nunito"/>
          <w:lang w:val="ro-RO"/>
        </w:rPr>
        <w:t>În acest cadru, planificarea strategică urmărește consolidarea unui sistem integrat de gestionare a deșeurilor la nivel național, eficient din punct de vedere economic și cu impact redus asupra mediului, prin corelarea măsurilor și investițiilor cu obiectivele și țintele aplicabile, precum și prin utilizarea datelor oficiale și a proiecțiilor pentru fundamentarea dimensionării capacităților necesare.</w:t>
      </w:r>
    </w:p>
    <w:p w14:paraId="4CF0F670" w14:textId="77777777" w:rsidR="00023275" w:rsidRPr="00187708" w:rsidRDefault="00023275" w:rsidP="00023275">
      <w:pPr>
        <w:pStyle w:val="Heading2"/>
        <w:spacing w:line="240" w:lineRule="auto"/>
        <w:rPr>
          <w:rFonts w:ascii="Nunito" w:hAnsi="Nunito"/>
          <w:lang w:val="ro-RO"/>
        </w:rPr>
      </w:pPr>
      <w:bookmarkStart w:id="4" w:name="_Toc222903180"/>
      <w:bookmarkStart w:id="5" w:name="_Toc222903179"/>
      <w:r w:rsidRPr="00187708">
        <w:rPr>
          <w:rFonts w:ascii="Nunito" w:hAnsi="Nunito"/>
          <w:lang w:val="ro-RO"/>
        </w:rPr>
        <w:t>Structura Planului Național de Gestionare a Deșeurilor</w:t>
      </w:r>
      <w:bookmarkEnd w:id="4"/>
      <w:r w:rsidRPr="00187708">
        <w:rPr>
          <w:rFonts w:ascii="Nunito" w:hAnsi="Nunito"/>
          <w:lang w:val="ro-RO"/>
        </w:rPr>
        <w:t xml:space="preserve"> </w:t>
      </w:r>
    </w:p>
    <w:p w14:paraId="532B1522"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Prezenta secțiune analizează structura Planului Național de Gestionare a Deșeurilor (PNGD), în vederea evidențierii modului în care organizarea sa internă susține identificarea, analizarea și evaluarea efectelor potențiale asupra mediului. Arhitectura documentului nu are doar un rol formal, ci determină logica procesului decizional, succesiunea etapelor de analiză, integrarea alternativelor și fundamentarea măsurilor, constituind astfel un element esențial pentru evaluarea strategică de mediu.</w:t>
      </w:r>
    </w:p>
    <w:p w14:paraId="36D68927"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Structura PNGD este concepută într-o manieră sistemică și etapizată, urmărind corelarea între diagnoza situației existente, proiecțiile de evoluție, stabilirea obiectivelor, formularea măsurilor și instituirea mecanismelor de monitorizare. Organizarea documentului permite integrarea coerentă a principiilor ierarhiei deșeurilor, ale economiei circulare, ale </w:t>
      </w:r>
    </w:p>
    <w:p w14:paraId="5F5861CD" w14:textId="1A713B5A" w:rsidR="00C53DC4"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Această structură permite o abordare integrată, în care obiectivele de gestionare a deșeurilor sunt analizate în corelație directă cu obiectivele de protecție a mediului, dezvoltare durabilă și eficiență economică.</w:t>
      </w:r>
    </w:p>
    <w:p w14:paraId="04FE9A61" w14:textId="77777777" w:rsidR="00C53DC4" w:rsidRPr="00187708" w:rsidRDefault="00C53DC4">
      <w:pPr>
        <w:rPr>
          <w:rFonts w:ascii="Nunito" w:eastAsia="Times New Roman" w:hAnsi="Nunito" w:cs="Times New Roman"/>
          <w:lang w:val="ro-RO" w:eastAsia="ro-RO"/>
        </w:rPr>
      </w:pPr>
      <w:r w:rsidRPr="00187708">
        <w:rPr>
          <w:rFonts w:ascii="Nunito" w:eastAsia="Times New Roman" w:hAnsi="Nunito" w:cs="Times New Roman"/>
          <w:lang w:val="ro-RO" w:eastAsia="ro-RO"/>
        </w:rPr>
        <w:br w:type="page"/>
      </w:r>
    </w:p>
    <w:p w14:paraId="77B5F47C" w14:textId="7EBEC0A0" w:rsidR="00023275" w:rsidRPr="00187708" w:rsidRDefault="00C53DC4"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noProof/>
          <w:lang w:val="ro-RO" w:eastAsia="ro-RO"/>
        </w:rPr>
        <w:lastRenderedPageBreak/>
        <w:drawing>
          <wp:inline distT="0" distB="0" distL="0" distR="0" wp14:anchorId="7A1BC2D9" wp14:editId="2CE24005">
            <wp:extent cx="6529070" cy="3383280"/>
            <wp:effectExtent l="0" t="0" r="5080" b="7620"/>
            <wp:docPr id="55116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9070" cy="3383280"/>
                    </a:xfrm>
                    <a:prstGeom prst="rect">
                      <a:avLst/>
                    </a:prstGeom>
                    <a:noFill/>
                  </pic:spPr>
                </pic:pic>
              </a:graphicData>
            </a:graphic>
          </wp:inline>
        </w:drawing>
      </w:r>
    </w:p>
    <w:p w14:paraId="6ECD6862" w14:textId="56B720D6" w:rsidR="00023275" w:rsidRPr="00187708" w:rsidRDefault="00056CA3" w:rsidP="001802CD">
      <w:pPr>
        <w:pStyle w:val="Caption"/>
        <w:jc w:val="center"/>
        <w:rPr>
          <w:rFonts w:ascii="Nunito" w:eastAsia="Times New Roman" w:hAnsi="Nunito" w:cs="Times New Roman"/>
          <w:lang w:val="ro-RO" w:eastAsia="ro-RO"/>
        </w:rPr>
      </w:pPr>
      <w:r w:rsidRPr="00187708">
        <w:rPr>
          <w:lang w:val="ro-RO"/>
        </w:rPr>
        <w:t xml:space="preserve">Figura </w:t>
      </w:r>
      <w:r w:rsidRPr="00187708">
        <w:rPr>
          <w:lang w:val="ro-RO"/>
        </w:rPr>
        <w:fldChar w:fldCharType="begin"/>
      </w:r>
      <w:r w:rsidRPr="00187708">
        <w:rPr>
          <w:lang w:val="ro-RO"/>
        </w:rPr>
        <w:instrText xml:space="preserve"> STYLEREF 1 \s </w:instrText>
      </w:r>
      <w:r w:rsidRPr="00187708">
        <w:rPr>
          <w:lang w:val="ro-RO"/>
        </w:rPr>
        <w:fldChar w:fldCharType="separate"/>
      </w:r>
      <w:r w:rsidR="00AA044A" w:rsidRPr="00187708">
        <w:rPr>
          <w:noProof/>
          <w:lang w:val="ro-RO"/>
        </w:rPr>
        <w:t>2</w:t>
      </w:r>
      <w:r w:rsidRPr="00187708">
        <w:rPr>
          <w:lang w:val="ro-RO"/>
        </w:rPr>
        <w:fldChar w:fldCharType="end"/>
      </w:r>
      <w:r w:rsidRPr="00187708">
        <w:rPr>
          <w:lang w:val="ro-RO"/>
        </w:rPr>
        <w:noBreakHyphen/>
      </w:r>
      <w:r w:rsidRPr="00187708">
        <w:rPr>
          <w:lang w:val="ro-RO"/>
        </w:rPr>
        <w:fldChar w:fldCharType="begin"/>
      </w:r>
      <w:r w:rsidRPr="00187708">
        <w:rPr>
          <w:lang w:val="ro-RO"/>
        </w:rPr>
        <w:instrText xml:space="preserve"> SEQ Figură \* ARABIC \s 1 </w:instrText>
      </w:r>
      <w:r w:rsidRPr="00187708">
        <w:rPr>
          <w:lang w:val="ro-RO"/>
        </w:rPr>
        <w:fldChar w:fldCharType="separate"/>
      </w:r>
      <w:r w:rsidR="00AA044A" w:rsidRPr="00187708">
        <w:rPr>
          <w:noProof/>
          <w:lang w:val="ro-RO"/>
        </w:rPr>
        <w:t>1</w:t>
      </w:r>
      <w:r w:rsidRPr="00187708">
        <w:rPr>
          <w:lang w:val="ro-RO"/>
        </w:rPr>
        <w:fldChar w:fldCharType="end"/>
      </w:r>
      <w:r w:rsidRPr="00187708">
        <w:rPr>
          <w:lang w:val="ro-RO"/>
        </w:rPr>
        <w:t>: Structura PNGD</w:t>
      </w:r>
    </w:p>
    <w:p w14:paraId="592A7541" w14:textId="77777777" w:rsidR="00023275" w:rsidRPr="00187708" w:rsidRDefault="00023275" w:rsidP="00023275">
      <w:pPr>
        <w:spacing w:after="120" w:line="240" w:lineRule="auto"/>
        <w:jc w:val="both"/>
        <w:rPr>
          <w:rFonts w:ascii="Nunito" w:eastAsia="Times New Roman" w:hAnsi="Nunito" w:cs="Times New Roman"/>
          <w:b/>
          <w:bCs/>
          <w:lang w:val="ro-RO" w:eastAsia="ro-RO"/>
        </w:rPr>
      </w:pPr>
      <w:r w:rsidRPr="00187708">
        <w:rPr>
          <w:rFonts w:ascii="Nunito" w:eastAsia="Times New Roman" w:hAnsi="Nunito" w:cs="Times New Roman"/>
          <w:b/>
          <w:bCs/>
          <w:lang w:val="ro-RO" w:eastAsia="ro-RO"/>
        </w:rPr>
        <w:t>1. Cadrul general strategic și metodologic</w:t>
      </w:r>
    </w:p>
    <w:p w14:paraId="4CE12FFB"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Capitolul „Cadrul general” stabilește fundamentele conceptuale și operaționale ale planului. Sunt definite scopul, obiectivele generale și specifice, orizontul temporal de aplicare, aria geografică vizată și categoriile de deșeuri incluse. Totodată, sunt prezentate principiile care guvernează gestionarea deșeurilor: prevenirea generării, pregătirea pentru reutilizare, reciclarea, alte forme de valorificare și eliminarea în condiții de siguranță pentru mediu.</w:t>
      </w:r>
    </w:p>
    <w:p w14:paraId="75FA8334"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Un element deosebit de important pentru raportul de mediu îl constituie descrierea metodologiei de elaborare a planului. Sunt prezentate sursele de date utilizate, metodele de colectare și validare a informațiilor, tehnicile de analiză și modelare, precum și ipotezele care fundamentează proiecțiile. Explicitarea acestor aspecte asigură trasabilitatea deciziilor și permite evaluarea robusteții tehnice a opțiunilor analizate.</w:t>
      </w:r>
    </w:p>
    <w:p w14:paraId="2688459F"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Din perspectiva evaluării strategice de mediu, această secțiune:</w:t>
      </w:r>
    </w:p>
    <w:p w14:paraId="54E3B59C"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definește cadrul de referință pentru analizarea alternativelor;</w:t>
      </w:r>
    </w:p>
    <w:p w14:paraId="3EBAFB23"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permite verificarea coerenței interne a obiectivelor;</w:t>
      </w:r>
    </w:p>
    <w:p w14:paraId="264142E9"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facilitează corelarea PNGD cu strategiile și planurile relevante la nivel național și european;</w:t>
      </w:r>
    </w:p>
    <w:p w14:paraId="30B0AC47"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oferă baza pentru aprecierea modului în care considerentele de mediu au fost integrate încă din etapa de concepere a planului.</w:t>
      </w:r>
    </w:p>
    <w:p w14:paraId="04CDEC26"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Prin urmare, capitolul nu are doar rol descriptiv, ci reprezintă fundamentul logic al întregului proces de planificare.</w:t>
      </w:r>
    </w:p>
    <w:p w14:paraId="6AE924CD" w14:textId="77777777" w:rsidR="00023275" w:rsidRPr="00187708" w:rsidRDefault="00023275" w:rsidP="00023275">
      <w:pPr>
        <w:spacing w:after="120" w:line="240" w:lineRule="auto"/>
        <w:jc w:val="both"/>
        <w:rPr>
          <w:rFonts w:ascii="Nunito" w:eastAsia="Times New Roman" w:hAnsi="Nunito" w:cs="Times New Roman"/>
          <w:b/>
          <w:bCs/>
          <w:lang w:val="ro-RO" w:eastAsia="ro-RO"/>
        </w:rPr>
      </w:pPr>
      <w:r w:rsidRPr="00187708">
        <w:rPr>
          <w:rFonts w:ascii="Nunito" w:eastAsia="Times New Roman" w:hAnsi="Nunito" w:cs="Times New Roman"/>
          <w:b/>
          <w:bCs/>
          <w:lang w:val="ro-RO" w:eastAsia="ro-RO"/>
        </w:rPr>
        <w:t>2. Fundamentarea socio-economică</w:t>
      </w:r>
    </w:p>
    <w:p w14:paraId="0D35B2C1"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Capitolul „Date socio-economice” oferă suportul analitic necesar dimensionării intervențiilor prevăzute în PNGD. Sunt incluse informații privind evoluția demografică, structura populației, dinamica economică, nivelurile de venit, consumul și capacitatea de plată a populației pentru serviciile de salubrizare.</w:t>
      </w:r>
    </w:p>
    <w:p w14:paraId="60174757"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Aceste date au o relevanță directă în evaluarea impactului asupra mediului, întrucât generarea deșeurilor este strâns corelată cu:</w:t>
      </w:r>
    </w:p>
    <w:p w14:paraId="7818BB67"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schimbare demografică;</w:t>
      </w:r>
    </w:p>
    <w:p w14:paraId="67DA66B6"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modificările în structura consumului;</w:t>
      </w:r>
    </w:p>
    <w:p w14:paraId="40A33D8B"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intensitatea activităților economice;</w:t>
      </w:r>
    </w:p>
    <w:p w14:paraId="517CC6C6"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nivelul de urbanizare.</w:t>
      </w:r>
    </w:p>
    <w:p w14:paraId="3AE28C7F"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Fundamentarea socio-economică permite realizarea unor scenarii de evoluție realiste, evitând supraestimarea sau subdimensionarea infrastructurii. În lipsa unei astfel de fundamentări, există riscul apariției unor investiții ineficiente sau </w:t>
      </w:r>
      <w:r w:rsidRPr="00187708">
        <w:rPr>
          <w:rFonts w:ascii="Nunito" w:eastAsia="Times New Roman" w:hAnsi="Nunito" w:cs="Times New Roman"/>
          <w:lang w:val="ro-RO" w:eastAsia="ro-RO"/>
        </w:rPr>
        <w:lastRenderedPageBreak/>
        <w:t>a unor deficiențe sistemice care pot genera presiuni suplimentare asupra mediului (de exemplu, supraîncărcarea instalațiilor sau menținerea unor practici de eliminare neconforme).</w:t>
      </w:r>
    </w:p>
    <w:p w14:paraId="2034B390"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Din perspectiva raportului de mediu, acest capitol contribuie la evaluarea sustenabilității economice și sociale a măsurilor, aspect esențial pentru aprecierea viabilității pe termen lung a intervențiilor propuse.</w:t>
      </w:r>
    </w:p>
    <w:p w14:paraId="20D96378" w14:textId="77777777" w:rsidR="00023275" w:rsidRPr="00187708" w:rsidRDefault="00023275" w:rsidP="00023275">
      <w:pPr>
        <w:spacing w:after="120" w:line="240" w:lineRule="auto"/>
        <w:jc w:val="both"/>
        <w:rPr>
          <w:rFonts w:ascii="Nunito" w:eastAsia="Times New Roman" w:hAnsi="Nunito" w:cs="Times New Roman"/>
          <w:b/>
          <w:bCs/>
          <w:lang w:val="ro-RO" w:eastAsia="ro-RO"/>
        </w:rPr>
      </w:pPr>
      <w:r w:rsidRPr="00187708">
        <w:rPr>
          <w:rFonts w:ascii="Nunito" w:eastAsia="Times New Roman" w:hAnsi="Nunito" w:cs="Times New Roman"/>
          <w:b/>
          <w:bCs/>
          <w:lang w:val="ro-RO" w:eastAsia="ro-RO"/>
        </w:rPr>
        <w:t>3. Planificarea operațională pe categorii și fluxuri de deșeuri</w:t>
      </w:r>
    </w:p>
    <w:p w14:paraId="4EC9C95C"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Componenta centrală a PNGD este reprezentată de capitolele dedicate categoriilor și fluxurilor de deșeuri. Acestea sunt structurate unitar, urmând o succesiune logică:</w:t>
      </w:r>
    </w:p>
    <w:p w14:paraId="2E3EB54D"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analiza situației existente (cantități generate și gestionate, infrastructura disponibilă, performanțe actuale);</w:t>
      </w:r>
    </w:p>
    <w:p w14:paraId="36BE0D83"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identificarea deficiențelor și a lacunelor de conformare;</w:t>
      </w:r>
    </w:p>
    <w:p w14:paraId="34191975"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stabilirea obiectivelor și țintelor cuantificate;</w:t>
      </w:r>
    </w:p>
    <w:p w14:paraId="41F26031"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definirea măsurilor și a planurilor de acțiune pentru atingerea acestora.</w:t>
      </w:r>
    </w:p>
    <w:p w14:paraId="0A61049B"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Această abordare permite evaluarea efectelor potențiale asupra factorilor de mediu – aer, apă, sol, biodiversitate, peisaj și sănătate umană – precum și analiza efectelor cumulative generate de implementarea simultană a măsurilor pentru mai multe fluxuri.</w:t>
      </w:r>
    </w:p>
    <w:p w14:paraId="46FA68C1"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Deșeurile municipale beneficiază de o analiză aprofundată, incluzând:</w:t>
      </w:r>
    </w:p>
    <w:p w14:paraId="0F9181AB" w14:textId="77777777" w:rsidR="00023275" w:rsidRPr="00187708" w:rsidRDefault="00023275" w:rsidP="00D540AB">
      <w:pPr>
        <w:numPr>
          <w:ilvl w:val="0"/>
          <w:numId w:val="14"/>
        </w:num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prognoza generării și a compoziției deșeurilor;</w:t>
      </w:r>
    </w:p>
    <w:p w14:paraId="5C283085" w14:textId="77777777" w:rsidR="00023275" w:rsidRPr="00187708" w:rsidRDefault="00023275" w:rsidP="00D540AB">
      <w:pPr>
        <w:numPr>
          <w:ilvl w:val="0"/>
          <w:numId w:val="14"/>
        </w:num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prognoza populației;</w:t>
      </w:r>
    </w:p>
    <w:p w14:paraId="0CDA4F63" w14:textId="77777777" w:rsidR="00023275" w:rsidRPr="00187708" w:rsidRDefault="00023275" w:rsidP="00D540AB">
      <w:pPr>
        <w:numPr>
          <w:ilvl w:val="0"/>
          <w:numId w:val="14"/>
        </w:num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modelarea scenariilor de gestionare;</w:t>
      </w:r>
    </w:p>
    <w:p w14:paraId="2E24401D" w14:textId="77777777" w:rsidR="00023275" w:rsidRPr="00187708" w:rsidRDefault="00023275" w:rsidP="00D540AB">
      <w:pPr>
        <w:numPr>
          <w:ilvl w:val="0"/>
          <w:numId w:val="14"/>
        </w:num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analiza alternativelor.</w:t>
      </w:r>
    </w:p>
    <w:p w14:paraId="3FBC6663"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Analiza alternativelor are un rol central în evaluarea strategică de mediu, întrucât permite compararea scenariilor din perspectiva performanței de mediu, a eficienței utilizării resurselor, a costurilor și a riscurilor. Prin structurarea clară a acestor elemente, PNGD creează cadrul necesar pentru selectarea opțiunii preferate pe baza unor criterii obiective și transparente.</w:t>
      </w:r>
    </w:p>
    <w:p w14:paraId="39B0B33D"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În vederea determinării investițiilor necesare pentru atingerea obiectivelor și țintelor Planului Național de Gestionare a Deșeurilor, au fost analizate două alternative de dezvoltare a infrastructurii de gestionare a deșeurilor municipale:</w:t>
      </w:r>
    </w:p>
    <w:p w14:paraId="4AD90BBE"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Alternativa 1</w:t>
      </w:r>
      <w:r w:rsidRPr="00187708">
        <w:rPr>
          <w:rFonts w:ascii="Nunito" w:eastAsia="Times New Roman" w:hAnsi="Nunito" w:cs="Times New Roman"/>
          <w:lang w:val="ro-RO" w:eastAsia="ro-RO"/>
        </w:rPr>
        <w:t xml:space="preserve"> presupune extinderea și modernizarea infrastructurii existente, prin dezvoltarea separată a stațiilor de sortare, instalațiilor de compostare și tratare anaerobă, precum și a instalațiilor de tratare mecano-biologică, completând capacitățile de depozitare conform planurilor județene de gestionare a deșeurilor.</w:t>
      </w:r>
    </w:p>
    <w:p w14:paraId="03A45709"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Alternativa 2</w:t>
      </w:r>
      <w:r w:rsidRPr="00187708">
        <w:rPr>
          <w:rFonts w:ascii="Nunito" w:eastAsia="Times New Roman" w:hAnsi="Nunito" w:cs="Times New Roman"/>
          <w:lang w:val="ro-RO" w:eastAsia="ro-RO"/>
        </w:rPr>
        <w:t xml:space="preserve"> adoptă o abordare integrată, prin conversia instalațiilor TMB existente în instalații integrate de tratare a deșeurilor (IITD) și realizarea de instalații noi capabile să gestioneze unitar fluxurile de hârtie, plastic, metal, sticlă, biodeșeuri, deșeuri reziduale, textile și voluminoase, concomitent cu optimizarea capacităților de depozitare.</w:t>
      </w:r>
    </w:p>
    <w:p w14:paraId="52ABB408"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Pentru ambele alternative, obiectivele principale și ipotezele de implementare sunt comune:</w:t>
      </w:r>
    </w:p>
    <w:p w14:paraId="202686DA"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 xml:space="preserve">Menținerea gradului de acoperire cu serviciu de salubrizare la 100% </w:t>
      </w:r>
      <w:r w:rsidRPr="00187708">
        <w:rPr>
          <w:rFonts w:ascii="Nunito" w:eastAsia="Times New Roman" w:hAnsi="Nunito" w:cs="Times New Roman"/>
          <w:lang w:val="ro-RO" w:eastAsia="ro-RO"/>
        </w:rPr>
        <w:t>– este asigurată continuitatea serviciilor la nivelul tuturor UAT-urilor, cu organizarea, atribuirea și controlul activităților de salubrizare pentru funcționare permanentă.</w:t>
      </w:r>
    </w:p>
    <w:p w14:paraId="01101AE9"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Reducerea cantității de deșeuri menajere generate pe locuitor –</w:t>
      </w:r>
      <w:r w:rsidRPr="00187708">
        <w:rPr>
          <w:rFonts w:ascii="Nunito" w:eastAsia="Times New Roman" w:hAnsi="Nunito" w:cs="Times New Roman"/>
          <w:lang w:val="ro-RO" w:eastAsia="ro-RO"/>
        </w:rPr>
        <w:t xml:space="preserve"> prognoza indică o scădere a deșeurilor menajere de la 303 kg/locuitor/an în 2022 la 281 kg/locuitor/an în 2035, prin măsuri de prevenire a generării deșeurilor.</w:t>
      </w:r>
    </w:p>
    <w:p w14:paraId="61E51B95"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Creșterea gradului de pregătire pentru reutilizare și reciclare</w:t>
      </w:r>
      <w:r w:rsidRPr="00187708">
        <w:rPr>
          <w:rFonts w:ascii="Nunito" w:eastAsia="Times New Roman" w:hAnsi="Nunito" w:cs="Times New Roman"/>
          <w:lang w:val="ro-RO" w:eastAsia="ro-RO"/>
        </w:rPr>
        <w:t xml:space="preserve"> – extinderea colectării separate a hârtiei, plasticului, metalului, sticlei, biodeșeurilor, textilelor și deșeurilor voluminoase, asigurând rate de capturare progresive până în 2035 și dezvoltarea capacităților de sortare, reciclare și tratare biologică.</w:t>
      </w:r>
    </w:p>
    <w:p w14:paraId="2D601326"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Reducerea la depozitare a deșeurilor municipale la maximum 10% din masa totală generată</w:t>
      </w:r>
      <w:r w:rsidRPr="00187708">
        <w:rPr>
          <w:rFonts w:ascii="Nunito" w:eastAsia="Times New Roman" w:hAnsi="Nunito" w:cs="Times New Roman"/>
          <w:lang w:val="ro-RO" w:eastAsia="ro-RO"/>
        </w:rPr>
        <w:t xml:space="preserve"> – prin interzicerea depozitării deșeurilor reciclabile, tratarea prealabilă a deșeurilor și dezvoltarea capacităților de tratare a deșeurilor reziduale, inclusiv implementarea unei strategii naționale privind valorificarea energetică a deșeurilor până în 2034.</w:t>
      </w:r>
    </w:p>
    <w:p w14:paraId="59CB6CF3"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Analiza alternativelor a fost susținută de modelarea fluxurilor de deșeuri și de modelarea financiară, luând în considerare: prognoza generării deșeurilor, ratele de capturare pe tip de deșeu și funcționarea instalațiilor. Ipotezele includ niveluri de impurități acceptabile, procentaje de valorificare energetică, reciclare și depozitare pentru diferite tipuri de deșeuri colectate separat sau reziduale.</w:t>
      </w:r>
    </w:p>
    <w:p w14:paraId="6C1F7F71"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lastRenderedPageBreak/>
        <w:t>Pentru implementarea eficientă a Planului Național de Gestionare a Deșeurilor, se urmărește menținerea serviciului de salubrizare la un grad de acoperire de 100% la nivelul tuturor UAT-urilor, prin organizarea, atribuirea și controlul continuu al activităților, fie prin gestiune directă, fie delegată.</w:t>
      </w:r>
    </w:p>
    <w:p w14:paraId="0F68F1BD"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Biodeșeurile au o contribuție majoră (44%), hârtia, plasticul, metalul și sticla adaugă 18,9%, iar textilele și deșeurile voluminoase completează diferența până la ținta stabilită. Indicatorii de performanță din contractele de delegare completează cadrul legal, asigurând colectarea separată, tratarea și trasabilitatea eficientă a deșeurilor.</w:t>
      </w:r>
    </w:p>
    <w:p w14:paraId="480E917D"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Pentru atingerea obiectivului de depozitare, reducerea sub 10% a cantității de deșeuri depozitate necesită valorificarea RDF și a deșeurilor reziduale stabilizate. Strategia națională de valorificare energetică va fi aprobată până în 2028 și implementată până în 2034, completând astfel măsurile de prevenire, reciclare și tratare.</w:t>
      </w:r>
    </w:p>
    <w:p w14:paraId="71F03A3B"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Pentru celelalte fluxuri (ambalaje, deșeuri de echipamente electrice și electronice, baterii și acumulatori, vehicule scoase din uz, uleiuri uzate, anvelope uzate, deșeuri din construcții și desființări, nămoluri de epurare, deșeuri periculoase, medicale, industriale și agricole), structura planului este adaptată specificului fiecărei categorii, menținând însă coerența metodologică. Pentru fiecare flux sunt analizate: cadrul legislativ aplicabil, situația actuală privind generarea și gestionarea, infrastructura existentă, performanțele în raport cu țintele europene și naționale, deficiențele identificate, precum și măsurile propuse pe termen scurt, mediu și lung.</w:t>
      </w:r>
    </w:p>
    <w:p w14:paraId="27F6D0C3"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Abordarea diferențiată permite evaluarea detaliată a:</w:t>
      </w:r>
    </w:p>
    <w:p w14:paraId="42B38EE6"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riscurilor pentru mediu și sănătatea populației (în special în cazul deșeurilor periculoase și medicale);</w:t>
      </w:r>
    </w:p>
    <w:p w14:paraId="7D7DE105"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potențialului de reutilizare, reciclare și valorificare materială sau energetică;</w:t>
      </w:r>
    </w:p>
    <w:p w14:paraId="612E8A5B"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constrângerilor tehnice și economice (capacități insuficiente de tratare, lipsa piețelor pentru materiale reciclate, costuri de colectare separată);</w:t>
      </w:r>
    </w:p>
    <w:p w14:paraId="517EA38B"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gradului de responsabilizare a operatorilor economici și a producătorilor în cadrul schemelor de răspundere extinsă a producătorului (EPR).</w:t>
      </w:r>
    </w:p>
    <w:p w14:paraId="0254E736"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Sunt analizate, de asemenea, nevoile de investiții în infrastructură, mecanismele financiare disponibile, precum și instrumentele economice menite să stimuleze prevenirea generării deșeurilor și creșterea ratei de reciclare.</w:t>
      </w:r>
    </w:p>
    <w:p w14:paraId="0E36C2AF"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Un capitol separat este dedicat transferului deșeurilor, cu accent pe:</w:t>
      </w:r>
    </w:p>
    <w:p w14:paraId="65D772AA"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analiza fluxurilor de import, export și tranzit;</w:t>
      </w:r>
    </w:p>
    <w:p w14:paraId="1556D25B"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evaluarea conformității cu prevederile Regulamentului (UE) privind transferurile de deșeuri;</w:t>
      </w:r>
    </w:p>
    <w:p w14:paraId="3ED0A46E"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identificarea riscurilor asociate transferurilor ilegale;</w:t>
      </w:r>
    </w:p>
    <w:p w14:paraId="6540F2B7"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măsuri pentru consolidarea trasabilității și a capacității instituționale de control.</w:t>
      </w:r>
    </w:p>
    <w:p w14:paraId="07AC3FC2"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Sunt prevăzute acțiuni pentru:</w:t>
      </w:r>
    </w:p>
    <w:p w14:paraId="7616B0D1"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digitalizarea sistemelor de raportare și notificare;</w:t>
      </w:r>
    </w:p>
    <w:p w14:paraId="5F8A3CBB"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întărirea cooperării interinstituționale;</w:t>
      </w:r>
    </w:p>
    <w:p w14:paraId="5548C70C"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creșterea capacității de inspecție și control;</w:t>
      </w:r>
    </w:p>
    <w:p w14:paraId="6408ED86"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îmbunătățirea schimbului de informații la nivel național și european.</w:t>
      </w:r>
    </w:p>
    <w:p w14:paraId="458D2989"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Obiectivul principal îl constituie asigurarea unui sistem transparent, verificabil și conform cu cerințele de protecție a mediului și ale economiei circulare, prevenind externalizarea impactului asupra mediului către alte state și limitând practicile neconforme.</w:t>
      </w:r>
    </w:p>
    <w:p w14:paraId="537F5046"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Planul Național de Gestionare a Deșeurilor include un capitol dedicat Programului Național de Prevenire a Generării Deșeurilor (PNPGD), elaborat în conformitate cu cerințele Directivei-cadru privind deșeurile.</w:t>
      </w:r>
    </w:p>
    <w:p w14:paraId="56376FA9"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PNPGD stabilește cadrul strategic pentru reducerea cantității și a periculozității deșeurilor generate, având ca direcții principale:</w:t>
      </w:r>
    </w:p>
    <w:p w14:paraId="27C38541" w14:textId="77777777" w:rsidR="00023275" w:rsidRPr="00187708" w:rsidRDefault="00023275" w:rsidP="00D540AB">
      <w:pPr>
        <w:pStyle w:val="ListParagraph"/>
        <w:numPr>
          <w:ilvl w:val="0"/>
          <w:numId w:val="15"/>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Decuplarea creșterii economice de generarea deșeurilor</w:t>
      </w:r>
      <w:r w:rsidRPr="00187708">
        <w:rPr>
          <w:rFonts w:ascii="Nunito" w:eastAsia="Times New Roman" w:hAnsi="Nunito" w:cs="Times New Roman"/>
          <w:lang w:val="ro-RO" w:eastAsia="ro-RO"/>
        </w:rPr>
        <w:t>, prin promovarea eficienței utilizării resurselor.</w:t>
      </w:r>
    </w:p>
    <w:p w14:paraId="12DBE6CF" w14:textId="77777777" w:rsidR="00023275" w:rsidRPr="00187708" w:rsidRDefault="00023275" w:rsidP="00D540AB">
      <w:pPr>
        <w:pStyle w:val="ListParagraph"/>
        <w:numPr>
          <w:ilvl w:val="0"/>
          <w:numId w:val="15"/>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Reducerea risipei alimentare</w:t>
      </w:r>
      <w:r w:rsidRPr="00187708">
        <w:rPr>
          <w:rFonts w:ascii="Nunito" w:eastAsia="Times New Roman" w:hAnsi="Nunito" w:cs="Times New Roman"/>
          <w:lang w:val="ro-RO" w:eastAsia="ro-RO"/>
        </w:rPr>
        <w:t>, inclusiv prin măsuri de informare, parteneriate și instrumente de monitorizare.</w:t>
      </w:r>
    </w:p>
    <w:p w14:paraId="19323EA9" w14:textId="77777777" w:rsidR="00023275" w:rsidRPr="00187708" w:rsidRDefault="00023275" w:rsidP="00D540AB">
      <w:pPr>
        <w:pStyle w:val="ListParagraph"/>
        <w:numPr>
          <w:ilvl w:val="0"/>
          <w:numId w:val="15"/>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Extinderea duratei de viață a produselor</w:t>
      </w:r>
      <w:r w:rsidRPr="00187708">
        <w:rPr>
          <w:rFonts w:ascii="Nunito" w:eastAsia="Times New Roman" w:hAnsi="Nunito" w:cs="Times New Roman"/>
          <w:lang w:val="ro-RO" w:eastAsia="ro-RO"/>
        </w:rPr>
        <w:t>, prin promovarea reparării, reutilizării și recondiționării.</w:t>
      </w:r>
    </w:p>
    <w:p w14:paraId="379A9A5C" w14:textId="77777777" w:rsidR="00023275" w:rsidRPr="00187708" w:rsidRDefault="00023275" w:rsidP="00D540AB">
      <w:pPr>
        <w:pStyle w:val="ListParagraph"/>
        <w:numPr>
          <w:ilvl w:val="0"/>
          <w:numId w:val="15"/>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Reducerea conținutului de substanțe periculoase în produse</w:t>
      </w:r>
      <w:r w:rsidRPr="00187708">
        <w:rPr>
          <w:rFonts w:ascii="Nunito" w:eastAsia="Times New Roman" w:hAnsi="Nunito" w:cs="Times New Roman"/>
          <w:lang w:val="ro-RO" w:eastAsia="ro-RO"/>
        </w:rPr>
        <w:t>, pentru diminuarea impactului asupra mediului la finalul ciclului de viață.</w:t>
      </w:r>
    </w:p>
    <w:p w14:paraId="41208168" w14:textId="77777777" w:rsidR="00023275" w:rsidRPr="00187708" w:rsidRDefault="00023275" w:rsidP="00D540AB">
      <w:pPr>
        <w:pStyle w:val="ListParagraph"/>
        <w:numPr>
          <w:ilvl w:val="0"/>
          <w:numId w:val="15"/>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b/>
          <w:bCs/>
          <w:lang w:val="ro-RO" w:eastAsia="ro-RO"/>
        </w:rPr>
        <w:t>Promovarea consumului responsabil și a achizițiilor publice verzi.</w:t>
      </w:r>
    </w:p>
    <w:p w14:paraId="17113F49"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Programul include indicatori specifici de monitorizare, termene de implementare și responsabilități instituționale clare. De asemenea, sunt prevăzute măsuri de conștientizare, instrumente economice și mecanisme de raportare, astfel încât prevenirea să devină prioritatea centrală a politicii de gestionare a deșeurilor, în conformitate cu ierarhia deșeurilor.</w:t>
      </w:r>
    </w:p>
    <w:p w14:paraId="0BB59875"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lastRenderedPageBreak/>
        <w:t>Integrarea PNPGD în cadrul general al PNGD asigură o abordare sistemică, în care prevenirea, reutilizarea și reciclarea sunt tratate complementar, contribuind la tranziția către economia circulară și la atingerea obiectivelor asumate la nivel european.</w:t>
      </w:r>
    </w:p>
    <w:p w14:paraId="50A6782D" w14:textId="77777777" w:rsidR="00023275" w:rsidRPr="00187708" w:rsidRDefault="00023275" w:rsidP="00023275">
      <w:pPr>
        <w:spacing w:after="120" w:line="240" w:lineRule="auto"/>
        <w:jc w:val="both"/>
        <w:rPr>
          <w:rFonts w:ascii="Nunito" w:eastAsia="Times New Roman" w:hAnsi="Nunito" w:cs="Times New Roman"/>
          <w:b/>
          <w:bCs/>
          <w:lang w:val="ro-RO" w:eastAsia="ro-RO"/>
        </w:rPr>
      </w:pPr>
      <w:r w:rsidRPr="00187708">
        <w:rPr>
          <w:rFonts w:ascii="Nunito" w:eastAsia="Times New Roman" w:hAnsi="Nunito" w:cs="Times New Roman"/>
          <w:b/>
          <w:bCs/>
          <w:lang w:val="ro-RO" w:eastAsia="ro-RO"/>
        </w:rPr>
        <w:t>4. Instrumente de politică, prevenire și monitorizare</w:t>
      </w:r>
    </w:p>
    <w:p w14:paraId="1D5D2E9E"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PNGD include un capitol dedicat instrumentelor de politică a deșeurilor, în care sunt analizate instrumentele economice, administrative, de reglementare și de informare. Sunt evaluate eficiența acestora și necesitatea ajustării sau introducerii unor instrumente suplimentare. Din perspectiva mediului, aceste instrumente sunt esențiale pentru internalizarea costurilor de mediu și pentru stimularea comportamentelor conforme cu ierarhia deșeurilor.</w:t>
      </w:r>
    </w:p>
    <w:p w14:paraId="1AD215D4"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Programul național de prevenire a generării deșeurilor este integrat ca secțiune distinctă, reflectând importanța reducerii cantităților generate încă din faza de proiectare, producție și consum. Accentul pus pe prevenire contribuie la diminuarea presiunilor asupra resurselor naturale, reducerea emisiilor și limitarea necesității investițiilor în capacități suplimentare de tratare și eliminare.</w:t>
      </w:r>
    </w:p>
    <w:p w14:paraId="089C22DC"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Capitolul „Planul de monitorizare” stabilește cadrul pentru urmărirea implementării PNGD și definește indicatorii de performanță pentru fiecare flux și categorie de deșeuri. Monitorizarea asigură:</w:t>
      </w:r>
    </w:p>
    <w:p w14:paraId="68F21847"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evaluarea progresului în atingerea țintelor;</w:t>
      </w:r>
    </w:p>
    <w:p w14:paraId="2A9A4B23"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identificarea devierilor;</w:t>
      </w:r>
    </w:p>
    <w:p w14:paraId="7C415467"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fundamentarea eventualelor ajustări ale planului;</w:t>
      </w:r>
    </w:p>
    <w:p w14:paraId="714FF9B0"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menținerea unui nivel adecvat de protecție a mediului pe termen mediu și lung.</w:t>
      </w:r>
    </w:p>
    <w:p w14:paraId="242AC1F6"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Integrarea unui mecanism coerent de monitorizare conferă planului un caracter adaptativ și consolidează capacitatea autorităților de a reacționa la schimbări sau la riscuri emergente.</w:t>
      </w:r>
    </w:p>
    <w:p w14:paraId="175FB8EF"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În ansamblu, structura PNGD reflectă o abordare integrată și coerentă a gestionării deșeurilor la nivel național. Organizarea documentului permite corelarea analizei tehnice cu fundamentarea socio-economică și cu instrumentele de politică publică, asigurând integrarea sistematică a considerentelor de mediu în procesul decizional.</w:t>
      </w:r>
    </w:p>
    <w:p w14:paraId="4E467600" w14:textId="77777777" w:rsidR="00023275" w:rsidRPr="00187708" w:rsidRDefault="00023275" w:rsidP="00023275">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Prin claritatea etapelor de analiză, explicitarea alternativelor și instituirea unui mecanism de monitorizare, PNGD creează cadrul necesar pentru o planificare strategică robustă, transparentă și orientată către atingerea obiectivelor de protecție a mediului și tranziția către economia circulară.</w:t>
      </w:r>
    </w:p>
    <w:p w14:paraId="2B60AADE" w14:textId="77777777" w:rsidR="00023275" w:rsidRPr="00187708" w:rsidRDefault="00023275" w:rsidP="00023275">
      <w:pPr>
        <w:pStyle w:val="Heading2"/>
        <w:spacing w:line="240" w:lineRule="auto"/>
        <w:rPr>
          <w:rFonts w:ascii="Nunito" w:hAnsi="Nunito"/>
          <w:lang w:val="ro-RO"/>
        </w:rPr>
      </w:pPr>
      <w:r w:rsidRPr="00187708">
        <w:rPr>
          <w:rFonts w:ascii="Nunito" w:hAnsi="Nunito"/>
          <w:lang w:val="ro-RO"/>
        </w:rPr>
        <w:t>Aria de acoperire a Planului Național de Gestionare a deșeurilor</w:t>
      </w:r>
    </w:p>
    <w:p w14:paraId="3687D673"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 xml:space="preserve">Zona de implementare a Planului Național de Gestionare a Deșeurilor (PNGD) este reprezentată de </w:t>
      </w:r>
      <w:r w:rsidRPr="00187708">
        <w:rPr>
          <w:rFonts w:ascii="Nunito" w:hAnsi="Nunito"/>
          <w:b/>
          <w:bCs/>
          <w:lang w:val="ro-RO"/>
        </w:rPr>
        <w:t>întreg</w:t>
      </w:r>
      <w:r w:rsidRPr="00187708">
        <w:rPr>
          <w:rFonts w:ascii="Nunito" w:hAnsi="Nunito"/>
          <w:lang w:val="ro-RO"/>
        </w:rPr>
        <w:t xml:space="preserve"> teritoriul României, planul având caracter național și urmărind aplicarea coerentă a politicilor și măsurilor de gestionare a deșeurilor la nivelul tuturor unităților administrativ-teritoriale.</w:t>
      </w:r>
    </w:p>
    <w:p w14:paraId="143ABE6A"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Implementarea PNGD se realizează printr-o combinație de măsuri cu aplicabilitate generală (cadru de politici, obiective și ținte, reguli de funcționare și monitorizare) și măsuri care se materializează în investiții și acțiuni la nivel local/județean (organizarea serviciilor, operarea infrastructurii, dezvoltarea și modernizarea capacităților). În acest sens, planul operează cu o perspectivă națională, dar este conceput astfel încât măsurile să poată fi transpuse în mod diferențiat, în funcție de realitățile teritoriale și de maturitatea sistemelor locale de gestionare a deșeurilor.</w:t>
      </w:r>
    </w:p>
    <w:p w14:paraId="2CA7AAAC"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Din punct de vedere administrativ și operațional, implementarea se sprijină pe structurile existente:</w:t>
      </w:r>
    </w:p>
    <w:p w14:paraId="374B4ADF"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Unități administrativ-teritoriale (UAT), care au rol în organizarea serviciilor publice și în asigurarea funcționării sistemelor de colectare;</w:t>
      </w:r>
    </w:p>
    <w:p w14:paraId="5E84244D"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Unități administrativ-teritoriale de rang județean (UAT-J), respectiv județele și Municipiul București, relevante pentru planificarea și coordonarea investițiilor, precum și pentru dezvoltarea infrastructurii de tratare/valorificare/eliminare;</w:t>
      </w:r>
    </w:p>
    <w:p w14:paraId="0E718F45"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Structuri asociative (ADI) și alte forme de cooperare intercomunitară, utilizate pentru implementarea proiectelor și operarea sistemelor integrate, inclusiv în cadrul proiectelor de management integrat al deșeurilor.</w:t>
      </w:r>
    </w:p>
    <w:p w14:paraId="3591EFC2"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 xml:space="preserve">În cadrul PNGD, planificarea ține cont de faptul că, la nivel național, sistemele de gestionare a deșeurilor sunt caracterizate de </w:t>
      </w:r>
      <w:r w:rsidRPr="00187708">
        <w:rPr>
          <w:rFonts w:ascii="Nunito" w:hAnsi="Nunito"/>
          <w:b/>
          <w:bCs/>
          <w:lang w:val="ro-RO"/>
        </w:rPr>
        <w:t>diferențe teritoriale</w:t>
      </w:r>
      <w:r w:rsidRPr="00187708">
        <w:rPr>
          <w:rFonts w:ascii="Nunito" w:hAnsi="Nunito"/>
          <w:lang w:val="ro-RO"/>
        </w:rPr>
        <w:t xml:space="preserve"> (de exemplu, între mediul urban și rural, între județe și între zone cu proiecte integrate implementate și zone unde sistemele sunt în tranziție). Din această perspectivă, planul utilizează:</w:t>
      </w:r>
    </w:p>
    <w:p w14:paraId="3AA7A6F7"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perioadă de analiză pentru descrierea situației actuale (2020–2022, cu anul 2022 ca an de referință pentru cantități),</w:t>
      </w:r>
    </w:p>
    <w:p w14:paraId="4CBD2221"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anul 2025 ca reper pentru descrierea sistemelor existente și a proiectelor planificate,</w:t>
      </w:r>
    </w:p>
    <w:p w14:paraId="0ED32202" w14:textId="77777777" w:rsidR="00023275" w:rsidRPr="00187708" w:rsidRDefault="00023275" w:rsidP="00D540AB">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perioadă de planificare 2026–2035, pentru care sunt stabilite direcțiile și măsurile de dezvoltare.</w:t>
      </w:r>
    </w:p>
    <w:p w14:paraId="54CC6E48"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 xml:space="preserve">Caracterul național al zonei de implementare implică și faptul că fundamentarea măsurilor se bazează pe </w:t>
      </w:r>
      <w:r w:rsidRPr="00187708">
        <w:rPr>
          <w:rFonts w:ascii="Nunito" w:hAnsi="Nunito"/>
          <w:b/>
          <w:bCs/>
          <w:lang w:val="ro-RO"/>
        </w:rPr>
        <w:t>seturi de date și informații disponibile la nivel național</w:t>
      </w:r>
      <w:r w:rsidRPr="00187708">
        <w:rPr>
          <w:rFonts w:ascii="Nunito" w:hAnsi="Nunito"/>
          <w:lang w:val="ro-RO"/>
        </w:rPr>
        <w:t xml:space="preserve">, completate cu informații relevante furnizate de autorități locale/județene și de </w:t>
      </w:r>
      <w:r w:rsidRPr="00187708">
        <w:rPr>
          <w:rFonts w:ascii="Nunito" w:hAnsi="Nunito"/>
          <w:lang w:val="ro-RO"/>
        </w:rPr>
        <w:lastRenderedPageBreak/>
        <w:t>structurile care implementează sisteme integrate (inclusiv în cadrul proiectelor finanțate din programe operaționale). Această abordare urmărește să asigure o dimensionare adecvată a infrastructurii și o corelare a investițiilor cu obiectivele și țintele aplicabile până în 2035, evitând atât supra-capacitarea, cât și sub-capacitarea.</w:t>
      </w:r>
    </w:p>
    <w:p w14:paraId="41AFABE7" w14:textId="77777777" w:rsidR="00023275" w:rsidRPr="00187708" w:rsidRDefault="00023275" w:rsidP="00023275">
      <w:pPr>
        <w:spacing w:after="120" w:line="240" w:lineRule="auto"/>
        <w:jc w:val="both"/>
        <w:rPr>
          <w:rFonts w:ascii="Nunito" w:hAnsi="Nunito"/>
          <w:lang w:val="ro-RO"/>
        </w:rPr>
      </w:pPr>
      <w:r w:rsidRPr="00187708">
        <w:rPr>
          <w:rFonts w:ascii="Nunito" w:hAnsi="Nunito"/>
          <w:lang w:val="ro-RO"/>
        </w:rPr>
        <w:t xml:space="preserve">În mod specific, anumite componente de analiză și planificare sunt dezvoltate diferențiat în funcție de categoria de deșeuri. De exemplu, pentru </w:t>
      </w:r>
      <w:r w:rsidRPr="00187708">
        <w:rPr>
          <w:rFonts w:ascii="Nunito" w:hAnsi="Nunito"/>
          <w:b/>
          <w:bCs/>
          <w:lang w:val="ro-RO"/>
        </w:rPr>
        <w:t>deșeurile municipale</w:t>
      </w:r>
      <w:r w:rsidRPr="00187708">
        <w:rPr>
          <w:rFonts w:ascii="Nunito" w:hAnsi="Nunito"/>
          <w:lang w:val="ro-RO"/>
        </w:rPr>
        <w:t xml:space="preserve"> sunt tratate elemente precum prognozele și analiza alternativelor, în timp ce pentru alte fluxuri sunt incluse acele secțiuni care sunt relevante raportat la obligațiile și țintele aplicabile. În ansamblu, implementarea la nivelul întregii țări este susținută de un cadru de monitorizare anuală și de mecanisme de evaluare și revizuire periodică, astfel încât aplicarea măsurilor să poată fi urmărită unitar și ajustată atunci când este necesar.</w:t>
      </w:r>
    </w:p>
    <w:p w14:paraId="0B629E67" w14:textId="77777777" w:rsidR="00023275" w:rsidRPr="00187708" w:rsidRDefault="00023275" w:rsidP="00023275">
      <w:pPr>
        <w:rPr>
          <w:rFonts w:ascii="Nunito" w:hAnsi="Nunito"/>
          <w:lang w:val="ro-RO"/>
        </w:rPr>
      </w:pPr>
      <w:r w:rsidRPr="00187708">
        <w:rPr>
          <w:rFonts w:ascii="Nunito" w:hAnsi="Nunito"/>
          <w:lang w:val="ro-RO"/>
        </w:rPr>
        <w:br w:type="page"/>
      </w:r>
    </w:p>
    <w:p w14:paraId="5B401581" w14:textId="77777777" w:rsidR="00023275" w:rsidRPr="00187708" w:rsidRDefault="00023275" w:rsidP="00023275">
      <w:pPr>
        <w:pStyle w:val="Heading2"/>
        <w:spacing w:line="240" w:lineRule="auto"/>
        <w:rPr>
          <w:rFonts w:ascii="Nunito" w:hAnsi="Nunito"/>
          <w:lang w:val="ro-RO"/>
        </w:rPr>
      </w:pPr>
      <w:r w:rsidRPr="00187708">
        <w:rPr>
          <w:rFonts w:ascii="Nunito" w:hAnsi="Nunito"/>
          <w:lang w:val="ro-RO"/>
        </w:rPr>
        <w:lastRenderedPageBreak/>
        <w:t>Categorii de deșeuri care fac obiectul PNGD</w:t>
      </w:r>
    </w:p>
    <w:p w14:paraId="65CA9CE1" w14:textId="77777777" w:rsidR="0098541F" w:rsidRPr="00187708" w:rsidRDefault="00023275" w:rsidP="00023275">
      <w:pPr>
        <w:rPr>
          <w:lang w:val="ro-RO"/>
        </w:rPr>
      </w:pPr>
      <w:r w:rsidRPr="00187708">
        <w:rPr>
          <w:lang w:val="ro-RO"/>
        </w:rPr>
        <w:t>Deșeurile care fac obiectul planificării sunt cele reglementate de OUG 92/2021 privind regimul deșeurilor, cu modificările și completările ulterioare, aprobată prin Legea nr. 17/2023, astfel:</w:t>
      </w:r>
    </w:p>
    <w:p w14:paraId="5C9D9CA3" w14:textId="306BF6B8" w:rsidR="00023275" w:rsidRPr="00187708" w:rsidRDefault="00174472" w:rsidP="00023275">
      <w:pPr>
        <w:rPr>
          <w:lang w:val="ro-RO"/>
        </w:rPr>
      </w:pPr>
      <w:r w:rsidRPr="00187708">
        <w:rPr>
          <w:noProof/>
          <w:lang w:val="ro-RO"/>
        </w:rPr>
        <mc:AlternateContent>
          <mc:Choice Requires="wps">
            <w:drawing>
              <wp:anchor distT="0" distB="0" distL="114300" distR="114300" simplePos="0" relativeHeight="251658250" behindDoc="0" locked="0" layoutInCell="1" allowOverlap="1" wp14:anchorId="7759D9C3" wp14:editId="564C8484">
                <wp:simplePos x="0" y="0"/>
                <wp:positionH relativeFrom="column">
                  <wp:posOffset>2901314</wp:posOffset>
                </wp:positionH>
                <wp:positionV relativeFrom="paragraph">
                  <wp:posOffset>1825492</wp:posOffset>
                </wp:positionV>
                <wp:extent cx="1786293" cy="477672"/>
                <wp:effectExtent l="0" t="0" r="4445" b="0"/>
                <wp:wrapNone/>
                <wp:docPr id="12" name="Shape 10"/>
                <wp:cNvGraphicFramePr/>
                <a:graphic xmlns:a="http://schemas.openxmlformats.org/drawingml/2006/main">
                  <a:graphicData uri="http://schemas.microsoft.com/office/word/2010/wordprocessingShape">
                    <wps:wsp>
                      <wps:cNvSpPr/>
                      <wps:spPr>
                        <a:xfrm>
                          <a:off x="0" y="0"/>
                          <a:ext cx="1786293" cy="477672"/>
                        </a:xfrm>
                        <a:prstGeom prst="roundRect">
                          <a:avLst>
                            <a:gd name="adj" fmla="val 8511"/>
                          </a:avLst>
                        </a:prstGeom>
                        <a:solidFill>
                          <a:srgbClr val="0C447C"/>
                        </a:solidFill>
                        <a:ln w="13970">
                          <a:noFill/>
                          <a:prstDash val="solid"/>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roundrect w14:anchorId="13DEDDBE" id="Shape 10" o:spid="_x0000_s1026" style="position:absolute;margin-left:228.45pt;margin-top:143.75pt;width:140.65pt;height:37.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55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" fillcolor="#0c447c" stroked="f" strokeweight="1.1pt"/>
            </w:pict>
          </mc:Fallback>
        </mc:AlternateContent>
      </w:r>
      <w:r w:rsidR="008A6FDD" w:rsidRPr="00187708">
        <w:rPr>
          <w:noProof/>
          <w:lang w:val="ro-RO"/>
        </w:rPr>
        <mc:AlternateContent>
          <mc:Choice Requires="wps">
            <w:drawing>
              <wp:anchor distT="0" distB="0" distL="114300" distR="114300" simplePos="0" relativeHeight="251658251" behindDoc="0" locked="0" layoutInCell="1" allowOverlap="1" wp14:anchorId="218D18D0" wp14:editId="1BCA85F8">
                <wp:simplePos x="0" y="0"/>
                <wp:positionH relativeFrom="column">
                  <wp:posOffset>2933120</wp:posOffset>
                </wp:positionH>
                <wp:positionV relativeFrom="paragraph">
                  <wp:posOffset>1856823</wp:posOffset>
                </wp:positionV>
                <wp:extent cx="1647190" cy="405516"/>
                <wp:effectExtent l="0" t="0" r="10160" b="13970"/>
                <wp:wrapNone/>
                <wp:docPr id="1709235572" name="Text 11"/>
                <wp:cNvGraphicFramePr/>
                <a:graphic xmlns:a="http://schemas.openxmlformats.org/drawingml/2006/main">
                  <a:graphicData uri="http://schemas.microsoft.com/office/word/2010/wordprocessingShape">
                    <wps:wsp>
                      <wps:cNvSpPr/>
                      <wps:spPr>
                        <a:xfrm>
                          <a:off x="0" y="0"/>
                          <a:ext cx="1647190" cy="405516"/>
                        </a:xfrm>
                        <a:prstGeom prst="rect">
                          <a:avLst/>
                        </a:prstGeom>
                        <a:noFill/>
                        <a:ln>
                          <a:noFill/>
                        </a:ln>
                      </wps:spPr>
                      <wps:txbx>
                        <w:txbxContent>
                          <w:p w14:paraId="72AB8F93" w14:textId="77777777" w:rsidR="00023275" w:rsidRDefault="00023275" w:rsidP="00023275">
                            <w:pPr>
                              <w:rPr>
                                <w:rFonts w:ascii="Nunito" w:eastAsia="Calibri" w:hAnsi="Nunito" w:cs="Calibri"/>
                                <w:b/>
                                <w:bCs/>
                                <w:color w:val="EAF4F7"/>
                                <w:kern w:val="24"/>
                                <w:sz w:val="20"/>
                                <w:szCs w:val="20"/>
                              </w:rPr>
                            </w:pPr>
                            <w:proofErr w:type="spellStart"/>
                            <w:r>
                              <w:rPr>
                                <w:rFonts w:ascii="Nunito" w:eastAsia="Calibri" w:hAnsi="Nunito" w:cs="Calibri"/>
                                <w:b/>
                                <w:bCs/>
                                <w:color w:val="EAF4F7"/>
                                <w:kern w:val="24"/>
                                <w:sz w:val="20"/>
                                <w:szCs w:val="20"/>
                              </w:rPr>
                              <w:t>Deșeuri</w:t>
                            </w:r>
                            <w:proofErr w:type="spellEnd"/>
                            <w:r>
                              <w:rPr>
                                <w:rFonts w:ascii="Nunito" w:eastAsia="Calibri" w:hAnsi="Nunito" w:cs="Calibri"/>
                                <w:b/>
                                <w:bCs/>
                                <w:color w:val="EAF4F7"/>
                                <w:kern w:val="24"/>
                                <w:sz w:val="20"/>
                                <w:szCs w:val="20"/>
                              </w:rPr>
                              <w:t xml:space="preserve"> din </w:t>
                            </w:r>
                            <w:proofErr w:type="spellStart"/>
                            <w:r>
                              <w:rPr>
                                <w:rFonts w:ascii="Nunito" w:eastAsia="Calibri" w:hAnsi="Nunito" w:cs="Calibri"/>
                                <w:b/>
                                <w:bCs/>
                                <w:color w:val="EAF4F7"/>
                                <w:kern w:val="24"/>
                                <w:sz w:val="20"/>
                                <w:szCs w:val="20"/>
                              </w:rPr>
                              <w:t>agricultură</w:t>
                            </w:r>
                            <w:proofErr w:type="spellEnd"/>
                          </w:p>
                          <w:p w14:paraId="3AAFE9F9" w14:textId="77777777" w:rsidR="00023275" w:rsidRDefault="00023275" w:rsidP="00023275">
                            <w:pPr>
                              <w:rPr>
                                <w:rFonts w:ascii="Nunito" w:eastAsia="Calibri" w:hAnsi="Nunito" w:cs="Calibri"/>
                                <w:color w:val="D9E7ED"/>
                                <w:kern w:val="24"/>
                                <w:sz w:val="20"/>
                                <w:szCs w:val="20"/>
                              </w:rPr>
                            </w:pPr>
                            <w:proofErr w:type="spellStart"/>
                            <w:r>
                              <w:rPr>
                                <w:rFonts w:ascii="Nunito" w:eastAsia="Calibri" w:hAnsi="Nunito" w:cs="Calibri"/>
                                <w:color w:val="D9E7ED"/>
                                <w:kern w:val="24"/>
                                <w:sz w:val="20"/>
                                <w:szCs w:val="20"/>
                              </w:rPr>
                              <w:t>silvicultură</w:t>
                            </w:r>
                            <w:proofErr w:type="spellEnd"/>
                            <w:r>
                              <w:rPr>
                                <w:rFonts w:ascii="Nunito" w:eastAsia="Calibri" w:hAnsi="Nunito" w:cs="Calibri"/>
                                <w:color w:val="D9E7ED"/>
                                <w:kern w:val="24"/>
                                <w:sz w:val="20"/>
                                <w:szCs w:val="20"/>
                              </w:rPr>
                              <w:t xml:space="preserve"> </w:t>
                            </w:r>
                            <w:proofErr w:type="spellStart"/>
                            <w:r>
                              <w:rPr>
                                <w:rFonts w:ascii="Nunito" w:eastAsia="Calibri" w:hAnsi="Nunito" w:cs="Calibri"/>
                                <w:color w:val="D9E7ED"/>
                                <w:kern w:val="24"/>
                                <w:sz w:val="20"/>
                                <w:szCs w:val="20"/>
                              </w:rPr>
                              <w:t>și</w:t>
                            </w:r>
                            <w:proofErr w:type="spellEnd"/>
                            <w:r>
                              <w:rPr>
                                <w:rFonts w:ascii="Nunito" w:eastAsia="Calibri" w:hAnsi="Nunito" w:cs="Calibri"/>
                                <w:color w:val="D9E7ED"/>
                                <w:kern w:val="24"/>
                                <w:sz w:val="20"/>
                                <w:szCs w:val="20"/>
                              </w:rPr>
                              <w:t xml:space="preserve"> </w:t>
                            </w:r>
                            <w:proofErr w:type="spellStart"/>
                            <w:r>
                              <w:rPr>
                                <w:rFonts w:ascii="Nunito" w:eastAsia="Calibri" w:hAnsi="Nunito" w:cs="Calibri"/>
                                <w:color w:val="D9E7ED"/>
                                <w:kern w:val="24"/>
                                <w:sz w:val="20"/>
                                <w:szCs w:val="20"/>
                              </w:rPr>
                              <w:t>piscicultură</w:t>
                            </w:r>
                            <w:proofErr w:type="spellEnd"/>
                          </w:p>
                        </w:txbxContent>
                      </wps:txbx>
                      <wps:bodyPr wrap="square" lIns="0" tIns="0" rIns="0" bIns="0" rtlCol="0" anchor="ctr">
                        <a:noAutofit/>
                      </wps:bodyPr>
                    </wps:wsp>
                  </a:graphicData>
                </a:graphic>
                <wp14:sizeRelV relativeFrom="margin">
                  <wp14:pctHeight>0</wp14:pctHeight>
                </wp14:sizeRelV>
              </wp:anchor>
            </w:drawing>
          </mc:Choice>
          <mc:Fallback xmlns:w16cei="http://schemas.microsoft.com/office/word/2026/wordml/cei">
            <w:pict>
              <v:rect w14:anchorId="218D18D0" id="Text 11" o:spid="_x0000_s1026" style="position:absolute;margin-left:230.95pt;margin-top:146.2pt;width:129.7pt;height:31.95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" filled="f" stroked="f">
                <v:textbox inset="0,0,0,0">
                  <w:txbxContent>
                    <w:p w14:paraId="72AB8F93" w14:textId="77777777" w:rsidR="00023275" w:rsidRDefault="00023275" w:rsidP="00023275">
                      <w:pPr>
                        <w:rPr>
                          <w:rFonts w:ascii="Nunito" w:eastAsia="Calibri" w:hAnsi="Nunito" w:cs="Calibri"/>
                          <w:b/>
                          <w:bCs/>
                          <w:color w:val="EAF4F7"/>
                          <w:kern w:val="24"/>
                          <w:sz w:val="20"/>
                          <w:szCs w:val="20"/>
                        </w:rPr>
                      </w:pPr>
                      <w:proofErr w:type="spellStart"/>
                      <w:r>
                        <w:rPr>
                          <w:rFonts w:ascii="Nunito" w:eastAsia="Calibri" w:hAnsi="Nunito" w:cs="Calibri"/>
                          <w:b/>
                          <w:bCs/>
                          <w:color w:val="EAF4F7"/>
                          <w:kern w:val="24"/>
                          <w:sz w:val="20"/>
                          <w:szCs w:val="20"/>
                        </w:rPr>
                        <w:t>Deșeuri</w:t>
                      </w:r>
                      <w:proofErr w:type="spellEnd"/>
                      <w:r>
                        <w:rPr>
                          <w:rFonts w:ascii="Nunito" w:eastAsia="Calibri" w:hAnsi="Nunito" w:cs="Calibri"/>
                          <w:b/>
                          <w:bCs/>
                          <w:color w:val="EAF4F7"/>
                          <w:kern w:val="24"/>
                          <w:sz w:val="20"/>
                          <w:szCs w:val="20"/>
                        </w:rPr>
                        <w:t xml:space="preserve"> din </w:t>
                      </w:r>
                      <w:proofErr w:type="spellStart"/>
                      <w:r>
                        <w:rPr>
                          <w:rFonts w:ascii="Nunito" w:eastAsia="Calibri" w:hAnsi="Nunito" w:cs="Calibri"/>
                          <w:b/>
                          <w:bCs/>
                          <w:color w:val="EAF4F7"/>
                          <w:kern w:val="24"/>
                          <w:sz w:val="20"/>
                          <w:szCs w:val="20"/>
                        </w:rPr>
                        <w:t>agricultură</w:t>
                      </w:r>
                      <w:proofErr w:type="spellEnd"/>
                    </w:p>
                    <w:p w14:paraId="3AAFE9F9" w14:textId="77777777" w:rsidR="00023275" w:rsidRDefault="00023275" w:rsidP="00023275">
                      <w:pPr>
                        <w:rPr>
                          <w:rFonts w:ascii="Nunito" w:eastAsia="Calibri" w:hAnsi="Nunito" w:cs="Calibri"/>
                          <w:color w:val="D9E7ED"/>
                          <w:kern w:val="24"/>
                          <w:sz w:val="20"/>
                          <w:szCs w:val="20"/>
                        </w:rPr>
                      </w:pPr>
                      <w:proofErr w:type="spellStart"/>
                      <w:r>
                        <w:rPr>
                          <w:rFonts w:ascii="Nunito" w:eastAsia="Calibri" w:hAnsi="Nunito" w:cs="Calibri"/>
                          <w:color w:val="D9E7ED"/>
                          <w:kern w:val="24"/>
                          <w:sz w:val="20"/>
                          <w:szCs w:val="20"/>
                        </w:rPr>
                        <w:t>silvicultură</w:t>
                      </w:r>
                      <w:proofErr w:type="spellEnd"/>
                      <w:r>
                        <w:rPr>
                          <w:rFonts w:ascii="Nunito" w:eastAsia="Calibri" w:hAnsi="Nunito" w:cs="Calibri"/>
                          <w:color w:val="D9E7ED"/>
                          <w:kern w:val="24"/>
                          <w:sz w:val="20"/>
                          <w:szCs w:val="20"/>
                        </w:rPr>
                        <w:t xml:space="preserve"> </w:t>
                      </w:r>
                      <w:proofErr w:type="spellStart"/>
                      <w:r>
                        <w:rPr>
                          <w:rFonts w:ascii="Nunito" w:eastAsia="Calibri" w:hAnsi="Nunito" w:cs="Calibri"/>
                          <w:color w:val="D9E7ED"/>
                          <w:kern w:val="24"/>
                          <w:sz w:val="20"/>
                          <w:szCs w:val="20"/>
                        </w:rPr>
                        <w:t>și</w:t>
                      </w:r>
                      <w:proofErr w:type="spellEnd"/>
                      <w:r>
                        <w:rPr>
                          <w:rFonts w:ascii="Nunito" w:eastAsia="Calibri" w:hAnsi="Nunito" w:cs="Calibri"/>
                          <w:color w:val="D9E7ED"/>
                          <w:kern w:val="24"/>
                          <w:sz w:val="20"/>
                          <w:szCs w:val="20"/>
                        </w:rPr>
                        <w:t xml:space="preserve"> </w:t>
                      </w:r>
                      <w:proofErr w:type="spellStart"/>
                      <w:r>
                        <w:rPr>
                          <w:rFonts w:ascii="Nunito" w:eastAsia="Calibri" w:hAnsi="Nunito" w:cs="Calibri"/>
                          <w:color w:val="D9E7ED"/>
                          <w:kern w:val="24"/>
                          <w:sz w:val="20"/>
                          <w:szCs w:val="20"/>
                        </w:rPr>
                        <w:t>piscicultură</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54" behindDoc="0" locked="0" layoutInCell="1" allowOverlap="1" wp14:anchorId="7CB25C58" wp14:editId="618D8DB5">
                <wp:simplePos x="0" y="0"/>
                <wp:positionH relativeFrom="column">
                  <wp:posOffset>18415</wp:posOffset>
                </wp:positionH>
                <wp:positionV relativeFrom="paragraph">
                  <wp:posOffset>3084195</wp:posOffset>
                </wp:positionV>
                <wp:extent cx="6266815" cy="350520"/>
                <wp:effectExtent l="0" t="0" r="635" b="0"/>
                <wp:wrapNone/>
                <wp:docPr id="1316472097" name="Text 0"/>
                <wp:cNvGraphicFramePr/>
                <a:graphic xmlns:a="http://schemas.openxmlformats.org/drawingml/2006/main">
                  <a:graphicData uri="http://schemas.microsoft.com/office/word/2010/wordprocessingShape">
                    <wps:wsp>
                      <wps:cNvSpPr/>
                      <wps:spPr>
                        <a:xfrm>
                          <a:off x="0" y="0"/>
                          <a:ext cx="6266815" cy="350520"/>
                        </a:xfrm>
                        <a:prstGeom prst="rect">
                          <a:avLst/>
                        </a:prstGeom>
                        <a:solidFill>
                          <a:srgbClr val="002060"/>
                        </a:solidFill>
                        <a:ln/>
                      </wps:spPr>
                      <wps:txbx>
                        <w:txbxContent>
                          <w:p w14:paraId="4B9A4436" w14:textId="77777777" w:rsidR="00023275" w:rsidRDefault="00023275" w:rsidP="00023275">
                            <w:pPr>
                              <w:rPr>
                                <w:rFonts w:ascii="Nunito" w:eastAsia="Calibri" w:hAnsi="Calibri" w:cs="Calibri"/>
                                <w:b/>
                                <w:bCs/>
                                <w:color w:val="FF0000"/>
                                <w:kern w:val="24"/>
                                <w:sz w:val="22"/>
                                <w:szCs w:val="22"/>
                              </w:rPr>
                            </w:pPr>
                            <w:r>
                              <w:rPr>
                                <w:rFonts w:ascii="Segoe UI Symbol" w:eastAsia="Calibri" w:hAnsi="Segoe UI Symbol" w:cs="Segoe UI Symbol"/>
                                <w:b/>
                                <w:bCs/>
                                <w:color w:val="FF0000"/>
                                <w:kern w:val="24"/>
                                <w:sz w:val="22"/>
                                <w:szCs w:val="22"/>
                              </w:rPr>
                              <w:t>✗</w:t>
                            </w:r>
                            <w:r>
                              <w:rPr>
                                <w:rFonts w:ascii="Nunito" w:eastAsia="Calibri" w:hAnsi="Nunito" w:cs="Calibri"/>
                                <w:b/>
                                <w:bCs/>
                                <w:color w:val="F1E1D8"/>
                                <w:kern w:val="24"/>
                                <w:sz w:val="22"/>
                                <w:szCs w:val="22"/>
                              </w:rPr>
                              <w:t xml:space="preserve"> Excluse din planificare</w:t>
                            </w:r>
                          </w:p>
                        </w:txbxContent>
                      </wps:txbx>
                      <wps:bodyPr wrap="square" lIns="0" tIns="0" rIns="0" bIns="0" rtlCol="0" anchor="ctr"/>
                    </wps:wsp>
                  </a:graphicData>
                </a:graphic>
              </wp:anchor>
            </w:drawing>
          </mc:Choice>
          <mc:Fallback xmlns:w16cei="http://schemas.microsoft.com/office/word/2026/wordml/cei">
            <w:pict>
              <v:rect w14:anchorId="7CB25C58" id="Text 0" o:spid="_x0000_s1027" style="position:absolute;margin-left:1.45pt;margin-top:242.85pt;width:493.45pt;height:27.6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" fillcolor="#002060" stroked="f">
                <v:textbox inset="0,0,0,0">
                  <w:txbxContent>
                    <w:p w14:paraId="4B9A4436" w14:textId="77777777" w:rsidR="00023275" w:rsidRDefault="00023275" w:rsidP="00023275">
                      <w:pPr>
                        <w:rPr>
                          <w:rFonts w:ascii="Nunito" w:eastAsia="Calibri" w:hAnsi="Calibri" w:cs="Calibri"/>
                          <w:b/>
                          <w:bCs/>
                          <w:color w:val="FF0000"/>
                          <w:kern w:val="24"/>
                          <w:sz w:val="22"/>
                          <w:szCs w:val="22"/>
                        </w:rPr>
                      </w:pPr>
                      <w:r>
                        <w:rPr>
                          <w:rFonts w:ascii="Segoe UI Symbol" w:eastAsia="Calibri" w:hAnsi="Segoe UI Symbol" w:cs="Segoe UI Symbol"/>
                          <w:b/>
                          <w:bCs/>
                          <w:color w:val="FF0000"/>
                          <w:kern w:val="24"/>
                          <w:sz w:val="22"/>
                          <w:szCs w:val="22"/>
                        </w:rPr>
                        <w:t>✗</w:t>
                      </w:r>
                      <w:r>
                        <w:rPr>
                          <w:rFonts w:ascii="Nunito" w:eastAsia="Calibri" w:hAnsi="Nunito" w:cs="Calibri"/>
                          <w:b/>
                          <w:bCs/>
                          <w:color w:val="F1E1D8"/>
                          <w:kern w:val="24"/>
                          <w:sz w:val="22"/>
                          <w:szCs w:val="22"/>
                        </w:rPr>
                        <w:t xml:space="preserve"> </w:t>
                      </w:r>
                      <w:proofErr w:type="spellStart"/>
                      <w:r>
                        <w:rPr>
                          <w:rFonts w:ascii="Nunito" w:eastAsia="Calibri" w:hAnsi="Nunito" w:cs="Calibri"/>
                          <w:b/>
                          <w:bCs/>
                          <w:color w:val="F1E1D8"/>
                          <w:kern w:val="24"/>
                          <w:sz w:val="22"/>
                          <w:szCs w:val="22"/>
                        </w:rPr>
                        <w:t>Excluse</w:t>
                      </w:r>
                      <w:proofErr w:type="spellEnd"/>
                      <w:r>
                        <w:rPr>
                          <w:rFonts w:ascii="Nunito" w:eastAsia="Calibri" w:hAnsi="Nunito" w:cs="Calibri"/>
                          <w:b/>
                          <w:bCs/>
                          <w:color w:val="F1E1D8"/>
                          <w:kern w:val="24"/>
                          <w:sz w:val="22"/>
                          <w:szCs w:val="22"/>
                        </w:rPr>
                        <w:t xml:space="preserve"> din </w:t>
                      </w:r>
                      <w:proofErr w:type="spellStart"/>
                      <w:r>
                        <w:rPr>
                          <w:rFonts w:ascii="Nunito" w:eastAsia="Calibri" w:hAnsi="Nunito" w:cs="Calibri"/>
                          <w:b/>
                          <w:bCs/>
                          <w:color w:val="F1E1D8"/>
                          <w:kern w:val="24"/>
                          <w:sz w:val="22"/>
                          <w:szCs w:val="22"/>
                        </w:rPr>
                        <w:t>planificare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55" behindDoc="0" locked="0" layoutInCell="1" allowOverlap="1" wp14:anchorId="0E824EC5" wp14:editId="1628A5C3">
                <wp:simplePos x="0" y="0"/>
                <wp:positionH relativeFrom="column">
                  <wp:posOffset>-3810</wp:posOffset>
                </wp:positionH>
                <wp:positionV relativeFrom="paragraph">
                  <wp:posOffset>3481705</wp:posOffset>
                </wp:positionV>
                <wp:extent cx="2053590" cy="1842770"/>
                <wp:effectExtent l="0" t="0" r="22860" b="24130"/>
                <wp:wrapNone/>
                <wp:docPr id="1285537139" name="Shape 1"/>
                <wp:cNvGraphicFramePr/>
                <a:graphic xmlns:a="http://schemas.openxmlformats.org/drawingml/2006/main">
                  <a:graphicData uri="http://schemas.microsoft.com/office/word/2010/wordprocessingShape">
                    <wps:wsp>
                      <wps:cNvSpPr/>
                      <wps:spPr>
                        <a:xfrm>
                          <a:off x="0" y="0"/>
                          <a:ext cx="2053590" cy="1842770"/>
                        </a:xfrm>
                        <a:prstGeom prst="roundRect">
                          <a:avLst>
                            <a:gd name="adj" fmla="val 1942"/>
                          </a:avLst>
                        </a:prstGeom>
                        <a:solidFill>
                          <a:srgbClr val="00B0F0"/>
                        </a:solidFill>
                        <a:ln w="13970">
                          <a:solidFill>
                            <a:srgbClr val="8FD3E6"/>
                          </a:solidFill>
                          <a:prstDash val="solid"/>
                        </a:ln>
                      </wps:spPr>
                      <wps:bodyPr/>
                    </wps:wsp>
                  </a:graphicData>
                </a:graphic>
              </wp:anchor>
            </w:drawing>
          </mc:Choice>
          <mc:Fallback xmlns:w16cei="http://schemas.microsoft.com/office/word/2026/wordml/cei" xmlns:arto="http://schemas.microsoft.com/office/word/2006/arto">
            <w:pict>
              <v:roundrect w14:anchorId="28CC28FF" id="Shape 1" o:spid="_x0000_s1026" style="position:absolute;margin-left:-.3pt;margin-top:274.15pt;width:161.7pt;height:145.1pt;z-index:251661824;visibility:visible;mso-wrap-style:square;mso-wrap-distance-left:9pt;mso-wrap-distance-top:0;mso-wrap-distance-right:9pt;mso-wrap-distance-bottom:0;mso-position-horizontal:absolute;mso-position-horizontal-relative:text;mso-position-vertical:absolute;mso-position-vertical-relative:text;v-text-anchor:top" arcsize="12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" fillcolor="#00b0f0" strokecolor="#8fd3e6" strokeweight="1.1pt"/>
            </w:pict>
          </mc:Fallback>
        </mc:AlternateContent>
      </w:r>
      <w:r w:rsidR="00023275" w:rsidRPr="00187708">
        <w:rPr>
          <w:noProof/>
          <w:lang w:val="ro-RO"/>
        </w:rPr>
        <mc:AlternateContent>
          <mc:Choice Requires="wps">
            <w:drawing>
              <wp:anchor distT="0" distB="0" distL="114300" distR="114300" simplePos="0" relativeHeight="251658256" behindDoc="0" locked="0" layoutInCell="1" allowOverlap="1" wp14:anchorId="083C051C" wp14:editId="019CC4D0">
                <wp:simplePos x="0" y="0"/>
                <wp:positionH relativeFrom="column">
                  <wp:posOffset>120650</wp:posOffset>
                </wp:positionH>
                <wp:positionV relativeFrom="paragraph">
                  <wp:posOffset>3599180</wp:posOffset>
                </wp:positionV>
                <wp:extent cx="1704340" cy="387985"/>
                <wp:effectExtent l="0" t="0" r="0" b="0"/>
                <wp:wrapNone/>
                <wp:docPr id="1401745284" name="Text 2"/>
                <wp:cNvGraphicFramePr/>
                <a:graphic xmlns:a="http://schemas.openxmlformats.org/drawingml/2006/main">
                  <a:graphicData uri="http://schemas.microsoft.com/office/word/2010/wordprocessingShape">
                    <wps:wsp>
                      <wps:cNvSpPr/>
                      <wps:spPr>
                        <a:xfrm>
                          <a:off x="0" y="0"/>
                          <a:ext cx="1704340" cy="387985"/>
                        </a:xfrm>
                        <a:prstGeom prst="rect">
                          <a:avLst/>
                        </a:prstGeom>
                        <a:noFill/>
                        <a:ln/>
                      </wps:spPr>
                      <wps:txbx>
                        <w:txbxContent>
                          <w:p w14:paraId="783799C4" w14:textId="77777777" w:rsidR="00023275" w:rsidRDefault="00023275" w:rsidP="00023275">
                            <w:pPr>
                              <w:rPr>
                                <w:rFonts w:ascii="Nunito" w:eastAsia="Calibri" w:hAnsi="Nunito" w:cs="Calibri"/>
                                <w:b/>
                                <w:bCs/>
                                <w:color w:val="EAF4F7"/>
                                <w:kern w:val="24"/>
                              </w:rPr>
                            </w:pPr>
                            <w:r>
                              <w:rPr>
                                <w:rFonts w:ascii="Nunito" w:eastAsia="Calibri" w:hAnsi="Nunito" w:cs="Calibri"/>
                                <w:b/>
                                <w:bCs/>
                                <w:color w:val="EAF4F7"/>
                                <w:kern w:val="24"/>
                              </w:rPr>
                              <w:t>Emisii și soluri</w:t>
                            </w:r>
                          </w:p>
                        </w:txbxContent>
                      </wps:txbx>
                      <wps:bodyPr wrap="square" lIns="0" tIns="0" rIns="0" bIns="0" rtlCol="0" anchor="ctr">
                        <a:normAutofit/>
                      </wps:bodyPr>
                    </wps:wsp>
                  </a:graphicData>
                </a:graphic>
              </wp:anchor>
            </w:drawing>
          </mc:Choice>
          <mc:Fallback xmlns:w16cei="http://schemas.microsoft.com/office/word/2026/wordml/cei">
            <w:pict>
              <v:rect w14:anchorId="083C051C" id="Text 2" o:spid="_x0000_s1028" style="position:absolute;margin-left:9.5pt;margin-top:283.4pt;width:134.2pt;height:30.55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" filled="f" stroked="f">
                <v:textbox inset="0,0,0,0">
                  <w:txbxContent>
                    <w:p w14:paraId="783799C4" w14:textId="77777777" w:rsidR="00023275" w:rsidRDefault="00023275" w:rsidP="00023275">
                      <w:pPr>
                        <w:rPr>
                          <w:rFonts w:ascii="Nunito" w:eastAsia="Calibri" w:hAnsi="Nunito" w:cs="Calibri"/>
                          <w:b/>
                          <w:bCs/>
                          <w:color w:val="EAF4F7"/>
                          <w:kern w:val="24"/>
                        </w:rPr>
                      </w:pPr>
                      <w:proofErr w:type="spellStart"/>
                      <w:r>
                        <w:rPr>
                          <w:rFonts w:ascii="Nunito" w:eastAsia="Calibri" w:hAnsi="Nunito" w:cs="Calibri"/>
                          <w:b/>
                          <w:bCs/>
                          <w:color w:val="EAF4F7"/>
                          <w:kern w:val="24"/>
                        </w:rPr>
                        <w:t>Emisii</w:t>
                      </w:r>
                      <w:proofErr w:type="spellEnd"/>
                      <w:r>
                        <w:rPr>
                          <w:rFonts w:ascii="Nunito" w:eastAsia="Calibri" w:hAnsi="Nunito" w:cs="Calibri"/>
                          <w:b/>
                          <w:bCs/>
                          <w:color w:val="EAF4F7"/>
                          <w:kern w:val="24"/>
                        </w:rPr>
                        <w:t xml:space="preserve"> </w:t>
                      </w:r>
                      <w:proofErr w:type="spellStart"/>
                      <w:r>
                        <w:rPr>
                          <w:rFonts w:ascii="Nunito" w:eastAsia="Calibri" w:hAnsi="Nunito" w:cs="Calibri"/>
                          <w:b/>
                          <w:bCs/>
                          <w:color w:val="EAF4F7"/>
                          <w:kern w:val="24"/>
                        </w:rPr>
                        <w:t>și</w:t>
                      </w:r>
                      <w:proofErr w:type="spellEnd"/>
                      <w:r>
                        <w:rPr>
                          <w:rFonts w:ascii="Nunito" w:eastAsia="Calibri" w:hAnsi="Nunito" w:cs="Calibri"/>
                          <w:b/>
                          <w:bCs/>
                          <w:color w:val="EAF4F7"/>
                          <w:kern w:val="24"/>
                        </w:rPr>
                        <w:t xml:space="preserve"> </w:t>
                      </w:r>
                      <w:proofErr w:type="spellStart"/>
                      <w:r>
                        <w:rPr>
                          <w:rFonts w:ascii="Nunito" w:eastAsia="Calibri" w:hAnsi="Nunito" w:cs="Calibri"/>
                          <w:b/>
                          <w:bCs/>
                          <w:color w:val="EAF4F7"/>
                          <w:kern w:val="24"/>
                        </w:rPr>
                        <w:t>soluri</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57" behindDoc="0" locked="0" layoutInCell="1" allowOverlap="1" wp14:anchorId="76371788" wp14:editId="3A8EB08C">
                <wp:simplePos x="0" y="0"/>
                <wp:positionH relativeFrom="column">
                  <wp:posOffset>177800</wp:posOffset>
                </wp:positionH>
                <wp:positionV relativeFrom="paragraph">
                  <wp:posOffset>4057015</wp:posOffset>
                </wp:positionV>
                <wp:extent cx="1694180" cy="1044575"/>
                <wp:effectExtent l="0" t="0" r="0" b="0"/>
                <wp:wrapNone/>
                <wp:docPr id="1817727372" name="Text 3"/>
                <wp:cNvGraphicFramePr/>
                <a:graphic xmlns:a="http://schemas.openxmlformats.org/drawingml/2006/main">
                  <a:graphicData uri="http://schemas.microsoft.com/office/word/2010/wordprocessingShape">
                    <wps:wsp>
                      <wps:cNvSpPr/>
                      <wps:spPr>
                        <a:xfrm>
                          <a:off x="0" y="0"/>
                          <a:ext cx="1694180" cy="1044575"/>
                        </a:xfrm>
                        <a:prstGeom prst="rect">
                          <a:avLst/>
                        </a:prstGeom>
                        <a:noFill/>
                        <a:ln/>
                      </wps:spPr>
                      <wps:txbx>
                        <w:txbxContent>
                          <w:p w14:paraId="0812DF5B" w14:textId="77777777" w:rsidR="00023275" w:rsidRPr="00FF5F2C" w:rsidRDefault="00023275" w:rsidP="00023275">
                            <w:pPr>
                              <w:rPr>
                                <w:rFonts w:ascii="Nunito" w:eastAsia="Calibri" w:hAnsi="Nunito" w:cs="Calibri"/>
                                <w:color w:val="000000" w:themeColor="text1"/>
                                <w:kern w:val="24"/>
                                <w:lang w:val="fr-FR"/>
                              </w:rPr>
                            </w:pPr>
                            <w:r w:rsidRPr="00FF5F2C">
                              <w:rPr>
                                <w:rFonts w:ascii="Nunito" w:eastAsia="Calibri" w:hAnsi="Nunito" w:cs="Calibri"/>
                                <w:color w:val="000000" w:themeColor="text1"/>
                                <w:kern w:val="24"/>
                                <w:lang w:val="fr-FR"/>
                              </w:rPr>
                              <w:t>Efluenți gazoși</w:t>
                            </w:r>
                          </w:p>
                          <w:p w14:paraId="570F4FF1" w14:textId="77777777" w:rsidR="00023275" w:rsidRPr="00FF5F2C" w:rsidRDefault="00023275" w:rsidP="00023275">
                            <w:pPr>
                              <w:rPr>
                                <w:rFonts w:ascii="Nunito" w:eastAsia="Calibri" w:hAnsi="Nunito" w:cs="Calibri"/>
                                <w:color w:val="000000" w:themeColor="text1"/>
                                <w:kern w:val="24"/>
                                <w:lang w:val="fr-FR"/>
                              </w:rPr>
                            </w:pPr>
                            <w:r w:rsidRPr="00FF5F2C">
                              <w:rPr>
                                <w:rFonts w:ascii="Nunito" w:eastAsia="Calibri" w:hAnsi="Nunito" w:cs="Calibri"/>
                                <w:color w:val="000000" w:themeColor="text1"/>
                                <w:kern w:val="24"/>
                                <w:lang w:val="fr-FR"/>
                              </w:rPr>
                              <w:t>Soluri in situ</w:t>
                            </w:r>
                          </w:p>
                          <w:p w14:paraId="017ABF00" w14:textId="77777777" w:rsidR="00023275" w:rsidRPr="00FF5F2C" w:rsidRDefault="00023275" w:rsidP="00023275">
                            <w:pPr>
                              <w:rPr>
                                <w:rFonts w:ascii="Nunito" w:eastAsia="Calibri" w:hAnsi="Nunito" w:cs="Calibri"/>
                                <w:color w:val="000000" w:themeColor="text1"/>
                                <w:kern w:val="24"/>
                                <w:lang w:val="fr-FR"/>
                              </w:rPr>
                            </w:pPr>
                            <w:r w:rsidRPr="00FF5F2C">
                              <w:rPr>
                                <w:rFonts w:ascii="Nunito" w:eastAsia="Calibri" w:hAnsi="Nunito" w:cs="Calibri"/>
                                <w:color w:val="000000" w:themeColor="text1"/>
                                <w:kern w:val="24"/>
                                <w:lang w:val="fr-FR"/>
                              </w:rPr>
                              <w:t>Soluri necontaminate</w:t>
                            </w:r>
                          </w:p>
                          <w:p w14:paraId="5CFE0C6F"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excavate pentru</w:t>
                            </w:r>
                          </w:p>
                          <w:p w14:paraId="192FE953"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construcții</w:t>
                            </w:r>
                          </w:p>
                        </w:txbxContent>
                      </wps:txbx>
                      <wps:bodyPr wrap="square" lIns="0" tIns="0" rIns="0" bIns="0" rtlCol="0" anchor="t">
                        <a:normAutofit/>
                      </wps:bodyPr>
                    </wps:wsp>
                  </a:graphicData>
                </a:graphic>
              </wp:anchor>
            </w:drawing>
          </mc:Choice>
          <mc:Fallback xmlns:w16cei="http://schemas.microsoft.com/office/word/2026/wordml/cei">
            <w:pict>
              <v:rect w14:anchorId="76371788" id="Text 3" o:spid="_x0000_s1029" style="position:absolute;margin-left:14pt;margin-top:319.45pt;width:133.4pt;height:82.2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" filled="f" stroked="f">
                <v:textbox inset="0,0,0,0">
                  <w:txbxContent>
                    <w:p w14:paraId="0812DF5B" w14:textId="77777777" w:rsidR="00023275" w:rsidRPr="00FF5F2C" w:rsidRDefault="00023275" w:rsidP="00023275">
                      <w:pPr>
                        <w:rPr>
                          <w:rFonts w:ascii="Nunito" w:eastAsia="Calibri" w:hAnsi="Nunito" w:cs="Calibri"/>
                          <w:color w:val="000000" w:themeColor="text1"/>
                          <w:kern w:val="24"/>
                          <w:lang w:val="fr-FR"/>
                        </w:rPr>
                      </w:pPr>
                      <w:proofErr w:type="spellStart"/>
                      <w:r w:rsidRPr="00FF5F2C">
                        <w:rPr>
                          <w:rFonts w:ascii="Nunito" w:eastAsia="Calibri" w:hAnsi="Nunito" w:cs="Calibri"/>
                          <w:color w:val="000000" w:themeColor="text1"/>
                          <w:kern w:val="24"/>
                          <w:lang w:val="fr-FR"/>
                        </w:rPr>
                        <w:t>Efluenți</w:t>
                      </w:r>
                      <w:proofErr w:type="spellEnd"/>
                      <w:r w:rsidRPr="00FF5F2C">
                        <w:rPr>
                          <w:rFonts w:ascii="Nunito" w:eastAsia="Calibri" w:hAnsi="Nunito" w:cs="Calibri"/>
                          <w:color w:val="000000" w:themeColor="text1"/>
                          <w:kern w:val="24"/>
                          <w:lang w:val="fr-FR"/>
                        </w:rPr>
                        <w:t xml:space="preserve"> </w:t>
                      </w:r>
                      <w:proofErr w:type="spellStart"/>
                      <w:r w:rsidRPr="00FF5F2C">
                        <w:rPr>
                          <w:rFonts w:ascii="Nunito" w:eastAsia="Calibri" w:hAnsi="Nunito" w:cs="Calibri"/>
                          <w:color w:val="000000" w:themeColor="text1"/>
                          <w:kern w:val="24"/>
                          <w:lang w:val="fr-FR"/>
                        </w:rPr>
                        <w:t>gazoși</w:t>
                      </w:r>
                      <w:proofErr w:type="spellEnd"/>
                    </w:p>
                    <w:p w14:paraId="570F4FF1" w14:textId="77777777" w:rsidR="00023275" w:rsidRPr="00FF5F2C" w:rsidRDefault="00023275" w:rsidP="00023275">
                      <w:pPr>
                        <w:rPr>
                          <w:rFonts w:ascii="Nunito" w:eastAsia="Calibri" w:hAnsi="Nunito" w:cs="Calibri"/>
                          <w:color w:val="000000" w:themeColor="text1"/>
                          <w:kern w:val="24"/>
                          <w:lang w:val="fr-FR"/>
                        </w:rPr>
                      </w:pPr>
                      <w:r w:rsidRPr="00FF5F2C">
                        <w:rPr>
                          <w:rFonts w:ascii="Nunito" w:eastAsia="Calibri" w:hAnsi="Nunito" w:cs="Calibri"/>
                          <w:color w:val="000000" w:themeColor="text1"/>
                          <w:kern w:val="24"/>
                          <w:lang w:val="fr-FR"/>
                        </w:rPr>
                        <w:t>Soluri in situ</w:t>
                      </w:r>
                    </w:p>
                    <w:p w14:paraId="017ABF00" w14:textId="77777777" w:rsidR="00023275" w:rsidRPr="00FF5F2C" w:rsidRDefault="00023275" w:rsidP="00023275">
                      <w:pPr>
                        <w:rPr>
                          <w:rFonts w:ascii="Nunito" w:eastAsia="Calibri" w:hAnsi="Nunito" w:cs="Calibri"/>
                          <w:color w:val="000000" w:themeColor="text1"/>
                          <w:kern w:val="24"/>
                          <w:lang w:val="fr-FR"/>
                        </w:rPr>
                      </w:pPr>
                      <w:r w:rsidRPr="00FF5F2C">
                        <w:rPr>
                          <w:rFonts w:ascii="Nunito" w:eastAsia="Calibri" w:hAnsi="Nunito" w:cs="Calibri"/>
                          <w:color w:val="000000" w:themeColor="text1"/>
                          <w:kern w:val="24"/>
                          <w:lang w:val="fr-FR"/>
                        </w:rPr>
                        <w:t xml:space="preserve">Soluri </w:t>
                      </w:r>
                      <w:proofErr w:type="spellStart"/>
                      <w:r w:rsidRPr="00FF5F2C">
                        <w:rPr>
                          <w:rFonts w:ascii="Nunito" w:eastAsia="Calibri" w:hAnsi="Nunito" w:cs="Calibri"/>
                          <w:color w:val="000000" w:themeColor="text1"/>
                          <w:kern w:val="24"/>
                          <w:lang w:val="fr-FR"/>
                        </w:rPr>
                        <w:t>necontaminate</w:t>
                      </w:r>
                      <w:proofErr w:type="spellEnd"/>
                    </w:p>
                    <w:p w14:paraId="5CFE0C6F"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 xml:space="preserve">excavate </w:t>
                      </w:r>
                      <w:proofErr w:type="spellStart"/>
                      <w:r>
                        <w:rPr>
                          <w:rFonts w:ascii="Nunito" w:eastAsia="Calibri" w:hAnsi="Nunito" w:cs="Calibri"/>
                          <w:color w:val="000000" w:themeColor="text1"/>
                          <w:kern w:val="24"/>
                        </w:rPr>
                        <w:t>pentru</w:t>
                      </w:r>
                      <w:proofErr w:type="spellEnd"/>
                    </w:p>
                    <w:p w14:paraId="192FE953"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construcții</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58" behindDoc="0" locked="0" layoutInCell="1" allowOverlap="1" wp14:anchorId="0F17BEB5" wp14:editId="1CFBE30C">
                <wp:simplePos x="0" y="0"/>
                <wp:positionH relativeFrom="column">
                  <wp:posOffset>2099310</wp:posOffset>
                </wp:positionH>
                <wp:positionV relativeFrom="paragraph">
                  <wp:posOffset>3484245</wp:posOffset>
                </wp:positionV>
                <wp:extent cx="2053590" cy="1842770"/>
                <wp:effectExtent l="0" t="0" r="22860" b="24130"/>
                <wp:wrapNone/>
                <wp:docPr id="1292043309" name="Shape 4"/>
                <wp:cNvGraphicFramePr/>
                <a:graphic xmlns:a="http://schemas.openxmlformats.org/drawingml/2006/main">
                  <a:graphicData uri="http://schemas.microsoft.com/office/word/2010/wordprocessingShape">
                    <wps:wsp>
                      <wps:cNvSpPr/>
                      <wps:spPr>
                        <a:xfrm>
                          <a:off x="0" y="0"/>
                          <a:ext cx="2053590" cy="1842770"/>
                        </a:xfrm>
                        <a:prstGeom prst="roundRect">
                          <a:avLst>
                            <a:gd name="adj" fmla="val 1942"/>
                          </a:avLst>
                        </a:prstGeom>
                        <a:solidFill>
                          <a:srgbClr val="00B0F0"/>
                        </a:solidFill>
                        <a:ln w="13970">
                          <a:solidFill>
                            <a:srgbClr val="8FD3E6"/>
                          </a:solidFill>
                          <a:prstDash val="solid"/>
                        </a:ln>
                      </wps:spPr>
                      <wps:bodyPr/>
                    </wps:wsp>
                  </a:graphicData>
                </a:graphic>
              </wp:anchor>
            </w:drawing>
          </mc:Choice>
          <mc:Fallback xmlns:w16cei="http://schemas.microsoft.com/office/word/2026/wordml/cei" xmlns:arto="http://schemas.microsoft.com/office/word/2006/arto">
            <w:pict>
              <v:roundrect w14:anchorId="133A7F46" id="Shape 4" o:spid="_x0000_s1026" style="position:absolute;margin-left:165.3pt;margin-top:274.35pt;width:161.7pt;height:145.1pt;z-index:251671040;visibility:visible;mso-wrap-style:square;mso-wrap-distance-left:9pt;mso-wrap-distance-top:0;mso-wrap-distance-right:9pt;mso-wrap-distance-bottom:0;mso-position-horizontal:absolute;mso-position-horizontal-relative:text;mso-position-vertical:absolute;mso-position-vertical-relative:text;v-text-anchor:top" arcsize="12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" fillcolor="#00b0f0" strokecolor="#8fd3e6" strokeweight="1.1pt"/>
            </w:pict>
          </mc:Fallback>
        </mc:AlternateContent>
      </w:r>
      <w:r w:rsidR="00023275" w:rsidRPr="00187708">
        <w:rPr>
          <w:noProof/>
          <w:lang w:val="ro-RO"/>
        </w:rPr>
        <mc:AlternateContent>
          <mc:Choice Requires="wps">
            <w:drawing>
              <wp:anchor distT="0" distB="0" distL="114300" distR="114300" simplePos="0" relativeHeight="251658259" behindDoc="0" locked="0" layoutInCell="1" allowOverlap="1" wp14:anchorId="06420D2B" wp14:editId="2EFFDAE0">
                <wp:simplePos x="0" y="0"/>
                <wp:positionH relativeFrom="column">
                  <wp:posOffset>1885315</wp:posOffset>
                </wp:positionH>
                <wp:positionV relativeFrom="paragraph">
                  <wp:posOffset>3599180</wp:posOffset>
                </wp:positionV>
                <wp:extent cx="1704340" cy="387985"/>
                <wp:effectExtent l="0" t="0" r="0" b="0"/>
                <wp:wrapNone/>
                <wp:docPr id="1981069515" name="Text 5"/>
                <wp:cNvGraphicFramePr/>
                <a:graphic xmlns:a="http://schemas.openxmlformats.org/drawingml/2006/main">
                  <a:graphicData uri="http://schemas.microsoft.com/office/word/2010/wordprocessingShape">
                    <wps:wsp>
                      <wps:cNvSpPr/>
                      <wps:spPr>
                        <a:xfrm>
                          <a:off x="0" y="0"/>
                          <a:ext cx="1704340" cy="387985"/>
                        </a:xfrm>
                        <a:prstGeom prst="rect">
                          <a:avLst/>
                        </a:prstGeom>
                        <a:noFill/>
                        <a:ln/>
                      </wps:spPr>
                      <wps:txbx>
                        <w:txbxContent>
                          <w:p w14:paraId="5E16E2C7" w14:textId="77777777" w:rsidR="00023275" w:rsidRDefault="00023275" w:rsidP="00023275">
                            <w:pPr>
                              <w:jc w:val="center"/>
                              <w:rPr>
                                <w:rFonts w:ascii="Nunito" w:eastAsia="Calibri" w:hAnsi="Nunito" w:cs="Calibri"/>
                                <w:b/>
                                <w:bCs/>
                                <w:color w:val="EAF4F7"/>
                                <w:kern w:val="24"/>
                              </w:rPr>
                            </w:pPr>
                            <w:r>
                              <w:rPr>
                                <w:rFonts w:ascii="Nunito" w:eastAsia="Calibri" w:hAnsi="Nunito" w:cs="Calibri"/>
                                <w:b/>
                                <w:bCs/>
                                <w:color w:val="EAF4F7"/>
                                <w:kern w:val="24"/>
                              </w:rPr>
                              <w:t>Materiale speciale</w:t>
                            </w:r>
                          </w:p>
                        </w:txbxContent>
                      </wps:txbx>
                      <wps:bodyPr wrap="square" lIns="0" tIns="0" rIns="0" bIns="0" rtlCol="0" anchor="ctr">
                        <a:normAutofit/>
                      </wps:bodyPr>
                    </wps:wsp>
                  </a:graphicData>
                </a:graphic>
              </wp:anchor>
            </w:drawing>
          </mc:Choice>
          <mc:Fallback xmlns:w16cei="http://schemas.microsoft.com/office/word/2026/wordml/cei">
            <w:pict>
              <v:rect w14:anchorId="06420D2B" id="Text 5" o:spid="_x0000_s1030" style="position:absolute;margin-left:148.45pt;margin-top:283.4pt;width:134.2pt;height:30.5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" filled="f" stroked="f">
                <v:textbox inset="0,0,0,0">
                  <w:txbxContent>
                    <w:p w14:paraId="5E16E2C7" w14:textId="77777777" w:rsidR="00023275" w:rsidRDefault="00023275" w:rsidP="00023275">
                      <w:pPr>
                        <w:jc w:val="center"/>
                        <w:rPr>
                          <w:rFonts w:ascii="Nunito" w:eastAsia="Calibri" w:hAnsi="Nunito" w:cs="Calibri"/>
                          <w:b/>
                          <w:bCs/>
                          <w:color w:val="EAF4F7"/>
                          <w:kern w:val="24"/>
                        </w:rPr>
                      </w:pPr>
                      <w:proofErr w:type="spellStart"/>
                      <w:r>
                        <w:rPr>
                          <w:rFonts w:ascii="Nunito" w:eastAsia="Calibri" w:hAnsi="Nunito" w:cs="Calibri"/>
                          <w:b/>
                          <w:bCs/>
                          <w:color w:val="EAF4F7"/>
                          <w:kern w:val="24"/>
                        </w:rPr>
                        <w:t>Materiale</w:t>
                      </w:r>
                      <w:proofErr w:type="spellEnd"/>
                      <w:r>
                        <w:rPr>
                          <w:rFonts w:ascii="Nunito" w:eastAsia="Calibri" w:hAnsi="Nunito" w:cs="Calibri"/>
                          <w:b/>
                          <w:bCs/>
                          <w:color w:val="EAF4F7"/>
                          <w:kern w:val="24"/>
                        </w:rPr>
                        <w:t xml:space="preserve"> </w:t>
                      </w:r>
                      <w:proofErr w:type="spellStart"/>
                      <w:r>
                        <w:rPr>
                          <w:rFonts w:ascii="Nunito" w:eastAsia="Calibri" w:hAnsi="Nunito" w:cs="Calibri"/>
                          <w:b/>
                          <w:bCs/>
                          <w:color w:val="EAF4F7"/>
                          <w:kern w:val="24"/>
                        </w:rPr>
                        <w:t>speciale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60" behindDoc="0" locked="0" layoutInCell="1" allowOverlap="1" wp14:anchorId="287C9C51" wp14:editId="4F859A34">
                <wp:simplePos x="0" y="0"/>
                <wp:positionH relativeFrom="column">
                  <wp:posOffset>2249805</wp:posOffset>
                </wp:positionH>
                <wp:positionV relativeFrom="paragraph">
                  <wp:posOffset>3997325</wp:posOffset>
                </wp:positionV>
                <wp:extent cx="1694180" cy="1139825"/>
                <wp:effectExtent l="0" t="0" r="0" b="0"/>
                <wp:wrapNone/>
                <wp:docPr id="203163404" name="Text 6"/>
                <wp:cNvGraphicFramePr/>
                <a:graphic xmlns:a="http://schemas.openxmlformats.org/drawingml/2006/main">
                  <a:graphicData uri="http://schemas.microsoft.com/office/word/2010/wordprocessingShape">
                    <wps:wsp>
                      <wps:cNvSpPr/>
                      <wps:spPr>
                        <a:xfrm>
                          <a:off x="0" y="0"/>
                          <a:ext cx="1694180" cy="1139825"/>
                        </a:xfrm>
                        <a:prstGeom prst="rect">
                          <a:avLst/>
                        </a:prstGeom>
                        <a:noFill/>
                        <a:ln/>
                      </wps:spPr>
                      <wps:txbx>
                        <w:txbxContent>
                          <w:p w14:paraId="2F06CD07"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Deșeuri radioactive</w:t>
                            </w:r>
                          </w:p>
                          <w:p w14:paraId="32F44C20"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Explozivi dezafectați</w:t>
                            </w:r>
                          </w:p>
                          <w:p w14:paraId="61194582"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Materii fecale</w:t>
                            </w:r>
                          </w:p>
                          <w:p w14:paraId="218C7CEC"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(uz agricol/biomasă)</w:t>
                            </w:r>
                          </w:p>
                          <w:p w14:paraId="25A12468"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Ape uzate</w:t>
                            </w:r>
                          </w:p>
                          <w:p w14:paraId="31FE65E0"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Sedimente nepericuloase</w:t>
                            </w:r>
                          </w:p>
                        </w:txbxContent>
                      </wps:txbx>
                      <wps:bodyPr wrap="square" lIns="0" tIns="0" rIns="0" bIns="0" rtlCol="0" anchor="t">
                        <a:normAutofit/>
                      </wps:bodyPr>
                    </wps:wsp>
                  </a:graphicData>
                </a:graphic>
              </wp:anchor>
            </w:drawing>
          </mc:Choice>
          <mc:Fallback xmlns:w16cei="http://schemas.microsoft.com/office/word/2026/wordml/cei">
            <w:pict>
              <v:rect w14:anchorId="287C9C51" id="Text 6" o:spid="_x0000_s1031" style="position:absolute;margin-left:177.15pt;margin-top:314.75pt;width:133.4pt;height:89.7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" filled="f" stroked="f">
                <v:textbox inset="0,0,0,0">
                  <w:txbxContent>
                    <w:p w14:paraId="2F06CD07"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Deșeuri</w:t>
                      </w:r>
                      <w:proofErr w:type="spellEnd"/>
                      <w:r>
                        <w:rPr>
                          <w:rFonts w:ascii="Nunito" w:eastAsia="Calibri" w:hAnsi="Nunito" w:cs="Calibri"/>
                          <w:color w:val="000000" w:themeColor="text1"/>
                          <w:kern w:val="24"/>
                        </w:rPr>
                        <w:t xml:space="preserve"> radioactive</w:t>
                      </w:r>
                    </w:p>
                    <w:p w14:paraId="32F44C20"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Explozivi</w:t>
                      </w:r>
                      <w:proofErr w:type="spellEnd"/>
                      <w:r>
                        <w:rPr>
                          <w:rFonts w:ascii="Nunito" w:eastAsia="Calibri" w:hAnsi="Nunito" w:cs="Calibri"/>
                          <w:color w:val="000000" w:themeColor="text1"/>
                          <w:kern w:val="24"/>
                        </w:rPr>
                        <w:t xml:space="preserve"> </w:t>
                      </w:r>
                      <w:proofErr w:type="spellStart"/>
                      <w:r>
                        <w:rPr>
                          <w:rFonts w:ascii="Nunito" w:eastAsia="Calibri" w:hAnsi="Nunito" w:cs="Calibri"/>
                          <w:color w:val="000000" w:themeColor="text1"/>
                          <w:kern w:val="24"/>
                        </w:rPr>
                        <w:t>dezafectați</w:t>
                      </w:r>
                      <w:proofErr w:type="spellEnd"/>
                    </w:p>
                    <w:p w14:paraId="61194582"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Materii</w:t>
                      </w:r>
                      <w:proofErr w:type="spellEnd"/>
                      <w:r>
                        <w:rPr>
                          <w:rFonts w:ascii="Nunito" w:eastAsia="Calibri" w:hAnsi="Nunito" w:cs="Calibri"/>
                          <w:color w:val="000000" w:themeColor="text1"/>
                          <w:kern w:val="24"/>
                        </w:rPr>
                        <w:t xml:space="preserve"> </w:t>
                      </w:r>
                      <w:proofErr w:type="spellStart"/>
                      <w:r>
                        <w:rPr>
                          <w:rFonts w:ascii="Nunito" w:eastAsia="Calibri" w:hAnsi="Nunito" w:cs="Calibri"/>
                          <w:color w:val="000000" w:themeColor="text1"/>
                          <w:kern w:val="24"/>
                        </w:rPr>
                        <w:t>fecale</w:t>
                      </w:r>
                      <w:proofErr w:type="spellEnd"/>
                    </w:p>
                    <w:p w14:paraId="218C7CEC"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w:t>
                      </w:r>
                      <w:proofErr w:type="spellStart"/>
                      <w:r>
                        <w:rPr>
                          <w:rFonts w:ascii="Nunito" w:eastAsia="Calibri" w:hAnsi="Nunito" w:cs="Calibri"/>
                          <w:color w:val="000000" w:themeColor="text1"/>
                          <w:kern w:val="24"/>
                        </w:rPr>
                        <w:t>uz</w:t>
                      </w:r>
                      <w:proofErr w:type="spellEnd"/>
                      <w:r>
                        <w:rPr>
                          <w:rFonts w:ascii="Nunito" w:eastAsia="Calibri" w:hAnsi="Nunito" w:cs="Calibri"/>
                          <w:color w:val="000000" w:themeColor="text1"/>
                          <w:kern w:val="24"/>
                        </w:rPr>
                        <w:t xml:space="preserve"> </w:t>
                      </w:r>
                      <w:proofErr w:type="spellStart"/>
                      <w:r>
                        <w:rPr>
                          <w:rFonts w:ascii="Nunito" w:eastAsia="Calibri" w:hAnsi="Nunito" w:cs="Calibri"/>
                          <w:color w:val="000000" w:themeColor="text1"/>
                          <w:kern w:val="24"/>
                        </w:rPr>
                        <w:t>agricol</w:t>
                      </w:r>
                      <w:proofErr w:type="spellEnd"/>
                      <w:r>
                        <w:rPr>
                          <w:rFonts w:ascii="Nunito" w:eastAsia="Calibri" w:hAnsi="Nunito" w:cs="Calibri"/>
                          <w:color w:val="000000" w:themeColor="text1"/>
                          <w:kern w:val="24"/>
                        </w:rPr>
                        <w:t>/</w:t>
                      </w:r>
                      <w:proofErr w:type="spellStart"/>
                      <w:r>
                        <w:rPr>
                          <w:rFonts w:ascii="Nunito" w:eastAsia="Calibri" w:hAnsi="Nunito" w:cs="Calibri"/>
                          <w:color w:val="000000" w:themeColor="text1"/>
                          <w:kern w:val="24"/>
                        </w:rPr>
                        <w:t>biomasă</w:t>
                      </w:r>
                      <w:proofErr w:type="spellEnd"/>
                      <w:r>
                        <w:rPr>
                          <w:rFonts w:ascii="Nunito" w:eastAsia="Calibri" w:hAnsi="Nunito" w:cs="Calibri"/>
                          <w:color w:val="000000" w:themeColor="text1"/>
                          <w:kern w:val="24"/>
                        </w:rPr>
                        <w:t>)</w:t>
                      </w:r>
                    </w:p>
                    <w:p w14:paraId="25A12468"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 xml:space="preserve">Ape </w:t>
                      </w:r>
                      <w:proofErr w:type="spellStart"/>
                      <w:r>
                        <w:rPr>
                          <w:rFonts w:ascii="Nunito" w:eastAsia="Calibri" w:hAnsi="Nunito" w:cs="Calibri"/>
                          <w:color w:val="000000" w:themeColor="text1"/>
                          <w:kern w:val="24"/>
                        </w:rPr>
                        <w:t>uzate</w:t>
                      </w:r>
                      <w:proofErr w:type="spellEnd"/>
                    </w:p>
                    <w:p w14:paraId="31FE65E0"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Sedimente</w:t>
                      </w:r>
                      <w:proofErr w:type="spellEnd"/>
                      <w:r>
                        <w:rPr>
                          <w:rFonts w:ascii="Nunito" w:eastAsia="Calibri" w:hAnsi="Nunito" w:cs="Calibri"/>
                          <w:color w:val="000000" w:themeColor="text1"/>
                          <w:kern w:val="24"/>
                        </w:rPr>
                        <w:t xml:space="preserve"> </w:t>
                      </w:r>
                      <w:proofErr w:type="spellStart"/>
                      <w:r>
                        <w:rPr>
                          <w:rFonts w:ascii="Nunito" w:eastAsia="Calibri" w:hAnsi="Nunito" w:cs="Calibri"/>
                          <w:color w:val="000000" w:themeColor="text1"/>
                          <w:kern w:val="24"/>
                        </w:rPr>
                        <w:t>nepericuloase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61" behindDoc="0" locked="0" layoutInCell="1" allowOverlap="1" wp14:anchorId="5379A15E" wp14:editId="7C30833D">
                <wp:simplePos x="0" y="0"/>
                <wp:positionH relativeFrom="column">
                  <wp:posOffset>4232275</wp:posOffset>
                </wp:positionH>
                <wp:positionV relativeFrom="paragraph">
                  <wp:posOffset>3492500</wp:posOffset>
                </wp:positionV>
                <wp:extent cx="2053590" cy="1842770"/>
                <wp:effectExtent l="0" t="0" r="22860" b="24130"/>
                <wp:wrapNone/>
                <wp:docPr id="729204592" name="Shape 7"/>
                <wp:cNvGraphicFramePr/>
                <a:graphic xmlns:a="http://schemas.openxmlformats.org/drawingml/2006/main">
                  <a:graphicData uri="http://schemas.microsoft.com/office/word/2010/wordprocessingShape">
                    <wps:wsp>
                      <wps:cNvSpPr/>
                      <wps:spPr>
                        <a:xfrm>
                          <a:off x="0" y="0"/>
                          <a:ext cx="2053590" cy="1842770"/>
                        </a:xfrm>
                        <a:prstGeom prst="roundRect">
                          <a:avLst>
                            <a:gd name="adj" fmla="val 1942"/>
                          </a:avLst>
                        </a:prstGeom>
                        <a:solidFill>
                          <a:srgbClr val="00B0F0"/>
                        </a:solidFill>
                        <a:ln w="13970">
                          <a:solidFill>
                            <a:srgbClr val="8FD3E6"/>
                          </a:solidFill>
                          <a:prstDash val="solid"/>
                        </a:ln>
                      </wps:spPr>
                      <wps:bodyPr/>
                    </wps:wsp>
                  </a:graphicData>
                </a:graphic>
              </wp:anchor>
            </w:drawing>
          </mc:Choice>
          <mc:Fallback xmlns:w16cei="http://schemas.microsoft.com/office/word/2026/wordml/cei" xmlns:arto="http://schemas.microsoft.com/office/word/2006/arto">
            <w:pict>
              <v:roundrect w14:anchorId="7C39E7F8" id="Shape 7" o:spid="_x0000_s1026" style="position:absolute;margin-left:333.25pt;margin-top:275pt;width:161.7pt;height:145.1pt;z-index:251680256;visibility:visible;mso-wrap-style:square;mso-wrap-distance-left:9pt;mso-wrap-distance-top:0;mso-wrap-distance-right:9pt;mso-wrap-distance-bottom:0;mso-position-horizontal:absolute;mso-position-horizontal-relative:text;mso-position-vertical:absolute;mso-position-vertical-relative:text;v-text-anchor:top" arcsize="127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" fillcolor="#00b0f0" strokecolor="#8fd3e6" strokeweight="1.1pt"/>
            </w:pict>
          </mc:Fallback>
        </mc:AlternateContent>
      </w:r>
      <w:r w:rsidR="00023275" w:rsidRPr="00187708">
        <w:rPr>
          <w:noProof/>
          <w:lang w:val="ro-RO"/>
        </w:rPr>
        <mc:AlternateContent>
          <mc:Choice Requires="wps">
            <w:drawing>
              <wp:anchor distT="0" distB="0" distL="114300" distR="114300" simplePos="0" relativeHeight="251658262" behindDoc="0" locked="0" layoutInCell="1" allowOverlap="1" wp14:anchorId="6C27B12B" wp14:editId="49C4C21F">
                <wp:simplePos x="0" y="0"/>
                <wp:positionH relativeFrom="column">
                  <wp:posOffset>4351020</wp:posOffset>
                </wp:positionH>
                <wp:positionV relativeFrom="paragraph">
                  <wp:posOffset>3574415</wp:posOffset>
                </wp:positionV>
                <wp:extent cx="1704340" cy="387985"/>
                <wp:effectExtent l="0" t="0" r="0" b="0"/>
                <wp:wrapNone/>
                <wp:docPr id="815854444" name="Text 8"/>
                <wp:cNvGraphicFramePr/>
                <a:graphic xmlns:a="http://schemas.openxmlformats.org/drawingml/2006/main">
                  <a:graphicData uri="http://schemas.microsoft.com/office/word/2010/wordprocessingShape">
                    <wps:wsp>
                      <wps:cNvSpPr/>
                      <wps:spPr>
                        <a:xfrm>
                          <a:off x="0" y="0"/>
                          <a:ext cx="1704340" cy="387985"/>
                        </a:xfrm>
                        <a:prstGeom prst="rect">
                          <a:avLst/>
                        </a:prstGeom>
                        <a:noFill/>
                        <a:ln/>
                      </wps:spPr>
                      <wps:txbx>
                        <w:txbxContent>
                          <w:p w14:paraId="07970FC8" w14:textId="77777777" w:rsidR="00023275" w:rsidRDefault="00023275" w:rsidP="00023275">
                            <w:pPr>
                              <w:rPr>
                                <w:rFonts w:ascii="Nunito" w:eastAsia="Calibri" w:hAnsi="Nunito" w:cs="Calibri"/>
                                <w:b/>
                                <w:bCs/>
                                <w:color w:val="EAF4F7"/>
                                <w:kern w:val="24"/>
                              </w:rPr>
                            </w:pPr>
                            <w:r>
                              <w:rPr>
                                <w:rFonts w:ascii="Nunito" w:eastAsia="Calibri" w:hAnsi="Nunito" w:cs="Calibri"/>
                                <w:b/>
                                <w:bCs/>
                                <w:color w:val="EAF4F7"/>
                                <w:kern w:val="24"/>
                              </w:rPr>
                              <w:t>Alte reglementări</w:t>
                            </w:r>
                          </w:p>
                        </w:txbxContent>
                      </wps:txbx>
                      <wps:bodyPr wrap="square" lIns="0" tIns="0" rIns="0" bIns="0" rtlCol="0" anchor="ctr">
                        <a:normAutofit/>
                      </wps:bodyPr>
                    </wps:wsp>
                  </a:graphicData>
                </a:graphic>
              </wp:anchor>
            </w:drawing>
          </mc:Choice>
          <mc:Fallback xmlns:w16cei="http://schemas.microsoft.com/office/word/2026/wordml/cei">
            <w:pict>
              <v:rect w14:anchorId="6C27B12B" id="Text 8" o:spid="_x0000_s1032" style="position:absolute;margin-left:342.6pt;margin-top:281.45pt;width:134.2pt;height:30.55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" filled="f" stroked="f">
                <v:textbox inset="0,0,0,0">
                  <w:txbxContent>
                    <w:p w14:paraId="07970FC8" w14:textId="77777777" w:rsidR="00023275" w:rsidRDefault="00023275" w:rsidP="00023275">
                      <w:pPr>
                        <w:rPr>
                          <w:rFonts w:ascii="Nunito" w:eastAsia="Calibri" w:hAnsi="Nunito" w:cs="Calibri"/>
                          <w:b/>
                          <w:bCs/>
                          <w:color w:val="EAF4F7"/>
                          <w:kern w:val="24"/>
                        </w:rPr>
                      </w:pPr>
                      <w:r>
                        <w:rPr>
                          <w:rFonts w:ascii="Nunito" w:eastAsia="Calibri" w:hAnsi="Nunito" w:cs="Calibri"/>
                          <w:b/>
                          <w:bCs/>
                          <w:color w:val="EAF4F7"/>
                          <w:kern w:val="24"/>
                        </w:rPr>
                        <w:t xml:space="preserve">Alte </w:t>
                      </w:r>
                      <w:proofErr w:type="spellStart"/>
                      <w:r>
                        <w:rPr>
                          <w:rFonts w:ascii="Nunito" w:eastAsia="Calibri" w:hAnsi="Nunito" w:cs="Calibri"/>
                          <w:b/>
                          <w:bCs/>
                          <w:color w:val="EAF4F7"/>
                          <w:kern w:val="24"/>
                        </w:rPr>
                        <w:t>reglementări</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63" behindDoc="0" locked="0" layoutInCell="1" allowOverlap="1" wp14:anchorId="1C57F0B6" wp14:editId="74BA3A99">
                <wp:simplePos x="0" y="0"/>
                <wp:positionH relativeFrom="column">
                  <wp:posOffset>4303699</wp:posOffset>
                </wp:positionH>
                <wp:positionV relativeFrom="paragraph">
                  <wp:posOffset>3988076</wp:posOffset>
                </wp:positionV>
                <wp:extent cx="1816039" cy="1077131"/>
                <wp:effectExtent l="0" t="0" r="0" b="0"/>
                <wp:wrapNone/>
                <wp:docPr id="121532147" name="Text 9"/>
                <wp:cNvGraphicFramePr/>
                <a:graphic xmlns:a="http://schemas.openxmlformats.org/drawingml/2006/main">
                  <a:graphicData uri="http://schemas.microsoft.com/office/word/2010/wordprocessingShape">
                    <wps:wsp>
                      <wps:cNvSpPr/>
                      <wps:spPr>
                        <a:xfrm>
                          <a:off x="0" y="0"/>
                          <a:ext cx="1816039" cy="1077131"/>
                        </a:xfrm>
                        <a:prstGeom prst="rect">
                          <a:avLst/>
                        </a:prstGeom>
                        <a:noFill/>
                        <a:ln/>
                      </wps:spPr>
                      <wps:txbx>
                        <w:txbxContent>
                          <w:p w14:paraId="4945111F"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Subproduse animale (Reg. CE 1069/2009)</w:t>
                            </w:r>
                          </w:p>
                          <w:p w14:paraId="79AEA534"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Carcase de animale (epizootii)</w:t>
                            </w:r>
                          </w:p>
                          <w:p w14:paraId="3C04BF04"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Deșeuri extractive (HG 856/2008)</w:t>
                            </w:r>
                          </w:p>
                          <w:p w14:paraId="1D20D180" w14:textId="77777777" w:rsidR="00023275" w:rsidRDefault="00023275" w:rsidP="00023275">
                            <w:pPr>
                              <w:rPr>
                                <w:rFonts w:ascii="Nunito" w:eastAsia="Calibri" w:hAnsi="Nunito" w:cs="Calibri"/>
                                <w:color w:val="000000" w:themeColor="text1"/>
                                <w:kern w:val="24"/>
                              </w:rPr>
                            </w:pPr>
                            <w:r>
                              <w:rPr>
                                <w:rFonts w:ascii="Nunito" w:eastAsia="Calibri" w:hAnsi="Nunito" w:cs="Calibri"/>
                                <w:color w:val="000000" w:themeColor="text1"/>
                                <w:kern w:val="24"/>
                              </w:rPr>
                              <w:t>Materii prime pentru furaje</w:t>
                            </w:r>
                          </w:p>
                        </w:txbxContent>
                      </wps:txbx>
                      <wps:bodyPr wrap="square" lIns="0" tIns="0" rIns="0" bIns="0" rtlCol="0" anchor="t">
                        <a:normAutofit/>
                      </wps:bodyPr>
                    </wps:wsp>
                  </a:graphicData>
                </a:graphic>
              </wp:anchor>
            </w:drawing>
          </mc:Choice>
          <mc:Fallback xmlns:w16cei="http://schemas.microsoft.com/office/word/2026/wordml/cei">
            <w:pict>
              <v:rect w14:anchorId="1C57F0B6" id="Text 9" o:spid="_x0000_s1033" style="position:absolute;margin-left:338.85pt;margin-top:314pt;width:143pt;height:84.8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" filled="f" stroked="f">
                <v:textbox inset="0,0,0,0">
                  <w:txbxContent>
                    <w:p w14:paraId="4945111F"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Subproduse</w:t>
                      </w:r>
                      <w:proofErr w:type="spellEnd"/>
                      <w:r>
                        <w:rPr>
                          <w:rFonts w:ascii="Nunito" w:eastAsia="Calibri" w:hAnsi="Nunito" w:cs="Calibri"/>
                          <w:color w:val="000000" w:themeColor="text1"/>
                          <w:kern w:val="24"/>
                        </w:rPr>
                        <w:t xml:space="preserve"> </w:t>
                      </w:r>
                      <w:proofErr w:type="spellStart"/>
                      <w:r>
                        <w:rPr>
                          <w:rFonts w:ascii="Nunito" w:eastAsia="Calibri" w:hAnsi="Nunito" w:cs="Calibri"/>
                          <w:color w:val="000000" w:themeColor="text1"/>
                          <w:kern w:val="24"/>
                        </w:rPr>
                        <w:t>animale</w:t>
                      </w:r>
                      <w:proofErr w:type="spellEnd"/>
                      <w:r>
                        <w:rPr>
                          <w:rFonts w:ascii="Nunito" w:eastAsia="Calibri" w:hAnsi="Nunito" w:cs="Calibri"/>
                          <w:color w:val="000000" w:themeColor="text1"/>
                          <w:kern w:val="24"/>
                        </w:rPr>
                        <w:t xml:space="preserve"> (Reg. CE 1069/2009)</w:t>
                      </w:r>
                    </w:p>
                    <w:p w14:paraId="79AEA534"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Carcase</w:t>
                      </w:r>
                      <w:proofErr w:type="spellEnd"/>
                      <w:r>
                        <w:rPr>
                          <w:rFonts w:ascii="Nunito" w:eastAsia="Calibri" w:hAnsi="Nunito" w:cs="Calibri"/>
                          <w:color w:val="000000" w:themeColor="text1"/>
                          <w:kern w:val="24"/>
                        </w:rPr>
                        <w:t xml:space="preserve"> de </w:t>
                      </w:r>
                      <w:proofErr w:type="spellStart"/>
                      <w:r>
                        <w:rPr>
                          <w:rFonts w:ascii="Nunito" w:eastAsia="Calibri" w:hAnsi="Nunito" w:cs="Calibri"/>
                          <w:color w:val="000000" w:themeColor="text1"/>
                          <w:kern w:val="24"/>
                        </w:rPr>
                        <w:t>animale</w:t>
                      </w:r>
                      <w:proofErr w:type="spellEnd"/>
                      <w:r>
                        <w:rPr>
                          <w:rFonts w:ascii="Nunito" w:eastAsia="Calibri" w:hAnsi="Nunito" w:cs="Calibri"/>
                          <w:color w:val="000000" w:themeColor="text1"/>
                          <w:kern w:val="24"/>
                        </w:rPr>
                        <w:t xml:space="preserve"> (</w:t>
                      </w:r>
                      <w:proofErr w:type="spellStart"/>
                      <w:r>
                        <w:rPr>
                          <w:rFonts w:ascii="Nunito" w:eastAsia="Calibri" w:hAnsi="Nunito" w:cs="Calibri"/>
                          <w:color w:val="000000" w:themeColor="text1"/>
                          <w:kern w:val="24"/>
                        </w:rPr>
                        <w:t>epizootii</w:t>
                      </w:r>
                      <w:proofErr w:type="spellEnd"/>
                      <w:r>
                        <w:rPr>
                          <w:rFonts w:ascii="Nunito" w:eastAsia="Calibri" w:hAnsi="Nunito" w:cs="Calibri"/>
                          <w:color w:val="000000" w:themeColor="text1"/>
                          <w:kern w:val="24"/>
                        </w:rPr>
                        <w:t>)</w:t>
                      </w:r>
                    </w:p>
                    <w:p w14:paraId="3C04BF04"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Deșeuri</w:t>
                      </w:r>
                      <w:proofErr w:type="spellEnd"/>
                      <w:r>
                        <w:rPr>
                          <w:rFonts w:ascii="Nunito" w:eastAsia="Calibri" w:hAnsi="Nunito" w:cs="Calibri"/>
                          <w:color w:val="000000" w:themeColor="text1"/>
                          <w:kern w:val="24"/>
                        </w:rPr>
                        <w:t xml:space="preserve"> extractive (HG 856/2008)</w:t>
                      </w:r>
                    </w:p>
                    <w:p w14:paraId="1D20D180" w14:textId="77777777" w:rsidR="00023275" w:rsidRDefault="00023275" w:rsidP="00023275">
                      <w:pPr>
                        <w:rPr>
                          <w:rFonts w:ascii="Nunito" w:eastAsia="Calibri" w:hAnsi="Nunito" w:cs="Calibri"/>
                          <w:color w:val="000000" w:themeColor="text1"/>
                          <w:kern w:val="24"/>
                        </w:rPr>
                      </w:pPr>
                      <w:proofErr w:type="spellStart"/>
                      <w:r>
                        <w:rPr>
                          <w:rFonts w:ascii="Nunito" w:eastAsia="Calibri" w:hAnsi="Nunito" w:cs="Calibri"/>
                          <w:color w:val="000000" w:themeColor="text1"/>
                          <w:kern w:val="24"/>
                        </w:rPr>
                        <w:t>Materii</w:t>
                      </w:r>
                      <w:proofErr w:type="spellEnd"/>
                      <w:r>
                        <w:rPr>
                          <w:rFonts w:ascii="Nunito" w:eastAsia="Calibri" w:hAnsi="Nunito" w:cs="Calibri"/>
                          <w:color w:val="000000" w:themeColor="text1"/>
                          <w:kern w:val="24"/>
                        </w:rPr>
                        <w:t xml:space="preserve"> prime </w:t>
                      </w:r>
                      <w:proofErr w:type="spellStart"/>
                      <w:r>
                        <w:rPr>
                          <w:rFonts w:ascii="Nunito" w:eastAsia="Calibri" w:hAnsi="Nunito" w:cs="Calibri"/>
                          <w:color w:val="000000" w:themeColor="text1"/>
                          <w:kern w:val="24"/>
                        </w:rPr>
                        <w:t>pentru</w:t>
                      </w:r>
                      <w:proofErr w:type="spellEnd"/>
                      <w:r>
                        <w:rPr>
                          <w:rFonts w:ascii="Nunito" w:eastAsia="Calibri" w:hAnsi="Nunito" w:cs="Calibri"/>
                          <w:color w:val="000000" w:themeColor="text1"/>
                          <w:kern w:val="24"/>
                        </w:rPr>
                        <w:t xml:space="preserve"> </w:t>
                      </w:r>
                      <w:proofErr w:type="spellStart"/>
                      <w:r>
                        <w:rPr>
                          <w:rFonts w:ascii="Nunito" w:eastAsia="Calibri" w:hAnsi="Nunito" w:cs="Calibri"/>
                          <w:color w:val="000000" w:themeColor="text1"/>
                          <w:kern w:val="24"/>
                        </w:rPr>
                        <w:t>furaje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47" behindDoc="0" locked="0" layoutInCell="1" allowOverlap="1" wp14:anchorId="27670089" wp14:editId="358C5279">
                <wp:simplePos x="0" y="0"/>
                <wp:positionH relativeFrom="column">
                  <wp:posOffset>54748</wp:posOffset>
                </wp:positionH>
                <wp:positionV relativeFrom="paragraph">
                  <wp:posOffset>964068</wp:posOffset>
                </wp:positionV>
                <wp:extent cx="2456953" cy="1844703"/>
                <wp:effectExtent l="0" t="0" r="0" b="0"/>
                <wp:wrapNone/>
                <wp:docPr id="1782723997" name="Text 7"/>
                <wp:cNvGraphicFramePr/>
                <a:graphic xmlns:a="http://schemas.openxmlformats.org/drawingml/2006/main">
                  <a:graphicData uri="http://schemas.microsoft.com/office/word/2010/wordprocessingShape">
                    <wps:wsp>
                      <wps:cNvSpPr/>
                      <wps:spPr>
                        <a:xfrm>
                          <a:off x="0" y="0"/>
                          <a:ext cx="2456953" cy="1844703"/>
                        </a:xfrm>
                        <a:prstGeom prst="rect">
                          <a:avLst/>
                        </a:prstGeom>
                        <a:noFill/>
                        <a:ln/>
                      </wps:spPr>
                      <wps:txbx>
                        <w:txbxContent>
                          <w:p w14:paraId="0F11D533"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Deșeuri alimentare</w:t>
                            </w:r>
                          </w:p>
                          <w:p w14:paraId="3A2CB3C2"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Deșeuri de ambalaje</w:t>
                            </w:r>
                          </w:p>
                          <w:p w14:paraId="5FF8F616"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Echipamente electrice (DEEE)</w:t>
                            </w:r>
                          </w:p>
                          <w:p w14:paraId="6D05974F"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Baterii și acumulatori</w:t>
                            </w:r>
                          </w:p>
                          <w:p w14:paraId="0A8AB26E"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Vehicule scoase din uz</w:t>
                            </w:r>
                          </w:p>
                          <w:p w14:paraId="05EBDBD7"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Anvelope uzate</w:t>
                            </w:r>
                          </w:p>
                          <w:p w14:paraId="445D6B39"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Uleiuri uzate</w:t>
                            </w:r>
                          </w:p>
                          <w:p w14:paraId="4EE73250"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Construcții și desființări</w:t>
                            </w:r>
                          </w:p>
                          <w:p w14:paraId="16820147"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Nămoluri de la epurare</w:t>
                            </w:r>
                          </w:p>
                          <w:p w14:paraId="1477CEF2"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Deșeuri cu PCB / azbest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7670089" id="Text 7" o:spid="_x0000_s1034" style="position:absolute;margin-left:4.3pt;margin-top:75.9pt;width:193.45pt;height:145.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" filled="f" stroked="f">
                <v:textbox inset="0,0,0,0">
                  <w:txbxContent>
                    <w:p w14:paraId="0F11D533"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Deșeuri alimentare</w:t>
                      </w:r>
                    </w:p>
                    <w:p w14:paraId="3A2CB3C2"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Deșeuri de ambalaje</w:t>
                      </w:r>
                    </w:p>
                    <w:p w14:paraId="5FF8F616"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Echipamente electrice (DEEE)</w:t>
                      </w:r>
                    </w:p>
                    <w:p w14:paraId="6D05974F"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Baterii și acumulatori</w:t>
                      </w:r>
                    </w:p>
                    <w:p w14:paraId="0A8AB26E"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Vehicule scoase din uz</w:t>
                      </w:r>
                    </w:p>
                    <w:p w14:paraId="05EBDBD7"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Anvelope uzate</w:t>
                      </w:r>
                    </w:p>
                    <w:p w14:paraId="445D6B39"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Uleiuri uzate</w:t>
                      </w:r>
                    </w:p>
                    <w:p w14:paraId="4EE73250"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Construcții și desființări</w:t>
                      </w:r>
                    </w:p>
                    <w:p w14:paraId="16820147"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Nămoluri de la epurare</w:t>
                      </w:r>
                    </w:p>
                    <w:p w14:paraId="1477CEF2" w14:textId="77777777" w:rsidR="00023275" w:rsidRPr="00FF5F2C" w:rsidRDefault="00023275" w:rsidP="00023275">
                      <w:pPr>
                        <w:rPr>
                          <w:rFonts w:ascii="Nunito" w:eastAsia="Calibri" w:hAnsi="Nunito" w:cs="Calibri"/>
                          <w:kern w:val="24"/>
                          <w:sz w:val="20"/>
                          <w:szCs w:val="20"/>
                          <w:lang w:val="pt-PT"/>
                        </w:rPr>
                      </w:pPr>
                      <w:r w:rsidRPr="00FF5F2C">
                        <w:rPr>
                          <w:rFonts w:ascii="Nunito" w:eastAsia="Calibri" w:hAnsi="Nunito" w:cs="Calibri"/>
                          <w:kern w:val="24"/>
                          <w:sz w:val="20"/>
                          <w:szCs w:val="20"/>
                          <w:lang w:val="pt-PT"/>
                        </w:rPr>
                        <w:t>• Deșeuri cu PCB / azbest</w:t>
                      </w:r>
                    </w:p>
                  </w:txbxContent>
                </v:textbox>
              </v:rect>
            </w:pict>
          </mc:Fallback>
        </mc:AlternateContent>
      </w:r>
      <w:r w:rsidR="00023275" w:rsidRPr="00187708">
        <w:rPr>
          <w:noProof/>
          <w:lang w:val="ro-RO"/>
        </w:rPr>
        <mc:AlternateContent>
          <mc:Choice Requires="wps">
            <w:drawing>
              <wp:anchor distT="0" distB="0" distL="114300" distR="114300" simplePos="0" relativeHeight="251658249" behindDoc="0" locked="0" layoutInCell="1" allowOverlap="1" wp14:anchorId="6344C977" wp14:editId="60F1CE71">
                <wp:simplePos x="0" y="0"/>
                <wp:positionH relativeFrom="column">
                  <wp:posOffset>2980276</wp:posOffset>
                </wp:positionH>
                <wp:positionV relativeFrom="paragraph">
                  <wp:posOffset>1318812</wp:posOffset>
                </wp:positionV>
                <wp:extent cx="1575938" cy="256029"/>
                <wp:effectExtent l="0" t="0" r="0" b="0"/>
                <wp:wrapNone/>
                <wp:docPr id="1358470479" name="Text 9"/>
                <wp:cNvGraphicFramePr/>
                <a:graphic xmlns:a="http://schemas.openxmlformats.org/drawingml/2006/main">
                  <a:graphicData uri="http://schemas.microsoft.com/office/word/2010/wordprocessingShape">
                    <wps:wsp>
                      <wps:cNvSpPr/>
                      <wps:spPr>
                        <a:xfrm>
                          <a:off x="0" y="0"/>
                          <a:ext cx="1575938" cy="256029"/>
                        </a:xfrm>
                        <a:prstGeom prst="rect">
                          <a:avLst/>
                        </a:prstGeom>
                        <a:noFill/>
                        <a:ln/>
                      </wps:spPr>
                      <wps:txbx>
                        <w:txbxContent>
                          <w:p w14:paraId="534ADEB3" w14:textId="77777777" w:rsidR="00023275" w:rsidRDefault="00023275" w:rsidP="00023275">
                            <w:pPr>
                              <w:rPr>
                                <w:rFonts w:ascii="Nunito" w:eastAsia="Calibri" w:hAnsi="Nunito" w:cs="Calibri"/>
                                <w:b/>
                                <w:bCs/>
                                <w:color w:val="EAF4F7"/>
                                <w:kern w:val="24"/>
                                <w:sz w:val="20"/>
                                <w:szCs w:val="20"/>
                              </w:rPr>
                            </w:pPr>
                            <w:r>
                              <w:rPr>
                                <w:rFonts w:ascii="Nunito" w:eastAsia="Calibri" w:hAnsi="Nunito" w:cs="Calibri"/>
                                <w:b/>
                                <w:bCs/>
                                <w:color w:val="EAF4F7"/>
                                <w:kern w:val="24"/>
                                <w:sz w:val="20"/>
                                <w:szCs w:val="20"/>
                              </w:rPr>
                              <w:t>Deșeuri industriale</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344C977" id="_x0000_s1035" style="position:absolute;margin-left:234.65pt;margin-top:103.85pt;width:124.1pt;height:20.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" filled="f" stroked="f">
                <v:textbox inset="0,0,0,0">
                  <w:txbxContent>
                    <w:p w14:paraId="534ADEB3" w14:textId="77777777" w:rsidR="00023275" w:rsidRDefault="00023275" w:rsidP="00023275">
                      <w:pPr>
                        <w:rPr>
                          <w:rFonts w:ascii="Nunito" w:eastAsia="Calibri" w:hAnsi="Nunito" w:cs="Calibri"/>
                          <w:b/>
                          <w:bCs/>
                          <w:color w:val="EAF4F7"/>
                          <w:kern w:val="24"/>
                          <w:sz w:val="20"/>
                          <w:szCs w:val="20"/>
                        </w:rPr>
                      </w:pPr>
                      <w:proofErr w:type="spellStart"/>
                      <w:r>
                        <w:rPr>
                          <w:rFonts w:ascii="Nunito" w:eastAsia="Calibri" w:hAnsi="Nunito" w:cs="Calibri"/>
                          <w:b/>
                          <w:bCs/>
                          <w:color w:val="EAF4F7"/>
                          <w:kern w:val="24"/>
                          <w:sz w:val="20"/>
                          <w:szCs w:val="20"/>
                        </w:rPr>
                        <w:t>Deșeuri</w:t>
                      </w:r>
                      <w:proofErr w:type="spellEnd"/>
                      <w:r>
                        <w:rPr>
                          <w:rFonts w:ascii="Nunito" w:eastAsia="Calibri" w:hAnsi="Nunito" w:cs="Calibri"/>
                          <w:b/>
                          <w:bCs/>
                          <w:color w:val="EAF4F7"/>
                          <w:kern w:val="24"/>
                          <w:sz w:val="20"/>
                          <w:szCs w:val="20"/>
                        </w:rPr>
                        <w:t xml:space="preserve"> </w:t>
                      </w:r>
                      <w:proofErr w:type="spellStart"/>
                      <w:r>
                        <w:rPr>
                          <w:rFonts w:ascii="Nunito" w:eastAsia="Calibri" w:hAnsi="Nunito" w:cs="Calibri"/>
                          <w:b/>
                          <w:bCs/>
                          <w:color w:val="EAF4F7"/>
                          <w:kern w:val="24"/>
                          <w:sz w:val="20"/>
                          <w:szCs w:val="20"/>
                        </w:rPr>
                        <w:t>industriale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43" behindDoc="0" locked="0" layoutInCell="1" allowOverlap="1" wp14:anchorId="3789BAB0" wp14:editId="39CBD285">
                <wp:simplePos x="0" y="0"/>
                <wp:positionH relativeFrom="column">
                  <wp:posOffset>2889440</wp:posOffset>
                </wp:positionH>
                <wp:positionV relativeFrom="paragraph">
                  <wp:posOffset>856053</wp:posOffset>
                </wp:positionV>
                <wp:extent cx="1767205" cy="332105"/>
                <wp:effectExtent l="0" t="0" r="4445" b="0"/>
                <wp:wrapNone/>
                <wp:docPr id="5" name="Shape 3"/>
                <wp:cNvGraphicFramePr/>
                <a:graphic xmlns:a="http://schemas.openxmlformats.org/drawingml/2006/main">
                  <a:graphicData uri="http://schemas.microsoft.com/office/word/2010/wordprocessingShape">
                    <wps:wsp>
                      <wps:cNvSpPr/>
                      <wps:spPr>
                        <a:xfrm>
                          <a:off x="0" y="0"/>
                          <a:ext cx="1767205" cy="332105"/>
                        </a:xfrm>
                        <a:prstGeom prst="roundRect">
                          <a:avLst>
                            <a:gd name="adj" fmla="val 10526"/>
                          </a:avLst>
                        </a:prstGeom>
                        <a:solidFill>
                          <a:srgbClr val="0C447C"/>
                        </a:solidFill>
                        <a:ln w="13970">
                          <a:noFill/>
                          <a:prstDash val="solid"/>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arto="http://schemas.microsoft.com/office/word/2006/arto">
            <w:pict>
              <v:roundrect w14:anchorId="0521ADF0" id="Shape 3" o:spid="_x0000_s1026" style="position:absolute;margin-left:227.5pt;margin-top:67.4pt;width:139.15pt;height:26.1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68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" fillcolor="#0c447c" stroked="f" strokeweight="1.1pt"/>
            </w:pict>
          </mc:Fallback>
        </mc:AlternateContent>
      </w:r>
      <w:r w:rsidR="00023275" w:rsidRPr="00187708">
        <w:rPr>
          <w:noProof/>
          <w:lang w:val="ro-RO"/>
        </w:rPr>
        <mc:AlternateContent>
          <mc:Choice Requires="wps">
            <w:drawing>
              <wp:anchor distT="0" distB="0" distL="114300" distR="114300" simplePos="0" relativeHeight="251658244" behindDoc="0" locked="0" layoutInCell="1" allowOverlap="1" wp14:anchorId="5B581753" wp14:editId="5D83B147">
                <wp:simplePos x="0" y="0"/>
                <wp:positionH relativeFrom="column">
                  <wp:posOffset>2948305</wp:posOffset>
                </wp:positionH>
                <wp:positionV relativeFrom="paragraph">
                  <wp:posOffset>861044</wp:posOffset>
                </wp:positionV>
                <wp:extent cx="1603375" cy="332509"/>
                <wp:effectExtent l="0" t="0" r="15875" b="10795"/>
                <wp:wrapNone/>
                <wp:docPr id="6" name="Text 4"/>
                <wp:cNvGraphicFramePr/>
                <a:graphic xmlns:a="http://schemas.openxmlformats.org/drawingml/2006/main">
                  <a:graphicData uri="http://schemas.microsoft.com/office/word/2010/wordprocessingShape">
                    <wps:wsp>
                      <wps:cNvSpPr/>
                      <wps:spPr>
                        <a:xfrm>
                          <a:off x="0" y="0"/>
                          <a:ext cx="1603375" cy="332509"/>
                        </a:xfrm>
                        <a:prstGeom prst="rect">
                          <a:avLst/>
                        </a:prstGeom>
                        <a:noFill/>
                        <a:ln>
                          <a:noFill/>
                        </a:ln>
                      </wps:spPr>
                      <wps:txbx>
                        <w:txbxContent>
                          <w:p w14:paraId="7A4E491F" w14:textId="77777777" w:rsidR="00023275" w:rsidRPr="00FF5F2C" w:rsidRDefault="00023275" w:rsidP="00023275">
                            <w:pPr>
                              <w:rPr>
                                <w:rFonts w:ascii="Nunito" w:eastAsia="Calibri" w:hAnsi="Nunito" w:cs="Calibri"/>
                                <w:b/>
                                <w:bCs/>
                                <w:color w:val="EAF4F7"/>
                                <w:kern w:val="24"/>
                                <w:sz w:val="20"/>
                                <w:szCs w:val="20"/>
                                <w:lang w:val="da-DK"/>
                              </w:rPr>
                            </w:pPr>
                            <w:r w:rsidRPr="00FF5F2C">
                              <w:rPr>
                                <w:rFonts w:ascii="Nunito" w:eastAsia="Calibri" w:hAnsi="Nunito" w:cs="Calibri"/>
                                <w:b/>
                                <w:bCs/>
                                <w:color w:val="EAF4F7"/>
                                <w:kern w:val="24"/>
                                <w:sz w:val="20"/>
                                <w:szCs w:val="20"/>
                                <w:lang w:val="da-DK"/>
                              </w:rPr>
                              <w:t>Deșeuri sanitare</w:t>
                            </w:r>
                          </w:p>
                          <w:p w14:paraId="28583122" w14:textId="77777777" w:rsidR="00023275" w:rsidRPr="00FF5F2C" w:rsidRDefault="00023275" w:rsidP="00023275">
                            <w:pPr>
                              <w:rPr>
                                <w:rFonts w:ascii="Nunito" w:eastAsia="Calibri" w:hAnsi="Nunito" w:cs="Calibri"/>
                                <w:color w:val="D9E7ED"/>
                                <w:kern w:val="24"/>
                                <w:sz w:val="20"/>
                                <w:szCs w:val="20"/>
                                <w:lang w:val="da-DK"/>
                              </w:rPr>
                            </w:pPr>
                            <w:r w:rsidRPr="00FF5F2C">
                              <w:rPr>
                                <w:rFonts w:ascii="Nunito" w:eastAsia="Calibri" w:hAnsi="Nunito" w:cs="Calibri"/>
                                <w:color w:val="D9E7ED"/>
                                <w:kern w:val="24"/>
                                <w:sz w:val="20"/>
                                <w:szCs w:val="20"/>
                                <w:lang w:val="da-DK"/>
                              </w:rPr>
                              <w:t>și din activități veterinare</w:t>
                            </w:r>
                          </w:p>
                        </w:txbxContent>
                      </wps:txbx>
                      <wps:bodyPr wrap="square" lIns="0" tIns="0" rIns="0" bIns="0" rtlCol="0" anchor="ctr">
                        <a:noAutofit/>
                      </wps:bodyPr>
                    </wps:wsp>
                  </a:graphicData>
                </a:graphic>
                <wp14:sizeRelV relativeFrom="margin">
                  <wp14:pctHeight>0</wp14:pctHeight>
                </wp14:sizeRelV>
              </wp:anchor>
            </w:drawing>
          </mc:Choice>
          <mc:Fallback xmlns:w16cei="http://schemas.microsoft.com/office/word/2026/wordml/cei">
            <w:pict>
              <v:rect w14:anchorId="5B581753" id="Text 4" o:spid="_x0000_s1036" style="position:absolute;margin-left:232.15pt;margin-top:67.8pt;width:126.25pt;height:26.2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" filled="f" stroked="f">
                <v:textbox inset="0,0,0,0">
                  <w:txbxContent>
                    <w:p w14:paraId="7A4E491F" w14:textId="77777777" w:rsidR="00023275" w:rsidRPr="00FF5F2C" w:rsidRDefault="00023275" w:rsidP="00023275">
                      <w:pPr>
                        <w:rPr>
                          <w:rFonts w:ascii="Nunito" w:eastAsia="Calibri" w:hAnsi="Nunito" w:cs="Calibri"/>
                          <w:b/>
                          <w:bCs/>
                          <w:color w:val="EAF4F7"/>
                          <w:kern w:val="24"/>
                          <w:sz w:val="20"/>
                          <w:szCs w:val="20"/>
                          <w:lang w:val="da-DK"/>
                        </w:rPr>
                      </w:pPr>
                      <w:r w:rsidRPr="00FF5F2C">
                        <w:rPr>
                          <w:rFonts w:ascii="Nunito" w:eastAsia="Calibri" w:hAnsi="Nunito" w:cs="Calibri"/>
                          <w:b/>
                          <w:bCs/>
                          <w:color w:val="EAF4F7"/>
                          <w:kern w:val="24"/>
                          <w:sz w:val="20"/>
                          <w:szCs w:val="20"/>
                          <w:lang w:val="da-DK"/>
                        </w:rPr>
                        <w:t>Deșeuri sanitare</w:t>
                      </w:r>
                    </w:p>
                    <w:p w14:paraId="28583122" w14:textId="77777777" w:rsidR="00023275" w:rsidRPr="00FF5F2C" w:rsidRDefault="00023275" w:rsidP="00023275">
                      <w:pPr>
                        <w:rPr>
                          <w:rFonts w:ascii="Nunito" w:eastAsia="Calibri" w:hAnsi="Nunito" w:cs="Calibri"/>
                          <w:color w:val="D9E7ED"/>
                          <w:kern w:val="24"/>
                          <w:sz w:val="20"/>
                          <w:szCs w:val="20"/>
                          <w:lang w:val="da-DK"/>
                        </w:rPr>
                      </w:pPr>
                      <w:r w:rsidRPr="00FF5F2C">
                        <w:rPr>
                          <w:rFonts w:ascii="Nunito" w:eastAsia="Calibri" w:hAnsi="Nunito" w:cs="Calibri"/>
                          <w:color w:val="D9E7ED"/>
                          <w:kern w:val="24"/>
                          <w:sz w:val="20"/>
                          <w:szCs w:val="20"/>
                          <w:lang w:val="da-DK"/>
                        </w:rPr>
                        <w:t>și din activități veterinare</w:t>
                      </w:r>
                    </w:p>
                  </w:txbxContent>
                </v:textbox>
              </v:rect>
            </w:pict>
          </mc:Fallback>
        </mc:AlternateContent>
      </w:r>
      <w:r w:rsidR="00023275" w:rsidRPr="00187708">
        <w:rPr>
          <w:noProof/>
          <w:lang w:val="ro-RO"/>
        </w:rPr>
        <mc:AlternateContent>
          <mc:Choice Requires="wps">
            <w:drawing>
              <wp:anchor distT="0" distB="0" distL="114300" distR="114300" simplePos="0" relativeHeight="251658245" behindDoc="0" locked="0" layoutInCell="1" allowOverlap="1" wp14:anchorId="2034E0BD" wp14:editId="279E7460">
                <wp:simplePos x="0" y="0"/>
                <wp:positionH relativeFrom="column">
                  <wp:posOffset>3736</wp:posOffset>
                </wp:positionH>
                <wp:positionV relativeFrom="paragraph">
                  <wp:posOffset>737301</wp:posOffset>
                </wp:positionV>
                <wp:extent cx="2748915" cy="2184606"/>
                <wp:effectExtent l="0" t="0" r="0" b="6350"/>
                <wp:wrapNone/>
                <wp:docPr id="7" name="Shape 5"/>
                <wp:cNvGraphicFramePr/>
                <a:graphic xmlns:a="http://schemas.openxmlformats.org/drawingml/2006/main">
                  <a:graphicData uri="http://schemas.microsoft.com/office/word/2010/wordprocessingShape">
                    <wps:wsp>
                      <wps:cNvSpPr/>
                      <wps:spPr>
                        <a:xfrm>
                          <a:off x="0" y="0"/>
                          <a:ext cx="2748915" cy="2184606"/>
                        </a:xfrm>
                        <a:prstGeom prst="roundRect">
                          <a:avLst>
                            <a:gd name="adj" fmla="val 1493"/>
                          </a:avLst>
                        </a:prstGeom>
                        <a:solidFill>
                          <a:srgbClr val="00B0F0"/>
                        </a:solidFill>
                        <a:ln w="13970">
                          <a:noFill/>
                          <a:prstDash val="solid"/>
                        </a:ln>
                      </wps:spPr>
                      <wps:bodyPr/>
                    </wps:wsp>
                  </a:graphicData>
                </a:graphic>
                <wp14:sizeRelV relativeFrom="margin">
                  <wp14:pctHeight>0</wp14:pctHeight>
                </wp14:sizeRelV>
              </wp:anchor>
            </w:drawing>
          </mc:Choice>
          <mc:Fallback xmlns:w16cei="http://schemas.microsoft.com/office/word/2026/wordml/cei" xmlns:arto="http://schemas.microsoft.com/office/word/2006/arto">
            <w:pict>
              <v:roundrect w14:anchorId="7BA8788E" id="Shape 5" o:spid="_x0000_s1026" style="position:absolute;margin-left:.3pt;margin-top:58.05pt;width:216.45pt;height:172pt;z-index:251641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9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" fillcolor="#00b0f0" stroked="f" strokeweight="1.1pt"/>
            </w:pict>
          </mc:Fallback>
        </mc:AlternateContent>
      </w:r>
      <w:r w:rsidR="00023275" w:rsidRPr="00187708">
        <w:rPr>
          <w:noProof/>
          <w:lang w:val="ro-RO"/>
        </w:rPr>
        <mc:AlternateContent>
          <mc:Choice Requires="wps">
            <w:drawing>
              <wp:anchor distT="0" distB="0" distL="114300" distR="114300" simplePos="0" relativeHeight="251658246" behindDoc="0" locked="0" layoutInCell="1" allowOverlap="1" wp14:anchorId="04E345D2" wp14:editId="7D995140">
                <wp:simplePos x="0" y="0"/>
                <wp:positionH relativeFrom="column">
                  <wp:posOffset>52070</wp:posOffset>
                </wp:positionH>
                <wp:positionV relativeFrom="paragraph">
                  <wp:posOffset>765868</wp:posOffset>
                </wp:positionV>
                <wp:extent cx="4639235" cy="183855"/>
                <wp:effectExtent l="0" t="0" r="0" b="0"/>
                <wp:wrapNone/>
                <wp:docPr id="8" name="Text 6"/>
                <wp:cNvGraphicFramePr/>
                <a:graphic xmlns:a="http://schemas.openxmlformats.org/drawingml/2006/main">
                  <a:graphicData uri="http://schemas.microsoft.com/office/word/2010/wordprocessingShape">
                    <wps:wsp>
                      <wps:cNvSpPr/>
                      <wps:spPr>
                        <a:xfrm>
                          <a:off x="0" y="0"/>
                          <a:ext cx="4639235" cy="183855"/>
                        </a:xfrm>
                        <a:prstGeom prst="rect">
                          <a:avLst/>
                        </a:prstGeom>
                        <a:noFill/>
                        <a:ln/>
                      </wps:spPr>
                      <wps:txbx>
                        <w:txbxContent>
                          <w:p w14:paraId="5A61BD64" w14:textId="77777777" w:rsidR="00023275" w:rsidRPr="00E229D8" w:rsidRDefault="00023275" w:rsidP="00023275">
                            <w:pPr>
                              <w:rPr>
                                <w:rFonts w:ascii="Nunito" w:eastAsia="Calibri" w:hAnsi="Nunito" w:cs="Calibri"/>
                                <w:color w:val="EAF4F7"/>
                                <w:kern w:val="24"/>
                                <w:sz w:val="20"/>
                                <w:szCs w:val="20"/>
                              </w:rPr>
                            </w:pPr>
                            <w:r w:rsidRPr="00E229D8">
                              <w:rPr>
                                <w:rFonts w:ascii="Nunito" w:eastAsia="Calibri" w:hAnsi="Nunito" w:cs="Calibri"/>
                                <w:color w:val="EAF4F7"/>
                                <w:kern w:val="24"/>
                                <w:sz w:val="20"/>
                                <w:szCs w:val="20"/>
                              </w:rPr>
                              <w:t>Fluxuri speciale</w:t>
                            </w:r>
                          </w:p>
                        </w:txbxContent>
                      </wps:txbx>
                      <wps:bodyPr wrap="square" lIns="0" tIns="0" rIns="0" bIns="0" rtlCol="0" anchor="ctr">
                        <a:normAutofit/>
                      </wps:bodyPr>
                    </wps:wsp>
                  </a:graphicData>
                </a:graphic>
              </wp:anchor>
            </w:drawing>
          </mc:Choice>
          <mc:Fallback xmlns:w16cei="http://schemas.microsoft.com/office/word/2026/wordml/cei">
            <w:pict>
              <v:rect w14:anchorId="04E345D2" id="_x0000_s1037" style="position:absolute;margin-left:4.1pt;margin-top:60.3pt;width:365.3pt;height:14.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" filled="f" stroked="f">
                <v:textbox inset="0,0,0,0">
                  <w:txbxContent>
                    <w:p w14:paraId="5A61BD64" w14:textId="77777777" w:rsidR="00023275" w:rsidRPr="00E229D8" w:rsidRDefault="00023275" w:rsidP="00023275">
                      <w:pPr>
                        <w:rPr>
                          <w:rFonts w:ascii="Nunito" w:eastAsia="Calibri" w:hAnsi="Nunito" w:cs="Calibri"/>
                          <w:color w:val="EAF4F7"/>
                          <w:kern w:val="24"/>
                          <w:sz w:val="20"/>
                          <w:szCs w:val="20"/>
                        </w:rPr>
                      </w:pPr>
                      <w:proofErr w:type="spellStart"/>
                      <w:r w:rsidRPr="00E229D8">
                        <w:rPr>
                          <w:rFonts w:ascii="Nunito" w:eastAsia="Calibri" w:hAnsi="Nunito" w:cs="Calibri"/>
                          <w:color w:val="EAF4F7"/>
                          <w:kern w:val="24"/>
                          <w:sz w:val="20"/>
                          <w:szCs w:val="20"/>
                        </w:rPr>
                        <w:t>Fluxuri</w:t>
                      </w:r>
                      <w:proofErr w:type="spellEnd"/>
                      <w:r w:rsidRPr="00E229D8">
                        <w:rPr>
                          <w:rFonts w:ascii="Nunito" w:eastAsia="Calibri" w:hAnsi="Nunito" w:cs="Calibri"/>
                          <w:color w:val="EAF4F7"/>
                          <w:kern w:val="24"/>
                          <w:sz w:val="20"/>
                          <w:szCs w:val="20"/>
                        </w:rPr>
                        <w:t xml:space="preserve"> </w:t>
                      </w:r>
                      <w:proofErr w:type="spellStart"/>
                      <w:r w:rsidRPr="00E229D8">
                        <w:rPr>
                          <w:rFonts w:ascii="Nunito" w:eastAsia="Calibri" w:hAnsi="Nunito" w:cs="Calibri"/>
                          <w:color w:val="EAF4F7"/>
                          <w:kern w:val="24"/>
                          <w:sz w:val="20"/>
                          <w:szCs w:val="20"/>
                        </w:rPr>
                        <w:t>speciale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41" behindDoc="0" locked="0" layoutInCell="1" allowOverlap="1" wp14:anchorId="68B1DFA1" wp14:editId="0ADD0F04">
                <wp:simplePos x="0" y="0"/>
                <wp:positionH relativeFrom="column">
                  <wp:posOffset>5905</wp:posOffset>
                </wp:positionH>
                <wp:positionV relativeFrom="paragraph">
                  <wp:posOffset>189865</wp:posOffset>
                </wp:positionV>
                <wp:extent cx="4771783" cy="190409"/>
                <wp:effectExtent l="0" t="0" r="0" b="635"/>
                <wp:wrapNone/>
                <wp:docPr id="2" name="Text 0"/>
                <wp:cNvGraphicFramePr/>
                <a:graphic xmlns:a="http://schemas.openxmlformats.org/drawingml/2006/main">
                  <a:graphicData uri="http://schemas.microsoft.com/office/word/2010/wordprocessingShape">
                    <wps:wsp>
                      <wps:cNvSpPr/>
                      <wps:spPr>
                        <a:xfrm>
                          <a:off x="0" y="0"/>
                          <a:ext cx="4771783" cy="190409"/>
                        </a:xfrm>
                        <a:prstGeom prst="rect">
                          <a:avLst/>
                        </a:prstGeom>
                        <a:solidFill>
                          <a:srgbClr val="002060"/>
                        </a:solidFill>
                        <a:ln>
                          <a:noFill/>
                        </a:ln>
                      </wps:spPr>
                      <wps:txbx>
                        <w:txbxContent>
                          <w:p w14:paraId="09AFBAC5" w14:textId="77777777" w:rsidR="00023275" w:rsidRDefault="00023275" w:rsidP="00023275">
                            <w:pPr>
                              <w:rPr>
                                <w:rFonts w:ascii="Nunito" w:eastAsia="Calibri" w:hAnsi="Nunito" w:cs="Calibri"/>
                                <w:b/>
                                <w:bCs/>
                                <w:color w:val="DDEBE6"/>
                                <w:kern w:val="24"/>
                                <w:sz w:val="20"/>
                                <w:szCs w:val="20"/>
                              </w:rPr>
                            </w:pPr>
                            <w:r>
                              <w:rPr>
                                <w:rFonts w:ascii="Nunito" w:eastAsia="Calibri" w:hAnsi="Nunito" w:cs="Calibri"/>
                                <w:b/>
                                <w:bCs/>
                                <w:color w:val="DDEBE6"/>
                                <w:kern w:val="24"/>
                                <w:sz w:val="20"/>
                                <w:szCs w:val="20"/>
                              </w:rPr>
                              <w:t xml:space="preserve"> Deșeuri incluse în planificare</w:t>
                            </w:r>
                          </w:p>
                        </w:txbxContent>
                      </wps:txbx>
                      <wps:bodyPr wrap="square" lIns="0" tIns="0" rIns="0" bIns="0" rtlCol="0" anchor="ctr"/>
                    </wps:wsp>
                  </a:graphicData>
                </a:graphic>
              </wp:anchor>
            </w:drawing>
          </mc:Choice>
          <mc:Fallback xmlns:w16cei="http://schemas.microsoft.com/office/word/2026/wordml/cei">
            <w:pict>
              <v:rect w14:anchorId="68B1DFA1" id="_x0000_s1038" style="position:absolute;margin-left:.45pt;margin-top:14.95pt;width:375.75pt;height:1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" fillcolor="#002060" stroked="f">
                <v:textbox inset="0,0,0,0">
                  <w:txbxContent>
                    <w:p w14:paraId="09AFBAC5" w14:textId="77777777" w:rsidR="00023275" w:rsidRDefault="00023275" w:rsidP="00023275">
                      <w:pPr>
                        <w:rPr>
                          <w:rFonts w:ascii="Nunito" w:eastAsia="Calibri" w:hAnsi="Nunito" w:cs="Calibri"/>
                          <w:b/>
                          <w:bCs/>
                          <w:color w:val="DDEBE6"/>
                          <w:kern w:val="24"/>
                          <w:sz w:val="20"/>
                          <w:szCs w:val="20"/>
                        </w:rPr>
                      </w:pPr>
                      <w:r>
                        <w:rPr>
                          <w:rFonts w:ascii="Nunito" w:eastAsia="Calibri" w:hAnsi="Nunito" w:cs="Calibri"/>
                          <w:b/>
                          <w:bCs/>
                          <w:color w:val="DDEBE6"/>
                          <w:kern w:val="24"/>
                          <w:sz w:val="20"/>
                          <w:szCs w:val="20"/>
                        </w:rPr>
                        <w:t xml:space="preserve"> </w:t>
                      </w:r>
                      <w:proofErr w:type="spellStart"/>
                      <w:r>
                        <w:rPr>
                          <w:rFonts w:ascii="Nunito" w:eastAsia="Calibri" w:hAnsi="Nunito" w:cs="Calibri"/>
                          <w:b/>
                          <w:bCs/>
                          <w:color w:val="DDEBE6"/>
                          <w:kern w:val="24"/>
                          <w:sz w:val="20"/>
                          <w:szCs w:val="20"/>
                        </w:rPr>
                        <w:t>Deșeuri</w:t>
                      </w:r>
                      <w:proofErr w:type="spellEnd"/>
                      <w:r>
                        <w:rPr>
                          <w:rFonts w:ascii="Nunito" w:eastAsia="Calibri" w:hAnsi="Nunito" w:cs="Calibri"/>
                          <w:b/>
                          <w:bCs/>
                          <w:color w:val="DDEBE6"/>
                          <w:kern w:val="24"/>
                          <w:sz w:val="20"/>
                          <w:szCs w:val="20"/>
                        </w:rPr>
                        <w:t xml:space="preserve"> </w:t>
                      </w:r>
                      <w:proofErr w:type="spellStart"/>
                      <w:r>
                        <w:rPr>
                          <w:rFonts w:ascii="Nunito" w:eastAsia="Calibri" w:hAnsi="Nunito" w:cs="Calibri"/>
                          <w:b/>
                          <w:bCs/>
                          <w:color w:val="DDEBE6"/>
                          <w:kern w:val="24"/>
                          <w:sz w:val="20"/>
                          <w:szCs w:val="20"/>
                        </w:rPr>
                        <w:t>incluse</w:t>
                      </w:r>
                      <w:proofErr w:type="spellEnd"/>
                      <w:r>
                        <w:rPr>
                          <w:rFonts w:ascii="Nunito" w:eastAsia="Calibri" w:hAnsi="Nunito" w:cs="Calibri"/>
                          <w:b/>
                          <w:bCs/>
                          <w:color w:val="DDEBE6"/>
                          <w:kern w:val="24"/>
                          <w:sz w:val="20"/>
                          <w:szCs w:val="20"/>
                        </w:rPr>
                        <w:t xml:space="preserve"> </w:t>
                      </w:r>
                      <w:proofErr w:type="spellStart"/>
                      <w:r>
                        <w:rPr>
                          <w:rFonts w:ascii="Nunito" w:eastAsia="Calibri" w:hAnsi="Nunito" w:cs="Calibri"/>
                          <w:b/>
                          <w:bCs/>
                          <w:color w:val="DDEBE6"/>
                          <w:kern w:val="24"/>
                          <w:sz w:val="20"/>
                          <w:szCs w:val="20"/>
                        </w:rPr>
                        <w:t>în</w:t>
                      </w:r>
                      <w:proofErr w:type="spellEnd"/>
                      <w:r>
                        <w:rPr>
                          <w:rFonts w:ascii="Nunito" w:eastAsia="Calibri" w:hAnsi="Nunito" w:cs="Calibri"/>
                          <w:b/>
                          <w:bCs/>
                          <w:color w:val="DDEBE6"/>
                          <w:kern w:val="24"/>
                          <w:sz w:val="20"/>
                          <w:szCs w:val="20"/>
                        </w:rPr>
                        <w:t xml:space="preserve"> </w:t>
                      </w:r>
                      <w:proofErr w:type="spellStart"/>
                      <w:r>
                        <w:rPr>
                          <w:rFonts w:ascii="Nunito" w:eastAsia="Calibri" w:hAnsi="Nunito" w:cs="Calibri"/>
                          <w:b/>
                          <w:bCs/>
                          <w:color w:val="DDEBE6"/>
                          <w:kern w:val="24"/>
                          <w:sz w:val="20"/>
                          <w:szCs w:val="20"/>
                        </w:rPr>
                        <w:t>planificare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42" behindDoc="0" locked="0" layoutInCell="1" allowOverlap="1" wp14:anchorId="5D95B2AA" wp14:editId="52F41606">
                <wp:simplePos x="0" y="0"/>
                <wp:positionH relativeFrom="column">
                  <wp:posOffset>0</wp:posOffset>
                </wp:positionH>
                <wp:positionV relativeFrom="paragraph">
                  <wp:posOffset>449580</wp:posOffset>
                </wp:positionV>
                <wp:extent cx="2749545" cy="180902"/>
                <wp:effectExtent l="0" t="0" r="0" b="0"/>
                <wp:wrapNone/>
                <wp:docPr id="315717173" name="Text 2"/>
                <wp:cNvGraphicFramePr/>
                <a:graphic xmlns:a="http://schemas.openxmlformats.org/drawingml/2006/main">
                  <a:graphicData uri="http://schemas.microsoft.com/office/word/2010/wordprocessingShape">
                    <wps:wsp>
                      <wps:cNvSpPr/>
                      <wps:spPr>
                        <a:xfrm>
                          <a:off x="0" y="0"/>
                          <a:ext cx="2749545" cy="180902"/>
                        </a:xfrm>
                        <a:prstGeom prst="rect">
                          <a:avLst/>
                        </a:prstGeom>
                        <a:solidFill>
                          <a:srgbClr val="00B050"/>
                        </a:solidFill>
                        <a:ln/>
                      </wps:spPr>
                      <wps:txbx>
                        <w:txbxContent>
                          <w:p w14:paraId="359CCBB8" w14:textId="77777777" w:rsidR="00023275" w:rsidRDefault="00023275" w:rsidP="00023275">
                            <w:pPr>
                              <w:jc w:val="center"/>
                              <w:rPr>
                                <w:rFonts w:ascii="Nunito" w:eastAsia="Calibri" w:hAnsi="Nunito" w:cs="Calibri"/>
                                <w:b/>
                                <w:bCs/>
                                <w:color w:val="FFFFFF" w:themeColor="background1"/>
                                <w:kern w:val="24"/>
                                <w:sz w:val="20"/>
                                <w:szCs w:val="20"/>
                              </w:rPr>
                            </w:pPr>
                            <w:r>
                              <w:rPr>
                                <w:rFonts w:ascii="Nunito" w:eastAsia="Calibri" w:hAnsi="Nunito" w:cs="Calibri"/>
                                <w:b/>
                                <w:bCs/>
                                <w:color w:val="FFFFFF" w:themeColor="background1"/>
                                <w:kern w:val="24"/>
                                <w:sz w:val="20"/>
                                <w:szCs w:val="20"/>
                              </w:rPr>
                              <w:t>Deșeuri municipale</w:t>
                            </w:r>
                          </w:p>
                        </w:txbxContent>
                      </wps:txbx>
                      <wps:bodyPr wrap="square" lIns="0" tIns="0" rIns="0" bIns="0" rtlCol="0" anchor="ctr">
                        <a:normAutofit/>
                      </wps:bodyPr>
                    </wps:wsp>
                  </a:graphicData>
                </a:graphic>
              </wp:anchor>
            </w:drawing>
          </mc:Choice>
          <mc:Fallback xmlns:w16cei="http://schemas.microsoft.com/office/word/2026/wordml/cei">
            <w:pict>
              <v:rect w14:anchorId="5D95B2AA" id="_x0000_s1039" style="position:absolute;margin-left:0;margin-top:35.4pt;width:216.5pt;height:14.2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" fillcolor="#00b050" stroked="f">
                <v:textbox inset="0,0,0,0">
                  <w:txbxContent>
                    <w:p w14:paraId="359CCBB8" w14:textId="77777777" w:rsidR="00023275" w:rsidRDefault="00023275" w:rsidP="00023275">
                      <w:pPr>
                        <w:jc w:val="center"/>
                        <w:rPr>
                          <w:rFonts w:ascii="Nunito" w:eastAsia="Calibri" w:hAnsi="Nunito" w:cs="Calibri"/>
                          <w:b/>
                          <w:bCs/>
                          <w:color w:val="FFFFFF" w:themeColor="background1"/>
                          <w:kern w:val="24"/>
                          <w:sz w:val="20"/>
                          <w:szCs w:val="20"/>
                        </w:rPr>
                      </w:pPr>
                      <w:proofErr w:type="spellStart"/>
                      <w:r>
                        <w:rPr>
                          <w:rFonts w:ascii="Nunito" w:eastAsia="Calibri" w:hAnsi="Nunito" w:cs="Calibri"/>
                          <w:b/>
                          <w:bCs/>
                          <w:color w:val="FFFFFF" w:themeColor="background1"/>
                          <w:kern w:val="24"/>
                          <w:sz w:val="20"/>
                          <w:szCs w:val="20"/>
                        </w:rPr>
                        <w:t>Deșeuri</w:t>
                      </w:r>
                      <w:proofErr w:type="spellEnd"/>
                      <w:r>
                        <w:rPr>
                          <w:rFonts w:ascii="Nunito" w:eastAsia="Calibri" w:hAnsi="Nunito" w:cs="Calibri"/>
                          <w:b/>
                          <w:bCs/>
                          <w:color w:val="FFFFFF" w:themeColor="background1"/>
                          <w:kern w:val="24"/>
                          <w:sz w:val="20"/>
                          <w:szCs w:val="20"/>
                        </w:rPr>
                        <w:t xml:space="preserve"> </w:t>
                      </w:r>
                      <w:proofErr w:type="spellStart"/>
                      <w:r>
                        <w:rPr>
                          <w:rFonts w:ascii="Nunito" w:eastAsia="Calibri" w:hAnsi="Nunito" w:cs="Calibri"/>
                          <w:b/>
                          <w:bCs/>
                          <w:color w:val="FFFFFF" w:themeColor="background1"/>
                          <w:kern w:val="24"/>
                          <w:sz w:val="20"/>
                          <w:szCs w:val="20"/>
                        </w:rPr>
                        <w:t>municipale</w:t>
                      </w:r>
                      <w:proofErr w:type="spellEnd"/>
                    </w:p>
                  </w:txbxContent>
                </v:textbox>
              </v:rect>
            </w:pict>
          </mc:Fallback>
        </mc:AlternateContent>
      </w:r>
      <w:r w:rsidR="00023275" w:rsidRPr="00187708">
        <w:rPr>
          <w:noProof/>
          <w:lang w:val="ro-RO"/>
        </w:rPr>
        <mc:AlternateContent>
          <mc:Choice Requires="wps">
            <w:drawing>
              <wp:anchor distT="0" distB="0" distL="114300" distR="114300" simplePos="0" relativeHeight="251658248" behindDoc="0" locked="0" layoutInCell="1" allowOverlap="1" wp14:anchorId="78FDBE17" wp14:editId="6E0DB1F6">
                <wp:simplePos x="0" y="0"/>
                <wp:positionH relativeFrom="column">
                  <wp:posOffset>2886710</wp:posOffset>
                </wp:positionH>
                <wp:positionV relativeFrom="paragraph">
                  <wp:posOffset>1320165</wp:posOffset>
                </wp:positionV>
                <wp:extent cx="1767591" cy="303760"/>
                <wp:effectExtent l="0" t="0" r="4445" b="1270"/>
                <wp:wrapNone/>
                <wp:docPr id="10" name="Shape 8"/>
                <wp:cNvGraphicFramePr/>
                <a:graphic xmlns:a="http://schemas.openxmlformats.org/drawingml/2006/main">
                  <a:graphicData uri="http://schemas.microsoft.com/office/word/2010/wordprocessingShape">
                    <wps:wsp>
                      <wps:cNvSpPr/>
                      <wps:spPr>
                        <a:xfrm>
                          <a:off x="0" y="0"/>
                          <a:ext cx="1767591" cy="303760"/>
                        </a:xfrm>
                        <a:prstGeom prst="roundRect">
                          <a:avLst>
                            <a:gd name="adj" fmla="val 10526"/>
                          </a:avLst>
                        </a:prstGeom>
                        <a:solidFill>
                          <a:srgbClr val="0C447C"/>
                        </a:solidFill>
                        <a:ln w="13970">
                          <a:noFill/>
                          <a:prstDash val="solid"/>
                        </a:ln>
                      </wps:spPr>
                      <wps:bodyPr/>
                    </wps:wsp>
                  </a:graphicData>
                </a:graphic>
              </wp:anchor>
            </w:drawing>
          </mc:Choice>
          <mc:Fallback xmlns:w16cei="http://schemas.microsoft.com/office/word/2026/wordml/cei" xmlns:arto="http://schemas.microsoft.com/office/word/2006/arto">
            <w:pict>
              <v:roundrect w14:anchorId="1A37C8FE" id="Shape 8" o:spid="_x0000_s1026" style="position:absolute;margin-left:227.3pt;margin-top:103.95pt;width:139.2pt;height:23.9pt;z-index:251648512;visibility:visible;mso-wrap-style:square;mso-wrap-distance-left:9pt;mso-wrap-distance-top:0;mso-wrap-distance-right:9pt;mso-wrap-distance-bottom:0;mso-position-horizontal:absolute;mso-position-horizontal-relative:text;mso-position-vertical:absolute;mso-position-vertical-relative:text;v-text-anchor:top" arcsize="68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" fillcolor="#0c447c" stroked="f" strokeweight="1.1pt"/>
            </w:pict>
          </mc:Fallback>
        </mc:AlternateContent>
      </w:r>
    </w:p>
    <w:p w14:paraId="4BB6C75C" w14:textId="77777777" w:rsidR="00D248A6" w:rsidRPr="00187708" w:rsidRDefault="00D248A6" w:rsidP="00023275">
      <w:pPr>
        <w:rPr>
          <w:lang w:val="ro-RO"/>
        </w:rPr>
      </w:pPr>
    </w:p>
    <w:p w14:paraId="47AD8C1E" w14:textId="77777777" w:rsidR="00D248A6" w:rsidRPr="00187708" w:rsidRDefault="00D248A6" w:rsidP="00023275">
      <w:pPr>
        <w:rPr>
          <w:lang w:val="ro-RO"/>
        </w:rPr>
      </w:pPr>
    </w:p>
    <w:p w14:paraId="62190651" w14:textId="77777777" w:rsidR="00D248A6" w:rsidRPr="00187708" w:rsidRDefault="00D248A6" w:rsidP="00023275">
      <w:pPr>
        <w:rPr>
          <w:lang w:val="ro-RO"/>
        </w:rPr>
      </w:pPr>
    </w:p>
    <w:p w14:paraId="2608509F" w14:textId="77777777" w:rsidR="00D248A6" w:rsidRPr="00187708" w:rsidRDefault="00D248A6" w:rsidP="00023275">
      <w:pPr>
        <w:rPr>
          <w:lang w:val="ro-RO"/>
        </w:rPr>
      </w:pPr>
    </w:p>
    <w:p w14:paraId="15D0303F" w14:textId="77777777" w:rsidR="00D248A6" w:rsidRPr="00187708" w:rsidRDefault="00D248A6" w:rsidP="00023275">
      <w:pPr>
        <w:rPr>
          <w:lang w:val="ro-RO"/>
        </w:rPr>
      </w:pPr>
    </w:p>
    <w:p w14:paraId="5EEACAE3" w14:textId="77777777" w:rsidR="00D248A6" w:rsidRPr="00187708" w:rsidRDefault="00D248A6" w:rsidP="00023275">
      <w:pPr>
        <w:rPr>
          <w:lang w:val="ro-RO"/>
        </w:rPr>
      </w:pPr>
    </w:p>
    <w:p w14:paraId="066DA0E7" w14:textId="77777777" w:rsidR="00D248A6" w:rsidRPr="00187708" w:rsidRDefault="00D248A6" w:rsidP="00023275">
      <w:pPr>
        <w:rPr>
          <w:lang w:val="ro-RO"/>
        </w:rPr>
      </w:pPr>
    </w:p>
    <w:p w14:paraId="5F5960C6" w14:textId="77777777" w:rsidR="00D248A6" w:rsidRPr="00187708" w:rsidRDefault="00D248A6" w:rsidP="00023275">
      <w:pPr>
        <w:rPr>
          <w:lang w:val="ro-RO"/>
        </w:rPr>
      </w:pPr>
    </w:p>
    <w:p w14:paraId="41EE4DAC" w14:textId="77777777" w:rsidR="00D248A6" w:rsidRPr="00187708" w:rsidRDefault="00D248A6" w:rsidP="00023275">
      <w:pPr>
        <w:rPr>
          <w:lang w:val="ro-RO"/>
        </w:rPr>
      </w:pPr>
    </w:p>
    <w:p w14:paraId="56F50EEF" w14:textId="77777777" w:rsidR="00D248A6" w:rsidRPr="00187708" w:rsidRDefault="00D248A6" w:rsidP="00023275">
      <w:pPr>
        <w:rPr>
          <w:lang w:val="ro-RO"/>
        </w:rPr>
      </w:pPr>
    </w:p>
    <w:p w14:paraId="5A43BA9E" w14:textId="77777777" w:rsidR="00D248A6" w:rsidRPr="00187708" w:rsidRDefault="00D248A6" w:rsidP="00023275">
      <w:pPr>
        <w:rPr>
          <w:lang w:val="ro-RO"/>
        </w:rPr>
      </w:pPr>
    </w:p>
    <w:p w14:paraId="09068949" w14:textId="77777777" w:rsidR="00D248A6" w:rsidRPr="00187708" w:rsidRDefault="00D248A6" w:rsidP="00023275">
      <w:pPr>
        <w:rPr>
          <w:lang w:val="ro-RO"/>
        </w:rPr>
      </w:pPr>
    </w:p>
    <w:p w14:paraId="138CE3F8" w14:textId="77777777" w:rsidR="00D248A6" w:rsidRPr="00187708" w:rsidRDefault="00D248A6" w:rsidP="00023275">
      <w:pPr>
        <w:rPr>
          <w:lang w:val="ro-RO"/>
        </w:rPr>
      </w:pPr>
    </w:p>
    <w:p w14:paraId="1F14E1C3" w14:textId="77777777" w:rsidR="00D248A6" w:rsidRPr="00187708" w:rsidRDefault="00D248A6" w:rsidP="00023275">
      <w:pPr>
        <w:rPr>
          <w:lang w:val="ro-RO"/>
        </w:rPr>
      </w:pPr>
    </w:p>
    <w:p w14:paraId="663BB34C" w14:textId="77777777" w:rsidR="00D248A6" w:rsidRPr="00187708" w:rsidRDefault="00D248A6" w:rsidP="00023275">
      <w:pPr>
        <w:rPr>
          <w:lang w:val="ro-RO"/>
        </w:rPr>
      </w:pPr>
    </w:p>
    <w:p w14:paraId="75678EC0" w14:textId="77777777" w:rsidR="00D248A6" w:rsidRPr="00187708" w:rsidRDefault="00D248A6" w:rsidP="00023275">
      <w:pPr>
        <w:rPr>
          <w:lang w:val="ro-RO"/>
        </w:rPr>
      </w:pPr>
    </w:p>
    <w:p w14:paraId="400E3968" w14:textId="77777777" w:rsidR="00D248A6" w:rsidRPr="00187708" w:rsidRDefault="00D248A6" w:rsidP="00023275">
      <w:pPr>
        <w:rPr>
          <w:lang w:val="ro-RO"/>
        </w:rPr>
      </w:pPr>
    </w:p>
    <w:p w14:paraId="7E38A4AE" w14:textId="77777777" w:rsidR="00D248A6" w:rsidRPr="00187708" w:rsidRDefault="00D248A6" w:rsidP="00023275">
      <w:pPr>
        <w:rPr>
          <w:lang w:val="ro-RO"/>
        </w:rPr>
      </w:pPr>
    </w:p>
    <w:p w14:paraId="0E9BC904" w14:textId="77777777" w:rsidR="00D248A6" w:rsidRPr="00187708" w:rsidRDefault="00D248A6" w:rsidP="00023275">
      <w:pPr>
        <w:rPr>
          <w:lang w:val="ro-RO"/>
        </w:rPr>
      </w:pPr>
    </w:p>
    <w:p w14:paraId="593F9D70" w14:textId="77777777" w:rsidR="00D248A6" w:rsidRPr="00187708" w:rsidRDefault="00D248A6" w:rsidP="00023275">
      <w:pPr>
        <w:rPr>
          <w:lang w:val="ro-RO"/>
        </w:rPr>
      </w:pPr>
    </w:p>
    <w:p w14:paraId="06F4956B" w14:textId="77777777" w:rsidR="00D248A6" w:rsidRPr="00187708" w:rsidRDefault="00D248A6" w:rsidP="00023275">
      <w:pPr>
        <w:rPr>
          <w:lang w:val="ro-RO"/>
        </w:rPr>
      </w:pPr>
    </w:p>
    <w:p w14:paraId="6BC16DE6" w14:textId="77777777" w:rsidR="00D248A6" w:rsidRPr="00187708" w:rsidRDefault="00D248A6" w:rsidP="00023275">
      <w:pPr>
        <w:rPr>
          <w:lang w:val="ro-RO"/>
        </w:rPr>
      </w:pPr>
    </w:p>
    <w:p w14:paraId="3F0B5B05" w14:textId="77777777" w:rsidR="00D248A6" w:rsidRPr="00187708" w:rsidRDefault="00D248A6" w:rsidP="00023275">
      <w:pPr>
        <w:rPr>
          <w:lang w:val="ro-RO"/>
        </w:rPr>
      </w:pPr>
    </w:p>
    <w:p w14:paraId="3D306C52" w14:textId="77777777" w:rsidR="00D248A6" w:rsidRPr="00187708" w:rsidRDefault="00D248A6" w:rsidP="00023275">
      <w:pPr>
        <w:rPr>
          <w:lang w:val="ro-RO"/>
        </w:rPr>
      </w:pPr>
    </w:p>
    <w:p w14:paraId="0DA6B040" w14:textId="77777777" w:rsidR="00D248A6" w:rsidRPr="00187708" w:rsidRDefault="00D248A6" w:rsidP="00023275">
      <w:pPr>
        <w:rPr>
          <w:lang w:val="ro-RO"/>
        </w:rPr>
      </w:pPr>
    </w:p>
    <w:p w14:paraId="5883C973" w14:textId="77777777" w:rsidR="00D248A6" w:rsidRPr="00187708" w:rsidRDefault="00D248A6" w:rsidP="00023275">
      <w:pPr>
        <w:rPr>
          <w:lang w:val="ro-RO"/>
        </w:rPr>
      </w:pPr>
    </w:p>
    <w:p w14:paraId="2EE2A780" w14:textId="77777777" w:rsidR="00D248A6" w:rsidRPr="00187708" w:rsidRDefault="00D248A6" w:rsidP="00023275">
      <w:pPr>
        <w:rPr>
          <w:lang w:val="ro-RO"/>
        </w:rPr>
      </w:pPr>
    </w:p>
    <w:p w14:paraId="75665FB0" w14:textId="77777777" w:rsidR="00D248A6" w:rsidRPr="00187708" w:rsidRDefault="00D248A6" w:rsidP="00023275">
      <w:pPr>
        <w:rPr>
          <w:lang w:val="ro-RO"/>
        </w:rPr>
      </w:pPr>
    </w:p>
    <w:p w14:paraId="7237F86D" w14:textId="77777777" w:rsidR="00D248A6" w:rsidRPr="00187708" w:rsidRDefault="00D248A6" w:rsidP="00023275">
      <w:pPr>
        <w:rPr>
          <w:lang w:val="ro-RO"/>
        </w:rPr>
      </w:pPr>
    </w:p>
    <w:p w14:paraId="575E6483" w14:textId="77777777" w:rsidR="00D248A6" w:rsidRPr="00187708" w:rsidRDefault="00D248A6" w:rsidP="00023275">
      <w:pPr>
        <w:rPr>
          <w:lang w:val="ro-RO"/>
        </w:rPr>
      </w:pPr>
    </w:p>
    <w:p w14:paraId="2E83D078" w14:textId="77777777" w:rsidR="00D248A6" w:rsidRPr="00187708" w:rsidRDefault="00D248A6" w:rsidP="00023275">
      <w:pPr>
        <w:rPr>
          <w:lang w:val="ro-RO"/>
        </w:rPr>
      </w:pPr>
    </w:p>
    <w:p w14:paraId="0C766219" w14:textId="77777777" w:rsidR="00D248A6" w:rsidRPr="00187708" w:rsidRDefault="00D248A6" w:rsidP="00023275">
      <w:pPr>
        <w:rPr>
          <w:lang w:val="ro-RO"/>
        </w:rPr>
      </w:pPr>
    </w:p>
    <w:p w14:paraId="701592D1" w14:textId="6D428F1D" w:rsidR="00D248A6" w:rsidRPr="00187708" w:rsidRDefault="00CB4251" w:rsidP="007B2AAC">
      <w:pPr>
        <w:jc w:val="both"/>
        <w:rPr>
          <w:lang w:val="ro-RO"/>
        </w:rPr>
      </w:pPr>
      <w:r w:rsidRPr="00187708">
        <w:rPr>
          <w:highlight w:val="yellow"/>
          <w:lang w:val="ro-RO"/>
        </w:rPr>
        <w:t xml:space="preserve">Transferul deșeurilor a fost tratat în cadrul PNGD, ca parte a analizei privind gestionarea deșeurilor la nivel național. Deși nu este un flux, ci o operațiune, transferul influențează direct unde și cum ajung deșeurile să fie valorificate sau eliminate, motiv pentru care a fost abordat distinct în </w:t>
      </w:r>
      <w:r w:rsidR="000553B5" w:rsidRPr="00187708">
        <w:rPr>
          <w:highlight w:val="yellow"/>
          <w:lang w:val="ro-RO"/>
        </w:rPr>
        <w:t>PNGD</w:t>
      </w:r>
      <w:r w:rsidRPr="00187708">
        <w:rPr>
          <w:highlight w:val="yellow"/>
          <w:lang w:val="ro-RO"/>
        </w:rPr>
        <w:t xml:space="preserve">. Transferurile, interne și transfrontaliere, arată în ce măsură </w:t>
      </w:r>
      <w:r w:rsidR="008A313E" w:rsidRPr="00187708">
        <w:rPr>
          <w:highlight w:val="yellow"/>
          <w:lang w:val="ro-RO"/>
        </w:rPr>
        <w:t>România</w:t>
      </w:r>
      <w:r w:rsidRPr="00187708">
        <w:rPr>
          <w:highlight w:val="yellow"/>
          <w:lang w:val="ro-RO"/>
        </w:rPr>
        <w:t xml:space="preserve"> își tratează propriile deșeuri și unde depinde de capacități din afară — aspect relevant pentru principiile autosuficienței și proximității și pentru țintele de economie circulară. Din acest motiv, în </w:t>
      </w:r>
      <w:r w:rsidR="008A313E" w:rsidRPr="00187708">
        <w:rPr>
          <w:highlight w:val="yellow"/>
          <w:lang w:val="ro-RO"/>
        </w:rPr>
        <w:t>PNGD</w:t>
      </w:r>
      <w:r w:rsidRPr="00187708">
        <w:rPr>
          <w:highlight w:val="yellow"/>
          <w:lang w:val="ro-RO"/>
        </w:rPr>
        <w:t xml:space="preserve"> sunt prezentate și analizate datele privind importul, exportul și transferul intern de deșeuri periculoase și nepericuloase, în contextul noului cadru de reglementare instituit prin Regulamentul (UE) 2024/1157</w:t>
      </w:r>
      <w:r w:rsidR="008A313E" w:rsidRPr="00187708">
        <w:rPr>
          <w:highlight w:val="yellow"/>
          <w:lang w:val="ro-RO"/>
        </w:rPr>
        <w:t xml:space="preserve">, sunt stabilite obiective </w:t>
      </w:r>
      <w:r w:rsidR="007B2AAC" w:rsidRPr="00187708">
        <w:rPr>
          <w:highlight w:val="yellow"/>
          <w:lang w:val="ro-RO"/>
        </w:rPr>
        <w:t>și acțiuni.</w:t>
      </w:r>
    </w:p>
    <w:p w14:paraId="258F1200" w14:textId="77777777" w:rsidR="00023275" w:rsidRPr="00187708" w:rsidRDefault="00023275" w:rsidP="00023275">
      <w:pPr>
        <w:rPr>
          <w:lang w:val="ro-RO"/>
        </w:rPr>
      </w:pPr>
    </w:p>
    <w:p w14:paraId="646CAF11" w14:textId="029CEB76" w:rsidR="004B5860" w:rsidRPr="00187708" w:rsidRDefault="004B5860" w:rsidP="004B5860">
      <w:pPr>
        <w:pStyle w:val="Heading2"/>
        <w:spacing w:line="240" w:lineRule="auto"/>
        <w:rPr>
          <w:rFonts w:ascii="Nunito" w:hAnsi="Nunito"/>
          <w:lang w:val="ro-RO"/>
        </w:rPr>
      </w:pPr>
      <w:r w:rsidRPr="00187708">
        <w:rPr>
          <w:rFonts w:ascii="Nunito" w:hAnsi="Nunito"/>
          <w:lang w:val="ro-RO"/>
        </w:rPr>
        <w:t xml:space="preserve">Principalele obiective </w:t>
      </w:r>
      <w:r w:rsidR="005D1F39" w:rsidRPr="00187708">
        <w:rPr>
          <w:rFonts w:ascii="Nunito" w:hAnsi="Nunito"/>
          <w:lang w:val="ro-RO"/>
        </w:rPr>
        <w:t xml:space="preserve">și măsuri </w:t>
      </w:r>
      <w:r w:rsidRPr="00187708">
        <w:rPr>
          <w:rFonts w:ascii="Nunito" w:hAnsi="Nunito"/>
          <w:lang w:val="ro-RO"/>
        </w:rPr>
        <w:t>propuse prin Planului Național de Gestionare a Deșeurilor</w:t>
      </w:r>
    </w:p>
    <w:p w14:paraId="388503F5" w14:textId="77777777" w:rsidR="004B5860" w:rsidRPr="00187708" w:rsidRDefault="004B5860" w:rsidP="004B5860">
      <w:pPr>
        <w:spacing w:after="120" w:line="240" w:lineRule="auto"/>
        <w:jc w:val="both"/>
        <w:rPr>
          <w:rFonts w:ascii="Nunito" w:hAnsi="Nunito"/>
          <w:lang w:val="ro-RO"/>
        </w:rPr>
      </w:pPr>
      <w:r w:rsidRPr="00187708">
        <w:rPr>
          <w:rFonts w:ascii="Nunito" w:hAnsi="Nunito"/>
          <w:lang w:val="ro-RO"/>
        </w:rPr>
        <w:t xml:space="preserve">Planul Național de Gestionare a Deșeurilor (PNGD) are ca scop dezvoltarea cadrului general pentru un sistem durabil de gestionare a deșeurilor la nivel național, capabil să asigure îndeplinirea obiectivelor și țintelor europene transpuse în legislația națională. </w:t>
      </w:r>
    </w:p>
    <w:p w14:paraId="61F58D3E" w14:textId="77777777" w:rsidR="004B5860" w:rsidRPr="00187708" w:rsidRDefault="004B5860" w:rsidP="004B5860">
      <w:pPr>
        <w:spacing w:after="120" w:line="240" w:lineRule="auto"/>
        <w:jc w:val="both"/>
        <w:rPr>
          <w:rFonts w:ascii="Nunito" w:hAnsi="Nunito"/>
          <w:lang w:val="ro-RO"/>
        </w:rPr>
      </w:pPr>
      <w:r w:rsidRPr="00187708">
        <w:rPr>
          <w:rFonts w:ascii="Nunito" w:hAnsi="Nunito"/>
          <w:noProof/>
          <w:lang w:val="ro-RO"/>
        </w:rPr>
        <mc:AlternateContent>
          <mc:Choice Requires="wps">
            <w:drawing>
              <wp:anchor distT="0" distB="0" distL="114300" distR="114300" simplePos="0" relativeHeight="251658240" behindDoc="0" locked="0" layoutInCell="1" allowOverlap="1" wp14:anchorId="3DAECB64" wp14:editId="75BD8368">
                <wp:simplePos x="0" y="0"/>
                <wp:positionH relativeFrom="column">
                  <wp:posOffset>0</wp:posOffset>
                </wp:positionH>
                <wp:positionV relativeFrom="paragraph">
                  <wp:posOffset>0</wp:posOffset>
                </wp:positionV>
                <wp:extent cx="6137453" cy="811987"/>
                <wp:effectExtent l="0" t="0" r="0" b="7620"/>
                <wp:wrapNone/>
                <wp:docPr id="1027097201" name="Text Box 1"/>
                <wp:cNvGraphicFramePr/>
                <a:graphic xmlns:a="http://schemas.openxmlformats.org/drawingml/2006/main">
                  <a:graphicData uri="http://schemas.microsoft.com/office/word/2010/wordprocessingShape">
                    <wps:wsp>
                      <wps:cNvSpPr txBox="1"/>
                      <wps:spPr>
                        <a:xfrm>
                          <a:off x="0" y="0"/>
                          <a:ext cx="6137453" cy="811987"/>
                        </a:xfrm>
                        <a:prstGeom prst="rect">
                          <a:avLst/>
                        </a:prstGeom>
                        <a:solidFill>
                          <a:srgbClr val="FFFFFF">
                            <a:lumMod val="85000"/>
                          </a:srgbClr>
                        </a:solidFill>
                        <a:ln w="6350">
                          <a:noFill/>
                        </a:ln>
                      </wps:spPr>
                      <wps:txbx>
                        <w:txbxContent>
                          <w:p w14:paraId="308B208E" w14:textId="77777777" w:rsidR="004B5860" w:rsidRDefault="004B5860" w:rsidP="004B5860">
                            <w:r w:rsidRPr="00A16C67">
                              <w:rPr>
                                <w:rFonts w:ascii="Nunito" w:hAnsi="Nunito"/>
                                <w:b/>
                                <w:bCs/>
                              </w:rPr>
                              <w:t>Obiectivul general al PNGD</w:t>
                            </w:r>
                            <w:r>
                              <w:rPr>
                                <w:rFonts w:ascii="Nunito" w:hAnsi="Nunito"/>
                              </w:rPr>
                              <w:t xml:space="preserve"> este: </w:t>
                            </w:r>
                            <w:r w:rsidRPr="004B5860">
                              <w:rPr>
                                <w:rFonts w:ascii="Nunito" w:hAnsi="Nunito"/>
                              </w:rPr>
                              <w:t xml:space="preserve"> de a defini politica națională de gestionare a deșeurilor bazată atât pe cerințele europene, cât și pe caracteristicile naționale și/sau locale, asigurând premisele tranziției către o economie circulară în care deșeurile se reîntorc în circuitul economic ca resurse, iar ierarhia deșeurilor este aplicată cu prioritate în cadrului fiecărei decizii/investiții/plan</w:t>
                            </w:r>
                            <w:r>
                              <w:rPr>
                                <w:rFonts w:ascii="Nunito" w:hAnsi="Nunito"/>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type w14:anchorId="3DAECB64" id="_x0000_t202" coordsize="21600,21600" o:spt="202" path="m,l,21600r21600,l21600,xe">
                <v:stroke joinstyle="miter"/>
                <v:path gradientshapeok="t" o:connecttype="rect"/>
              </v:shapetype>
              <v:shape id="Text Box 1" o:spid="_x0000_s1040" type="#_x0000_t202" style="position:absolute;left:0;text-align:left;margin-left:0;margin-top:0;width:483.25pt;height:63.9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" fillcolor="#d9d9d9" stroked="f" strokeweight=".5pt">
                <v:textbox>
                  <w:txbxContent>
                    <w:p w14:paraId="308B208E" w14:textId="77777777" w:rsidR="004B5860" w:rsidRDefault="004B5860" w:rsidP="004B5860">
                      <w:proofErr w:type="spellStart"/>
                      <w:r w:rsidRPr="00A16C67">
                        <w:rPr>
                          <w:rFonts w:ascii="Nunito" w:hAnsi="Nunito"/>
                          <w:b/>
                          <w:bCs/>
                        </w:rPr>
                        <w:t>Obiectivul</w:t>
                      </w:r>
                      <w:proofErr w:type="spellEnd"/>
                      <w:r w:rsidRPr="00A16C67">
                        <w:rPr>
                          <w:rFonts w:ascii="Nunito" w:hAnsi="Nunito"/>
                          <w:b/>
                          <w:bCs/>
                        </w:rPr>
                        <w:t xml:space="preserve"> general al PNGD</w:t>
                      </w:r>
                      <w:r>
                        <w:rPr>
                          <w:rFonts w:ascii="Nunito" w:hAnsi="Nunito"/>
                        </w:rPr>
                        <w:t xml:space="preserve"> </w:t>
                      </w:r>
                      <w:proofErr w:type="spellStart"/>
                      <w:r>
                        <w:rPr>
                          <w:rFonts w:ascii="Nunito" w:hAnsi="Nunito"/>
                        </w:rPr>
                        <w:t>este</w:t>
                      </w:r>
                      <w:proofErr w:type="spellEnd"/>
                      <w:r>
                        <w:rPr>
                          <w:rFonts w:ascii="Nunito" w:hAnsi="Nunito"/>
                        </w:rPr>
                        <w:t xml:space="preserve">: </w:t>
                      </w:r>
                      <w:r w:rsidRPr="004B5860">
                        <w:rPr>
                          <w:rFonts w:ascii="Nunito" w:hAnsi="Nunito"/>
                        </w:rPr>
                        <w:t xml:space="preserve"> de a </w:t>
                      </w:r>
                      <w:proofErr w:type="spellStart"/>
                      <w:r w:rsidRPr="004B5860">
                        <w:rPr>
                          <w:rFonts w:ascii="Nunito" w:hAnsi="Nunito"/>
                        </w:rPr>
                        <w:t>defini</w:t>
                      </w:r>
                      <w:proofErr w:type="spellEnd"/>
                      <w:r w:rsidRPr="004B5860">
                        <w:rPr>
                          <w:rFonts w:ascii="Nunito" w:hAnsi="Nunito"/>
                        </w:rPr>
                        <w:t xml:space="preserve"> </w:t>
                      </w:r>
                      <w:proofErr w:type="spellStart"/>
                      <w:r w:rsidRPr="004B5860">
                        <w:rPr>
                          <w:rFonts w:ascii="Nunito" w:hAnsi="Nunito"/>
                        </w:rPr>
                        <w:t>politica</w:t>
                      </w:r>
                      <w:proofErr w:type="spellEnd"/>
                      <w:r w:rsidRPr="004B5860">
                        <w:rPr>
                          <w:rFonts w:ascii="Nunito" w:hAnsi="Nunito"/>
                        </w:rPr>
                        <w:t xml:space="preserve"> </w:t>
                      </w:r>
                      <w:proofErr w:type="spellStart"/>
                      <w:r w:rsidRPr="004B5860">
                        <w:rPr>
                          <w:rFonts w:ascii="Nunito" w:hAnsi="Nunito"/>
                        </w:rPr>
                        <w:t>națională</w:t>
                      </w:r>
                      <w:proofErr w:type="spellEnd"/>
                      <w:r w:rsidRPr="004B5860">
                        <w:rPr>
                          <w:rFonts w:ascii="Nunito" w:hAnsi="Nunito"/>
                        </w:rPr>
                        <w:t xml:space="preserve"> de </w:t>
                      </w:r>
                      <w:proofErr w:type="spellStart"/>
                      <w:r w:rsidRPr="004B5860">
                        <w:rPr>
                          <w:rFonts w:ascii="Nunito" w:hAnsi="Nunito"/>
                        </w:rPr>
                        <w:t>gestionare</w:t>
                      </w:r>
                      <w:proofErr w:type="spellEnd"/>
                      <w:r w:rsidRPr="004B5860">
                        <w:rPr>
                          <w:rFonts w:ascii="Nunito" w:hAnsi="Nunito"/>
                        </w:rPr>
                        <w:t xml:space="preserve"> a </w:t>
                      </w:r>
                      <w:proofErr w:type="spellStart"/>
                      <w:r w:rsidRPr="004B5860">
                        <w:rPr>
                          <w:rFonts w:ascii="Nunito" w:hAnsi="Nunito"/>
                        </w:rPr>
                        <w:t>deșeurilor</w:t>
                      </w:r>
                      <w:proofErr w:type="spellEnd"/>
                      <w:r w:rsidRPr="004B5860">
                        <w:rPr>
                          <w:rFonts w:ascii="Nunito" w:hAnsi="Nunito"/>
                        </w:rPr>
                        <w:t xml:space="preserve"> </w:t>
                      </w:r>
                      <w:proofErr w:type="spellStart"/>
                      <w:r w:rsidRPr="004B5860">
                        <w:rPr>
                          <w:rFonts w:ascii="Nunito" w:hAnsi="Nunito"/>
                        </w:rPr>
                        <w:t>bazată</w:t>
                      </w:r>
                      <w:proofErr w:type="spellEnd"/>
                      <w:r w:rsidRPr="004B5860">
                        <w:rPr>
                          <w:rFonts w:ascii="Nunito" w:hAnsi="Nunito"/>
                        </w:rPr>
                        <w:t xml:space="preserve"> </w:t>
                      </w:r>
                      <w:proofErr w:type="spellStart"/>
                      <w:r w:rsidRPr="004B5860">
                        <w:rPr>
                          <w:rFonts w:ascii="Nunito" w:hAnsi="Nunito"/>
                        </w:rPr>
                        <w:t>atât</w:t>
                      </w:r>
                      <w:proofErr w:type="spellEnd"/>
                      <w:r w:rsidRPr="004B5860">
                        <w:rPr>
                          <w:rFonts w:ascii="Nunito" w:hAnsi="Nunito"/>
                        </w:rPr>
                        <w:t xml:space="preserve"> pe </w:t>
                      </w:r>
                      <w:proofErr w:type="spellStart"/>
                      <w:r w:rsidRPr="004B5860">
                        <w:rPr>
                          <w:rFonts w:ascii="Nunito" w:hAnsi="Nunito"/>
                        </w:rPr>
                        <w:t>cerințele</w:t>
                      </w:r>
                      <w:proofErr w:type="spellEnd"/>
                      <w:r w:rsidRPr="004B5860">
                        <w:rPr>
                          <w:rFonts w:ascii="Nunito" w:hAnsi="Nunito"/>
                        </w:rPr>
                        <w:t xml:space="preserve"> </w:t>
                      </w:r>
                      <w:proofErr w:type="spellStart"/>
                      <w:r w:rsidRPr="004B5860">
                        <w:rPr>
                          <w:rFonts w:ascii="Nunito" w:hAnsi="Nunito"/>
                        </w:rPr>
                        <w:t>europene</w:t>
                      </w:r>
                      <w:proofErr w:type="spellEnd"/>
                      <w:r w:rsidRPr="004B5860">
                        <w:rPr>
                          <w:rFonts w:ascii="Nunito" w:hAnsi="Nunito"/>
                        </w:rPr>
                        <w:t xml:space="preserve">, </w:t>
                      </w:r>
                      <w:proofErr w:type="spellStart"/>
                      <w:r w:rsidRPr="004B5860">
                        <w:rPr>
                          <w:rFonts w:ascii="Nunito" w:hAnsi="Nunito"/>
                        </w:rPr>
                        <w:t>cât</w:t>
                      </w:r>
                      <w:proofErr w:type="spellEnd"/>
                      <w:r w:rsidRPr="004B5860">
                        <w:rPr>
                          <w:rFonts w:ascii="Nunito" w:hAnsi="Nunito"/>
                        </w:rPr>
                        <w:t xml:space="preserve"> </w:t>
                      </w:r>
                      <w:proofErr w:type="spellStart"/>
                      <w:r w:rsidRPr="004B5860">
                        <w:rPr>
                          <w:rFonts w:ascii="Nunito" w:hAnsi="Nunito"/>
                        </w:rPr>
                        <w:t>și</w:t>
                      </w:r>
                      <w:proofErr w:type="spellEnd"/>
                      <w:r w:rsidRPr="004B5860">
                        <w:rPr>
                          <w:rFonts w:ascii="Nunito" w:hAnsi="Nunito"/>
                        </w:rPr>
                        <w:t xml:space="preserve"> pe </w:t>
                      </w:r>
                      <w:proofErr w:type="spellStart"/>
                      <w:r w:rsidRPr="004B5860">
                        <w:rPr>
                          <w:rFonts w:ascii="Nunito" w:hAnsi="Nunito"/>
                        </w:rPr>
                        <w:t>caracteristicile</w:t>
                      </w:r>
                      <w:proofErr w:type="spellEnd"/>
                      <w:r w:rsidRPr="004B5860">
                        <w:rPr>
                          <w:rFonts w:ascii="Nunito" w:hAnsi="Nunito"/>
                        </w:rPr>
                        <w:t xml:space="preserve"> </w:t>
                      </w:r>
                      <w:proofErr w:type="spellStart"/>
                      <w:r w:rsidRPr="004B5860">
                        <w:rPr>
                          <w:rFonts w:ascii="Nunito" w:hAnsi="Nunito"/>
                        </w:rPr>
                        <w:t>naționale</w:t>
                      </w:r>
                      <w:proofErr w:type="spellEnd"/>
                      <w:r w:rsidRPr="004B5860">
                        <w:rPr>
                          <w:rFonts w:ascii="Nunito" w:hAnsi="Nunito"/>
                        </w:rPr>
                        <w:t xml:space="preserve"> </w:t>
                      </w:r>
                      <w:proofErr w:type="spellStart"/>
                      <w:r w:rsidRPr="004B5860">
                        <w:rPr>
                          <w:rFonts w:ascii="Nunito" w:hAnsi="Nunito"/>
                        </w:rPr>
                        <w:t>și</w:t>
                      </w:r>
                      <w:proofErr w:type="spellEnd"/>
                      <w:r w:rsidRPr="004B5860">
                        <w:rPr>
                          <w:rFonts w:ascii="Nunito" w:hAnsi="Nunito"/>
                        </w:rPr>
                        <w:t>/</w:t>
                      </w:r>
                      <w:proofErr w:type="spellStart"/>
                      <w:r w:rsidRPr="004B5860">
                        <w:rPr>
                          <w:rFonts w:ascii="Nunito" w:hAnsi="Nunito"/>
                        </w:rPr>
                        <w:t>sau</w:t>
                      </w:r>
                      <w:proofErr w:type="spellEnd"/>
                      <w:r w:rsidRPr="004B5860">
                        <w:rPr>
                          <w:rFonts w:ascii="Nunito" w:hAnsi="Nunito"/>
                        </w:rPr>
                        <w:t xml:space="preserve"> locale, </w:t>
                      </w:r>
                      <w:proofErr w:type="spellStart"/>
                      <w:r w:rsidRPr="004B5860">
                        <w:rPr>
                          <w:rFonts w:ascii="Nunito" w:hAnsi="Nunito"/>
                        </w:rPr>
                        <w:t>asigurând</w:t>
                      </w:r>
                      <w:proofErr w:type="spellEnd"/>
                      <w:r w:rsidRPr="004B5860">
                        <w:rPr>
                          <w:rFonts w:ascii="Nunito" w:hAnsi="Nunito"/>
                        </w:rPr>
                        <w:t xml:space="preserve"> </w:t>
                      </w:r>
                      <w:proofErr w:type="spellStart"/>
                      <w:r w:rsidRPr="004B5860">
                        <w:rPr>
                          <w:rFonts w:ascii="Nunito" w:hAnsi="Nunito"/>
                        </w:rPr>
                        <w:t>premisele</w:t>
                      </w:r>
                      <w:proofErr w:type="spellEnd"/>
                      <w:r w:rsidRPr="004B5860">
                        <w:rPr>
                          <w:rFonts w:ascii="Nunito" w:hAnsi="Nunito"/>
                        </w:rPr>
                        <w:t xml:space="preserve"> </w:t>
                      </w:r>
                      <w:proofErr w:type="spellStart"/>
                      <w:r w:rsidRPr="004B5860">
                        <w:rPr>
                          <w:rFonts w:ascii="Nunito" w:hAnsi="Nunito"/>
                        </w:rPr>
                        <w:t>tranziției</w:t>
                      </w:r>
                      <w:proofErr w:type="spellEnd"/>
                      <w:r w:rsidRPr="004B5860">
                        <w:rPr>
                          <w:rFonts w:ascii="Nunito" w:hAnsi="Nunito"/>
                        </w:rPr>
                        <w:t xml:space="preserve"> </w:t>
                      </w:r>
                      <w:proofErr w:type="spellStart"/>
                      <w:r w:rsidRPr="004B5860">
                        <w:rPr>
                          <w:rFonts w:ascii="Nunito" w:hAnsi="Nunito"/>
                        </w:rPr>
                        <w:t>către</w:t>
                      </w:r>
                      <w:proofErr w:type="spellEnd"/>
                      <w:r w:rsidRPr="004B5860">
                        <w:rPr>
                          <w:rFonts w:ascii="Nunito" w:hAnsi="Nunito"/>
                        </w:rPr>
                        <w:t xml:space="preserve"> o </w:t>
                      </w:r>
                      <w:proofErr w:type="spellStart"/>
                      <w:r w:rsidRPr="004B5860">
                        <w:rPr>
                          <w:rFonts w:ascii="Nunito" w:hAnsi="Nunito"/>
                        </w:rPr>
                        <w:t>economie</w:t>
                      </w:r>
                      <w:proofErr w:type="spellEnd"/>
                      <w:r w:rsidRPr="004B5860">
                        <w:rPr>
                          <w:rFonts w:ascii="Nunito" w:hAnsi="Nunito"/>
                        </w:rPr>
                        <w:t xml:space="preserve"> </w:t>
                      </w:r>
                      <w:proofErr w:type="spellStart"/>
                      <w:r w:rsidRPr="004B5860">
                        <w:rPr>
                          <w:rFonts w:ascii="Nunito" w:hAnsi="Nunito"/>
                        </w:rPr>
                        <w:t>circulară</w:t>
                      </w:r>
                      <w:proofErr w:type="spellEnd"/>
                      <w:r w:rsidRPr="004B5860">
                        <w:rPr>
                          <w:rFonts w:ascii="Nunito" w:hAnsi="Nunito"/>
                        </w:rPr>
                        <w:t xml:space="preserve"> </w:t>
                      </w:r>
                      <w:proofErr w:type="spellStart"/>
                      <w:r w:rsidRPr="004B5860">
                        <w:rPr>
                          <w:rFonts w:ascii="Nunito" w:hAnsi="Nunito"/>
                        </w:rPr>
                        <w:t>în</w:t>
                      </w:r>
                      <w:proofErr w:type="spellEnd"/>
                      <w:r w:rsidRPr="004B5860">
                        <w:rPr>
                          <w:rFonts w:ascii="Nunito" w:hAnsi="Nunito"/>
                        </w:rPr>
                        <w:t xml:space="preserve"> care </w:t>
                      </w:r>
                      <w:proofErr w:type="spellStart"/>
                      <w:r w:rsidRPr="004B5860">
                        <w:rPr>
                          <w:rFonts w:ascii="Nunito" w:hAnsi="Nunito"/>
                        </w:rPr>
                        <w:t>deșeurile</w:t>
                      </w:r>
                      <w:proofErr w:type="spellEnd"/>
                      <w:r w:rsidRPr="004B5860">
                        <w:rPr>
                          <w:rFonts w:ascii="Nunito" w:hAnsi="Nunito"/>
                        </w:rPr>
                        <w:t xml:space="preserve"> se </w:t>
                      </w:r>
                      <w:proofErr w:type="spellStart"/>
                      <w:r w:rsidRPr="004B5860">
                        <w:rPr>
                          <w:rFonts w:ascii="Nunito" w:hAnsi="Nunito"/>
                        </w:rPr>
                        <w:t>reîntorc</w:t>
                      </w:r>
                      <w:proofErr w:type="spellEnd"/>
                      <w:r w:rsidRPr="004B5860">
                        <w:rPr>
                          <w:rFonts w:ascii="Nunito" w:hAnsi="Nunito"/>
                        </w:rPr>
                        <w:t xml:space="preserve"> </w:t>
                      </w:r>
                      <w:proofErr w:type="spellStart"/>
                      <w:r w:rsidRPr="004B5860">
                        <w:rPr>
                          <w:rFonts w:ascii="Nunito" w:hAnsi="Nunito"/>
                        </w:rPr>
                        <w:t>în</w:t>
                      </w:r>
                      <w:proofErr w:type="spellEnd"/>
                      <w:r w:rsidRPr="004B5860">
                        <w:rPr>
                          <w:rFonts w:ascii="Nunito" w:hAnsi="Nunito"/>
                        </w:rPr>
                        <w:t xml:space="preserve"> </w:t>
                      </w:r>
                      <w:proofErr w:type="spellStart"/>
                      <w:r w:rsidRPr="004B5860">
                        <w:rPr>
                          <w:rFonts w:ascii="Nunito" w:hAnsi="Nunito"/>
                        </w:rPr>
                        <w:t>circuitul</w:t>
                      </w:r>
                      <w:proofErr w:type="spellEnd"/>
                      <w:r w:rsidRPr="004B5860">
                        <w:rPr>
                          <w:rFonts w:ascii="Nunito" w:hAnsi="Nunito"/>
                        </w:rPr>
                        <w:t xml:space="preserve"> economic ca </w:t>
                      </w:r>
                      <w:proofErr w:type="spellStart"/>
                      <w:r w:rsidRPr="004B5860">
                        <w:rPr>
                          <w:rFonts w:ascii="Nunito" w:hAnsi="Nunito"/>
                        </w:rPr>
                        <w:t>resurse</w:t>
                      </w:r>
                      <w:proofErr w:type="spellEnd"/>
                      <w:r w:rsidRPr="004B5860">
                        <w:rPr>
                          <w:rFonts w:ascii="Nunito" w:hAnsi="Nunito"/>
                        </w:rPr>
                        <w:t xml:space="preserve">, </w:t>
                      </w:r>
                      <w:proofErr w:type="spellStart"/>
                      <w:r w:rsidRPr="004B5860">
                        <w:rPr>
                          <w:rFonts w:ascii="Nunito" w:hAnsi="Nunito"/>
                        </w:rPr>
                        <w:t>iar</w:t>
                      </w:r>
                      <w:proofErr w:type="spellEnd"/>
                      <w:r w:rsidRPr="004B5860">
                        <w:rPr>
                          <w:rFonts w:ascii="Nunito" w:hAnsi="Nunito"/>
                        </w:rPr>
                        <w:t xml:space="preserve"> </w:t>
                      </w:r>
                      <w:proofErr w:type="spellStart"/>
                      <w:r w:rsidRPr="004B5860">
                        <w:rPr>
                          <w:rFonts w:ascii="Nunito" w:hAnsi="Nunito"/>
                        </w:rPr>
                        <w:t>ierarhia</w:t>
                      </w:r>
                      <w:proofErr w:type="spellEnd"/>
                      <w:r w:rsidRPr="004B5860">
                        <w:rPr>
                          <w:rFonts w:ascii="Nunito" w:hAnsi="Nunito"/>
                        </w:rPr>
                        <w:t xml:space="preserve"> </w:t>
                      </w:r>
                      <w:proofErr w:type="spellStart"/>
                      <w:r w:rsidRPr="004B5860">
                        <w:rPr>
                          <w:rFonts w:ascii="Nunito" w:hAnsi="Nunito"/>
                        </w:rPr>
                        <w:t>deșeurilor</w:t>
                      </w:r>
                      <w:proofErr w:type="spellEnd"/>
                      <w:r w:rsidRPr="004B5860">
                        <w:rPr>
                          <w:rFonts w:ascii="Nunito" w:hAnsi="Nunito"/>
                        </w:rPr>
                        <w:t xml:space="preserve"> </w:t>
                      </w:r>
                      <w:proofErr w:type="spellStart"/>
                      <w:r w:rsidRPr="004B5860">
                        <w:rPr>
                          <w:rFonts w:ascii="Nunito" w:hAnsi="Nunito"/>
                        </w:rPr>
                        <w:t>este</w:t>
                      </w:r>
                      <w:proofErr w:type="spellEnd"/>
                      <w:r w:rsidRPr="004B5860">
                        <w:rPr>
                          <w:rFonts w:ascii="Nunito" w:hAnsi="Nunito"/>
                        </w:rPr>
                        <w:t xml:space="preserve"> </w:t>
                      </w:r>
                      <w:proofErr w:type="spellStart"/>
                      <w:r w:rsidRPr="004B5860">
                        <w:rPr>
                          <w:rFonts w:ascii="Nunito" w:hAnsi="Nunito"/>
                        </w:rPr>
                        <w:t>aplicată</w:t>
                      </w:r>
                      <w:proofErr w:type="spellEnd"/>
                      <w:r w:rsidRPr="004B5860">
                        <w:rPr>
                          <w:rFonts w:ascii="Nunito" w:hAnsi="Nunito"/>
                        </w:rPr>
                        <w:t xml:space="preserve"> cu </w:t>
                      </w:r>
                      <w:proofErr w:type="spellStart"/>
                      <w:r w:rsidRPr="004B5860">
                        <w:rPr>
                          <w:rFonts w:ascii="Nunito" w:hAnsi="Nunito"/>
                        </w:rPr>
                        <w:t>prioritate</w:t>
                      </w:r>
                      <w:proofErr w:type="spellEnd"/>
                      <w:r w:rsidRPr="004B5860">
                        <w:rPr>
                          <w:rFonts w:ascii="Nunito" w:hAnsi="Nunito"/>
                        </w:rPr>
                        <w:t xml:space="preserve"> </w:t>
                      </w:r>
                      <w:proofErr w:type="spellStart"/>
                      <w:r w:rsidRPr="004B5860">
                        <w:rPr>
                          <w:rFonts w:ascii="Nunito" w:hAnsi="Nunito"/>
                        </w:rPr>
                        <w:t>în</w:t>
                      </w:r>
                      <w:proofErr w:type="spellEnd"/>
                      <w:r w:rsidRPr="004B5860">
                        <w:rPr>
                          <w:rFonts w:ascii="Nunito" w:hAnsi="Nunito"/>
                        </w:rPr>
                        <w:t xml:space="preserve"> </w:t>
                      </w:r>
                      <w:proofErr w:type="spellStart"/>
                      <w:r w:rsidRPr="004B5860">
                        <w:rPr>
                          <w:rFonts w:ascii="Nunito" w:hAnsi="Nunito"/>
                        </w:rPr>
                        <w:t>cadrului</w:t>
                      </w:r>
                      <w:proofErr w:type="spellEnd"/>
                      <w:r w:rsidRPr="004B5860">
                        <w:rPr>
                          <w:rFonts w:ascii="Nunito" w:hAnsi="Nunito"/>
                        </w:rPr>
                        <w:t xml:space="preserve"> </w:t>
                      </w:r>
                      <w:proofErr w:type="spellStart"/>
                      <w:r w:rsidRPr="004B5860">
                        <w:rPr>
                          <w:rFonts w:ascii="Nunito" w:hAnsi="Nunito"/>
                        </w:rPr>
                        <w:t>fiecărei</w:t>
                      </w:r>
                      <w:proofErr w:type="spellEnd"/>
                      <w:r w:rsidRPr="004B5860">
                        <w:rPr>
                          <w:rFonts w:ascii="Nunito" w:hAnsi="Nunito"/>
                        </w:rPr>
                        <w:t xml:space="preserve"> </w:t>
                      </w:r>
                      <w:proofErr w:type="spellStart"/>
                      <w:r w:rsidRPr="004B5860">
                        <w:rPr>
                          <w:rFonts w:ascii="Nunito" w:hAnsi="Nunito"/>
                        </w:rPr>
                        <w:t>decizii</w:t>
                      </w:r>
                      <w:proofErr w:type="spellEnd"/>
                      <w:r w:rsidRPr="004B5860">
                        <w:rPr>
                          <w:rFonts w:ascii="Nunito" w:hAnsi="Nunito"/>
                        </w:rPr>
                        <w:t>/</w:t>
                      </w:r>
                      <w:proofErr w:type="spellStart"/>
                      <w:r w:rsidRPr="004B5860">
                        <w:rPr>
                          <w:rFonts w:ascii="Nunito" w:hAnsi="Nunito"/>
                        </w:rPr>
                        <w:t>investiții</w:t>
                      </w:r>
                      <w:proofErr w:type="spellEnd"/>
                      <w:r w:rsidRPr="004B5860">
                        <w:rPr>
                          <w:rFonts w:ascii="Nunito" w:hAnsi="Nunito"/>
                        </w:rPr>
                        <w:t>/plan</w:t>
                      </w:r>
                      <w:r>
                        <w:rPr>
                          <w:rFonts w:ascii="Nunito" w:hAnsi="Nunito"/>
                        </w:rPr>
                        <w:t>.</w:t>
                      </w:r>
                    </w:p>
                  </w:txbxContent>
                </v:textbox>
              </v:shape>
            </w:pict>
          </mc:Fallback>
        </mc:AlternateContent>
      </w:r>
    </w:p>
    <w:p w14:paraId="2438690E" w14:textId="77777777" w:rsidR="004B5860" w:rsidRPr="00187708" w:rsidRDefault="004B5860" w:rsidP="004B5860">
      <w:pPr>
        <w:spacing w:after="120" w:line="240" w:lineRule="auto"/>
        <w:jc w:val="both"/>
        <w:rPr>
          <w:rFonts w:ascii="Nunito" w:hAnsi="Nunito"/>
          <w:lang w:val="ro-RO"/>
        </w:rPr>
      </w:pPr>
    </w:p>
    <w:p w14:paraId="2322F649" w14:textId="77777777" w:rsidR="004B5860" w:rsidRPr="00187708" w:rsidRDefault="004B5860" w:rsidP="004B5860">
      <w:pPr>
        <w:spacing w:after="120" w:line="240" w:lineRule="auto"/>
        <w:jc w:val="both"/>
        <w:rPr>
          <w:rFonts w:ascii="Nunito" w:hAnsi="Nunito"/>
          <w:lang w:val="ro-RO"/>
        </w:rPr>
      </w:pPr>
    </w:p>
    <w:p w14:paraId="0F4F0AD7" w14:textId="77777777" w:rsidR="004B5860" w:rsidRPr="00187708" w:rsidRDefault="004B5860" w:rsidP="004B5860">
      <w:pPr>
        <w:spacing w:after="120" w:line="240" w:lineRule="auto"/>
        <w:jc w:val="both"/>
        <w:rPr>
          <w:rFonts w:ascii="Nunito" w:hAnsi="Nunito"/>
          <w:lang w:val="ro-RO"/>
        </w:rPr>
      </w:pPr>
      <w:r w:rsidRPr="00187708">
        <w:rPr>
          <w:rFonts w:ascii="Nunito" w:hAnsi="Nunito"/>
          <w:lang w:val="ro-RO"/>
        </w:rPr>
        <w:lastRenderedPageBreak/>
        <w:t>La nivel operațional, PNGD urmărește caracterizarea situației actuale (cantități generate și gestionate, instalații existente), identificarea elementelor care conduc la management ineficient, stabilirea obiectivelor și țintelor pe baza prevederilor legale și a obiectivelor strategice, precum și identificarea necesităților investiționale.</w:t>
      </w:r>
    </w:p>
    <w:p w14:paraId="665F960C" w14:textId="77777777" w:rsidR="004B5860" w:rsidRPr="00187708" w:rsidRDefault="004B5860" w:rsidP="004B5860">
      <w:pPr>
        <w:spacing w:after="120" w:line="240" w:lineRule="auto"/>
        <w:jc w:val="both"/>
        <w:rPr>
          <w:rFonts w:ascii="Nunito" w:hAnsi="Nunito"/>
          <w:lang w:val="ro-RO"/>
        </w:rPr>
      </w:pPr>
      <w:r w:rsidRPr="00187708">
        <w:rPr>
          <w:rFonts w:ascii="Nunito" w:hAnsi="Nunito"/>
          <w:lang w:val="ro-RO"/>
        </w:rPr>
        <w:t>Pentru perioada de planificare 2026–2035, un set central de obiective vizează deșeurile municipale, pentru care sunt stabilite atât ținte intermediare, cât și ținte de final de perioadă. În acest sens, PNGD urmărește menținerea gradului de acoperire cu serviciul de salubrizare la 100% (permanent), creșterea gradului de pregătire pentru reutilizare și reciclare prin aplicarea ierarhiei de gestionare a deșeurilor, respectiv atingerea țintelor de 55% (2025), 60% (2030) și 65% (2035) din cantitatea totală de deșeuri municipale generate. În același timp, este urmărită reducerea la depozitare a deșeurilor municipale până la 10% din masa totală generată, începând cu 2035, precum și depozitarea numai a deșeurilor supuse în prealabil unor operații de tratare în depozite conforme (2030). Complementar, PNGD prevede consolidarea cadrului de reglementare și autorizare care să susțină funcționarea eficientă a sistemelor de gestionare a deșeurilor municipale (2027), măsurile concrete de realizare fiind detaliate în planurile de acțiune.</w:t>
      </w:r>
    </w:p>
    <w:p w14:paraId="7C0C302F" w14:textId="77777777" w:rsidR="004B5860" w:rsidRPr="00187708" w:rsidRDefault="004B5860" w:rsidP="004B5860">
      <w:pPr>
        <w:spacing w:after="120" w:line="240" w:lineRule="auto"/>
        <w:jc w:val="both"/>
        <w:rPr>
          <w:rFonts w:ascii="Nunito" w:hAnsi="Nunito"/>
          <w:lang w:val="ro-RO"/>
        </w:rPr>
      </w:pPr>
      <w:r w:rsidRPr="00187708">
        <w:rPr>
          <w:rFonts w:ascii="Nunito" w:hAnsi="Nunito"/>
          <w:lang w:val="ro-RO"/>
        </w:rPr>
        <w:t>Pentru celelalte categorii și fluxuri de deșeuri, PNGD stabilește obiective și ținte specifice, construite pe baza prevederilor legislative europene și naționale în vigoare, a deficiențelor și a rezultatelor analizei privind îndeplinirea obiectivelor anterioare, cu ținte, termene și justificări asociate. În cadrul acestor obiective sunt incluse, de exemplu, creșterea reutilizării/reciclării și a altor operațiuni de valorificare materială pentru deșeurile din construcții și desființări, la un nivel de minimum 70% (permanent), planificarea gestionării nămolurilor rezultate de la stațiile de epurare orășenești prin elaborarea și adoptarea unei Strategii Naționale privind nămolurile până în 2026, asigurarea unui grad de colectare a anvelopelor uzate de 80% pentru perioada 2026–2035 și dezvoltarea infrastructurii necesare pentru valorificarea acestora, precum și reducerea cantităților de deșeuri din agricultură, silvicultură și pescuit cu 10% până în 2035. În ansamblu, obiectivele PNGD sunt operaționalizate prin planuri de acțiune și sunt susținute de componente de monitorizare și raportare, astfel încât progresul în atingerea țintelor stabilite pentru 2026–2035 să poată fi urmărit în mod unitar.</w:t>
      </w:r>
    </w:p>
    <w:p w14:paraId="7AA17581" w14:textId="013735F5" w:rsidR="00952075" w:rsidRPr="00187708" w:rsidRDefault="004B5860" w:rsidP="004B5860">
      <w:pPr>
        <w:spacing w:after="120" w:line="240" w:lineRule="auto"/>
        <w:jc w:val="both"/>
        <w:rPr>
          <w:rFonts w:ascii="Nunito" w:hAnsi="Nunito"/>
          <w:lang w:val="ro-RO"/>
        </w:rPr>
      </w:pPr>
      <w:r w:rsidRPr="00187708">
        <w:rPr>
          <w:rFonts w:ascii="Nunito" w:hAnsi="Nunito"/>
          <w:lang w:val="ro-RO"/>
        </w:rPr>
        <w:t>Obiectivele specifice al PNGD sunt caracterizarea situației actuale în domeniu (cantități de deșeuri generate și gestionate, instalații existente), identificarea problemelor care cauzează un management ineficient a deșeurilor, stabilirea obiectivelor și țintelor pe baza prevederilor legale si a obiectelor strategice stabilite prin SNGD, precum și identificarea necesităților investiționale.</w:t>
      </w:r>
    </w:p>
    <w:p w14:paraId="3D1D610B" w14:textId="1250E52F" w:rsidR="00AE1EFE" w:rsidRPr="00187708" w:rsidRDefault="00AE1EFE" w:rsidP="004B5860">
      <w:pPr>
        <w:spacing w:after="120" w:line="240" w:lineRule="auto"/>
        <w:jc w:val="both"/>
        <w:rPr>
          <w:rFonts w:ascii="Nunito" w:hAnsi="Nunito"/>
          <w:lang w:val="ro-RO"/>
        </w:rPr>
      </w:pPr>
      <w:r w:rsidRPr="00187708">
        <w:rPr>
          <w:rFonts w:ascii="Nunito" w:hAnsi="Nunito"/>
          <w:lang w:val="ro-RO"/>
        </w:rPr>
        <w:t xml:space="preserve">Planul Național de Gestionare a Deșeurilor cuprinde 61 de obiective specifice, structurate pe cele trei direcții ale planului: gestionarea fluxurilor de deșeuri </w:t>
      </w:r>
      <w:r w:rsidR="0040480F" w:rsidRPr="00187708">
        <w:rPr>
          <w:rFonts w:ascii="Nunito" w:hAnsi="Nunito"/>
          <w:lang w:val="ro-RO"/>
        </w:rPr>
        <w:t>-</w:t>
      </w:r>
      <w:r w:rsidRPr="00187708">
        <w:rPr>
          <w:rFonts w:ascii="Nunito" w:hAnsi="Nunito"/>
          <w:lang w:val="ro-RO"/>
        </w:rPr>
        <w:t xml:space="preserve"> municipale și speciale (5</w:t>
      </w:r>
      <w:r w:rsidR="006D3037" w:rsidRPr="00187708">
        <w:rPr>
          <w:rFonts w:ascii="Nunito" w:hAnsi="Nunito"/>
          <w:lang w:val="ro-RO"/>
        </w:rPr>
        <w:t>6</w:t>
      </w:r>
      <w:r w:rsidRPr="00187708">
        <w:rPr>
          <w:rFonts w:ascii="Nunito" w:hAnsi="Nunito"/>
          <w:lang w:val="ro-RO"/>
        </w:rPr>
        <w:t xml:space="preserve"> de obiective), </w:t>
      </w:r>
      <w:r w:rsidR="006D3037" w:rsidRPr="00187708">
        <w:rPr>
          <w:rFonts w:ascii="Nunito" w:hAnsi="Nunito"/>
          <w:lang w:val="ro-RO"/>
        </w:rPr>
        <w:t xml:space="preserve">transfer deșeuri (1 obiectiv) </w:t>
      </w:r>
      <w:r w:rsidRPr="00187708">
        <w:rPr>
          <w:rFonts w:ascii="Nunito" w:hAnsi="Nunito"/>
          <w:lang w:val="ro-RO"/>
        </w:rPr>
        <w:t xml:space="preserve">instrumentele economice menite să crească reciclarea și să reducă depozitarea (integrate transversal, îndeosebi prin răspunderea extinsă a producătorilor) și prevenirea generării deșeurilor, în cadrul PNPGD (5 obiective) </w:t>
      </w:r>
      <w:r w:rsidR="0040480F" w:rsidRPr="00187708">
        <w:rPr>
          <w:rFonts w:ascii="Nunito" w:hAnsi="Nunito"/>
          <w:lang w:val="ro-RO"/>
        </w:rPr>
        <w:t>-</w:t>
      </w:r>
      <w:r w:rsidRPr="00187708">
        <w:rPr>
          <w:rFonts w:ascii="Nunito" w:hAnsi="Nunito"/>
          <w:lang w:val="ro-RO"/>
        </w:rPr>
        <w:t xml:space="preserve"> fiind detaliate, la nivel operațional, în măsuri și acțiun</w:t>
      </w:r>
      <w:r w:rsidR="00A35532" w:rsidRPr="00187708">
        <w:rPr>
          <w:rFonts w:ascii="Nunito" w:hAnsi="Nunito"/>
          <w:lang w:val="ro-RO"/>
        </w:rPr>
        <w:t>i</w:t>
      </w:r>
      <w:r w:rsidR="00072838" w:rsidRPr="00187708">
        <w:rPr>
          <w:rFonts w:ascii="Nunito" w:hAnsi="Nunito"/>
          <w:lang w:val="ro-RO"/>
        </w:rPr>
        <w:t>.</w:t>
      </w:r>
    </w:p>
    <w:p w14:paraId="686801E6" w14:textId="133ED64F" w:rsidR="00A35532" w:rsidRPr="00187708" w:rsidRDefault="004B5860" w:rsidP="00A35532">
      <w:pPr>
        <w:jc w:val="both"/>
        <w:rPr>
          <w:rFonts w:ascii="Nunito" w:hAnsi="Nunito"/>
          <w:lang w:val="ro-RO"/>
        </w:rPr>
      </w:pPr>
      <w:r w:rsidRPr="00187708">
        <w:rPr>
          <w:rFonts w:ascii="Nunito" w:hAnsi="Nunito"/>
          <w:b/>
          <w:bCs/>
          <w:lang w:val="ro-RO"/>
        </w:rPr>
        <w:t>Obiectivele specifice pe fluxuri de deșeuri</w:t>
      </w:r>
      <w:r w:rsidR="00A35532" w:rsidRPr="00187708">
        <w:rPr>
          <w:rFonts w:ascii="Nunito" w:hAnsi="Nunito"/>
          <w:b/>
          <w:bCs/>
          <w:lang w:val="ro-RO"/>
        </w:rPr>
        <w:t xml:space="preserve"> și pentru transferul deșeurilor</w:t>
      </w:r>
      <w:r w:rsidR="00386478" w:rsidRPr="00187708">
        <w:rPr>
          <w:rFonts w:ascii="Nunito" w:hAnsi="Nunito"/>
          <w:lang w:val="ro-RO"/>
        </w:rPr>
        <w:t xml:space="preserve"> </w:t>
      </w:r>
      <w:r w:rsidRPr="00187708">
        <w:rPr>
          <w:rFonts w:ascii="Nunito" w:hAnsi="Nunito"/>
          <w:lang w:val="ro-RO"/>
        </w:rPr>
        <w:t>sunt prezentate în tabelul următor</w:t>
      </w:r>
      <w:r w:rsidR="00A35532" w:rsidRPr="00187708">
        <w:rPr>
          <w:rFonts w:ascii="Nunito" w:hAnsi="Nunito"/>
          <w:lang w:val="ro-RO"/>
        </w:rPr>
        <w:t>.. Obiectivele programului de prevenire sunt prezentate în secțiunea 2.6.</w:t>
      </w:r>
    </w:p>
    <w:p w14:paraId="5848C4E7" w14:textId="614F2B47" w:rsidR="00056CA3" w:rsidRPr="00187708" w:rsidRDefault="005C4CA1" w:rsidP="005C4CA1">
      <w:pPr>
        <w:pStyle w:val="Caption"/>
        <w:rPr>
          <w:rFonts w:ascii="Nunito" w:hAnsi="Nunito"/>
          <w:sz w:val="16"/>
          <w:szCs w:val="16"/>
          <w:lang w:val="ro-RO"/>
        </w:rPr>
      </w:pPr>
      <w:r w:rsidRPr="00187708">
        <w:rPr>
          <w:rFonts w:ascii="Nunito" w:hAnsi="Nunito"/>
          <w:sz w:val="16"/>
          <w:szCs w:val="16"/>
          <w:lang w:val="ro-RO"/>
        </w:rPr>
        <w:t xml:space="preserve">Tabel </w:t>
      </w:r>
      <w:r w:rsidR="001802CD" w:rsidRPr="00187708">
        <w:rPr>
          <w:rFonts w:ascii="Nunito" w:hAnsi="Nunito"/>
          <w:sz w:val="16"/>
          <w:szCs w:val="16"/>
          <w:lang w:val="ro-RO"/>
        </w:rPr>
        <w:fldChar w:fldCharType="begin"/>
      </w:r>
      <w:r w:rsidR="001802CD" w:rsidRPr="00187708">
        <w:rPr>
          <w:rFonts w:ascii="Nunito" w:hAnsi="Nunito"/>
          <w:sz w:val="16"/>
          <w:szCs w:val="16"/>
          <w:lang w:val="ro-RO"/>
        </w:rPr>
        <w:instrText xml:space="preserve"> STYLEREF 1 \s </w:instrText>
      </w:r>
      <w:r w:rsidR="001802CD" w:rsidRPr="00187708">
        <w:rPr>
          <w:rFonts w:ascii="Nunito" w:hAnsi="Nunito"/>
          <w:sz w:val="16"/>
          <w:szCs w:val="16"/>
          <w:lang w:val="ro-RO"/>
        </w:rPr>
        <w:fldChar w:fldCharType="separate"/>
      </w:r>
      <w:r w:rsidR="00AA044A" w:rsidRPr="00187708">
        <w:rPr>
          <w:rFonts w:ascii="Nunito" w:hAnsi="Nunito"/>
          <w:noProof/>
          <w:sz w:val="16"/>
          <w:szCs w:val="16"/>
          <w:lang w:val="ro-RO"/>
        </w:rPr>
        <w:t>2</w:t>
      </w:r>
      <w:r w:rsidR="001802CD" w:rsidRPr="00187708">
        <w:rPr>
          <w:rFonts w:ascii="Nunito" w:hAnsi="Nunito"/>
          <w:sz w:val="16"/>
          <w:szCs w:val="16"/>
          <w:lang w:val="ro-RO"/>
        </w:rPr>
        <w:fldChar w:fldCharType="end"/>
      </w:r>
      <w:r w:rsidR="001802CD" w:rsidRPr="00187708">
        <w:rPr>
          <w:rFonts w:ascii="Nunito" w:hAnsi="Nunito"/>
          <w:sz w:val="16"/>
          <w:szCs w:val="16"/>
          <w:lang w:val="ro-RO"/>
        </w:rPr>
        <w:noBreakHyphen/>
      </w:r>
      <w:r w:rsidR="001802CD" w:rsidRPr="00187708">
        <w:rPr>
          <w:rFonts w:ascii="Nunito" w:hAnsi="Nunito"/>
          <w:sz w:val="16"/>
          <w:szCs w:val="16"/>
          <w:lang w:val="ro-RO"/>
        </w:rPr>
        <w:fldChar w:fldCharType="begin"/>
      </w:r>
      <w:r w:rsidR="001802CD" w:rsidRPr="00187708">
        <w:rPr>
          <w:rFonts w:ascii="Nunito" w:hAnsi="Nunito"/>
          <w:sz w:val="16"/>
          <w:szCs w:val="16"/>
          <w:lang w:val="ro-RO"/>
        </w:rPr>
        <w:instrText xml:space="preserve"> SEQ Tabel \* ARABIC \s 1 </w:instrText>
      </w:r>
      <w:r w:rsidR="001802CD" w:rsidRPr="00187708">
        <w:rPr>
          <w:rFonts w:ascii="Nunito" w:hAnsi="Nunito"/>
          <w:sz w:val="16"/>
          <w:szCs w:val="16"/>
          <w:lang w:val="ro-RO"/>
        </w:rPr>
        <w:fldChar w:fldCharType="separate"/>
      </w:r>
      <w:r w:rsidR="00AA044A" w:rsidRPr="00187708">
        <w:rPr>
          <w:rFonts w:ascii="Nunito" w:hAnsi="Nunito"/>
          <w:noProof/>
          <w:sz w:val="16"/>
          <w:szCs w:val="16"/>
          <w:lang w:val="ro-RO"/>
        </w:rPr>
        <w:t>1</w:t>
      </w:r>
      <w:r w:rsidR="001802CD" w:rsidRPr="00187708">
        <w:rPr>
          <w:rFonts w:ascii="Nunito" w:hAnsi="Nunito"/>
          <w:sz w:val="16"/>
          <w:szCs w:val="16"/>
          <w:lang w:val="ro-RO"/>
        </w:rPr>
        <w:fldChar w:fldCharType="end"/>
      </w:r>
      <w:r w:rsidRPr="00187708">
        <w:rPr>
          <w:rFonts w:ascii="Nunito" w:hAnsi="Nunito"/>
          <w:sz w:val="16"/>
          <w:szCs w:val="16"/>
          <w:lang w:val="ro-RO"/>
        </w:rPr>
        <w:t>: Obiectivele specifice pe fluxuri de deșeuri</w:t>
      </w:r>
    </w:p>
    <w:tbl>
      <w:tblPr>
        <w:tblStyle w:val="Ramboll-Table"/>
        <w:tblW w:w="9781" w:type="dxa"/>
        <w:tblInd w:w="-142" w:type="dxa"/>
        <w:tblLook w:val="04A0" w:firstRow="1" w:lastRow="0" w:firstColumn="1" w:lastColumn="0" w:noHBand="0" w:noVBand="1"/>
      </w:tblPr>
      <w:tblGrid>
        <w:gridCol w:w="664"/>
        <w:gridCol w:w="1259"/>
        <w:gridCol w:w="1900"/>
        <w:gridCol w:w="1160"/>
        <w:gridCol w:w="4798"/>
      </w:tblGrid>
      <w:tr w:rsidR="00701248" w:rsidRPr="00187708" w14:paraId="22AB1610" w14:textId="77777777" w:rsidTr="007401C9">
        <w:trPr>
          <w:cnfStyle w:val="100000000000" w:firstRow="1" w:lastRow="0" w:firstColumn="0" w:lastColumn="0" w:oddVBand="0" w:evenVBand="0" w:oddHBand="0" w:evenHBand="0" w:firstRowFirstColumn="0" w:firstRowLastColumn="0" w:lastRowFirstColumn="0" w:lastRowLastColumn="0"/>
          <w:trHeight w:val="95"/>
          <w:tblHeader/>
        </w:trPr>
        <w:tc>
          <w:tcPr>
            <w:tcW w:w="664" w:type="dxa"/>
            <w:shd w:val="clear" w:color="auto" w:fill="009DF0" w:themeFill="text2"/>
            <w:hideMark/>
          </w:tcPr>
          <w:p w14:paraId="7233FE7F" w14:textId="77777777" w:rsidR="00701248" w:rsidRPr="00187708" w:rsidRDefault="00701248" w:rsidP="00701248">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Nr.</w:t>
            </w:r>
          </w:p>
        </w:tc>
        <w:tc>
          <w:tcPr>
            <w:tcW w:w="1259" w:type="dxa"/>
            <w:shd w:val="clear" w:color="auto" w:fill="009DF0" w:themeFill="text2"/>
            <w:hideMark/>
          </w:tcPr>
          <w:p w14:paraId="4FB73D1B" w14:textId="77777777" w:rsidR="00701248" w:rsidRPr="00187708" w:rsidRDefault="00701248" w:rsidP="00701248">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Cod</w:t>
            </w:r>
          </w:p>
        </w:tc>
        <w:tc>
          <w:tcPr>
            <w:tcW w:w="1900" w:type="dxa"/>
            <w:shd w:val="clear" w:color="auto" w:fill="009DF0" w:themeFill="text2"/>
            <w:hideMark/>
          </w:tcPr>
          <w:p w14:paraId="43B00F19" w14:textId="77777777" w:rsidR="00701248" w:rsidRPr="00187708" w:rsidRDefault="00701248" w:rsidP="00701248">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Flux de deșeuri</w:t>
            </w:r>
          </w:p>
        </w:tc>
        <w:tc>
          <w:tcPr>
            <w:tcW w:w="1160" w:type="dxa"/>
            <w:shd w:val="clear" w:color="auto" w:fill="009DF0" w:themeFill="text2"/>
            <w:hideMark/>
          </w:tcPr>
          <w:p w14:paraId="54400733" w14:textId="77777777" w:rsidR="00701248" w:rsidRPr="00187708" w:rsidRDefault="00701248" w:rsidP="00701248">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Nr. PNGD</w:t>
            </w:r>
          </w:p>
        </w:tc>
        <w:tc>
          <w:tcPr>
            <w:tcW w:w="4798" w:type="dxa"/>
            <w:shd w:val="clear" w:color="auto" w:fill="009DF0" w:themeFill="text2"/>
            <w:hideMark/>
          </w:tcPr>
          <w:p w14:paraId="3761168E" w14:textId="77777777" w:rsidR="00701248" w:rsidRPr="00187708" w:rsidRDefault="00701248" w:rsidP="00701248">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Obiectiv specific</w:t>
            </w:r>
          </w:p>
        </w:tc>
      </w:tr>
      <w:tr w:rsidR="00701248" w:rsidRPr="00187708" w14:paraId="2E90D696" w14:textId="77777777" w:rsidTr="007401C9">
        <w:trPr>
          <w:trHeight w:val="300"/>
        </w:trPr>
        <w:tc>
          <w:tcPr>
            <w:tcW w:w="664" w:type="dxa"/>
            <w:shd w:val="clear" w:color="auto" w:fill="E3E1D8" w:themeFill="accent6"/>
            <w:hideMark/>
          </w:tcPr>
          <w:p w14:paraId="187A1A70"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w:t>
            </w:r>
          </w:p>
        </w:tc>
        <w:tc>
          <w:tcPr>
            <w:tcW w:w="1259" w:type="dxa"/>
            <w:shd w:val="clear" w:color="auto" w:fill="E3E1D8" w:themeFill="accent6"/>
            <w:hideMark/>
          </w:tcPr>
          <w:p w14:paraId="1F54FE20"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MUN-OS-01</w:t>
            </w:r>
          </w:p>
        </w:tc>
        <w:tc>
          <w:tcPr>
            <w:tcW w:w="1900" w:type="dxa"/>
            <w:shd w:val="clear" w:color="auto" w:fill="E3E1D8" w:themeFill="accent6"/>
            <w:hideMark/>
          </w:tcPr>
          <w:p w14:paraId="1AA5D763"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municipale</w:t>
            </w:r>
          </w:p>
        </w:tc>
        <w:tc>
          <w:tcPr>
            <w:tcW w:w="1160" w:type="dxa"/>
            <w:shd w:val="clear" w:color="auto" w:fill="E3E1D8" w:themeFill="accent6"/>
            <w:hideMark/>
          </w:tcPr>
          <w:p w14:paraId="6744A88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50036D9C"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Menținerea gradului de acoperire cu serviciu de salubrizare</w:t>
            </w:r>
          </w:p>
        </w:tc>
      </w:tr>
      <w:tr w:rsidR="00701248" w:rsidRPr="00187708" w14:paraId="6133E672" w14:textId="77777777" w:rsidTr="007401C9">
        <w:trPr>
          <w:trHeight w:val="510"/>
        </w:trPr>
        <w:tc>
          <w:tcPr>
            <w:tcW w:w="664" w:type="dxa"/>
            <w:shd w:val="clear" w:color="auto" w:fill="E3E1D8" w:themeFill="accent6"/>
            <w:hideMark/>
          </w:tcPr>
          <w:p w14:paraId="0584F4F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w:t>
            </w:r>
          </w:p>
        </w:tc>
        <w:tc>
          <w:tcPr>
            <w:tcW w:w="1259" w:type="dxa"/>
            <w:shd w:val="clear" w:color="auto" w:fill="E3E1D8" w:themeFill="accent6"/>
            <w:hideMark/>
          </w:tcPr>
          <w:p w14:paraId="58B64B3F"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MUN-OS-02</w:t>
            </w:r>
          </w:p>
        </w:tc>
        <w:tc>
          <w:tcPr>
            <w:tcW w:w="1900" w:type="dxa"/>
            <w:shd w:val="clear" w:color="auto" w:fill="E3E1D8" w:themeFill="accent6"/>
            <w:hideMark/>
          </w:tcPr>
          <w:p w14:paraId="64718D78"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municipale</w:t>
            </w:r>
          </w:p>
        </w:tc>
        <w:tc>
          <w:tcPr>
            <w:tcW w:w="1160" w:type="dxa"/>
            <w:shd w:val="clear" w:color="auto" w:fill="E3E1D8" w:themeFill="accent6"/>
            <w:hideMark/>
          </w:tcPr>
          <w:p w14:paraId="734D2FC6"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732EB071"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gradului de pregătire pentru reutilizare și reciclare prin aplicarea ierarhiei de gestionare a deșeurilor</w:t>
            </w:r>
          </w:p>
        </w:tc>
      </w:tr>
      <w:tr w:rsidR="00701248" w:rsidRPr="00187708" w14:paraId="083BF768" w14:textId="77777777" w:rsidTr="007401C9">
        <w:trPr>
          <w:trHeight w:val="510"/>
        </w:trPr>
        <w:tc>
          <w:tcPr>
            <w:tcW w:w="664" w:type="dxa"/>
            <w:shd w:val="clear" w:color="auto" w:fill="E3E1D8" w:themeFill="accent6"/>
            <w:hideMark/>
          </w:tcPr>
          <w:p w14:paraId="1F1C85F2"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w:t>
            </w:r>
          </w:p>
        </w:tc>
        <w:tc>
          <w:tcPr>
            <w:tcW w:w="1259" w:type="dxa"/>
            <w:shd w:val="clear" w:color="auto" w:fill="E3E1D8" w:themeFill="accent6"/>
            <w:hideMark/>
          </w:tcPr>
          <w:p w14:paraId="244B6949"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MUN-OS-03</w:t>
            </w:r>
          </w:p>
        </w:tc>
        <w:tc>
          <w:tcPr>
            <w:tcW w:w="1900" w:type="dxa"/>
            <w:shd w:val="clear" w:color="auto" w:fill="E3E1D8" w:themeFill="accent6"/>
            <w:hideMark/>
          </w:tcPr>
          <w:p w14:paraId="7C12DD39"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municipale</w:t>
            </w:r>
          </w:p>
        </w:tc>
        <w:tc>
          <w:tcPr>
            <w:tcW w:w="1160" w:type="dxa"/>
            <w:shd w:val="clear" w:color="auto" w:fill="E3E1D8" w:themeFill="accent6"/>
            <w:hideMark/>
          </w:tcPr>
          <w:p w14:paraId="7ABDCD6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shd w:val="clear" w:color="auto" w:fill="E3E1D8" w:themeFill="accent6"/>
            <w:hideMark/>
          </w:tcPr>
          <w:p w14:paraId="5E7D4E91"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Reducerea la depozitare a deșeurilor municipale (măsurile și acțiunile aferente obiectivelor 1-2 contribuie semnificativ la atingerea acestui obiectiv)</w:t>
            </w:r>
          </w:p>
        </w:tc>
      </w:tr>
      <w:tr w:rsidR="00701248" w:rsidRPr="00187708" w14:paraId="6409A55E" w14:textId="77777777" w:rsidTr="007401C9">
        <w:trPr>
          <w:trHeight w:val="300"/>
        </w:trPr>
        <w:tc>
          <w:tcPr>
            <w:tcW w:w="664" w:type="dxa"/>
            <w:shd w:val="clear" w:color="auto" w:fill="E3E1D8" w:themeFill="accent6"/>
            <w:hideMark/>
          </w:tcPr>
          <w:p w14:paraId="7F8F0561"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w:t>
            </w:r>
          </w:p>
        </w:tc>
        <w:tc>
          <w:tcPr>
            <w:tcW w:w="1259" w:type="dxa"/>
            <w:shd w:val="clear" w:color="auto" w:fill="E3E1D8" w:themeFill="accent6"/>
            <w:hideMark/>
          </w:tcPr>
          <w:p w14:paraId="2CCE47B6"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MUN-OS-04</w:t>
            </w:r>
          </w:p>
        </w:tc>
        <w:tc>
          <w:tcPr>
            <w:tcW w:w="1900" w:type="dxa"/>
            <w:shd w:val="clear" w:color="auto" w:fill="E3E1D8" w:themeFill="accent6"/>
            <w:hideMark/>
          </w:tcPr>
          <w:p w14:paraId="00A1D322"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municipale</w:t>
            </w:r>
          </w:p>
        </w:tc>
        <w:tc>
          <w:tcPr>
            <w:tcW w:w="1160" w:type="dxa"/>
            <w:shd w:val="clear" w:color="auto" w:fill="E3E1D8" w:themeFill="accent6"/>
            <w:hideMark/>
          </w:tcPr>
          <w:p w14:paraId="5B2D73C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4</w:t>
            </w:r>
          </w:p>
        </w:tc>
        <w:tc>
          <w:tcPr>
            <w:tcW w:w="4798" w:type="dxa"/>
            <w:shd w:val="clear" w:color="auto" w:fill="E3E1D8" w:themeFill="accent6"/>
            <w:hideMark/>
          </w:tcPr>
          <w:p w14:paraId="79C05F01"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Depozitarea numai a deșeurilor supuse în prealabil unor operații de tratare, în depozite conforme</w:t>
            </w:r>
          </w:p>
        </w:tc>
      </w:tr>
      <w:tr w:rsidR="00701248" w:rsidRPr="00187708" w14:paraId="4ABBA1AA" w14:textId="77777777" w:rsidTr="007401C9">
        <w:trPr>
          <w:trHeight w:val="510"/>
        </w:trPr>
        <w:tc>
          <w:tcPr>
            <w:tcW w:w="664" w:type="dxa"/>
            <w:shd w:val="clear" w:color="auto" w:fill="E3E1D8" w:themeFill="accent6"/>
            <w:hideMark/>
          </w:tcPr>
          <w:p w14:paraId="6119F8AA"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w:t>
            </w:r>
          </w:p>
        </w:tc>
        <w:tc>
          <w:tcPr>
            <w:tcW w:w="1259" w:type="dxa"/>
            <w:shd w:val="clear" w:color="auto" w:fill="E3E1D8" w:themeFill="accent6"/>
            <w:hideMark/>
          </w:tcPr>
          <w:p w14:paraId="3C6572B7"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MUN-OS-05</w:t>
            </w:r>
          </w:p>
        </w:tc>
        <w:tc>
          <w:tcPr>
            <w:tcW w:w="1900" w:type="dxa"/>
            <w:shd w:val="clear" w:color="auto" w:fill="E3E1D8" w:themeFill="accent6"/>
            <w:hideMark/>
          </w:tcPr>
          <w:p w14:paraId="1AEEB1F8"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municipale</w:t>
            </w:r>
          </w:p>
        </w:tc>
        <w:tc>
          <w:tcPr>
            <w:tcW w:w="1160" w:type="dxa"/>
            <w:shd w:val="clear" w:color="auto" w:fill="E3E1D8" w:themeFill="accent6"/>
            <w:hideMark/>
          </w:tcPr>
          <w:p w14:paraId="522E489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5</w:t>
            </w:r>
          </w:p>
        </w:tc>
        <w:tc>
          <w:tcPr>
            <w:tcW w:w="4798" w:type="dxa"/>
            <w:shd w:val="clear" w:color="auto" w:fill="E3E1D8" w:themeFill="accent6"/>
            <w:hideMark/>
          </w:tcPr>
          <w:p w14:paraId="54A4A0DA"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Consolidarea cadrului de reglementare și autorizare care să susțină funcționarea eficientă a sistemelor de gestionare a deșeurilor municipale</w:t>
            </w:r>
          </w:p>
        </w:tc>
      </w:tr>
      <w:tr w:rsidR="00701248" w:rsidRPr="00187708" w14:paraId="238B1937" w14:textId="77777777" w:rsidTr="007401C9">
        <w:trPr>
          <w:trHeight w:val="300"/>
        </w:trPr>
        <w:tc>
          <w:tcPr>
            <w:tcW w:w="664" w:type="dxa"/>
            <w:hideMark/>
          </w:tcPr>
          <w:p w14:paraId="1B35C1C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6</w:t>
            </w:r>
          </w:p>
        </w:tc>
        <w:tc>
          <w:tcPr>
            <w:tcW w:w="1259" w:type="dxa"/>
            <w:hideMark/>
          </w:tcPr>
          <w:p w14:paraId="785728DB"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ALI-OS-01</w:t>
            </w:r>
          </w:p>
        </w:tc>
        <w:tc>
          <w:tcPr>
            <w:tcW w:w="1900" w:type="dxa"/>
            <w:hideMark/>
          </w:tcPr>
          <w:p w14:paraId="42C763A7"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alimentare</w:t>
            </w:r>
          </w:p>
        </w:tc>
        <w:tc>
          <w:tcPr>
            <w:tcW w:w="1160" w:type="dxa"/>
            <w:hideMark/>
          </w:tcPr>
          <w:p w14:paraId="7646CE8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hideMark/>
          </w:tcPr>
          <w:p w14:paraId="156D776C"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Reducerea deșeurilor alimentare în procesarea și fabricarea alimentelor</w:t>
            </w:r>
          </w:p>
        </w:tc>
      </w:tr>
      <w:tr w:rsidR="00701248" w:rsidRPr="00187708" w14:paraId="4B40A59F" w14:textId="77777777" w:rsidTr="007401C9">
        <w:trPr>
          <w:trHeight w:val="510"/>
        </w:trPr>
        <w:tc>
          <w:tcPr>
            <w:tcW w:w="664" w:type="dxa"/>
            <w:hideMark/>
          </w:tcPr>
          <w:p w14:paraId="2A53288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7</w:t>
            </w:r>
          </w:p>
        </w:tc>
        <w:tc>
          <w:tcPr>
            <w:tcW w:w="1259" w:type="dxa"/>
            <w:hideMark/>
          </w:tcPr>
          <w:p w14:paraId="53476D55"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ALI-OS-02</w:t>
            </w:r>
          </w:p>
        </w:tc>
        <w:tc>
          <w:tcPr>
            <w:tcW w:w="1900" w:type="dxa"/>
            <w:hideMark/>
          </w:tcPr>
          <w:p w14:paraId="763A33FC"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alimentare</w:t>
            </w:r>
          </w:p>
        </w:tc>
        <w:tc>
          <w:tcPr>
            <w:tcW w:w="1160" w:type="dxa"/>
            <w:hideMark/>
          </w:tcPr>
          <w:p w14:paraId="31E9502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hideMark/>
          </w:tcPr>
          <w:p w14:paraId="5EB4702F"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Reducerea deșeurilor alimentare în comerțul cu amănuntul, restaurante, servicii alimentare și gospodării</w:t>
            </w:r>
          </w:p>
        </w:tc>
      </w:tr>
      <w:tr w:rsidR="00701248" w:rsidRPr="00187708" w14:paraId="0AC5158B" w14:textId="77777777" w:rsidTr="007401C9">
        <w:trPr>
          <w:trHeight w:val="510"/>
        </w:trPr>
        <w:tc>
          <w:tcPr>
            <w:tcW w:w="664" w:type="dxa"/>
            <w:hideMark/>
          </w:tcPr>
          <w:p w14:paraId="0A1EA9D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8</w:t>
            </w:r>
          </w:p>
        </w:tc>
        <w:tc>
          <w:tcPr>
            <w:tcW w:w="1259" w:type="dxa"/>
            <w:hideMark/>
          </w:tcPr>
          <w:p w14:paraId="55667838"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ALI-OS-03</w:t>
            </w:r>
          </w:p>
        </w:tc>
        <w:tc>
          <w:tcPr>
            <w:tcW w:w="1900" w:type="dxa"/>
            <w:hideMark/>
          </w:tcPr>
          <w:p w14:paraId="571ED163"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alimentare</w:t>
            </w:r>
          </w:p>
        </w:tc>
        <w:tc>
          <w:tcPr>
            <w:tcW w:w="1160" w:type="dxa"/>
            <w:hideMark/>
          </w:tcPr>
          <w:p w14:paraId="5453A306"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hideMark/>
          </w:tcPr>
          <w:p w14:paraId="27A1F1C7"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Încurajarea utilizării în agricultură a compostului / digestatului rezultat de la tratarea deșeurilor alimentare</w:t>
            </w:r>
          </w:p>
        </w:tc>
      </w:tr>
      <w:tr w:rsidR="00701248" w:rsidRPr="00187708" w14:paraId="5EAAB332" w14:textId="77777777" w:rsidTr="007401C9">
        <w:trPr>
          <w:trHeight w:val="300"/>
        </w:trPr>
        <w:tc>
          <w:tcPr>
            <w:tcW w:w="664" w:type="dxa"/>
            <w:hideMark/>
          </w:tcPr>
          <w:p w14:paraId="45D83C74"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lastRenderedPageBreak/>
              <w:t>9</w:t>
            </w:r>
          </w:p>
        </w:tc>
        <w:tc>
          <w:tcPr>
            <w:tcW w:w="1259" w:type="dxa"/>
            <w:hideMark/>
          </w:tcPr>
          <w:p w14:paraId="13940882"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ALI-OS-04</w:t>
            </w:r>
          </w:p>
        </w:tc>
        <w:tc>
          <w:tcPr>
            <w:tcW w:w="1900" w:type="dxa"/>
            <w:hideMark/>
          </w:tcPr>
          <w:p w14:paraId="311718F4"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alimentare</w:t>
            </w:r>
          </w:p>
        </w:tc>
        <w:tc>
          <w:tcPr>
            <w:tcW w:w="1160" w:type="dxa"/>
            <w:hideMark/>
          </w:tcPr>
          <w:p w14:paraId="5E25052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4</w:t>
            </w:r>
          </w:p>
        </w:tc>
        <w:tc>
          <w:tcPr>
            <w:tcW w:w="4798" w:type="dxa"/>
            <w:hideMark/>
          </w:tcPr>
          <w:p w14:paraId="4D44ACEC"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Consolidarea cadrului legal de reglementare a gestiunii deșeurilor alimentare</w:t>
            </w:r>
          </w:p>
        </w:tc>
      </w:tr>
      <w:tr w:rsidR="00701248" w:rsidRPr="00187708" w14:paraId="245D40E8" w14:textId="77777777" w:rsidTr="007401C9">
        <w:trPr>
          <w:trHeight w:val="300"/>
        </w:trPr>
        <w:tc>
          <w:tcPr>
            <w:tcW w:w="664" w:type="dxa"/>
            <w:hideMark/>
          </w:tcPr>
          <w:p w14:paraId="55A980B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10</w:t>
            </w:r>
          </w:p>
        </w:tc>
        <w:tc>
          <w:tcPr>
            <w:tcW w:w="1259" w:type="dxa"/>
            <w:hideMark/>
          </w:tcPr>
          <w:p w14:paraId="62BC00D6"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ALI-OS-05</w:t>
            </w:r>
          </w:p>
        </w:tc>
        <w:tc>
          <w:tcPr>
            <w:tcW w:w="1900" w:type="dxa"/>
            <w:hideMark/>
          </w:tcPr>
          <w:p w14:paraId="61790475"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alimentare</w:t>
            </w:r>
          </w:p>
        </w:tc>
        <w:tc>
          <w:tcPr>
            <w:tcW w:w="1160" w:type="dxa"/>
            <w:hideMark/>
          </w:tcPr>
          <w:p w14:paraId="7AACD9DC"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5</w:t>
            </w:r>
          </w:p>
        </w:tc>
        <w:tc>
          <w:tcPr>
            <w:tcW w:w="4798" w:type="dxa"/>
            <w:hideMark/>
          </w:tcPr>
          <w:p w14:paraId="542ED990"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Îmbunătățirea sistemului de raportare a datelor privind deșeurile alimentare</w:t>
            </w:r>
          </w:p>
        </w:tc>
      </w:tr>
      <w:tr w:rsidR="00701248" w:rsidRPr="00187708" w14:paraId="0A52C26D" w14:textId="77777777" w:rsidTr="007401C9">
        <w:trPr>
          <w:trHeight w:val="300"/>
        </w:trPr>
        <w:tc>
          <w:tcPr>
            <w:tcW w:w="664" w:type="dxa"/>
            <w:shd w:val="clear" w:color="auto" w:fill="E3E1D8" w:themeFill="accent6"/>
            <w:hideMark/>
          </w:tcPr>
          <w:p w14:paraId="288FC4B9"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11</w:t>
            </w:r>
          </w:p>
        </w:tc>
        <w:tc>
          <w:tcPr>
            <w:tcW w:w="1259" w:type="dxa"/>
            <w:shd w:val="clear" w:color="auto" w:fill="E3E1D8" w:themeFill="accent6"/>
            <w:hideMark/>
          </w:tcPr>
          <w:p w14:paraId="2E7AA8C7"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AMB-OS-01</w:t>
            </w:r>
          </w:p>
        </w:tc>
        <w:tc>
          <w:tcPr>
            <w:tcW w:w="1900" w:type="dxa"/>
            <w:shd w:val="clear" w:color="auto" w:fill="E3E1D8" w:themeFill="accent6"/>
            <w:hideMark/>
          </w:tcPr>
          <w:p w14:paraId="32A99D48"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de ambalaje</w:t>
            </w:r>
          </w:p>
        </w:tc>
        <w:tc>
          <w:tcPr>
            <w:tcW w:w="1160" w:type="dxa"/>
            <w:shd w:val="clear" w:color="auto" w:fill="E3E1D8" w:themeFill="accent6"/>
            <w:hideMark/>
          </w:tcPr>
          <w:p w14:paraId="3003957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1489ECEB"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obiectivului global de valorificare</w:t>
            </w:r>
          </w:p>
        </w:tc>
      </w:tr>
      <w:tr w:rsidR="00701248" w:rsidRPr="00187708" w14:paraId="5E06DC6D" w14:textId="77777777" w:rsidTr="007401C9">
        <w:trPr>
          <w:trHeight w:val="300"/>
        </w:trPr>
        <w:tc>
          <w:tcPr>
            <w:tcW w:w="664" w:type="dxa"/>
            <w:shd w:val="clear" w:color="auto" w:fill="E3E1D8" w:themeFill="accent6"/>
            <w:hideMark/>
          </w:tcPr>
          <w:p w14:paraId="23F974EA"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12</w:t>
            </w:r>
          </w:p>
        </w:tc>
        <w:tc>
          <w:tcPr>
            <w:tcW w:w="1259" w:type="dxa"/>
            <w:shd w:val="clear" w:color="auto" w:fill="E3E1D8" w:themeFill="accent6"/>
            <w:hideMark/>
          </w:tcPr>
          <w:p w14:paraId="3406FA05"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AMB-OS-02</w:t>
            </w:r>
          </w:p>
        </w:tc>
        <w:tc>
          <w:tcPr>
            <w:tcW w:w="1900" w:type="dxa"/>
            <w:shd w:val="clear" w:color="auto" w:fill="E3E1D8" w:themeFill="accent6"/>
            <w:hideMark/>
          </w:tcPr>
          <w:p w14:paraId="0AB25076"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de ambalaje</w:t>
            </w:r>
          </w:p>
        </w:tc>
        <w:tc>
          <w:tcPr>
            <w:tcW w:w="1160" w:type="dxa"/>
            <w:shd w:val="clear" w:color="auto" w:fill="E3E1D8" w:themeFill="accent6"/>
            <w:hideMark/>
          </w:tcPr>
          <w:p w14:paraId="75C56CA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31E5F578"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obiectivului de reciclare</w:t>
            </w:r>
          </w:p>
        </w:tc>
      </w:tr>
      <w:tr w:rsidR="00701248" w:rsidRPr="00187708" w14:paraId="3AE21550" w14:textId="77777777" w:rsidTr="007401C9">
        <w:trPr>
          <w:trHeight w:val="1020"/>
        </w:trPr>
        <w:tc>
          <w:tcPr>
            <w:tcW w:w="664" w:type="dxa"/>
            <w:shd w:val="clear" w:color="auto" w:fill="E3E1D8" w:themeFill="accent6"/>
            <w:hideMark/>
          </w:tcPr>
          <w:p w14:paraId="484327A6"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13</w:t>
            </w:r>
          </w:p>
        </w:tc>
        <w:tc>
          <w:tcPr>
            <w:tcW w:w="1259" w:type="dxa"/>
            <w:shd w:val="clear" w:color="auto" w:fill="E3E1D8" w:themeFill="accent6"/>
            <w:hideMark/>
          </w:tcPr>
          <w:p w14:paraId="5354F447"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AMB-OS-03</w:t>
            </w:r>
          </w:p>
        </w:tc>
        <w:tc>
          <w:tcPr>
            <w:tcW w:w="1900" w:type="dxa"/>
            <w:shd w:val="clear" w:color="auto" w:fill="E3E1D8" w:themeFill="accent6"/>
            <w:hideMark/>
          </w:tcPr>
          <w:p w14:paraId="7D2C33FC"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de ambalaje</w:t>
            </w:r>
          </w:p>
        </w:tc>
        <w:tc>
          <w:tcPr>
            <w:tcW w:w="1160" w:type="dxa"/>
            <w:shd w:val="clear" w:color="auto" w:fill="E3E1D8" w:themeFill="accent6"/>
            <w:hideMark/>
          </w:tcPr>
          <w:p w14:paraId="23D355D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shd w:val="clear" w:color="auto" w:fill="E3E1D8" w:themeFill="accent6"/>
            <w:hideMark/>
          </w:tcPr>
          <w:p w14:paraId="7D90E65A"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r>
      <w:tr w:rsidR="00701248" w:rsidRPr="00187708" w14:paraId="59991DC0" w14:textId="77777777" w:rsidTr="007401C9">
        <w:trPr>
          <w:trHeight w:val="510"/>
        </w:trPr>
        <w:tc>
          <w:tcPr>
            <w:tcW w:w="664" w:type="dxa"/>
            <w:shd w:val="clear" w:color="auto" w:fill="E3E1D8" w:themeFill="accent6"/>
            <w:hideMark/>
          </w:tcPr>
          <w:p w14:paraId="0E58796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14</w:t>
            </w:r>
          </w:p>
        </w:tc>
        <w:tc>
          <w:tcPr>
            <w:tcW w:w="1259" w:type="dxa"/>
            <w:shd w:val="clear" w:color="auto" w:fill="E3E1D8" w:themeFill="accent6"/>
            <w:hideMark/>
          </w:tcPr>
          <w:p w14:paraId="73362800"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AMB-OS-04</w:t>
            </w:r>
          </w:p>
        </w:tc>
        <w:tc>
          <w:tcPr>
            <w:tcW w:w="1900" w:type="dxa"/>
            <w:shd w:val="clear" w:color="auto" w:fill="E3E1D8" w:themeFill="accent6"/>
            <w:hideMark/>
          </w:tcPr>
          <w:p w14:paraId="7FA9820E"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de ambalaje</w:t>
            </w:r>
          </w:p>
        </w:tc>
        <w:tc>
          <w:tcPr>
            <w:tcW w:w="1160" w:type="dxa"/>
            <w:shd w:val="clear" w:color="auto" w:fill="E3E1D8" w:themeFill="accent6"/>
            <w:hideMark/>
          </w:tcPr>
          <w:p w14:paraId="24EF4F3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4</w:t>
            </w:r>
          </w:p>
        </w:tc>
        <w:tc>
          <w:tcPr>
            <w:tcW w:w="4798" w:type="dxa"/>
            <w:shd w:val="clear" w:color="auto" w:fill="E3E1D8" w:themeFill="accent6"/>
            <w:hideMark/>
          </w:tcPr>
          <w:p w14:paraId="0BBFD69E"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Includerea de către companiile/producătorii de ambalaje din plastic a unui conținut minim de material reciclat</w:t>
            </w:r>
          </w:p>
        </w:tc>
      </w:tr>
      <w:tr w:rsidR="00701248" w:rsidRPr="00187708" w14:paraId="2905C9CE" w14:textId="77777777" w:rsidTr="007401C9">
        <w:trPr>
          <w:trHeight w:val="510"/>
        </w:trPr>
        <w:tc>
          <w:tcPr>
            <w:tcW w:w="664" w:type="dxa"/>
            <w:shd w:val="clear" w:color="auto" w:fill="E3E1D8" w:themeFill="accent6"/>
            <w:hideMark/>
          </w:tcPr>
          <w:p w14:paraId="62172AFC"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15</w:t>
            </w:r>
          </w:p>
        </w:tc>
        <w:tc>
          <w:tcPr>
            <w:tcW w:w="1259" w:type="dxa"/>
            <w:shd w:val="clear" w:color="auto" w:fill="E3E1D8" w:themeFill="accent6"/>
            <w:hideMark/>
          </w:tcPr>
          <w:p w14:paraId="2DD8F664"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AMB-OS-05</w:t>
            </w:r>
          </w:p>
        </w:tc>
        <w:tc>
          <w:tcPr>
            <w:tcW w:w="1900" w:type="dxa"/>
            <w:shd w:val="clear" w:color="auto" w:fill="E3E1D8" w:themeFill="accent6"/>
            <w:hideMark/>
          </w:tcPr>
          <w:p w14:paraId="777122EE"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de ambalaje</w:t>
            </w:r>
          </w:p>
        </w:tc>
        <w:tc>
          <w:tcPr>
            <w:tcW w:w="1160" w:type="dxa"/>
            <w:shd w:val="clear" w:color="auto" w:fill="E3E1D8" w:themeFill="accent6"/>
            <w:hideMark/>
          </w:tcPr>
          <w:p w14:paraId="4A56050A"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5</w:t>
            </w:r>
          </w:p>
        </w:tc>
        <w:tc>
          <w:tcPr>
            <w:tcW w:w="4798" w:type="dxa"/>
            <w:shd w:val="clear" w:color="auto" w:fill="E3E1D8" w:themeFill="accent6"/>
            <w:hideMark/>
          </w:tcPr>
          <w:p w14:paraId="610C1EC8"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Completarea/modificarea legislației existente pentru conformarea cu actele normative la nivel european, inclusiv ca urmare a deficiențelor identificate</w:t>
            </w:r>
          </w:p>
        </w:tc>
      </w:tr>
      <w:tr w:rsidR="00701248" w:rsidRPr="00187708" w14:paraId="70FDA053" w14:textId="77777777" w:rsidTr="007401C9">
        <w:trPr>
          <w:trHeight w:val="765"/>
        </w:trPr>
        <w:tc>
          <w:tcPr>
            <w:tcW w:w="664" w:type="dxa"/>
            <w:shd w:val="clear" w:color="auto" w:fill="E3E1D8" w:themeFill="accent6"/>
            <w:hideMark/>
          </w:tcPr>
          <w:p w14:paraId="5E1BB3E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16</w:t>
            </w:r>
          </w:p>
        </w:tc>
        <w:tc>
          <w:tcPr>
            <w:tcW w:w="1259" w:type="dxa"/>
            <w:shd w:val="clear" w:color="auto" w:fill="E3E1D8" w:themeFill="accent6"/>
            <w:hideMark/>
          </w:tcPr>
          <w:p w14:paraId="67D2B854"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AMB-OS-06</w:t>
            </w:r>
          </w:p>
        </w:tc>
        <w:tc>
          <w:tcPr>
            <w:tcW w:w="1900" w:type="dxa"/>
            <w:shd w:val="clear" w:color="auto" w:fill="E3E1D8" w:themeFill="accent6"/>
            <w:hideMark/>
          </w:tcPr>
          <w:p w14:paraId="19F66CEC"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de ambalaje</w:t>
            </w:r>
          </w:p>
        </w:tc>
        <w:tc>
          <w:tcPr>
            <w:tcW w:w="1160" w:type="dxa"/>
            <w:shd w:val="clear" w:color="auto" w:fill="E3E1D8" w:themeFill="accent6"/>
            <w:hideMark/>
          </w:tcPr>
          <w:p w14:paraId="1DBD5D9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6</w:t>
            </w:r>
          </w:p>
        </w:tc>
        <w:tc>
          <w:tcPr>
            <w:tcW w:w="4798" w:type="dxa"/>
            <w:shd w:val="clear" w:color="auto" w:fill="E3E1D8" w:themeFill="accent6"/>
            <w:hideMark/>
          </w:tcPr>
          <w:p w14:paraId="04BD65F8"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r>
      <w:tr w:rsidR="00701248" w:rsidRPr="00187708" w14:paraId="1B1D507B" w14:textId="77777777" w:rsidTr="007401C9">
        <w:trPr>
          <w:trHeight w:val="300"/>
        </w:trPr>
        <w:tc>
          <w:tcPr>
            <w:tcW w:w="664" w:type="dxa"/>
            <w:hideMark/>
          </w:tcPr>
          <w:p w14:paraId="4CFC8A0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17</w:t>
            </w:r>
          </w:p>
        </w:tc>
        <w:tc>
          <w:tcPr>
            <w:tcW w:w="1259" w:type="dxa"/>
            <w:hideMark/>
          </w:tcPr>
          <w:p w14:paraId="0F494FAC"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DEEE-OS-01</w:t>
            </w:r>
          </w:p>
        </w:tc>
        <w:tc>
          <w:tcPr>
            <w:tcW w:w="1900" w:type="dxa"/>
            <w:hideMark/>
          </w:tcPr>
          <w:p w14:paraId="0A823462"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DEEE</w:t>
            </w:r>
          </w:p>
        </w:tc>
        <w:tc>
          <w:tcPr>
            <w:tcW w:w="1160" w:type="dxa"/>
            <w:hideMark/>
          </w:tcPr>
          <w:p w14:paraId="40203E3C"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hideMark/>
          </w:tcPr>
          <w:p w14:paraId="30006B33"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ratei de colectare separată a DEEE</w:t>
            </w:r>
          </w:p>
        </w:tc>
      </w:tr>
      <w:tr w:rsidR="00701248" w:rsidRPr="00187708" w14:paraId="65754BBA" w14:textId="77777777" w:rsidTr="007401C9">
        <w:trPr>
          <w:trHeight w:val="510"/>
        </w:trPr>
        <w:tc>
          <w:tcPr>
            <w:tcW w:w="664" w:type="dxa"/>
            <w:hideMark/>
          </w:tcPr>
          <w:p w14:paraId="4EA54710"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18</w:t>
            </w:r>
          </w:p>
        </w:tc>
        <w:tc>
          <w:tcPr>
            <w:tcW w:w="1259" w:type="dxa"/>
            <w:hideMark/>
          </w:tcPr>
          <w:p w14:paraId="35A41C7C"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DEEE-OS-02</w:t>
            </w:r>
          </w:p>
        </w:tc>
        <w:tc>
          <w:tcPr>
            <w:tcW w:w="1900" w:type="dxa"/>
            <w:hideMark/>
          </w:tcPr>
          <w:p w14:paraId="73E59B8F"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DEEE</w:t>
            </w:r>
          </w:p>
        </w:tc>
        <w:tc>
          <w:tcPr>
            <w:tcW w:w="1160" w:type="dxa"/>
            <w:hideMark/>
          </w:tcPr>
          <w:p w14:paraId="4A8DA6F9"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hideMark/>
          </w:tcPr>
          <w:p w14:paraId="374B7932"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ratei de colectare separată pe fiecare categorie în parte (cu excepția panourilor fotovoltaice)</w:t>
            </w:r>
          </w:p>
        </w:tc>
      </w:tr>
      <w:tr w:rsidR="00701248" w:rsidRPr="00187708" w14:paraId="03FC9ACC" w14:textId="77777777" w:rsidTr="007401C9">
        <w:trPr>
          <w:trHeight w:val="300"/>
        </w:trPr>
        <w:tc>
          <w:tcPr>
            <w:tcW w:w="664" w:type="dxa"/>
            <w:hideMark/>
          </w:tcPr>
          <w:p w14:paraId="5FE7133B"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19</w:t>
            </w:r>
          </w:p>
        </w:tc>
        <w:tc>
          <w:tcPr>
            <w:tcW w:w="1259" w:type="dxa"/>
            <w:hideMark/>
          </w:tcPr>
          <w:p w14:paraId="3ED9B785"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DEEE-OS-03</w:t>
            </w:r>
          </w:p>
        </w:tc>
        <w:tc>
          <w:tcPr>
            <w:tcW w:w="1900" w:type="dxa"/>
            <w:hideMark/>
          </w:tcPr>
          <w:p w14:paraId="4162312C"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DEEE</w:t>
            </w:r>
          </w:p>
        </w:tc>
        <w:tc>
          <w:tcPr>
            <w:tcW w:w="1160" w:type="dxa"/>
            <w:hideMark/>
          </w:tcPr>
          <w:p w14:paraId="6F05463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hideMark/>
          </w:tcPr>
          <w:p w14:paraId="38648986"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ratei de valorificare și a ratei de pregătire pentru reutilizare și reciclare a DEEE</w:t>
            </w:r>
          </w:p>
        </w:tc>
      </w:tr>
      <w:tr w:rsidR="00701248" w:rsidRPr="00187708" w14:paraId="78B5ED43" w14:textId="77777777" w:rsidTr="007401C9">
        <w:trPr>
          <w:trHeight w:val="510"/>
        </w:trPr>
        <w:tc>
          <w:tcPr>
            <w:tcW w:w="664" w:type="dxa"/>
            <w:hideMark/>
          </w:tcPr>
          <w:p w14:paraId="0CCB31AB"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20</w:t>
            </w:r>
          </w:p>
        </w:tc>
        <w:tc>
          <w:tcPr>
            <w:tcW w:w="1259" w:type="dxa"/>
            <w:hideMark/>
          </w:tcPr>
          <w:p w14:paraId="6A3D3161"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DEEE-OS-04</w:t>
            </w:r>
          </w:p>
        </w:tc>
        <w:tc>
          <w:tcPr>
            <w:tcW w:w="1900" w:type="dxa"/>
            <w:hideMark/>
          </w:tcPr>
          <w:p w14:paraId="489C4249"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DEEE</w:t>
            </w:r>
          </w:p>
        </w:tc>
        <w:tc>
          <w:tcPr>
            <w:tcW w:w="1160" w:type="dxa"/>
            <w:hideMark/>
          </w:tcPr>
          <w:p w14:paraId="2DA7C18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4</w:t>
            </w:r>
          </w:p>
        </w:tc>
        <w:tc>
          <w:tcPr>
            <w:tcW w:w="4798" w:type="dxa"/>
            <w:hideMark/>
          </w:tcPr>
          <w:p w14:paraId="17B79403"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Completarea/modificarea legislației existente în scopul eficientizării prevederilor pentru atingerea țintelor și asigurarea trasabilității</w:t>
            </w:r>
          </w:p>
        </w:tc>
      </w:tr>
      <w:tr w:rsidR="00701248" w:rsidRPr="00187708" w14:paraId="0CFAC4E9" w14:textId="77777777" w:rsidTr="007401C9">
        <w:trPr>
          <w:trHeight w:val="765"/>
        </w:trPr>
        <w:tc>
          <w:tcPr>
            <w:tcW w:w="664" w:type="dxa"/>
            <w:hideMark/>
          </w:tcPr>
          <w:p w14:paraId="765C09B0"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21</w:t>
            </w:r>
          </w:p>
        </w:tc>
        <w:tc>
          <w:tcPr>
            <w:tcW w:w="1259" w:type="dxa"/>
            <w:hideMark/>
          </w:tcPr>
          <w:p w14:paraId="43ECA9EF"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DEEE-OS-05</w:t>
            </w:r>
          </w:p>
        </w:tc>
        <w:tc>
          <w:tcPr>
            <w:tcW w:w="1900" w:type="dxa"/>
            <w:hideMark/>
          </w:tcPr>
          <w:p w14:paraId="69401F8C"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DEEE</w:t>
            </w:r>
          </w:p>
        </w:tc>
        <w:tc>
          <w:tcPr>
            <w:tcW w:w="1160" w:type="dxa"/>
            <w:hideMark/>
          </w:tcPr>
          <w:p w14:paraId="5C07230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5</w:t>
            </w:r>
          </w:p>
        </w:tc>
        <w:tc>
          <w:tcPr>
            <w:tcW w:w="4798" w:type="dxa"/>
            <w:hideMark/>
          </w:tcPr>
          <w:p w14:paraId="18D70C2C"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r>
      <w:tr w:rsidR="00701248" w:rsidRPr="00187708" w14:paraId="13863F8C" w14:textId="77777777" w:rsidTr="007401C9">
        <w:trPr>
          <w:trHeight w:val="300"/>
        </w:trPr>
        <w:tc>
          <w:tcPr>
            <w:tcW w:w="664" w:type="dxa"/>
            <w:shd w:val="clear" w:color="auto" w:fill="E3E1D8" w:themeFill="accent6"/>
            <w:hideMark/>
          </w:tcPr>
          <w:p w14:paraId="0B60D8B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22</w:t>
            </w:r>
          </w:p>
        </w:tc>
        <w:tc>
          <w:tcPr>
            <w:tcW w:w="1259" w:type="dxa"/>
            <w:shd w:val="clear" w:color="auto" w:fill="E3E1D8" w:themeFill="accent6"/>
            <w:hideMark/>
          </w:tcPr>
          <w:p w14:paraId="1D66B58E"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BAT-OS-01</w:t>
            </w:r>
          </w:p>
        </w:tc>
        <w:tc>
          <w:tcPr>
            <w:tcW w:w="1900" w:type="dxa"/>
            <w:shd w:val="clear" w:color="auto" w:fill="E3E1D8" w:themeFill="accent6"/>
            <w:hideMark/>
          </w:tcPr>
          <w:p w14:paraId="084FD099"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Baterii și acumulatori</w:t>
            </w:r>
          </w:p>
        </w:tc>
        <w:tc>
          <w:tcPr>
            <w:tcW w:w="1160" w:type="dxa"/>
            <w:shd w:val="clear" w:color="auto" w:fill="E3E1D8" w:themeFill="accent6"/>
            <w:hideMark/>
          </w:tcPr>
          <w:p w14:paraId="7902200C"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61945B7A"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gradului de colectare a deșeurilor de baterii portabile</w:t>
            </w:r>
          </w:p>
        </w:tc>
      </w:tr>
      <w:tr w:rsidR="00701248" w:rsidRPr="00187708" w14:paraId="21BF22C7" w14:textId="77777777" w:rsidTr="007401C9">
        <w:trPr>
          <w:trHeight w:val="510"/>
        </w:trPr>
        <w:tc>
          <w:tcPr>
            <w:tcW w:w="664" w:type="dxa"/>
            <w:shd w:val="clear" w:color="auto" w:fill="E3E1D8" w:themeFill="accent6"/>
            <w:hideMark/>
          </w:tcPr>
          <w:p w14:paraId="2040AAB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23</w:t>
            </w:r>
          </w:p>
        </w:tc>
        <w:tc>
          <w:tcPr>
            <w:tcW w:w="1259" w:type="dxa"/>
            <w:shd w:val="clear" w:color="auto" w:fill="E3E1D8" w:themeFill="accent6"/>
            <w:hideMark/>
          </w:tcPr>
          <w:p w14:paraId="6BE2D612"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BAT-OS-02</w:t>
            </w:r>
          </w:p>
        </w:tc>
        <w:tc>
          <w:tcPr>
            <w:tcW w:w="1900" w:type="dxa"/>
            <w:shd w:val="clear" w:color="auto" w:fill="E3E1D8" w:themeFill="accent6"/>
            <w:hideMark/>
          </w:tcPr>
          <w:p w14:paraId="783B6054"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Baterii și acumulatori</w:t>
            </w:r>
          </w:p>
        </w:tc>
        <w:tc>
          <w:tcPr>
            <w:tcW w:w="1160" w:type="dxa"/>
            <w:shd w:val="clear" w:color="auto" w:fill="E3E1D8" w:themeFill="accent6"/>
            <w:hideMark/>
          </w:tcPr>
          <w:p w14:paraId="18EB770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1C41C213"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Crearea unui sistem funcțional pentru colectarea bateriilor provenite din mijloace de transport ușoare (biciclete electrice, trotinete, hoverboard-uri etc.)</w:t>
            </w:r>
          </w:p>
        </w:tc>
      </w:tr>
      <w:tr w:rsidR="00701248" w:rsidRPr="00187708" w14:paraId="00CCB214" w14:textId="77777777" w:rsidTr="007401C9">
        <w:trPr>
          <w:trHeight w:val="300"/>
        </w:trPr>
        <w:tc>
          <w:tcPr>
            <w:tcW w:w="664" w:type="dxa"/>
            <w:shd w:val="clear" w:color="auto" w:fill="E3E1D8" w:themeFill="accent6"/>
            <w:hideMark/>
          </w:tcPr>
          <w:p w14:paraId="3CA5F7E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24</w:t>
            </w:r>
          </w:p>
        </w:tc>
        <w:tc>
          <w:tcPr>
            <w:tcW w:w="1259" w:type="dxa"/>
            <w:shd w:val="clear" w:color="auto" w:fill="E3E1D8" w:themeFill="accent6"/>
            <w:hideMark/>
          </w:tcPr>
          <w:p w14:paraId="4623F098"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BAT-OS-03</w:t>
            </w:r>
          </w:p>
        </w:tc>
        <w:tc>
          <w:tcPr>
            <w:tcW w:w="1900" w:type="dxa"/>
            <w:shd w:val="clear" w:color="auto" w:fill="E3E1D8" w:themeFill="accent6"/>
            <w:hideMark/>
          </w:tcPr>
          <w:p w14:paraId="6BD1E057"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Baterii și acumulatori</w:t>
            </w:r>
          </w:p>
        </w:tc>
        <w:tc>
          <w:tcPr>
            <w:tcW w:w="1160" w:type="dxa"/>
            <w:shd w:val="clear" w:color="auto" w:fill="E3E1D8" w:themeFill="accent6"/>
            <w:hideMark/>
          </w:tcPr>
          <w:p w14:paraId="6D9863BC"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shd w:val="clear" w:color="auto" w:fill="E3E1D8" w:themeFill="accent6"/>
            <w:hideMark/>
          </w:tcPr>
          <w:p w14:paraId="0A372680"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Colectarea deșeurilor de baterii SLI, de baterii industriale și de baterii pentru vehicule electrice</w:t>
            </w:r>
          </w:p>
        </w:tc>
      </w:tr>
      <w:tr w:rsidR="00701248" w:rsidRPr="00187708" w14:paraId="228E4B03" w14:textId="77777777" w:rsidTr="007401C9">
        <w:trPr>
          <w:trHeight w:val="300"/>
        </w:trPr>
        <w:tc>
          <w:tcPr>
            <w:tcW w:w="664" w:type="dxa"/>
            <w:shd w:val="clear" w:color="auto" w:fill="E3E1D8" w:themeFill="accent6"/>
            <w:hideMark/>
          </w:tcPr>
          <w:p w14:paraId="47D857D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25</w:t>
            </w:r>
          </w:p>
        </w:tc>
        <w:tc>
          <w:tcPr>
            <w:tcW w:w="1259" w:type="dxa"/>
            <w:shd w:val="clear" w:color="auto" w:fill="E3E1D8" w:themeFill="accent6"/>
            <w:hideMark/>
          </w:tcPr>
          <w:p w14:paraId="51AFDF1A"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BAT-OS-04</w:t>
            </w:r>
          </w:p>
        </w:tc>
        <w:tc>
          <w:tcPr>
            <w:tcW w:w="1900" w:type="dxa"/>
            <w:shd w:val="clear" w:color="auto" w:fill="E3E1D8" w:themeFill="accent6"/>
            <w:hideMark/>
          </w:tcPr>
          <w:p w14:paraId="630ECC9F"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Baterii și acumulatori</w:t>
            </w:r>
          </w:p>
        </w:tc>
        <w:tc>
          <w:tcPr>
            <w:tcW w:w="1160" w:type="dxa"/>
            <w:shd w:val="clear" w:color="auto" w:fill="E3E1D8" w:themeFill="accent6"/>
            <w:hideMark/>
          </w:tcPr>
          <w:p w14:paraId="49CCEA5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4</w:t>
            </w:r>
          </w:p>
        </w:tc>
        <w:tc>
          <w:tcPr>
            <w:tcW w:w="4798" w:type="dxa"/>
            <w:shd w:val="clear" w:color="auto" w:fill="E3E1D8" w:themeFill="accent6"/>
            <w:hideMark/>
          </w:tcPr>
          <w:p w14:paraId="5547121A"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gradului de reciclare a deșeurilor de baterii și acumulatori</w:t>
            </w:r>
          </w:p>
        </w:tc>
      </w:tr>
      <w:tr w:rsidR="00701248" w:rsidRPr="00187708" w14:paraId="750DC3ED" w14:textId="77777777" w:rsidTr="007401C9">
        <w:trPr>
          <w:trHeight w:val="300"/>
        </w:trPr>
        <w:tc>
          <w:tcPr>
            <w:tcW w:w="664" w:type="dxa"/>
            <w:shd w:val="clear" w:color="auto" w:fill="E3E1D8" w:themeFill="accent6"/>
            <w:hideMark/>
          </w:tcPr>
          <w:p w14:paraId="47E0643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26</w:t>
            </w:r>
          </w:p>
        </w:tc>
        <w:tc>
          <w:tcPr>
            <w:tcW w:w="1259" w:type="dxa"/>
            <w:shd w:val="clear" w:color="auto" w:fill="E3E1D8" w:themeFill="accent6"/>
            <w:hideMark/>
          </w:tcPr>
          <w:p w14:paraId="06717FAE"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BAT-OS-05</w:t>
            </w:r>
          </w:p>
        </w:tc>
        <w:tc>
          <w:tcPr>
            <w:tcW w:w="1900" w:type="dxa"/>
            <w:shd w:val="clear" w:color="auto" w:fill="E3E1D8" w:themeFill="accent6"/>
            <w:hideMark/>
          </w:tcPr>
          <w:p w14:paraId="4B3BE6B0"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Baterii și acumulatori</w:t>
            </w:r>
          </w:p>
        </w:tc>
        <w:tc>
          <w:tcPr>
            <w:tcW w:w="1160" w:type="dxa"/>
            <w:shd w:val="clear" w:color="auto" w:fill="E3E1D8" w:themeFill="accent6"/>
            <w:hideMark/>
          </w:tcPr>
          <w:p w14:paraId="540DDBC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5</w:t>
            </w:r>
          </w:p>
        </w:tc>
        <w:tc>
          <w:tcPr>
            <w:tcW w:w="4798" w:type="dxa"/>
            <w:shd w:val="clear" w:color="auto" w:fill="E3E1D8" w:themeFill="accent6"/>
            <w:hideMark/>
          </w:tcPr>
          <w:p w14:paraId="32B56C70"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gradului de valorificare materială a deșeurilor de baterii și acumulatori</w:t>
            </w:r>
          </w:p>
        </w:tc>
      </w:tr>
      <w:tr w:rsidR="00701248" w:rsidRPr="00187708" w14:paraId="67F8D3F7" w14:textId="77777777" w:rsidTr="007401C9">
        <w:trPr>
          <w:trHeight w:val="300"/>
        </w:trPr>
        <w:tc>
          <w:tcPr>
            <w:tcW w:w="664" w:type="dxa"/>
            <w:shd w:val="clear" w:color="auto" w:fill="E3E1D8" w:themeFill="accent6"/>
            <w:hideMark/>
          </w:tcPr>
          <w:p w14:paraId="2C2240A1"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27</w:t>
            </w:r>
          </w:p>
        </w:tc>
        <w:tc>
          <w:tcPr>
            <w:tcW w:w="1259" w:type="dxa"/>
            <w:shd w:val="clear" w:color="auto" w:fill="E3E1D8" w:themeFill="accent6"/>
            <w:hideMark/>
          </w:tcPr>
          <w:p w14:paraId="391618C3"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BAT-OS-06</w:t>
            </w:r>
          </w:p>
        </w:tc>
        <w:tc>
          <w:tcPr>
            <w:tcW w:w="1900" w:type="dxa"/>
            <w:shd w:val="clear" w:color="auto" w:fill="E3E1D8" w:themeFill="accent6"/>
            <w:hideMark/>
          </w:tcPr>
          <w:p w14:paraId="1FC0B421"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Baterii și acumulatori</w:t>
            </w:r>
          </w:p>
        </w:tc>
        <w:tc>
          <w:tcPr>
            <w:tcW w:w="1160" w:type="dxa"/>
            <w:shd w:val="clear" w:color="auto" w:fill="E3E1D8" w:themeFill="accent6"/>
            <w:hideMark/>
          </w:tcPr>
          <w:p w14:paraId="3ECB0DC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6</w:t>
            </w:r>
          </w:p>
        </w:tc>
        <w:tc>
          <w:tcPr>
            <w:tcW w:w="4798" w:type="dxa"/>
            <w:shd w:val="clear" w:color="auto" w:fill="E3E1D8" w:themeFill="accent6"/>
            <w:hideMark/>
          </w:tcPr>
          <w:p w14:paraId="0EDDA468"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Completarea cadrului legal existent pentru gestionarea deșeurilor de baterii și acumulatori</w:t>
            </w:r>
          </w:p>
        </w:tc>
      </w:tr>
      <w:tr w:rsidR="00701248" w:rsidRPr="00187708" w14:paraId="74233089" w14:textId="77777777" w:rsidTr="007401C9">
        <w:trPr>
          <w:trHeight w:val="300"/>
        </w:trPr>
        <w:tc>
          <w:tcPr>
            <w:tcW w:w="664" w:type="dxa"/>
            <w:hideMark/>
          </w:tcPr>
          <w:p w14:paraId="4FE88EA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28</w:t>
            </w:r>
          </w:p>
        </w:tc>
        <w:tc>
          <w:tcPr>
            <w:tcW w:w="1259" w:type="dxa"/>
            <w:hideMark/>
          </w:tcPr>
          <w:p w14:paraId="27B6B541"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VSU-OS-01</w:t>
            </w:r>
          </w:p>
        </w:tc>
        <w:tc>
          <w:tcPr>
            <w:tcW w:w="1900" w:type="dxa"/>
            <w:hideMark/>
          </w:tcPr>
          <w:p w14:paraId="275444BF"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Vehicule scoase din uz</w:t>
            </w:r>
          </w:p>
        </w:tc>
        <w:tc>
          <w:tcPr>
            <w:tcW w:w="1160" w:type="dxa"/>
            <w:hideMark/>
          </w:tcPr>
          <w:p w14:paraId="66DE2DD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hideMark/>
          </w:tcPr>
          <w:p w14:paraId="7490DAB4"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Asigurarea unui grad ridicat de reutilizare, valorificare și reciclare a VSU</w:t>
            </w:r>
          </w:p>
        </w:tc>
      </w:tr>
      <w:tr w:rsidR="00701248" w:rsidRPr="00187708" w14:paraId="67094E6D" w14:textId="77777777" w:rsidTr="007401C9">
        <w:trPr>
          <w:trHeight w:val="510"/>
        </w:trPr>
        <w:tc>
          <w:tcPr>
            <w:tcW w:w="664" w:type="dxa"/>
            <w:hideMark/>
          </w:tcPr>
          <w:p w14:paraId="0509EF6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29</w:t>
            </w:r>
          </w:p>
        </w:tc>
        <w:tc>
          <w:tcPr>
            <w:tcW w:w="1259" w:type="dxa"/>
            <w:hideMark/>
          </w:tcPr>
          <w:p w14:paraId="69332BF2"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VSU-OS-02</w:t>
            </w:r>
          </w:p>
        </w:tc>
        <w:tc>
          <w:tcPr>
            <w:tcW w:w="1900" w:type="dxa"/>
            <w:hideMark/>
          </w:tcPr>
          <w:p w14:paraId="6B29CCB6"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Vehicule scoase din uz</w:t>
            </w:r>
          </w:p>
        </w:tc>
        <w:tc>
          <w:tcPr>
            <w:tcW w:w="1160" w:type="dxa"/>
            <w:hideMark/>
          </w:tcPr>
          <w:p w14:paraId="3D9F4E3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hideMark/>
          </w:tcPr>
          <w:p w14:paraId="23895832"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Completarea/modificarea legislației existente în scopul eficientizării prevederilor pentru atingerea țintelor și asigurarea trasabilității</w:t>
            </w:r>
          </w:p>
        </w:tc>
      </w:tr>
      <w:tr w:rsidR="00701248" w:rsidRPr="00187708" w14:paraId="108DE51A" w14:textId="77777777" w:rsidTr="007401C9">
        <w:trPr>
          <w:trHeight w:val="300"/>
        </w:trPr>
        <w:tc>
          <w:tcPr>
            <w:tcW w:w="664" w:type="dxa"/>
            <w:shd w:val="clear" w:color="auto" w:fill="E3E1D8" w:themeFill="accent6"/>
            <w:hideMark/>
          </w:tcPr>
          <w:p w14:paraId="6B12AAC0"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30</w:t>
            </w:r>
          </w:p>
        </w:tc>
        <w:tc>
          <w:tcPr>
            <w:tcW w:w="1259" w:type="dxa"/>
            <w:shd w:val="clear" w:color="auto" w:fill="E3E1D8" w:themeFill="accent6"/>
            <w:hideMark/>
          </w:tcPr>
          <w:p w14:paraId="462D6AF4"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ULU-OS-01</w:t>
            </w:r>
          </w:p>
        </w:tc>
        <w:tc>
          <w:tcPr>
            <w:tcW w:w="1900" w:type="dxa"/>
            <w:shd w:val="clear" w:color="auto" w:fill="E3E1D8" w:themeFill="accent6"/>
            <w:hideMark/>
          </w:tcPr>
          <w:p w14:paraId="576CFF5C"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Uleiuri uzate</w:t>
            </w:r>
          </w:p>
        </w:tc>
        <w:tc>
          <w:tcPr>
            <w:tcW w:w="1160" w:type="dxa"/>
            <w:shd w:val="clear" w:color="auto" w:fill="E3E1D8" w:themeFill="accent6"/>
            <w:hideMark/>
          </w:tcPr>
          <w:p w14:paraId="0B8D5BC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490644E5"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Gestionarea uleiurilor uzate cu respectarea ierarhiei de gestionare a deșeurilor</w:t>
            </w:r>
          </w:p>
        </w:tc>
      </w:tr>
      <w:tr w:rsidR="00701248" w:rsidRPr="00187708" w14:paraId="3F9D1C9D" w14:textId="77777777" w:rsidTr="007401C9">
        <w:trPr>
          <w:trHeight w:val="300"/>
        </w:trPr>
        <w:tc>
          <w:tcPr>
            <w:tcW w:w="664" w:type="dxa"/>
            <w:shd w:val="clear" w:color="auto" w:fill="E3E1D8" w:themeFill="accent6"/>
            <w:hideMark/>
          </w:tcPr>
          <w:p w14:paraId="2E9ADD1B"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31</w:t>
            </w:r>
          </w:p>
        </w:tc>
        <w:tc>
          <w:tcPr>
            <w:tcW w:w="1259" w:type="dxa"/>
            <w:shd w:val="clear" w:color="auto" w:fill="E3E1D8" w:themeFill="accent6"/>
            <w:hideMark/>
          </w:tcPr>
          <w:p w14:paraId="0621134D"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ULU-OS-02</w:t>
            </w:r>
          </w:p>
        </w:tc>
        <w:tc>
          <w:tcPr>
            <w:tcW w:w="1900" w:type="dxa"/>
            <w:shd w:val="clear" w:color="auto" w:fill="E3E1D8" w:themeFill="accent6"/>
            <w:hideMark/>
          </w:tcPr>
          <w:p w14:paraId="3DEE372E"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Uleiuri uzate</w:t>
            </w:r>
          </w:p>
        </w:tc>
        <w:tc>
          <w:tcPr>
            <w:tcW w:w="1160" w:type="dxa"/>
            <w:shd w:val="clear" w:color="auto" w:fill="E3E1D8" w:themeFill="accent6"/>
            <w:hideMark/>
          </w:tcPr>
          <w:p w14:paraId="76C7C11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68487AD5"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Actualizarea cadrului legislativ privind gestionarea uleiurilor uzate</w:t>
            </w:r>
          </w:p>
        </w:tc>
      </w:tr>
      <w:tr w:rsidR="00701248" w:rsidRPr="00187708" w14:paraId="52F8B7B5" w14:textId="77777777" w:rsidTr="007401C9">
        <w:trPr>
          <w:trHeight w:val="300"/>
        </w:trPr>
        <w:tc>
          <w:tcPr>
            <w:tcW w:w="664" w:type="dxa"/>
            <w:hideMark/>
          </w:tcPr>
          <w:p w14:paraId="095F87B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32</w:t>
            </w:r>
          </w:p>
        </w:tc>
        <w:tc>
          <w:tcPr>
            <w:tcW w:w="1259" w:type="dxa"/>
            <w:hideMark/>
          </w:tcPr>
          <w:p w14:paraId="30E5E7F9"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ANV-OS-01</w:t>
            </w:r>
          </w:p>
        </w:tc>
        <w:tc>
          <w:tcPr>
            <w:tcW w:w="1900" w:type="dxa"/>
            <w:hideMark/>
          </w:tcPr>
          <w:p w14:paraId="7F00FE4A"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Anvelope uzate</w:t>
            </w:r>
          </w:p>
        </w:tc>
        <w:tc>
          <w:tcPr>
            <w:tcW w:w="1160" w:type="dxa"/>
            <w:hideMark/>
          </w:tcPr>
          <w:p w14:paraId="64285DFB"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hideMark/>
          </w:tcPr>
          <w:p w14:paraId="7BAA652F"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Asigurarea gradului de colectare a anvelopelor uzate</w:t>
            </w:r>
          </w:p>
        </w:tc>
      </w:tr>
      <w:tr w:rsidR="00701248" w:rsidRPr="00187708" w14:paraId="00D4D793" w14:textId="77777777" w:rsidTr="007401C9">
        <w:trPr>
          <w:trHeight w:val="300"/>
        </w:trPr>
        <w:tc>
          <w:tcPr>
            <w:tcW w:w="664" w:type="dxa"/>
            <w:hideMark/>
          </w:tcPr>
          <w:p w14:paraId="2AAC6981"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lastRenderedPageBreak/>
              <w:t>33</w:t>
            </w:r>
          </w:p>
        </w:tc>
        <w:tc>
          <w:tcPr>
            <w:tcW w:w="1259" w:type="dxa"/>
            <w:hideMark/>
          </w:tcPr>
          <w:p w14:paraId="33585008"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ANV-OS-02</w:t>
            </w:r>
          </w:p>
        </w:tc>
        <w:tc>
          <w:tcPr>
            <w:tcW w:w="1900" w:type="dxa"/>
            <w:hideMark/>
          </w:tcPr>
          <w:p w14:paraId="5E031866"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Anvelope uzate</w:t>
            </w:r>
          </w:p>
        </w:tc>
        <w:tc>
          <w:tcPr>
            <w:tcW w:w="1160" w:type="dxa"/>
            <w:hideMark/>
          </w:tcPr>
          <w:p w14:paraId="37CBE48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hideMark/>
          </w:tcPr>
          <w:p w14:paraId="240C242F"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Valorificarea materială a anvelopelor uzate</w:t>
            </w:r>
          </w:p>
        </w:tc>
      </w:tr>
      <w:tr w:rsidR="00701248" w:rsidRPr="00187708" w14:paraId="32C579D9" w14:textId="77777777" w:rsidTr="007401C9">
        <w:trPr>
          <w:trHeight w:val="1020"/>
        </w:trPr>
        <w:tc>
          <w:tcPr>
            <w:tcW w:w="664" w:type="dxa"/>
            <w:shd w:val="clear" w:color="auto" w:fill="E3E1D8" w:themeFill="accent6"/>
            <w:hideMark/>
          </w:tcPr>
          <w:p w14:paraId="005ED43C"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34</w:t>
            </w:r>
          </w:p>
        </w:tc>
        <w:tc>
          <w:tcPr>
            <w:tcW w:w="1259" w:type="dxa"/>
            <w:shd w:val="clear" w:color="auto" w:fill="E3E1D8" w:themeFill="accent6"/>
            <w:hideMark/>
          </w:tcPr>
          <w:p w14:paraId="5100AD41"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DCD-OS-01</w:t>
            </w:r>
          </w:p>
        </w:tc>
        <w:tc>
          <w:tcPr>
            <w:tcW w:w="1900" w:type="dxa"/>
            <w:shd w:val="clear" w:color="auto" w:fill="E3E1D8" w:themeFill="accent6"/>
            <w:hideMark/>
          </w:tcPr>
          <w:p w14:paraId="22038971"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construcții și desființări</w:t>
            </w:r>
          </w:p>
        </w:tc>
        <w:tc>
          <w:tcPr>
            <w:tcW w:w="1160" w:type="dxa"/>
            <w:shd w:val="clear" w:color="auto" w:fill="E3E1D8" w:themeFill="accent6"/>
            <w:hideMark/>
          </w:tcPr>
          <w:p w14:paraId="7CBC7490"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64D0A136"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r>
      <w:tr w:rsidR="00701248" w:rsidRPr="00187708" w14:paraId="3DF4F94D" w14:textId="77777777" w:rsidTr="007401C9">
        <w:trPr>
          <w:trHeight w:val="510"/>
        </w:trPr>
        <w:tc>
          <w:tcPr>
            <w:tcW w:w="664" w:type="dxa"/>
            <w:shd w:val="clear" w:color="auto" w:fill="E3E1D8" w:themeFill="accent6"/>
            <w:hideMark/>
          </w:tcPr>
          <w:p w14:paraId="5CE03C84"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35</w:t>
            </w:r>
          </w:p>
        </w:tc>
        <w:tc>
          <w:tcPr>
            <w:tcW w:w="1259" w:type="dxa"/>
            <w:shd w:val="clear" w:color="auto" w:fill="E3E1D8" w:themeFill="accent6"/>
            <w:hideMark/>
          </w:tcPr>
          <w:p w14:paraId="217E871F"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DCD-OS-02</w:t>
            </w:r>
          </w:p>
        </w:tc>
        <w:tc>
          <w:tcPr>
            <w:tcW w:w="1900" w:type="dxa"/>
            <w:shd w:val="clear" w:color="auto" w:fill="E3E1D8" w:themeFill="accent6"/>
            <w:hideMark/>
          </w:tcPr>
          <w:p w14:paraId="0E126AB6"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construcții și desființări</w:t>
            </w:r>
          </w:p>
        </w:tc>
        <w:tc>
          <w:tcPr>
            <w:tcW w:w="1160" w:type="dxa"/>
            <w:shd w:val="clear" w:color="auto" w:fill="E3E1D8" w:themeFill="accent6"/>
            <w:hideMark/>
          </w:tcPr>
          <w:p w14:paraId="73946F4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207EDD1A"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Asigurarea capacităților de eliminare pentru DCD care nu pot fi valorificate</w:t>
            </w:r>
          </w:p>
        </w:tc>
      </w:tr>
      <w:tr w:rsidR="00701248" w:rsidRPr="00187708" w14:paraId="247F58B0" w14:textId="77777777" w:rsidTr="007401C9">
        <w:trPr>
          <w:trHeight w:val="510"/>
        </w:trPr>
        <w:tc>
          <w:tcPr>
            <w:tcW w:w="664" w:type="dxa"/>
            <w:shd w:val="clear" w:color="auto" w:fill="E3E1D8" w:themeFill="accent6"/>
            <w:hideMark/>
          </w:tcPr>
          <w:p w14:paraId="7A0CC40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36</w:t>
            </w:r>
          </w:p>
        </w:tc>
        <w:tc>
          <w:tcPr>
            <w:tcW w:w="1259" w:type="dxa"/>
            <w:shd w:val="clear" w:color="auto" w:fill="E3E1D8" w:themeFill="accent6"/>
            <w:hideMark/>
          </w:tcPr>
          <w:p w14:paraId="56CA390E"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DCD-OS-03</w:t>
            </w:r>
          </w:p>
        </w:tc>
        <w:tc>
          <w:tcPr>
            <w:tcW w:w="1900" w:type="dxa"/>
            <w:shd w:val="clear" w:color="auto" w:fill="E3E1D8" w:themeFill="accent6"/>
            <w:hideMark/>
          </w:tcPr>
          <w:p w14:paraId="26FBC48D"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construcții și desființări</w:t>
            </w:r>
          </w:p>
        </w:tc>
        <w:tc>
          <w:tcPr>
            <w:tcW w:w="1160" w:type="dxa"/>
            <w:shd w:val="clear" w:color="auto" w:fill="E3E1D8" w:themeFill="accent6"/>
            <w:hideMark/>
          </w:tcPr>
          <w:p w14:paraId="23B00F5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shd w:val="clear" w:color="auto" w:fill="E3E1D8" w:themeFill="accent6"/>
            <w:hideMark/>
          </w:tcPr>
          <w:p w14:paraId="344A6131"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Revizuirea și actualizarea cadrului legislativ național privind gestionarea deșeurilor din construcții și desființări (DCD)</w:t>
            </w:r>
          </w:p>
        </w:tc>
      </w:tr>
      <w:tr w:rsidR="00701248" w:rsidRPr="00187708" w14:paraId="129E2902" w14:textId="77777777" w:rsidTr="007401C9">
        <w:trPr>
          <w:trHeight w:val="300"/>
        </w:trPr>
        <w:tc>
          <w:tcPr>
            <w:tcW w:w="664" w:type="dxa"/>
            <w:hideMark/>
          </w:tcPr>
          <w:p w14:paraId="447A2124"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37</w:t>
            </w:r>
          </w:p>
        </w:tc>
        <w:tc>
          <w:tcPr>
            <w:tcW w:w="1259" w:type="dxa"/>
            <w:hideMark/>
          </w:tcPr>
          <w:p w14:paraId="1C564DAD"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NAM-OS-01</w:t>
            </w:r>
          </w:p>
        </w:tc>
        <w:tc>
          <w:tcPr>
            <w:tcW w:w="1900" w:type="dxa"/>
            <w:hideMark/>
          </w:tcPr>
          <w:p w14:paraId="35EEB965"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Nămoluri de epurare</w:t>
            </w:r>
          </w:p>
        </w:tc>
        <w:tc>
          <w:tcPr>
            <w:tcW w:w="1160" w:type="dxa"/>
            <w:hideMark/>
          </w:tcPr>
          <w:p w14:paraId="224B1F7A"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hideMark/>
          </w:tcPr>
          <w:p w14:paraId="37033F3F"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Planificarea gestionării nămolurilor rezultate de la stațiile de epurare orășenești</w:t>
            </w:r>
          </w:p>
        </w:tc>
      </w:tr>
      <w:tr w:rsidR="00701248" w:rsidRPr="00187708" w14:paraId="31F355AE" w14:textId="77777777" w:rsidTr="007401C9">
        <w:trPr>
          <w:trHeight w:val="300"/>
        </w:trPr>
        <w:tc>
          <w:tcPr>
            <w:tcW w:w="664" w:type="dxa"/>
            <w:hideMark/>
          </w:tcPr>
          <w:p w14:paraId="5897F26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38</w:t>
            </w:r>
          </w:p>
        </w:tc>
        <w:tc>
          <w:tcPr>
            <w:tcW w:w="1259" w:type="dxa"/>
            <w:hideMark/>
          </w:tcPr>
          <w:p w14:paraId="583AB6CD"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NAM-OS-02</w:t>
            </w:r>
          </w:p>
        </w:tc>
        <w:tc>
          <w:tcPr>
            <w:tcW w:w="1900" w:type="dxa"/>
            <w:hideMark/>
          </w:tcPr>
          <w:p w14:paraId="5F83B375"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Nămoluri de epurare</w:t>
            </w:r>
          </w:p>
        </w:tc>
        <w:tc>
          <w:tcPr>
            <w:tcW w:w="1160" w:type="dxa"/>
            <w:hideMark/>
          </w:tcPr>
          <w:p w14:paraId="5A88794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hideMark/>
          </w:tcPr>
          <w:p w14:paraId="40A26B18"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Gestionarea durabilă a nămolurilor rezultate de la stațiile de epurare orășenești</w:t>
            </w:r>
          </w:p>
        </w:tc>
      </w:tr>
      <w:tr w:rsidR="00701248" w:rsidRPr="00187708" w14:paraId="039A77B6" w14:textId="77777777" w:rsidTr="007401C9">
        <w:trPr>
          <w:trHeight w:val="300"/>
        </w:trPr>
        <w:tc>
          <w:tcPr>
            <w:tcW w:w="664" w:type="dxa"/>
            <w:hideMark/>
          </w:tcPr>
          <w:p w14:paraId="5F2AC582"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39</w:t>
            </w:r>
          </w:p>
        </w:tc>
        <w:tc>
          <w:tcPr>
            <w:tcW w:w="1259" w:type="dxa"/>
            <w:hideMark/>
          </w:tcPr>
          <w:p w14:paraId="06E7E924"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NAM-OS-03</w:t>
            </w:r>
          </w:p>
        </w:tc>
        <w:tc>
          <w:tcPr>
            <w:tcW w:w="1900" w:type="dxa"/>
            <w:hideMark/>
          </w:tcPr>
          <w:p w14:paraId="09E7C68D"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Nămoluri de epurare</w:t>
            </w:r>
          </w:p>
        </w:tc>
        <w:tc>
          <w:tcPr>
            <w:tcW w:w="1160" w:type="dxa"/>
            <w:hideMark/>
          </w:tcPr>
          <w:p w14:paraId="1BB8B2B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hideMark/>
          </w:tcPr>
          <w:p w14:paraId="17ADDA40"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cantităților de nămol valorificate conform reglementărilor în vigoare</w:t>
            </w:r>
          </w:p>
        </w:tc>
      </w:tr>
      <w:tr w:rsidR="00701248" w:rsidRPr="00187708" w14:paraId="59740C0F" w14:textId="77777777" w:rsidTr="007401C9">
        <w:trPr>
          <w:trHeight w:val="510"/>
        </w:trPr>
        <w:tc>
          <w:tcPr>
            <w:tcW w:w="664" w:type="dxa"/>
            <w:hideMark/>
          </w:tcPr>
          <w:p w14:paraId="57EF25E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40</w:t>
            </w:r>
          </w:p>
        </w:tc>
        <w:tc>
          <w:tcPr>
            <w:tcW w:w="1259" w:type="dxa"/>
            <w:hideMark/>
          </w:tcPr>
          <w:p w14:paraId="0C8E163E"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NAM-OS-04</w:t>
            </w:r>
          </w:p>
        </w:tc>
        <w:tc>
          <w:tcPr>
            <w:tcW w:w="1900" w:type="dxa"/>
            <w:hideMark/>
          </w:tcPr>
          <w:p w14:paraId="41F7FDA6"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Nămoluri de epurare</w:t>
            </w:r>
          </w:p>
        </w:tc>
        <w:tc>
          <w:tcPr>
            <w:tcW w:w="1160" w:type="dxa"/>
            <w:hideMark/>
          </w:tcPr>
          <w:p w14:paraId="61CA9AD3"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4</w:t>
            </w:r>
          </w:p>
        </w:tc>
        <w:tc>
          <w:tcPr>
            <w:tcW w:w="4798" w:type="dxa"/>
            <w:hideMark/>
          </w:tcPr>
          <w:p w14:paraId="34A28278"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Dezvoltarea cadrului legal privind gestionarea deșeurilor de nămoluri rezultate de la epurarea apelor uzate orășenești</w:t>
            </w:r>
          </w:p>
        </w:tc>
      </w:tr>
      <w:tr w:rsidR="00701248" w:rsidRPr="00187708" w14:paraId="0AB7F323" w14:textId="77777777" w:rsidTr="007401C9">
        <w:trPr>
          <w:trHeight w:val="510"/>
        </w:trPr>
        <w:tc>
          <w:tcPr>
            <w:tcW w:w="664" w:type="dxa"/>
            <w:shd w:val="clear" w:color="auto" w:fill="E3E1D8" w:themeFill="accent6"/>
            <w:hideMark/>
          </w:tcPr>
          <w:p w14:paraId="53FF8CD1"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41</w:t>
            </w:r>
          </w:p>
        </w:tc>
        <w:tc>
          <w:tcPr>
            <w:tcW w:w="1259" w:type="dxa"/>
            <w:shd w:val="clear" w:color="auto" w:fill="E3E1D8" w:themeFill="accent6"/>
            <w:hideMark/>
          </w:tcPr>
          <w:p w14:paraId="0DCA00F3"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PCB-OS-01</w:t>
            </w:r>
          </w:p>
        </w:tc>
        <w:tc>
          <w:tcPr>
            <w:tcW w:w="1900" w:type="dxa"/>
            <w:shd w:val="clear" w:color="auto" w:fill="E3E1D8" w:themeFill="accent6"/>
            <w:hideMark/>
          </w:tcPr>
          <w:p w14:paraId="199327A5"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cu conținut de PCB</w:t>
            </w:r>
          </w:p>
        </w:tc>
        <w:tc>
          <w:tcPr>
            <w:tcW w:w="1160" w:type="dxa"/>
            <w:shd w:val="clear" w:color="auto" w:fill="E3E1D8" w:themeFill="accent6"/>
            <w:hideMark/>
          </w:tcPr>
          <w:p w14:paraId="3D64B5B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5B9BFFFA"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Scoaterea din circulație a echipamentelor cu conținut de PCB</w:t>
            </w:r>
          </w:p>
        </w:tc>
      </w:tr>
      <w:tr w:rsidR="00701248" w:rsidRPr="00187708" w14:paraId="12FEE2AC" w14:textId="77777777" w:rsidTr="007401C9">
        <w:trPr>
          <w:trHeight w:val="510"/>
        </w:trPr>
        <w:tc>
          <w:tcPr>
            <w:tcW w:w="664" w:type="dxa"/>
            <w:shd w:val="clear" w:color="auto" w:fill="E3E1D8" w:themeFill="accent6"/>
            <w:hideMark/>
          </w:tcPr>
          <w:p w14:paraId="4DF74CF9"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42</w:t>
            </w:r>
          </w:p>
        </w:tc>
        <w:tc>
          <w:tcPr>
            <w:tcW w:w="1259" w:type="dxa"/>
            <w:shd w:val="clear" w:color="auto" w:fill="E3E1D8" w:themeFill="accent6"/>
            <w:hideMark/>
          </w:tcPr>
          <w:p w14:paraId="2350BC55"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PCB-OS-02</w:t>
            </w:r>
          </w:p>
        </w:tc>
        <w:tc>
          <w:tcPr>
            <w:tcW w:w="1900" w:type="dxa"/>
            <w:shd w:val="clear" w:color="auto" w:fill="E3E1D8" w:themeFill="accent6"/>
            <w:hideMark/>
          </w:tcPr>
          <w:p w14:paraId="6B55D47B"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cu conținut de PCB</w:t>
            </w:r>
          </w:p>
        </w:tc>
        <w:tc>
          <w:tcPr>
            <w:tcW w:w="1160" w:type="dxa"/>
            <w:shd w:val="clear" w:color="auto" w:fill="E3E1D8" w:themeFill="accent6"/>
            <w:hideMark/>
          </w:tcPr>
          <w:p w14:paraId="56C55716"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6BAAD01D"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Eliminarea echipamentelor cu conținut de PCB</w:t>
            </w:r>
          </w:p>
        </w:tc>
      </w:tr>
      <w:tr w:rsidR="00701248" w:rsidRPr="00187708" w14:paraId="493E0C01" w14:textId="77777777" w:rsidTr="007401C9">
        <w:trPr>
          <w:trHeight w:val="300"/>
        </w:trPr>
        <w:tc>
          <w:tcPr>
            <w:tcW w:w="664" w:type="dxa"/>
            <w:hideMark/>
          </w:tcPr>
          <w:p w14:paraId="574A96F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43</w:t>
            </w:r>
          </w:p>
        </w:tc>
        <w:tc>
          <w:tcPr>
            <w:tcW w:w="1259" w:type="dxa"/>
            <w:hideMark/>
          </w:tcPr>
          <w:p w14:paraId="638E10DD"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AZB-OS-01</w:t>
            </w:r>
          </w:p>
        </w:tc>
        <w:tc>
          <w:tcPr>
            <w:tcW w:w="1900" w:type="dxa"/>
            <w:hideMark/>
          </w:tcPr>
          <w:p w14:paraId="5C29E2A6"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cu azbest</w:t>
            </w:r>
          </w:p>
        </w:tc>
        <w:tc>
          <w:tcPr>
            <w:tcW w:w="1160" w:type="dxa"/>
            <w:hideMark/>
          </w:tcPr>
          <w:p w14:paraId="4DE8D784"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hideMark/>
          </w:tcPr>
          <w:p w14:paraId="78A0BB4A"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Gestionarea durabilă a materialelor și deșeurilor de azbest</w:t>
            </w:r>
          </w:p>
        </w:tc>
      </w:tr>
      <w:tr w:rsidR="00701248" w:rsidRPr="00187708" w14:paraId="7C0DF2D0" w14:textId="77777777" w:rsidTr="007401C9">
        <w:trPr>
          <w:trHeight w:val="300"/>
        </w:trPr>
        <w:tc>
          <w:tcPr>
            <w:tcW w:w="664" w:type="dxa"/>
            <w:hideMark/>
          </w:tcPr>
          <w:p w14:paraId="6C5F619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44</w:t>
            </w:r>
          </w:p>
        </w:tc>
        <w:tc>
          <w:tcPr>
            <w:tcW w:w="1259" w:type="dxa"/>
            <w:hideMark/>
          </w:tcPr>
          <w:p w14:paraId="222FFF41"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AZB-OS-02</w:t>
            </w:r>
          </w:p>
        </w:tc>
        <w:tc>
          <w:tcPr>
            <w:tcW w:w="1900" w:type="dxa"/>
            <w:hideMark/>
          </w:tcPr>
          <w:p w14:paraId="26601DFB"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cu azbest</w:t>
            </w:r>
          </w:p>
        </w:tc>
        <w:tc>
          <w:tcPr>
            <w:tcW w:w="1160" w:type="dxa"/>
            <w:hideMark/>
          </w:tcPr>
          <w:p w14:paraId="506AF6F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hideMark/>
          </w:tcPr>
          <w:p w14:paraId="3290E780"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Actualizarea cadrului legal</w:t>
            </w:r>
          </w:p>
        </w:tc>
      </w:tr>
      <w:tr w:rsidR="00701248" w:rsidRPr="00187708" w14:paraId="08291209" w14:textId="77777777" w:rsidTr="007401C9">
        <w:trPr>
          <w:trHeight w:val="765"/>
        </w:trPr>
        <w:tc>
          <w:tcPr>
            <w:tcW w:w="664" w:type="dxa"/>
            <w:shd w:val="clear" w:color="auto" w:fill="E3E1D8" w:themeFill="accent6"/>
            <w:hideMark/>
          </w:tcPr>
          <w:p w14:paraId="3E29032F"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45</w:t>
            </w:r>
          </w:p>
        </w:tc>
        <w:tc>
          <w:tcPr>
            <w:tcW w:w="1259" w:type="dxa"/>
            <w:shd w:val="clear" w:color="auto" w:fill="E3E1D8" w:themeFill="accent6"/>
            <w:hideMark/>
          </w:tcPr>
          <w:p w14:paraId="466BF206"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SAN-OS-01</w:t>
            </w:r>
          </w:p>
        </w:tc>
        <w:tc>
          <w:tcPr>
            <w:tcW w:w="1900" w:type="dxa"/>
            <w:shd w:val="clear" w:color="auto" w:fill="E3E1D8" w:themeFill="accent6"/>
            <w:hideMark/>
          </w:tcPr>
          <w:p w14:paraId="3630A2C0"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activități sanitare</w:t>
            </w:r>
          </w:p>
        </w:tc>
        <w:tc>
          <w:tcPr>
            <w:tcW w:w="1160" w:type="dxa"/>
            <w:shd w:val="clear" w:color="auto" w:fill="E3E1D8" w:themeFill="accent6"/>
            <w:hideMark/>
          </w:tcPr>
          <w:p w14:paraId="02E08009"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799C9C67"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r>
      <w:tr w:rsidR="00701248" w:rsidRPr="00187708" w14:paraId="342AD306" w14:textId="77777777" w:rsidTr="007401C9">
        <w:trPr>
          <w:trHeight w:val="510"/>
        </w:trPr>
        <w:tc>
          <w:tcPr>
            <w:tcW w:w="664" w:type="dxa"/>
            <w:shd w:val="clear" w:color="auto" w:fill="E3E1D8" w:themeFill="accent6"/>
            <w:hideMark/>
          </w:tcPr>
          <w:p w14:paraId="2AA59BF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46</w:t>
            </w:r>
          </w:p>
        </w:tc>
        <w:tc>
          <w:tcPr>
            <w:tcW w:w="1259" w:type="dxa"/>
            <w:shd w:val="clear" w:color="auto" w:fill="E3E1D8" w:themeFill="accent6"/>
            <w:hideMark/>
          </w:tcPr>
          <w:p w14:paraId="2E5E2602"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SAN-OS-02</w:t>
            </w:r>
          </w:p>
        </w:tc>
        <w:tc>
          <w:tcPr>
            <w:tcW w:w="1900" w:type="dxa"/>
            <w:shd w:val="clear" w:color="auto" w:fill="E3E1D8" w:themeFill="accent6"/>
            <w:hideMark/>
          </w:tcPr>
          <w:p w14:paraId="6CE4E02F"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activități sanitare</w:t>
            </w:r>
          </w:p>
        </w:tc>
        <w:tc>
          <w:tcPr>
            <w:tcW w:w="1160" w:type="dxa"/>
            <w:shd w:val="clear" w:color="auto" w:fill="E3E1D8" w:themeFill="accent6"/>
            <w:hideMark/>
          </w:tcPr>
          <w:p w14:paraId="2379538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00861D9D"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Definitivarea cadrului legal privind gestionarea deșeurilor rezultate din activități medicale</w:t>
            </w:r>
          </w:p>
        </w:tc>
      </w:tr>
      <w:tr w:rsidR="00701248" w:rsidRPr="00187708" w14:paraId="1408BED6" w14:textId="77777777" w:rsidTr="007401C9">
        <w:trPr>
          <w:trHeight w:val="510"/>
        </w:trPr>
        <w:tc>
          <w:tcPr>
            <w:tcW w:w="664" w:type="dxa"/>
            <w:shd w:val="clear" w:color="auto" w:fill="E3E1D8" w:themeFill="accent6"/>
            <w:hideMark/>
          </w:tcPr>
          <w:p w14:paraId="69EE4F7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47</w:t>
            </w:r>
          </w:p>
        </w:tc>
        <w:tc>
          <w:tcPr>
            <w:tcW w:w="1259" w:type="dxa"/>
            <w:shd w:val="clear" w:color="auto" w:fill="E3E1D8" w:themeFill="accent6"/>
            <w:hideMark/>
          </w:tcPr>
          <w:p w14:paraId="766C7098"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SAN-OS-03</w:t>
            </w:r>
          </w:p>
        </w:tc>
        <w:tc>
          <w:tcPr>
            <w:tcW w:w="1900" w:type="dxa"/>
            <w:shd w:val="clear" w:color="auto" w:fill="E3E1D8" w:themeFill="accent6"/>
            <w:hideMark/>
          </w:tcPr>
          <w:p w14:paraId="39287B3E"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activități sanitare</w:t>
            </w:r>
          </w:p>
        </w:tc>
        <w:tc>
          <w:tcPr>
            <w:tcW w:w="1160" w:type="dxa"/>
            <w:shd w:val="clear" w:color="auto" w:fill="E3E1D8" w:themeFill="accent6"/>
            <w:hideMark/>
          </w:tcPr>
          <w:p w14:paraId="610CD57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shd w:val="clear" w:color="auto" w:fill="E3E1D8" w:themeFill="accent6"/>
            <w:hideMark/>
          </w:tcPr>
          <w:p w14:paraId="4465E4D6"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Digitalizarea bazei naționale de date a deșeurilor rezultate din activitatea medicală</w:t>
            </w:r>
          </w:p>
        </w:tc>
      </w:tr>
      <w:tr w:rsidR="00701248" w:rsidRPr="00187708" w14:paraId="31F04C41" w14:textId="77777777" w:rsidTr="007401C9">
        <w:trPr>
          <w:trHeight w:val="510"/>
        </w:trPr>
        <w:tc>
          <w:tcPr>
            <w:tcW w:w="664" w:type="dxa"/>
            <w:shd w:val="clear" w:color="auto" w:fill="E3E1D8" w:themeFill="accent6"/>
            <w:hideMark/>
          </w:tcPr>
          <w:p w14:paraId="2E8DCA18"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48</w:t>
            </w:r>
          </w:p>
        </w:tc>
        <w:tc>
          <w:tcPr>
            <w:tcW w:w="1259" w:type="dxa"/>
            <w:shd w:val="clear" w:color="auto" w:fill="E3E1D8" w:themeFill="accent6"/>
            <w:hideMark/>
          </w:tcPr>
          <w:p w14:paraId="108ED6F5"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VET-OS-01</w:t>
            </w:r>
          </w:p>
        </w:tc>
        <w:tc>
          <w:tcPr>
            <w:tcW w:w="1900" w:type="dxa"/>
            <w:shd w:val="clear" w:color="auto" w:fill="E3E1D8" w:themeFill="accent6"/>
            <w:hideMark/>
          </w:tcPr>
          <w:p w14:paraId="52D93F7B"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activități veterinare</w:t>
            </w:r>
          </w:p>
        </w:tc>
        <w:tc>
          <w:tcPr>
            <w:tcW w:w="1160" w:type="dxa"/>
            <w:shd w:val="clear" w:color="auto" w:fill="E3E1D8" w:themeFill="accent6"/>
            <w:hideMark/>
          </w:tcPr>
          <w:p w14:paraId="736540A6"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0E6E20E3"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Asigurarea colectării, transportului, tratării și eliminării corecte și conforme a deșeurilor provenite din activități veterinare</w:t>
            </w:r>
          </w:p>
        </w:tc>
      </w:tr>
      <w:tr w:rsidR="00701248" w:rsidRPr="00187708" w14:paraId="0F4F56B0" w14:textId="77777777" w:rsidTr="007401C9">
        <w:trPr>
          <w:trHeight w:val="510"/>
        </w:trPr>
        <w:tc>
          <w:tcPr>
            <w:tcW w:w="664" w:type="dxa"/>
            <w:shd w:val="clear" w:color="auto" w:fill="E3E1D8" w:themeFill="accent6"/>
            <w:hideMark/>
          </w:tcPr>
          <w:p w14:paraId="6AAA1E6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49</w:t>
            </w:r>
          </w:p>
        </w:tc>
        <w:tc>
          <w:tcPr>
            <w:tcW w:w="1259" w:type="dxa"/>
            <w:shd w:val="clear" w:color="auto" w:fill="E3E1D8" w:themeFill="accent6"/>
            <w:hideMark/>
          </w:tcPr>
          <w:p w14:paraId="1B5CFF28"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VET-OS-02</w:t>
            </w:r>
          </w:p>
        </w:tc>
        <w:tc>
          <w:tcPr>
            <w:tcW w:w="1900" w:type="dxa"/>
            <w:shd w:val="clear" w:color="auto" w:fill="E3E1D8" w:themeFill="accent6"/>
            <w:hideMark/>
          </w:tcPr>
          <w:p w14:paraId="59B55BAD"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activități veterinare</w:t>
            </w:r>
          </w:p>
        </w:tc>
        <w:tc>
          <w:tcPr>
            <w:tcW w:w="1160" w:type="dxa"/>
            <w:shd w:val="clear" w:color="auto" w:fill="E3E1D8" w:themeFill="accent6"/>
            <w:hideMark/>
          </w:tcPr>
          <w:p w14:paraId="1D8AD3E4"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71EF95B6"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Dezvoltarea cadrului legal specific deșeurilor provenind din activitatea veterinară</w:t>
            </w:r>
          </w:p>
        </w:tc>
      </w:tr>
      <w:tr w:rsidR="00701248" w:rsidRPr="00187708" w14:paraId="40885FDF" w14:textId="77777777" w:rsidTr="007401C9">
        <w:trPr>
          <w:trHeight w:val="510"/>
        </w:trPr>
        <w:tc>
          <w:tcPr>
            <w:tcW w:w="664" w:type="dxa"/>
            <w:hideMark/>
          </w:tcPr>
          <w:p w14:paraId="71BD633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50</w:t>
            </w:r>
          </w:p>
        </w:tc>
        <w:tc>
          <w:tcPr>
            <w:tcW w:w="1259" w:type="dxa"/>
            <w:hideMark/>
          </w:tcPr>
          <w:p w14:paraId="09954267"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IND-OS-01</w:t>
            </w:r>
          </w:p>
        </w:tc>
        <w:tc>
          <w:tcPr>
            <w:tcW w:w="1900" w:type="dxa"/>
            <w:hideMark/>
          </w:tcPr>
          <w:p w14:paraId="3E212D14"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activități industriale</w:t>
            </w:r>
          </w:p>
        </w:tc>
        <w:tc>
          <w:tcPr>
            <w:tcW w:w="1160" w:type="dxa"/>
            <w:hideMark/>
          </w:tcPr>
          <w:p w14:paraId="19CB32E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hideMark/>
          </w:tcPr>
          <w:p w14:paraId="236DA60F"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Gestionarea durabilă a deșeurilor industriale periculoase și nepericuloase</w:t>
            </w:r>
          </w:p>
        </w:tc>
      </w:tr>
      <w:tr w:rsidR="00701248" w:rsidRPr="00187708" w14:paraId="557CEF2E" w14:textId="77777777" w:rsidTr="007401C9">
        <w:trPr>
          <w:trHeight w:val="510"/>
        </w:trPr>
        <w:tc>
          <w:tcPr>
            <w:tcW w:w="664" w:type="dxa"/>
            <w:shd w:val="clear" w:color="auto" w:fill="E3E1D8" w:themeFill="accent6"/>
            <w:hideMark/>
          </w:tcPr>
          <w:p w14:paraId="4AD2C05C"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51</w:t>
            </w:r>
          </w:p>
        </w:tc>
        <w:tc>
          <w:tcPr>
            <w:tcW w:w="1259" w:type="dxa"/>
            <w:shd w:val="clear" w:color="auto" w:fill="E3E1D8" w:themeFill="accent6"/>
            <w:hideMark/>
          </w:tcPr>
          <w:p w14:paraId="122A54CE"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IND-OS-02</w:t>
            </w:r>
          </w:p>
        </w:tc>
        <w:tc>
          <w:tcPr>
            <w:tcW w:w="1900" w:type="dxa"/>
            <w:shd w:val="clear" w:color="auto" w:fill="E3E1D8" w:themeFill="accent6"/>
            <w:hideMark/>
          </w:tcPr>
          <w:p w14:paraId="7D040BF8"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Deșeuri din activități industriale</w:t>
            </w:r>
          </w:p>
        </w:tc>
        <w:tc>
          <w:tcPr>
            <w:tcW w:w="1160" w:type="dxa"/>
            <w:shd w:val="clear" w:color="auto" w:fill="E3E1D8" w:themeFill="accent6"/>
            <w:hideMark/>
          </w:tcPr>
          <w:p w14:paraId="1F4C1E95"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463E0CC6"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Dezvoltarea cadrului legal privind gestionarea deșeurilor industriale</w:t>
            </w:r>
          </w:p>
        </w:tc>
      </w:tr>
      <w:tr w:rsidR="00701248" w:rsidRPr="00187708" w14:paraId="53508021" w14:textId="77777777" w:rsidTr="007401C9">
        <w:trPr>
          <w:trHeight w:val="765"/>
        </w:trPr>
        <w:tc>
          <w:tcPr>
            <w:tcW w:w="664" w:type="dxa"/>
            <w:shd w:val="clear" w:color="auto" w:fill="E3E1D8" w:themeFill="accent6"/>
            <w:hideMark/>
          </w:tcPr>
          <w:p w14:paraId="34F09D1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52</w:t>
            </w:r>
          </w:p>
        </w:tc>
        <w:tc>
          <w:tcPr>
            <w:tcW w:w="1259" w:type="dxa"/>
            <w:shd w:val="clear" w:color="auto" w:fill="E3E1D8" w:themeFill="accent6"/>
            <w:hideMark/>
          </w:tcPr>
          <w:p w14:paraId="0DC74BFB"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AGR-OS-01</w:t>
            </w:r>
          </w:p>
        </w:tc>
        <w:tc>
          <w:tcPr>
            <w:tcW w:w="1900" w:type="dxa"/>
            <w:shd w:val="clear" w:color="auto" w:fill="E3E1D8" w:themeFill="accent6"/>
            <w:hideMark/>
          </w:tcPr>
          <w:p w14:paraId="31BAA0BF"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Agricultură, silvicultură și pescuit</w:t>
            </w:r>
          </w:p>
        </w:tc>
        <w:tc>
          <w:tcPr>
            <w:tcW w:w="1160" w:type="dxa"/>
            <w:shd w:val="clear" w:color="auto" w:fill="E3E1D8" w:themeFill="accent6"/>
            <w:hideMark/>
          </w:tcPr>
          <w:p w14:paraId="5FB57A94"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E3E1D8" w:themeFill="accent6"/>
            <w:hideMark/>
          </w:tcPr>
          <w:p w14:paraId="502C6CA3"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r>
      <w:tr w:rsidR="00701248" w:rsidRPr="00187708" w14:paraId="258E587B" w14:textId="77777777" w:rsidTr="007401C9">
        <w:trPr>
          <w:trHeight w:val="510"/>
        </w:trPr>
        <w:tc>
          <w:tcPr>
            <w:tcW w:w="664" w:type="dxa"/>
            <w:shd w:val="clear" w:color="auto" w:fill="E3E1D8" w:themeFill="accent6"/>
            <w:hideMark/>
          </w:tcPr>
          <w:p w14:paraId="525066CD"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53</w:t>
            </w:r>
          </w:p>
        </w:tc>
        <w:tc>
          <w:tcPr>
            <w:tcW w:w="1259" w:type="dxa"/>
            <w:shd w:val="clear" w:color="auto" w:fill="E3E1D8" w:themeFill="accent6"/>
            <w:hideMark/>
          </w:tcPr>
          <w:p w14:paraId="7184A721"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AGR-OS-02</w:t>
            </w:r>
          </w:p>
        </w:tc>
        <w:tc>
          <w:tcPr>
            <w:tcW w:w="1900" w:type="dxa"/>
            <w:shd w:val="clear" w:color="auto" w:fill="E3E1D8" w:themeFill="accent6"/>
            <w:hideMark/>
          </w:tcPr>
          <w:p w14:paraId="090C82F8"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Agricultură, silvicultură și pescuit</w:t>
            </w:r>
          </w:p>
        </w:tc>
        <w:tc>
          <w:tcPr>
            <w:tcW w:w="1160" w:type="dxa"/>
            <w:shd w:val="clear" w:color="auto" w:fill="E3E1D8" w:themeFill="accent6"/>
            <w:hideMark/>
          </w:tcPr>
          <w:p w14:paraId="40091FD0"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2</w:t>
            </w:r>
          </w:p>
        </w:tc>
        <w:tc>
          <w:tcPr>
            <w:tcW w:w="4798" w:type="dxa"/>
            <w:shd w:val="clear" w:color="auto" w:fill="E3E1D8" w:themeFill="accent6"/>
            <w:hideMark/>
          </w:tcPr>
          <w:p w14:paraId="39163F7C"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Încurajarea compostării deșeurilor provenite din agricultură, silvicultură și pescuit (în special deșeuri de țesuturi vegetale și dejecții animaliere)</w:t>
            </w:r>
          </w:p>
        </w:tc>
      </w:tr>
      <w:tr w:rsidR="00701248" w:rsidRPr="00187708" w14:paraId="37528502" w14:textId="77777777" w:rsidTr="007401C9">
        <w:trPr>
          <w:trHeight w:val="510"/>
        </w:trPr>
        <w:tc>
          <w:tcPr>
            <w:tcW w:w="664" w:type="dxa"/>
            <w:shd w:val="clear" w:color="auto" w:fill="E3E1D8" w:themeFill="accent6"/>
            <w:hideMark/>
          </w:tcPr>
          <w:p w14:paraId="60E537C1"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54</w:t>
            </w:r>
          </w:p>
        </w:tc>
        <w:tc>
          <w:tcPr>
            <w:tcW w:w="1259" w:type="dxa"/>
            <w:shd w:val="clear" w:color="auto" w:fill="E3E1D8" w:themeFill="accent6"/>
            <w:hideMark/>
          </w:tcPr>
          <w:p w14:paraId="5498D57B"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AGR-OS-03</w:t>
            </w:r>
          </w:p>
        </w:tc>
        <w:tc>
          <w:tcPr>
            <w:tcW w:w="1900" w:type="dxa"/>
            <w:shd w:val="clear" w:color="auto" w:fill="E3E1D8" w:themeFill="accent6"/>
            <w:hideMark/>
          </w:tcPr>
          <w:p w14:paraId="0642BEE2"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Agricultură, silvicultură și pescuit</w:t>
            </w:r>
          </w:p>
        </w:tc>
        <w:tc>
          <w:tcPr>
            <w:tcW w:w="1160" w:type="dxa"/>
            <w:shd w:val="clear" w:color="auto" w:fill="E3E1D8" w:themeFill="accent6"/>
            <w:hideMark/>
          </w:tcPr>
          <w:p w14:paraId="49A1867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3</w:t>
            </w:r>
          </w:p>
        </w:tc>
        <w:tc>
          <w:tcPr>
            <w:tcW w:w="4798" w:type="dxa"/>
            <w:shd w:val="clear" w:color="auto" w:fill="E3E1D8" w:themeFill="accent6"/>
            <w:hideMark/>
          </w:tcPr>
          <w:p w14:paraId="54B177EC"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Dezvoltarea cadrului legal privind utilizarea compostului/digestatului rezultat de la tratarea deșeurilor agricole</w:t>
            </w:r>
          </w:p>
        </w:tc>
      </w:tr>
      <w:tr w:rsidR="00701248" w:rsidRPr="00187708" w14:paraId="71DA08B0" w14:textId="77777777" w:rsidTr="007401C9">
        <w:trPr>
          <w:trHeight w:val="510"/>
        </w:trPr>
        <w:tc>
          <w:tcPr>
            <w:tcW w:w="664" w:type="dxa"/>
            <w:shd w:val="clear" w:color="auto" w:fill="E3E1D8" w:themeFill="accent6"/>
            <w:hideMark/>
          </w:tcPr>
          <w:p w14:paraId="73C56342"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55</w:t>
            </w:r>
          </w:p>
        </w:tc>
        <w:tc>
          <w:tcPr>
            <w:tcW w:w="1259" w:type="dxa"/>
            <w:shd w:val="clear" w:color="auto" w:fill="E3E1D8" w:themeFill="accent6"/>
            <w:hideMark/>
          </w:tcPr>
          <w:p w14:paraId="767DCA64"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AGR-OS-04</w:t>
            </w:r>
          </w:p>
        </w:tc>
        <w:tc>
          <w:tcPr>
            <w:tcW w:w="1900" w:type="dxa"/>
            <w:shd w:val="clear" w:color="auto" w:fill="E3E1D8" w:themeFill="accent6"/>
            <w:hideMark/>
          </w:tcPr>
          <w:p w14:paraId="52CA626D"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Agricultură, silvicultură și pescuit</w:t>
            </w:r>
          </w:p>
        </w:tc>
        <w:tc>
          <w:tcPr>
            <w:tcW w:w="1160" w:type="dxa"/>
            <w:shd w:val="clear" w:color="auto" w:fill="E3E1D8" w:themeFill="accent6"/>
            <w:hideMark/>
          </w:tcPr>
          <w:p w14:paraId="392ED26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4</w:t>
            </w:r>
          </w:p>
        </w:tc>
        <w:tc>
          <w:tcPr>
            <w:tcW w:w="4798" w:type="dxa"/>
            <w:shd w:val="clear" w:color="auto" w:fill="E3E1D8" w:themeFill="accent6"/>
            <w:hideMark/>
          </w:tcPr>
          <w:p w14:paraId="544B8FD7"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Consolidarea cadrului de reglementare și raportare</w:t>
            </w:r>
          </w:p>
        </w:tc>
      </w:tr>
      <w:tr w:rsidR="00701248" w:rsidRPr="00187708" w14:paraId="61EC8B78" w14:textId="77777777" w:rsidTr="007401C9">
        <w:trPr>
          <w:trHeight w:val="300"/>
        </w:trPr>
        <w:tc>
          <w:tcPr>
            <w:tcW w:w="664" w:type="dxa"/>
            <w:shd w:val="clear" w:color="auto" w:fill="C9ECFF" w:themeFill="text2" w:themeFillTint="33"/>
            <w:hideMark/>
          </w:tcPr>
          <w:p w14:paraId="548C431E"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56</w:t>
            </w:r>
          </w:p>
        </w:tc>
        <w:tc>
          <w:tcPr>
            <w:tcW w:w="1259" w:type="dxa"/>
            <w:shd w:val="clear" w:color="auto" w:fill="C9ECFF" w:themeFill="text2" w:themeFillTint="33"/>
            <w:hideMark/>
          </w:tcPr>
          <w:p w14:paraId="23F7C76B" w14:textId="77777777" w:rsidR="00701248" w:rsidRPr="00187708" w:rsidRDefault="00701248" w:rsidP="00701248">
            <w:pPr>
              <w:spacing w:line="240" w:lineRule="auto"/>
              <w:rPr>
                <w:rFonts w:ascii="Nunito" w:eastAsia="Times New Roman" w:hAnsi="Nunito" w:cs="Arial"/>
                <w:sz w:val="16"/>
                <w:szCs w:val="16"/>
                <w:lang w:val="ro-RO"/>
              </w:rPr>
            </w:pPr>
            <w:r w:rsidRPr="00187708">
              <w:rPr>
                <w:rFonts w:ascii="Nunito" w:eastAsia="Times New Roman" w:hAnsi="Nunito" w:cs="Arial"/>
                <w:sz w:val="16"/>
                <w:szCs w:val="16"/>
                <w:lang w:val="ro-RO"/>
              </w:rPr>
              <w:t>TRF-OS-01</w:t>
            </w:r>
          </w:p>
        </w:tc>
        <w:tc>
          <w:tcPr>
            <w:tcW w:w="1900" w:type="dxa"/>
            <w:shd w:val="clear" w:color="auto" w:fill="C9ECFF" w:themeFill="text2" w:themeFillTint="33"/>
            <w:hideMark/>
          </w:tcPr>
          <w:p w14:paraId="73AA0E76" w14:textId="77777777" w:rsidR="00701248" w:rsidRPr="00187708" w:rsidRDefault="00701248" w:rsidP="00701248">
            <w:pPr>
              <w:spacing w:line="240" w:lineRule="auto"/>
              <w:rPr>
                <w:rFonts w:ascii="Nunito" w:eastAsia="Times New Roman" w:hAnsi="Nunito" w:cs="Arial"/>
                <w:b/>
                <w:bCs/>
                <w:sz w:val="16"/>
                <w:szCs w:val="16"/>
                <w:lang w:val="ro-RO"/>
              </w:rPr>
            </w:pPr>
            <w:r w:rsidRPr="00187708">
              <w:rPr>
                <w:rFonts w:ascii="Nunito" w:eastAsia="Times New Roman" w:hAnsi="Nunito" w:cs="Arial"/>
                <w:b/>
                <w:bCs/>
                <w:sz w:val="16"/>
                <w:szCs w:val="16"/>
                <w:lang w:val="ro-RO"/>
              </w:rPr>
              <w:t>Transfer deșeuri</w:t>
            </w:r>
          </w:p>
        </w:tc>
        <w:tc>
          <w:tcPr>
            <w:tcW w:w="1160" w:type="dxa"/>
            <w:shd w:val="clear" w:color="auto" w:fill="C9ECFF" w:themeFill="text2" w:themeFillTint="33"/>
            <w:hideMark/>
          </w:tcPr>
          <w:p w14:paraId="5DF9C6B7" w14:textId="77777777" w:rsidR="00701248" w:rsidRPr="00187708" w:rsidRDefault="00701248" w:rsidP="00701248">
            <w:pPr>
              <w:spacing w:line="240" w:lineRule="auto"/>
              <w:jc w:val="center"/>
              <w:rPr>
                <w:rFonts w:ascii="Nunito" w:eastAsia="Times New Roman" w:hAnsi="Nunito" w:cs="Arial"/>
                <w:sz w:val="16"/>
                <w:szCs w:val="16"/>
                <w:lang w:val="ro-RO"/>
              </w:rPr>
            </w:pPr>
            <w:r w:rsidRPr="00187708">
              <w:rPr>
                <w:rFonts w:ascii="Nunito" w:eastAsia="Times New Roman" w:hAnsi="Nunito" w:cs="Arial"/>
                <w:sz w:val="16"/>
                <w:szCs w:val="16"/>
                <w:lang w:val="ro-RO"/>
              </w:rPr>
              <w:t>Obiectiv 1</w:t>
            </w:r>
          </w:p>
        </w:tc>
        <w:tc>
          <w:tcPr>
            <w:tcW w:w="4798" w:type="dxa"/>
            <w:shd w:val="clear" w:color="auto" w:fill="C9ECFF" w:themeFill="text2" w:themeFillTint="33"/>
            <w:hideMark/>
          </w:tcPr>
          <w:p w14:paraId="52495271" w14:textId="77777777" w:rsidR="00701248" w:rsidRPr="00187708" w:rsidRDefault="00701248" w:rsidP="004B0157">
            <w:pPr>
              <w:spacing w:line="240" w:lineRule="auto"/>
              <w:jc w:val="both"/>
              <w:rPr>
                <w:rFonts w:ascii="Nunito" w:eastAsia="Times New Roman" w:hAnsi="Nunito" w:cs="Arial"/>
                <w:sz w:val="16"/>
                <w:szCs w:val="16"/>
                <w:lang w:val="ro-RO"/>
              </w:rPr>
            </w:pPr>
            <w:r w:rsidRPr="00187708">
              <w:rPr>
                <w:rFonts w:ascii="Nunito" w:eastAsia="Times New Roman" w:hAnsi="Nunito" w:cs="Arial"/>
                <w:sz w:val="16"/>
                <w:szCs w:val="16"/>
                <w:lang w:val="ro-RO"/>
              </w:rPr>
              <w:t>Monitorizarea transferurilor ilegale de deșeuri</w:t>
            </w:r>
          </w:p>
        </w:tc>
      </w:tr>
    </w:tbl>
    <w:p w14:paraId="579FDF95" w14:textId="6907DECE" w:rsidR="00894D27" w:rsidRPr="00187708" w:rsidRDefault="0040480F" w:rsidP="0040480F">
      <w:pPr>
        <w:spacing w:before="240" w:after="60" w:line="200" w:lineRule="atLeast"/>
        <w:ind w:right="84"/>
        <w:jc w:val="both"/>
        <w:rPr>
          <w:rFonts w:ascii="Nunito" w:hAnsi="Nunito"/>
          <w:bCs/>
          <w:iCs/>
          <w:lang w:val="ro-RO"/>
        </w:rPr>
      </w:pPr>
      <w:r w:rsidRPr="00187708">
        <w:rPr>
          <w:rFonts w:ascii="Nunito" w:hAnsi="Nunito"/>
          <w:bCs/>
          <w:iCs/>
          <w:lang w:val="ro-RO"/>
        </w:rPr>
        <w:lastRenderedPageBreak/>
        <w:t xml:space="preserve">În vederea atingerii obiectivelor și țintelor în perioada de planificare este nevoie de o serie de măsuri și acțiuni pentru gestionarea deșeurilor, care trebuie implementate în perioada imediat următoare și care să contribuie la atingerea obiectivelor propuse. </w:t>
      </w:r>
    </w:p>
    <w:p w14:paraId="1086CFBD" w14:textId="7C0B3FE9" w:rsidR="00894D27" w:rsidRPr="00187708" w:rsidRDefault="00894D27" w:rsidP="00894D27">
      <w:pPr>
        <w:rPr>
          <w:rFonts w:ascii="Nunito" w:hAnsi="Nunito"/>
          <w:lang w:val="ro-RO"/>
        </w:rPr>
        <w:sectPr w:rsidR="00894D27" w:rsidRPr="00187708" w:rsidSect="00023275">
          <w:headerReference w:type="default" r:id="rId13"/>
          <w:footerReference w:type="even" r:id="rId14"/>
          <w:footerReference w:type="default" r:id="rId15"/>
          <w:footerReference w:type="first" r:id="rId16"/>
          <w:pgSz w:w="11906" w:h="16838" w:code="9"/>
          <w:pgMar w:top="1134" w:right="1133" w:bottom="1418" w:left="1191" w:header="839" w:footer="680" w:gutter="0"/>
          <w:cols w:space="708"/>
          <w:docGrid w:linePitch="360"/>
        </w:sectPr>
      </w:pPr>
    </w:p>
    <w:p w14:paraId="3A4FFB46" w14:textId="68E66B55" w:rsidR="008A6FDD" w:rsidRPr="00187708" w:rsidRDefault="005C4CA1" w:rsidP="005C4CA1">
      <w:pPr>
        <w:pStyle w:val="Caption"/>
        <w:rPr>
          <w:rFonts w:ascii="Nunito" w:hAnsi="Nunito"/>
          <w:color w:val="00B0F0"/>
          <w:lang w:val="ro-RO"/>
        </w:rPr>
      </w:pPr>
      <w:r w:rsidRPr="00187708">
        <w:rPr>
          <w:lang w:val="ro-RO"/>
        </w:rPr>
        <w:lastRenderedPageBreak/>
        <w:t xml:space="preserve">Tabel </w:t>
      </w:r>
      <w:r w:rsidR="001802CD" w:rsidRPr="00187708">
        <w:rPr>
          <w:lang w:val="ro-RO"/>
        </w:rPr>
        <w:fldChar w:fldCharType="begin"/>
      </w:r>
      <w:r w:rsidR="001802CD" w:rsidRPr="00187708">
        <w:rPr>
          <w:lang w:val="ro-RO"/>
        </w:rPr>
        <w:instrText xml:space="preserve"> STYLEREF 1 \s </w:instrText>
      </w:r>
      <w:r w:rsidR="001802CD" w:rsidRPr="00187708">
        <w:rPr>
          <w:lang w:val="ro-RO"/>
        </w:rPr>
        <w:fldChar w:fldCharType="separate"/>
      </w:r>
      <w:r w:rsidR="00AA044A" w:rsidRPr="00187708">
        <w:rPr>
          <w:noProof/>
          <w:lang w:val="ro-RO"/>
        </w:rPr>
        <w:t>2</w:t>
      </w:r>
      <w:r w:rsidR="001802CD" w:rsidRPr="00187708">
        <w:rPr>
          <w:lang w:val="ro-RO"/>
        </w:rPr>
        <w:fldChar w:fldCharType="end"/>
      </w:r>
      <w:r w:rsidR="001802CD" w:rsidRPr="00187708">
        <w:rPr>
          <w:lang w:val="ro-RO"/>
        </w:rPr>
        <w:noBreakHyphen/>
      </w:r>
      <w:r w:rsidR="001802CD" w:rsidRPr="00187708">
        <w:rPr>
          <w:lang w:val="ro-RO"/>
        </w:rPr>
        <w:fldChar w:fldCharType="begin"/>
      </w:r>
      <w:r w:rsidR="001802CD" w:rsidRPr="00187708">
        <w:rPr>
          <w:lang w:val="ro-RO"/>
        </w:rPr>
        <w:instrText xml:space="preserve"> SEQ Tabel \* ARABIC \s 1 </w:instrText>
      </w:r>
      <w:r w:rsidR="001802CD" w:rsidRPr="00187708">
        <w:rPr>
          <w:lang w:val="ro-RO"/>
        </w:rPr>
        <w:fldChar w:fldCharType="separate"/>
      </w:r>
      <w:r w:rsidR="00AA044A" w:rsidRPr="00187708">
        <w:rPr>
          <w:noProof/>
          <w:lang w:val="ro-RO"/>
        </w:rPr>
        <w:t>2</w:t>
      </w:r>
      <w:r w:rsidR="001802CD" w:rsidRPr="00187708">
        <w:rPr>
          <w:lang w:val="ro-RO"/>
        </w:rPr>
        <w:fldChar w:fldCharType="end"/>
      </w:r>
      <w:r w:rsidRPr="00187708">
        <w:rPr>
          <w:lang w:val="ro-RO"/>
        </w:rPr>
        <w:t>:</w:t>
      </w:r>
      <w:r w:rsidR="00520411" w:rsidRPr="00187708">
        <w:rPr>
          <w:lang w:val="ro-RO"/>
        </w:rPr>
        <w:t xml:space="preserve"> </w:t>
      </w:r>
      <w:r w:rsidR="00BD212A" w:rsidRPr="00187708">
        <w:rPr>
          <w:lang w:val="ro-RO"/>
        </w:rPr>
        <w:t xml:space="preserve">Modul de îndeplinire al </w:t>
      </w:r>
      <w:r w:rsidR="00520411" w:rsidRPr="00187708">
        <w:rPr>
          <w:lang w:val="ro-RO"/>
        </w:rPr>
        <w:t>Planul</w:t>
      </w:r>
      <w:r w:rsidR="00BD212A" w:rsidRPr="00187708">
        <w:rPr>
          <w:lang w:val="ro-RO"/>
        </w:rPr>
        <w:t>ui</w:t>
      </w:r>
      <w:r w:rsidR="00520411" w:rsidRPr="00187708">
        <w:rPr>
          <w:lang w:val="ro-RO"/>
        </w:rPr>
        <w:t xml:space="preserve"> de acțiune pentru gestionarea deșeurilor municipale</w:t>
      </w:r>
    </w:p>
    <w:tbl>
      <w:tblPr>
        <w:tblStyle w:val="ListTable1Light-Accent1"/>
        <w:tblW w:w="20979" w:type="dxa"/>
        <w:tblBorders>
          <w:bottom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620"/>
        <w:gridCol w:w="730"/>
        <w:gridCol w:w="1145"/>
        <w:gridCol w:w="6853"/>
        <w:gridCol w:w="4394"/>
        <w:gridCol w:w="3309"/>
        <w:gridCol w:w="2928"/>
      </w:tblGrid>
      <w:tr w:rsidR="00802971" w:rsidRPr="00187708" w14:paraId="7E627B5A" w14:textId="77777777" w:rsidTr="007A13C1">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620" w:type="dxa"/>
            <w:tcBorders>
              <w:bottom w:val="none" w:sz="0" w:space="0" w:color="auto"/>
            </w:tcBorders>
            <w:shd w:val="clear" w:color="auto" w:fill="00B0F0"/>
            <w:hideMark/>
          </w:tcPr>
          <w:p w14:paraId="3DB200E6" w14:textId="77777777" w:rsidR="00802971" w:rsidRPr="00187708" w:rsidRDefault="00802971" w:rsidP="00E51D7B">
            <w:pPr>
              <w:jc w:val="center"/>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Cod</w:t>
            </w:r>
          </w:p>
        </w:tc>
        <w:tc>
          <w:tcPr>
            <w:tcW w:w="730" w:type="dxa"/>
            <w:tcBorders>
              <w:bottom w:val="none" w:sz="0" w:space="0" w:color="auto"/>
            </w:tcBorders>
            <w:shd w:val="clear" w:color="auto" w:fill="00B0F0"/>
            <w:hideMark/>
          </w:tcPr>
          <w:p w14:paraId="70D949C0" w14:textId="77777777" w:rsidR="00802971" w:rsidRPr="00187708" w:rsidRDefault="00802971" w:rsidP="00E51D7B">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Nivel</w:t>
            </w:r>
          </w:p>
        </w:tc>
        <w:tc>
          <w:tcPr>
            <w:tcW w:w="1145" w:type="dxa"/>
            <w:tcBorders>
              <w:bottom w:val="none" w:sz="0" w:space="0" w:color="auto"/>
            </w:tcBorders>
            <w:shd w:val="clear" w:color="auto" w:fill="00B0F0"/>
            <w:hideMark/>
          </w:tcPr>
          <w:p w14:paraId="5AEF2E8E" w14:textId="27AE8540" w:rsidR="00802971" w:rsidRPr="00187708" w:rsidRDefault="00802971" w:rsidP="00E51D7B">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Nr.</w:t>
            </w:r>
            <w:r w:rsidR="00520411" w:rsidRPr="00187708">
              <w:rPr>
                <w:rFonts w:ascii="Nunito" w:eastAsia="Times New Roman" w:hAnsi="Nunito" w:cs="Arial"/>
                <w:color w:val="FFFFFF"/>
                <w:sz w:val="16"/>
                <w:szCs w:val="16"/>
                <w:lang w:val="ro-RO"/>
              </w:rPr>
              <w:t xml:space="preserve"> CRT </w:t>
            </w:r>
            <w:r w:rsidRPr="00187708">
              <w:rPr>
                <w:rFonts w:ascii="Nunito" w:eastAsia="Times New Roman" w:hAnsi="Nunito" w:cs="Arial"/>
                <w:color w:val="FFFFFF"/>
                <w:sz w:val="16"/>
                <w:szCs w:val="16"/>
                <w:lang w:val="ro-RO"/>
              </w:rPr>
              <w:t>PNGD</w:t>
            </w:r>
          </w:p>
        </w:tc>
        <w:tc>
          <w:tcPr>
            <w:tcW w:w="6853" w:type="dxa"/>
            <w:tcBorders>
              <w:bottom w:val="none" w:sz="0" w:space="0" w:color="auto"/>
            </w:tcBorders>
            <w:shd w:val="clear" w:color="auto" w:fill="00B0F0"/>
            <w:hideMark/>
          </w:tcPr>
          <w:p w14:paraId="24D9D554" w14:textId="77777777" w:rsidR="00802971" w:rsidRPr="00187708" w:rsidRDefault="00802971" w:rsidP="00E51D7B">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Denumire obiectiv / măsură / acțiune</w:t>
            </w:r>
          </w:p>
        </w:tc>
        <w:tc>
          <w:tcPr>
            <w:tcW w:w="4394" w:type="dxa"/>
            <w:tcBorders>
              <w:bottom w:val="none" w:sz="0" w:space="0" w:color="auto"/>
            </w:tcBorders>
            <w:shd w:val="clear" w:color="auto" w:fill="00B0F0"/>
            <w:hideMark/>
          </w:tcPr>
          <w:p w14:paraId="53D9C5E4" w14:textId="77777777" w:rsidR="00802971" w:rsidRPr="00187708" w:rsidRDefault="00802971" w:rsidP="00E51D7B">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Țintă / Termen</w:t>
            </w:r>
          </w:p>
        </w:tc>
        <w:tc>
          <w:tcPr>
            <w:tcW w:w="3309" w:type="dxa"/>
            <w:tcBorders>
              <w:bottom w:val="none" w:sz="0" w:space="0" w:color="auto"/>
            </w:tcBorders>
            <w:shd w:val="clear" w:color="auto" w:fill="00B0F0"/>
            <w:hideMark/>
          </w:tcPr>
          <w:p w14:paraId="64899584" w14:textId="77777777" w:rsidR="00802971" w:rsidRPr="00187708" w:rsidRDefault="00802971" w:rsidP="00E51D7B">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Instituții responsabile</w:t>
            </w:r>
          </w:p>
        </w:tc>
        <w:tc>
          <w:tcPr>
            <w:tcW w:w="2928" w:type="dxa"/>
            <w:tcBorders>
              <w:bottom w:val="none" w:sz="0" w:space="0" w:color="auto"/>
            </w:tcBorders>
            <w:shd w:val="clear" w:color="auto" w:fill="00B0F0"/>
            <w:hideMark/>
          </w:tcPr>
          <w:p w14:paraId="0D39D30E" w14:textId="77777777" w:rsidR="00802971" w:rsidRPr="00187708" w:rsidRDefault="00802971" w:rsidP="00E51D7B">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Sursa de finanțare</w:t>
            </w:r>
          </w:p>
        </w:tc>
      </w:tr>
      <w:tr w:rsidR="00802971" w:rsidRPr="00187708" w14:paraId="746DCD44"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3231F89" w14:textId="77777777" w:rsidR="00802971" w:rsidRPr="00187708" w:rsidRDefault="00802971"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MUN-OS-01</w:t>
            </w:r>
          </w:p>
        </w:tc>
        <w:tc>
          <w:tcPr>
            <w:tcW w:w="730" w:type="dxa"/>
            <w:shd w:val="clear" w:color="auto" w:fill="auto"/>
            <w:hideMark/>
          </w:tcPr>
          <w:p w14:paraId="157D9DB8"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45" w:type="dxa"/>
            <w:shd w:val="clear" w:color="auto" w:fill="auto"/>
            <w:hideMark/>
          </w:tcPr>
          <w:p w14:paraId="0F18523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1</w:t>
            </w:r>
          </w:p>
        </w:tc>
        <w:tc>
          <w:tcPr>
            <w:tcW w:w="6853" w:type="dxa"/>
            <w:shd w:val="clear" w:color="auto" w:fill="auto"/>
            <w:hideMark/>
          </w:tcPr>
          <w:p w14:paraId="3317E96B"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Menținerea gradului de acoperire cu serviciu de salubrizare</w:t>
            </w:r>
          </w:p>
        </w:tc>
        <w:tc>
          <w:tcPr>
            <w:tcW w:w="4394" w:type="dxa"/>
            <w:shd w:val="clear" w:color="auto" w:fill="auto"/>
            <w:hideMark/>
          </w:tcPr>
          <w:p w14:paraId="37627FFE" w14:textId="35412DB6"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3309" w:type="dxa"/>
            <w:shd w:val="clear" w:color="auto" w:fill="auto"/>
            <w:hideMark/>
          </w:tcPr>
          <w:p w14:paraId="58D5101C" w14:textId="2083609B"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2928" w:type="dxa"/>
            <w:shd w:val="clear" w:color="auto" w:fill="auto"/>
            <w:hideMark/>
          </w:tcPr>
          <w:p w14:paraId="00D7DE0A" w14:textId="6B1DEAB4"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r>
      <w:tr w:rsidR="00802971" w:rsidRPr="00187708" w14:paraId="12BE86B3"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3368AD48"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MUN-M1</w:t>
            </w:r>
          </w:p>
        </w:tc>
        <w:tc>
          <w:tcPr>
            <w:tcW w:w="730" w:type="dxa"/>
            <w:hideMark/>
          </w:tcPr>
          <w:p w14:paraId="51CC60A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28A5853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1.1</w:t>
            </w:r>
          </w:p>
        </w:tc>
        <w:tc>
          <w:tcPr>
            <w:tcW w:w="6853" w:type="dxa"/>
            <w:hideMark/>
          </w:tcPr>
          <w:p w14:paraId="70F3996A"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Asigurarea continuității și extinderii serviciilor de salubrizare la nivelul tuturor UAT-urilor</w:t>
            </w:r>
          </w:p>
        </w:tc>
        <w:tc>
          <w:tcPr>
            <w:tcW w:w="4394" w:type="dxa"/>
            <w:hideMark/>
          </w:tcPr>
          <w:p w14:paraId="4C5177EF" w14:textId="75C1F7C5"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6C72F28C" w14:textId="2D4B2E7D"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10CFE630" w14:textId="384336DF"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51ED7437"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32422A8A"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w:t>
            </w:r>
          </w:p>
        </w:tc>
        <w:tc>
          <w:tcPr>
            <w:tcW w:w="730" w:type="dxa"/>
            <w:shd w:val="clear" w:color="auto" w:fill="auto"/>
            <w:hideMark/>
          </w:tcPr>
          <w:p w14:paraId="2F66BBBD"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33CFFB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1.1.1</w:t>
            </w:r>
          </w:p>
        </w:tc>
        <w:tc>
          <w:tcPr>
            <w:tcW w:w="6853" w:type="dxa"/>
            <w:shd w:val="clear" w:color="auto" w:fill="auto"/>
            <w:hideMark/>
          </w:tcPr>
          <w:p w14:paraId="262A5F2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Monitorizarea anuală a gradului de asigurare a serviciului de salubrizare la nivel național</w:t>
            </w:r>
          </w:p>
        </w:tc>
        <w:tc>
          <w:tcPr>
            <w:tcW w:w="4394" w:type="dxa"/>
            <w:shd w:val="clear" w:color="auto" w:fill="auto"/>
            <w:hideMark/>
          </w:tcPr>
          <w:p w14:paraId="42912EF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100% populație pentru care se asigură serviciu de salubrizare, începând cu anul 2026</w:t>
            </w:r>
          </w:p>
        </w:tc>
        <w:tc>
          <w:tcPr>
            <w:tcW w:w="3309" w:type="dxa"/>
            <w:shd w:val="clear" w:color="auto" w:fill="auto"/>
            <w:hideMark/>
          </w:tcPr>
          <w:p w14:paraId="56C289D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w:t>
            </w:r>
          </w:p>
        </w:tc>
        <w:tc>
          <w:tcPr>
            <w:tcW w:w="2928" w:type="dxa"/>
            <w:shd w:val="clear" w:color="auto" w:fill="auto"/>
            <w:hideMark/>
          </w:tcPr>
          <w:p w14:paraId="0030244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w:t>
            </w:r>
          </w:p>
        </w:tc>
      </w:tr>
      <w:tr w:rsidR="00802971" w:rsidRPr="00187708" w14:paraId="66EFA599"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1D903E72" w14:textId="77777777" w:rsidR="00802971" w:rsidRPr="00187708" w:rsidRDefault="00802971"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MUN-OS-02</w:t>
            </w:r>
          </w:p>
        </w:tc>
        <w:tc>
          <w:tcPr>
            <w:tcW w:w="730" w:type="dxa"/>
            <w:hideMark/>
          </w:tcPr>
          <w:p w14:paraId="41B862D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45" w:type="dxa"/>
            <w:hideMark/>
          </w:tcPr>
          <w:p w14:paraId="59B3F01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2</w:t>
            </w:r>
          </w:p>
        </w:tc>
        <w:tc>
          <w:tcPr>
            <w:tcW w:w="6853" w:type="dxa"/>
            <w:hideMark/>
          </w:tcPr>
          <w:p w14:paraId="670ED8C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Creșterea gradului de pregătire pentru reutilizare și reciclare prin aplicarea ierarhiei de gestionare a deșeurilor</w:t>
            </w:r>
          </w:p>
        </w:tc>
        <w:tc>
          <w:tcPr>
            <w:tcW w:w="4394" w:type="dxa"/>
            <w:hideMark/>
          </w:tcPr>
          <w:p w14:paraId="3FA03BFD" w14:textId="059CCB1A"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c>
          <w:tcPr>
            <w:tcW w:w="3309" w:type="dxa"/>
            <w:hideMark/>
          </w:tcPr>
          <w:p w14:paraId="012A3AFF" w14:textId="6B285FDC"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c>
          <w:tcPr>
            <w:tcW w:w="2928" w:type="dxa"/>
            <w:hideMark/>
          </w:tcPr>
          <w:p w14:paraId="4C25F332" w14:textId="06F27CB4"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r>
      <w:tr w:rsidR="00802971" w:rsidRPr="00187708" w14:paraId="7B8CF37E"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12B0BB1F"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MUN-M2</w:t>
            </w:r>
          </w:p>
        </w:tc>
        <w:tc>
          <w:tcPr>
            <w:tcW w:w="730" w:type="dxa"/>
            <w:shd w:val="clear" w:color="auto" w:fill="auto"/>
            <w:hideMark/>
          </w:tcPr>
          <w:p w14:paraId="2107544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shd w:val="clear" w:color="auto" w:fill="auto"/>
            <w:hideMark/>
          </w:tcPr>
          <w:p w14:paraId="3137F9B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2.1</w:t>
            </w:r>
          </w:p>
        </w:tc>
        <w:tc>
          <w:tcPr>
            <w:tcW w:w="6853" w:type="dxa"/>
            <w:shd w:val="clear" w:color="auto" w:fill="auto"/>
            <w:hideMark/>
          </w:tcPr>
          <w:p w14:paraId="4B747D02"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Creșterea gradului de pregătire pentru reutilizare a deșeurilor municipale</w:t>
            </w:r>
          </w:p>
        </w:tc>
        <w:tc>
          <w:tcPr>
            <w:tcW w:w="4394" w:type="dxa"/>
            <w:shd w:val="clear" w:color="auto" w:fill="auto"/>
            <w:hideMark/>
          </w:tcPr>
          <w:p w14:paraId="4EEC9C27" w14:textId="1FA6A995"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shd w:val="clear" w:color="auto" w:fill="auto"/>
            <w:hideMark/>
          </w:tcPr>
          <w:p w14:paraId="662F699E" w14:textId="57C488B4"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shd w:val="clear" w:color="auto" w:fill="auto"/>
            <w:hideMark/>
          </w:tcPr>
          <w:p w14:paraId="43F3D05A" w14:textId="29BD377C"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35F4B3F8"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69663111"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w:t>
            </w:r>
          </w:p>
        </w:tc>
        <w:tc>
          <w:tcPr>
            <w:tcW w:w="730" w:type="dxa"/>
            <w:hideMark/>
          </w:tcPr>
          <w:p w14:paraId="1075429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7D88D73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2.1.1</w:t>
            </w:r>
          </w:p>
        </w:tc>
        <w:tc>
          <w:tcPr>
            <w:tcW w:w="6853" w:type="dxa"/>
            <w:hideMark/>
          </w:tcPr>
          <w:p w14:paraId="05B59847"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pregătire pentru reutilizare a deșeurilor municipale prin crearea de centre specializate</w:t>
            </w:r>
          </w:p>
        </w:tc>
        <w:tc>
          <w:tcPr>
            <w:tcW w:w="4394" w:type="dxa"/>
            <w:hideMark/>
          </w:tcPr>
          <w:p w14:paraId="229F84E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Cel puțin unul în fiecare județ/sector al Municipiului București până în anul 2035</w:t>
            </w:r>
          </w:p>
        </w:tc>
        <w:tc>
          <w:tcPr>
            <w:tcW w:w="3309" w:type="dxa"/>
            <w:hideMark/>
          </w:tcPr>
          <w:p w14:paraId="5CBB6D9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UAT/ADI; CJ</w:t>
            </w:r>
          </w:p>
        </w:tc>
        <w:tc>
          <w:tcPr>
            <w:tcW w:w="2928" w:type="dxa"/>
            <w:hideMark/>
          </w:tcPr>
          <w:p w14:paraId="1D67E62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Buget local; Fonduri europene; Alte fonduri</w:t>
            </w:r>
          </w:p>
        </w:tc>
      </w:tr>
      <w:tr w:rsidR="00802971" w:rsidRPr="00187708" w14:paraId="7262D8E8"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07A8F01D"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MUN-M3</w:t>
            </w:r>
          </w:p>
        </w:tc>
        <w:tc>
          <w:tcPr>
            <w:tcW w:w="730" w:type="dxa"/>
            <w:shd w:val="clear" w:color="auto" w:fill="auto"/>
            <w:hideMark/>
          </w:tcPr>
          <w:p w14:paraId="771032C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shd w:val="clear" w:color="auto" w:fill="auto"/>
            <w:hideMark/>
          </w:tcPr>
          <w:p w14:paraId="437980A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2.2</w:t>
            </w:r>
          </w:p>
        </w:tc>
        <w:tc>
          <w:tcPr>
            <w:tcW w:w="6853" w:type="dxa"/>
            <w:shd w:val="clear" w:color="auto" w:fill="auto"/>
            <w:hideMark/>
          </w:tcPr>
          <w:p w14:paraId="274A01C1"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Creșterea gradului de colectare separată a deșeurilor municipale</w:t>
            </w:r>
          </w:p>
        </w:tc>
        <w:tc>
          <w:tcPr>
            <w:tcW w:w="4394" w:type="dxa"/>
            <w:shd w:val="clear" w:color="auto" w:fill="auto"/>
            <w:hideMark/>
          </w:tcPr>
          <w:p w14:paraId="5D321696" w14:textId="5B065E92"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shd w:val="clear" w:color="auto" w:fill="auto"/>
            <w:hideMark/>
          </w:tcPr>
          <w:p w14:paraId="659971A6" w14:textId="1E66EEAB"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shd w:val="clear" w:color="auto" w:fill="auto"/>
            <w:hideMark/>
          </w:tcPr>
          <w:p w14:paraId="4AA9E27E" w14:textId="6DDED19D"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25618E31"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55283404"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w:t>
            </w:r>
          </w:p>
        </w:tc>
        <w:tc>
          <w:tcPr>
            <w:tcW w:w="730" w:type="dxa"/>
            <w:hideMark/>
          </w:tcPr>
          <w:p w14:paraId="0260617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688985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2.2.1</w:t>
            </w:r>
          </w:p>
        </w:tc>
        <w:tc>
          <w:tcPr>
            <w:tcW w:w="6853" w:type="dxa"/>
            <w:hideMark/>
          </w:tcPr>
          <w:p w14:paraId="0148B6E6"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Optimizarea sistemului de colectare a deșeurilor hârtie/carton, plastic și metal din punct de colectare în sistem din poartă în poartă în zonele de case din mediul urban și rural (detalii Cap. 3.7, Tabel 3-42)</w:t>
            </w:r>
          </w:p>
        </w:tc>
        <w:tc>
          <w:tcPr>
            <w:tcW w:w="4394" w:type="dxa"/>
            <w:hideMark/>
          </w:tcPr>
          <w:p w14:paraId="5D9D3AA5"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accesului la sisteme de colectare separată din poartă, pentru cel puțin 95% din UAT/subdiviziuni până în anul 2027</w:t>
            </w:r>
          </w:p>
        </w:tc>
        <w:tc>
          <w:tcPr>
            <w:tcW w:w="3309" w:type="dxa"/>
            <w:hideMark/>
          </w:tcPr>
          <w:p w14:paraId="73DFA26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65666C9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4F8B7CED"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A98A865"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w:t>
            </w:r>
          </w:p>
        </w:tc>
        <w:tc>
          <w:tcPr>
            <w:tcW w:w="730" w:type="dxa"/>
            <w:shd w:val="clear" w:color="auto" w:fill="auto"/>
            <w:hideMark/>
          </w:tcPr>
          <w:p w14:paraId="3D81062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9D6E43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2.2.2</w:t>
            </w:r>
          </w:p>
        </w:tc>
        <w:tc>
          <w:tcPr>
            <w:tcW w:w="6853" w:type="dxa"/>
            <w:shd w:val="clear" w:color="auto" w:fill="auto"/>
            <w:hideMark/>
          </w:tcPr>
          <w:p w14:paraId="63FE9D3F"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Optimizarea sistemului de colectare a deșeurilor de hârtie/carton, plastic și metal în amestec prin colectarea separată a hârtiei/cartonului de plastic/metal (Cap. 3.7, Tabel 3-42)</w:t>
            </w:r>
          </w:p>
        </w:tc>
        <w:tc>
          <w:tcPr>
            <w:tcW w:w="4394" w:type="dxa"/>
            <w:shd w:val="clear" w:color="auto" w:fill="auto"/>
            <w:hideMark/>
          </w:tcPr>
          <w:p w14:paraId="39E376B8"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Acces la recipiente separate hârtie/carton și plastic/metal, astfel încât până în 2027 să fie deservite cel puțin 95% dintre UAT și subdiviziuni</w:t>
            </w:r>
          </w:p>
        </w:tc>
        <w:tc>
          <w:tcPr>
            <w:tcW w:w="3309" w:type="dxa"/>
            <w:shd w:val="clear" w:color="auto" w:fill="auto"/>
            <w:hideMark/>
          </w:tcPr>
          <w:p w14:paraId="664E3BD8"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shd w:val="clear" w:color="auto" w:fill="auto"/>
            <w:hideMark/>
          </w:tcPr>
          <w:p w14:paraId="625AC6D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42D53266"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354460DF"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w:t>
            </w:r>
          </w:p>
        </w:tc>
        <w:tc>
          <w:tcPr>
            <w:tcW w:w="730" w:type="dxa"/>
            <w:hideMark/>
          </w:tcPr>
          <w:p w14:paraId="1B451D8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589DD8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2.2.3</w:t>
            </w:r>
          </w:p>
        </w:tc>
        <w:tc>
          <w:tcPr>
            <w:tcW w:w="6853" w:type="dxa"/>
            <w:hideMark/>
          </w:tcPr>
          <w:p w14:paraId="5504E4C0"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Optimizarea sistemului de colectare a deșeurilor de sticlă din poartă în poartă la puncte de colectare (Cap. 3.7, Tabel 3-42)</w:t>
            </w:r>
          </w:p>
        </w:tc>
        <w:tc>
          <w:tcPr>
            <w:tcW w:w="4394" w:type="dxa"/>
            <w:hideMark/>
          </w:tcPr>
          <w:p w14:paraId="37C88FF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Acces la colectare sticlă în puncte de colectare, astfel încât până în 2027 să fie deservite 100% din UAT și subdiviziuni</w:t>
            </w:r>
          </w:p>
        </w:tc>
        <w:tc>
          <w:tcPr>
            <w:tcW w:w="3309" w:type="dxa"/>
            <w:hideMark/>
          </w:tcPr>
          <w:p w14:paraId="2448A88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12758DF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6DD2706B"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07FB46D4"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w:t>
            </w:r>
          </w:p>
        </w:tc>
        <w:tc>
          <w:tcPr>
            <w:tcW w:w="730" w:type="dxa"/>
            <w:shd w:val="clear" w:color="auto" w:fill="auto"/>
            <w:hideMark/>
          </w:tcPr>
          <w:p w14:paraId="4DD8E95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57C7C8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2.2.4</w:t>
            </w:r>
          </w:p>
        </w:tc>
        <w:tc>
          <w:tcPr>
            <w:tcW w:w="6853" w:type="dxa"/>
            <w:shd w:val="clear" w:color="auto" w:fill="auto"/>
            <w:hideMark/>
          </w:tcPr>
          <w:p w14:paraId="63C243A6"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Extinderea și operaționalizarea sistemelor de colectare separată a biodeșeurilor menajere și similare (unde este fezabil tehnic, economic și al protecției mediului)</w:t>
            </w:r>
          </w:p>
        </w:tc>
        <w:tc>
          <w:tcPr>
            <w:tcW w:w="4394" w:type="dxa"/>
            <w:shd w:val="clear" w:color="auto" w:fill="auto"/>
            <w:hideMark/>
          </w:tcPr>
          <w:p w14:paraId="2EAA13C5"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Acces la colectarea separată a biodeșeurilor în toate UAT-urile până în anul 2030</w:t>
            </w:r>
          </w:p>
        </w:tc>
        <w:tc>
          <w:tcPr>
            <w:tcW w:w="3309" w:type="dxa"/>
            <w:shd w:val="clear" w:color="auto" w:fill="auto"/>
            <w:hideMark/>
          </w:tcPr>
          <w:p w14:paraId="4DC5259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shd w:val="clear" w:color="auto" w:fill="auto"/>
            <w:hideMark/>
          </w:tcPr>
          <w:p w14:paraId="1F3FCE1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0E711B1D"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3D2FA2D2"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w:t>
            </w:r>
          </w:p>
        </w:tc>
        <w:tc>
          <w:tcPr>
            <w:tcW w:w="730" w:type="dxa"/>
            <w:hideMark/>
          </w:tcPr>
          <w:p w14:paraId="6786262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2071CA0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2.2.5</w:t>
            </w:r>
          </w:p>
        </w:tc>
        <w:tc>
          <w:tcPr>
            <w:tcW w:w="6853" w:type="dxa"/>
            <w:hideMark/>
          </w:tcPr>
          <w:p w14:paraId="485F788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Extinderea și operaționalizarea sistemelor de colectare separată a deșeurilor textile</w:t>
            </w:r>
          </w:p>
        </w:tc>
        <w:tc>
          <w:tcPr>
            <w:tcW w:w="4394" w:type="dxa"/>
            <w:hideMark/>
          </w:tcPr>
          <w:p w14:paraId="119FD007"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Acces la colectarea separată a deșeurilor textile în minimum 90% dintre UAT și subdiviziuni până în anul 2035</w:t>
            </w:r>
          </w:p>
        </w:tc>
        <w:tc>
          <w:tcPr>
            <w:tcW w:w="3309" w:type="dxa"/>
            <w:hideMark/>
          </w:tcPr>
          <w:p w14:paraId="3AFC4F1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7C74230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22A18450"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429F15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MUN-A8</w:t>
            </w:r>
          </w:p>
        </w:tc>
        <w:tc>
          <w:tcPr>
            <w:tcW w:w="730" w:type="dxa"/>
            <w:shd w:val="clear" w:color="auto" w:fill="auto"/>
            <w:hideMark/>
          </w:tcPr>
          <w:p w14:paraId="781C6D38"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7596FCA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2.2.6</w:t>
            </w:r>
          </w:p>
        </w:tc>
        <w:tc>
          <w:tcPr>
            <w:tcW w:w="6853" w:type="dxa"/>
            <w:shd w:val="clear" w:color="auto" w:fill="auto"/>
            <w:hideMark/>
          </w:tcPr>
          <w:p w14:paraId="3C673729"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Extinderea și operaționalizarea sistemelor de colectare separată a deșeurilor voluminoase</w:t>
            </w:r>
          </w:p>
        </w:tc>
        <w:tc>
          <w:tcPr>
            <w:tcW w:w="4394" w:type="dxa"/>
            <w:shd w:val="clear" w:color="auto" w:fill="auto"/>
            <w:hideMark/>
          </w:tcPr>
          <w:p w14:paraId="5EBBE50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Acces la colectarea separată a deșeurilor voluminoase în minimum 90% dintre UAT și subdiviziuni până în anul 2030</w:t>
            </w:r>
          </w:p>
        </w:tc>
        <w:tc>
          <w:tcPr>
            <w:tcW w:w="3309" w:type="dxa"/>
            <w:shd w:val="clear" w:color="auto" w:fill="auto"/>
            <w:hideMark/>
          </w:tcPr>
          <w:p w14:paraId="694F16A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shd w:val="clear" w:color="auto" w:fill="auto"/>
            <w:hideMark/>
          </w:tcPr>
          <w:p w14:paraId="1A2543A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527033B2"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295DA35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MUN-A9</w:t>
            </w:r>
          </w:p>
        </w:tc>
        <w:tc>
          <w:tcPr>
            <w:tcW w:w="730" w:type="dxa"/>
            <w:hideMark/>
          </w:tcPr>
          <w:p w14:paraId="085015E1"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036400F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2.2.7</w:t>
            </w:r>
          </w:p>
        </w:tc>
        <w:tc>
          <w:tcPr>
            <w:tcW w:w="6853" w:type="dxa"/>
            <w:hideMark/>
          </w:tcPr>
          <w:p w14:paraId="2E863F0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Îndeplinirea indicatorului de performanță de colectare a deșeurilor de hârtie/carton, plastic, metal și sticlă</w:t>
            </w:r>
          </w:p>
        </w:tc>
        <w:tc>
          <w:tcPr>
            <w:tcW w:w="4394" w:type="dxa"/>
            <w:hideMark/>
          </w:tcPr>
          <w:p w14:paraId="6F2DB375"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Minimum 80% începând cu 2027; 85% din 2030; 90% din 2035</w:t>
            </w:r>
          </w:p>
        </w:tc>
        <w:tc>
          <w:tcPr>
            <w:tcW w:w="3309" w:type="dxa"/>
            <w:hideMark/>
          </w:tcPr>
          <w:p w14:paraId="474A724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Operatorii de salubrizare</w:t>
            </w:r>
          </w:p>
        </w:tc>
        <w:tc>
          <w:tcPr>
            <w:tcW w:w="2928" w:type="dxa"/>
            <w:hideMark/>
          </w:tcPr>
          <w:p w14:paraId="0E0E376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r w:rsidR="00802971" w:rsidRPr="00187708" w14:paraId="379DD7FB" w14:textId="77777777" w:rsidTr="007A13C1">
        <w:trPr>
          <w:cnfStyle w:val="000000100000" w:firstRow="0" w:lastRow="0" w:firstColumn="0" w:lastColumn="0" w:oddVBand="0" w:evenVBand="0" w:oddHBand="1"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357C263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MUN-A10</w:t>
            </w:r>
          </w:p>
        </w:tc>
        <w:tc>
          <w:tcPr>
            <w:tcW w:w="730" w:type="dxa"/>
            <w:shd w:val="clear" w:color="auto" w:fill="auto"/>
            <w:hideMark/>
          </w:tcPr>
          <w:p w14:paraId="76D374D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2936E41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2.2.8</w:t>
            </w:r>
          </w:p>
        </w:tc>
        <w:tc>
          <w:tcPr>
            <w:tcW w:w="6853" w:type="dxa"/>
            <w:shd w:val="clear" w:color="auto" w:fill="auto"/>
            <w:hideMark/>
          </w:tcPr>
          <w:p w14:paraId="39D8AA1C"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Îndeplinirea indicatorului de performanță de colectare a biodeșeurilor menajere și similare (mai puțin deșeurile din grădini și parcuri publice)</w:t>
            </w:r>
          </w:p>
        </w:tc>
        <w:tc>
          <w:tcPr>
            <w:tcW w:w="4394" w:type="dxa"/>
            <w:shd w:val="clear" w:color="auto" w:fill="auto"/>
            <w:hideMark/>
          </w:tcPr>
          <w:p w14:paraId="4802BBA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Minimum 20% începând cu 2027; 45% din 2030; 70% din 2035</w:t>
            </w:r>
          </w:p>
        </w:tc>
        <w:tc>
          <w:tcPr>
            <w:tcW w:w="3309" w:type="dxa"/>
            <w:shd w:val="clear" w:color="auto" w:fill="auto"/>
            <w:hideMark/>
          </w:tcPr>
          <w:p w14:paraId="2BE5DA7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Operatorii de salubrizare</w:t>
            </w:r>
          </w:p>
        </w:tc>
        <w:tc>
          <w:tcPr>
            <w:tcW w:w="2928" w:type="dxa"/>
            <w:shd w:val="clear" w:color="auto" w:fill="auto"/>
            <w:hideMark/>
          </w:tcPr>
          <w:p w14:paraId="2BFA2D0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r w:rsidR="00802971" w:rsidRPr="00187708" w14:paraId="0056900F"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3D7396BE"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MUN-A11</w:t>
            </w:r>
          </w:p>
        </w:tc>
        <w:tc>
          <w:tcPr>
            <w:tcW w:w="730" w:type="dxa"/>
            <w:hideMark/>
          </w:tcPr>
          <w:p w14:paraId="166AD9B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1C2EB0B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2.2.9</w:t>
            </w:r>
          </w:p>
        </w:tc>
        <w:tc>
          <w:tcPr>
            <w:tcW w:w="6853" w:type="dxa"/>
            <w:hideMark/>
          </w:tcPr>
          <w:p w14:paraId="463D827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Îndeplinirea indicatorului de performanță de colectare a deșeurilor verzi din parcurile și grădinile publice</w:t>
            </w:r>
          </w:p>
        </w:tc>
        <w:tc>
          <w:tcPr>
            <w:tcW w:w="4394" w:type="dxa"/>
            <w:hideMark/>
          </w:tcPr>
          <w:p w14:paraId="40C3EFD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100% începând cu anul 2027</w:t>
            </w:r>
          </w:p>
        </w:tc>
        <w:tc>
          <w:tcPr>
            <w:tcW w:w="3309" w:type="dxa"/>
            <w:hideMark/>
          </w:tcPr>
          <w:p w14:paraId="37D503A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Operatorii de salubrizare</w:t>
            </w:r>
          </w:p>
        </w:tc>
        <w:tc>
          <w:tcPr>
            <w:tcW w:w="2928" w:type="dxa"/>
            <w:hideMark/>
          </w:tcPr>
          <w:p w14:paraId="01FA7491"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r w:rsidR="00802971" w:rsidRPr="00187708" w14:paraId="002DB8F2"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13E1377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MUN-A12</w:t>
            </w:r>
          </w:p>
        </w:tc>
        <w:tc>
          <w:tcPr>
            <w:tcW w:w="730" w:type="dxa"/>
            <w:shd w:val="clear" w:color="auto" w:fill="auto"/>
            <w:hideMark/>
          </w:tcPr>
          <w:p w14:paraId="42199A8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6B4B0A5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2.2.10</w:t>
            </w:r>
          </w:p>
        </w:tc>
        <w:tc>
          <w:tcPr>
            <w:tcW w:w="6853" w:type="dxa"/>
            <w:shd w:val="clear" w:color="auto" w:fill="auto"/>
            <w:hideMark/>
          </w:tcPr>
          <w:p w14:paraId="38D93DEB"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Îndeplinirea indicatorului de performanță de colectare a deșeurilor textile</w:t>
            </w:r>
          </w:p>
        </w:tc>
        <w:tc>
          <w:tcPr>
            <w:tcW w:w="4394" w:type="dxa"/>
            <w:shd w:val="clear" w:color="auto" w:fill="auto"/>
            <w:hideMark/>
          </w:tcPr>
          <w:p w14:paraId="012939C4"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Minimum 15% începând cu 2027; 30% din 2030; 40% din 2035</w:t>
            </w:r>
          </w:p>
        </w:tc>
        <w:tc>
          <w:tcPr>
            <w:tcW w:w="3309" w:type="dxa"/>
            <w:shd w:val="clear" w:color="auto" w:fill="auto"/>
            <w:hideMark/>
          </w:tcPr>
          <w:p w14:paraId="2599BC1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Operatorii de salubrizare</w:t>
            </w:r>
          </w:p>
        </w:tc>
        <w:tc>
          <w:tcPr>
            <w:tcW w:w="2928" w:type="dxa"/>
            <w:shd w:val="clear" w:color="auto" w:fill="auto"/>
            <w:hideMark/>
          </w:tcPr>
          <w:p w14:paraId="15D0A3E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r w:rsidR="00802971" w:rsidRPr="00187708" w14:paraId="09B647F4"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751CBEB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MUN-A13</w:t>
            </w:r>
          </w:p>
        </w:tc>
        <w:tc>
          <w:tcPr>
            <w:tcW w:w="730" w:type="dxa"/>
            <w:hideMark/>
          </w:tcPr>
          <w:p w14:paraId="6ACD6DC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65F93C2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2.2.11</w:t>
            </w:r>
          </w:p>
        </w:tc>
        <w:tc>
          <w:tcPr>
            <w:tcW w:w="6853" w:type="dxa"/>
            <w:hideMark/>
          </w:tcPr>
          <w:p w14:paraId="25850A9F"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Îndeplinirea indicatorului de performanță de colectare a deșeurilor voluminoase</w:t>
            </w:r>
          </w:p>
        </w:tc>
        <w:tc>
          <w:tcPr>
            <w:tcW w:w="4394" w:type="dxa"/>
            <w:hideMark/>
          </w:tcPr>
          <w:p w14:paraId="7BF52B8F"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Minimum 50% începând cu 2027; 100% din 2030</w:t>
            </w:r>
          </w:p>
        </w:tc>
        <w:tc>
          <w:tcPr>
            <w:tcW w:w="3309" w:type="dxa"/>
            <w:hideMark/>
          </w:tcPr>
          <w:p w14:paraId="0794F6D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Operatorii de salubrizare</w:t>
            </w:r>
          </w:p>
        </w:tc>
        <w:tc>
          <w:tcPr>
            <w:tcW w:w="2928" w:type="dxa"/>
            <w:hideMark/>
          </w:tcPr>
          <w:p w14:paraId="78CDC97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r w:rsidR="00802971" w:rsidRPr="00187708" w14:paraId="1EB376F1"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30F302D4"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MUN-A14</w:t>
            </w:r>
          </w:p>
        </w:tc>
        <w:tc>
          <w:tcPr>
            <w:tcW w:w="730" w:type="dxa"/>
            <w:shd w:val="clear" w:color="auto" w:fill="auto"/>
            <w:hideMark/>
          </w:tcPr>
          <w:p w14:paraId="75C058C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6F1ABB5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2.2.12</w:t>
            </w:r>
          </w:p>
        </w:tc>
        <w:tc>
          <w:tcPr>
            <w:tcW w:w="6853" w:type="dxa"/>
            <w:shd w:val="clear" w:color="auto" w:fill="auto"/>
            <w:hideMark/>
          </w:tcPr>
          <w:p w14:paraId="6F929601"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Îndeplinirea indicatorului de performanță de colectare a deșeurilor periculoase menajere</w:t>
            </w:r>
          </w:p>
        </w:tc>
        <w:tc>
          <w:tcPr>
            <w:tcW w:w="4394" w:type="dxa"/>
            <w:shd w:val="clear" w:color="auto" w:fill="auto"/>
            <w:hideMark/>
          </w:tcPr>
          <w:p w14:paraId="65919F9E"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Minimum 15% începând cu 2027; 30% din 2030; 70% din 2035</w:t>
            </w:r>
          </w:p>
        </w:tc>
        <w:tc>
          <w:tcPr>
            <w:tcW w:w="3309" w:type="dxa"/>
            <w:shd w:val="clear" w:color="auto" w:fill="auto"/>
            <w:hideMark/>
          </w:tcPr>
          <w:p w14:paraId="1EA568F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Operatorii de salubrizare</w:t>
            </w:r>
          </w:p>
        </w:tc>
        <w:tc>
          <w:tcPr>
            <w:tcW w:w="2928" w:type="dxa"/>
            <w:shd w:val="clear" w:color="auto" w:fill="auto"/>
            <w:hideMark/>
          </w:tcPr>
          <w:p w14:paraId="4AB862C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r w:rsidR="00802971" w:rsidRPr="00187708" w14:paraId="4B5E113F"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65E6C9EC"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MUN-A15</w:t>
            </w:r>
          </w:p>
        </w:tc>
        <w:tc>
          <w:tcPr>
            <w:tcW w:w="730" w:type="dxa"/>
            <w:hideMark/>
          </w:tcPr>
          <w:p w14:paraId="61DD62C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0523A31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2.2.13</w:t>
            </w:r>
          </w:p>
        </w:tc>
        <w:tc>
          <w:tcPr>
            <w:tcW w:w="6853" w:type="dxa"/>
            <w:hideMark/>
          </w:tcPr>
          <w:p w14:paraId="4335978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Construirea și operarea de centre de colectare prin aport voluntar (CAV) pentru fluxurile speciale de deșeuri</w:t>
            </w:r>
          </w:p>
        </w:tc>
        <w:tc>
          <w:tcPr>
            <w:tcW w:w="4394" w:type="dxa"/>
            <w:hideMark/>
          </w:tcPr>
          <w:p w14:paraId="7A0309E1"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Min. 1 CAV/50.000 loc. în urban și min. 1 CAV/15.000 loc. în rural, în fiecare județ, până în 2030. Categorii minime acceptate: voluminoase, periculoase menajere, textile, verzi, DEEE mici, deșeuri din construcții/desființări de la populație</w:t>
            </w:r>
          </w:p>
        </w:tc>
        <w:tc>
          <w:tcPr>
            <w:tcW w:w="3309" w:type="dxa"/>
            <w:hideMark/>
          </w:tcPr>
          <w:p w14:paraId="619EF5E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2A4C477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051DDA4A"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72C86B23"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MUN-M4</w:t>
            </w:r>
          </w:p>
        </w:tc>
        <w:tc>
          <w:tcPr>
            <w:tcW w:w="730" w:type="dxa"/>
            <w:shd w:val="clear" w:color="auto" w:fill="auto"/>
            <w:hideMark/>
          </w:tcPr>
          <w:p w14:paraId="0DC301F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shd w:val="clear" w:color="auto" w:fill="auto"/>
            <w:hideMark/>
          </w:tcPr>
          <w:p w14:paraId="0D2F626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2.3</w:t>
            </w:r>
          </w:p>
        </w:tc>
        <w:tc>
          <w:tcPr>
            <w:tcW w:w="6853" w:type="dxa"/>
            <w:shd w:val="clear" w:color="auto" w:fill="auto"/>
            <w:hideMark/>
          </w:tcPr>
          <w:p w14:paraId="6DDFFFE8"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Asigurarea capacității de tratare a deșeurilor municipale colectate separat</w:t>
            </w:r>
          </w:p>
        </w:tc>
        <w:tc>
          <w:tcPr>
            <w:tcW w:w="4394" w:type="dxa"/>
            <w:shd w:val="clear" w:color="auto" w:fill="auto"/>
            <w:hideMark/>
          </w:tcPr>
          <w:p w14:paraId="45696157" w14:textId="181C566B"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shd w:val="clear" w:color="auto" w:fill="auto"/>
            <w:hideMark/>
          </w:tcPr>
          <w:p w14:paraId="76C81C65" w14:textId="122C0D62"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shd w:val="clear" w:color="auto" w:fill="auto"/>
            <w:hideMark/>
          </w:tcPr>
          <w:p w14:paraId="75F64E11" w14:textId="3F0A1928"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536FB62F"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654C02F3"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MUN-A16</w:t>
            </w:r>
          </w:p>
        </w:tc>
        <w:tc>
          <w:tcPr>
            <w:tcW w:w="730" w:type="dxa"/>
            <w:hideMark/>
          </w:tcPr>
          <w:p w14:paraId="301A1BB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74A6037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2.3.1</w:t>
            </w:r>
          </w:p>
        </w:tc>
        <w:tc>
          <w:tcPr>
            <w:tcW w:w="6853" w:type="dxa"/>
            <w:hideMark/>
          </w:tcPr>
          <w:p w14:paraId="1FE09B3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sortare a deșeurilor de hârtie/carton, plastic și metal colectate separat prin construirea de capacități noi (Cap. 3.7, Tabel 3-44 IITD)</w:t>
            </w:r>
          </w:p>
        </w:tc>
        <w:tc>
          <w:tcPr>
            <w:tcW w:w="4394" w:type="dxa"/>
            <w:hideMark/>
          </w:tcPr>
          <w:p w14:paraId="06B0624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Conversia în IITD a 11 instalații TMB existente (sortare 100.000 t/an) până în 2030; Construirea a 23 IITD noi (capacitate sortare 300.000 t/an) până în 2030</w:t>
            </w:r>
          </w:p>
        </w:tc>
        <w:tc>
          <w:tcPr>
            <w:tcW w:w="3309" w:type="dxa"/>
            <w:hideMark/>
          </w:tcPr>
          <w:p w14:paraId="37B725F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08377AD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2876B058"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7FAD187D"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MUN-A17</w:t>
            </w:r>
          </w:p>
        </w:tc>
        <w:tc>
          <w:tcPr>
            <w:tcW w:w="730" w:type="dxa"/>
            <w:shd w:val="clear" w:color="auto" w:fill="auto"/>
            <w:hideMark/>
          </w:tcPr>
          <w:p w14:paraId="2E91776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D9FB94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2.3.2</w:t>
            </w:r>
          </w:p>
        </w:tc>
        <w:tc>
          <w:tcPr>
            <w:tcW w:w="6853" w:type="dxa"/>
            <w:shd w:val="clear" w:color="auto" w:fill="auto"/>
            <w:hideMark/>
          </w:tcPr>
          <w:p w14:paraId="1393145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tratare a biodeșeurilor colectate separat prin conversia TMB existente și construirea de capacități noi în cadrul IITD (Cap. 3.7, Tabel 3-44)</w:t>
            </w:r>
          </w:p>
        </w:tc>
        <w:tc>
          <w:tcPr>
            <w:tcW w:w="4394" w:type="dxa"/>
            <w:shd w:val="clear" w:color="auto" w:fill="auto"/>
            <w:hideMark/>
          </w:tcPr>
          <w:p w14:paraId="0C7EF3CB"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Conversia în IITD a 15 instalații TMB existente (tratare biodeșeuri 530.000 t/an) până în 2030; Construirea a 28 IITD noi (tratare biodeșeuri 1.000.000 t/an) până în 2030</w:t>
            </w:r>
          </w:p>
        </w:tc>
        <w:tc>
          <w:tcPr>
            <w:tcW w:w="3309" w:type="dxa"/>
            <w:shd w:val="clear" w:color="auto" w:fill="auto"/>
            <w:hideMark/>
          </w:tcPr>
          <w:p w14:paraId="7D5B6518"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shd w:val="clear" w:color="auto" w:fill="auto"/>
            <w:hideMark/>
          </w:tcPr>
          <w:p w14:paraId="36424C5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0EC144D5"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6C57EF8A"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MUN-A18</w:t>
            </w:r>
          </w:p>
        </w:tc>
        <w:tc>
          <w:tcPr>
            <w:tcW w:w="730" w:type="dxa"/>
            <w:hideMark/>
          </w:tcPr>
          <w:p w14:paraId="048D7D9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317D87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2.3.3</w:t>
            </w:r>
          </w:p>
        </w:tc>
        <w:tc>
          <w:tcPr>
            <w:tcW w:w="6853" w:type="dxa"/>
            <w:hideMark/>
          </w:tcPr>
          <w:p w14:paraId="04D7C8B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tratare a deșeurilor textile colectate separat prin conversia TMB existente și construirea de capacități noi în cadrul IITD (Cap. 3.7, Tabel 3-44)</w:t>
            </w:r>
          </w:p>
        </w:tc>
        <w:tc>
          <w:tcPr>
            <w:tcW w:w="4394" w:type="dxa"/>
            <w:hideMark/>
          </w:tcPr>
          <w:p w14:paraId="653CB20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Conversia în IITD a 16 instalații TMB existente (tratare textile 20.000 t/an) până în 2030; Construirea a 28 IITD noi (tratare textile 42.000 t/an) până în 2030</w:t>
            </w:r>
          </w:p>
        </w:tc>
        <w:tc>
          <w:tcPr>
            <w:tcW w:w="3309" w:type="dxa"/>
            <w:hideMark/>
          </w:tcPr>
          <w:p w14:paraId="6486BFA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20739FA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3AA1EBE8"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77A4D7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MUN-A19</w:t>
            </w:r>
          </w:p>
        </w:tc>
        <w:tc>
          <w:tcPr>
            <w:tcW w:w="730" w:type="dxa"/>
            <w:shd w:val="clear" w:color="auto" w:fill="auto"/>
            <w:hideMark/>
          </w:tcPr>
          <w:p w14:paraId="19FA768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38A281B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2.3.4</w:t>
            </w:r>
          </w:p>
        </w:tc>
        <w:tc>
          <w:tcPr>
            <w:tcW w:w="6853" w:type="dxa"/>
            <w:shd w:val="clear" w:color="auto" w:fill="auto"/>
            <w:hideMark/>
          </w:tcPr>
          <w:p w14:paraId="4D56634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tratare a deșeurilor voluminoase colectate separat prin conversia TMB existente și construirea de capacități noi în cadrul IITD (Cap. 3.7, Tabel 3-44)</w:t>
            </w:r>
          </w:p>
        </w:tc>
        <w:tc>
          <w:tcPr>
            <w:tcW w:w="4394" w:type="dxa"/>
            <w:shd w:val="clear" w:color="auto" w:fill="auto"/>
            <w:hideMark/>
          </w:tcPr>
          <w:p w14:paraId="062B7DE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Conversia în IITD a 16 instalații TMB existente (tratare voluminoase 36.000 t/an) până în 2030; Construirea a 28 IITD noi (tratare voluminoase 70.000 t/an) până în 2030</w:t>
            </w:r>
          </w:p>
        </w:tc>
        <w:tc>
          <w:tcPr>
            <w:tcW w:w="3309" w:type="dxa"/>
            <w:shd w:val="clear" w:color="auto" w:fill="auto"/>
            <w:hideMark/>
          </w:tcPr>
          <w:p w14:paraId="4D8AAC7D"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shd w:val="clear" w:color="auto" w:fill="auto"/>
            <w:hideMark/>
          </w:tcPr>
          <w:p w14:paraId="5C08048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1D84554A"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70E406B5"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MUN-A20</w:t>
            </w:r>
          </w:p>
        </w:tc>
        <w:tc>
          <w:tcPr>
            <w:tcW w:w="730" w:type="dxa"/>
            <w:hideMark/>
          </w:tcPr>
          <w:p w14:paraId="76E24F60"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630C1F5E"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2.3.5</w:t>
            </w:r>
          </w:p>
        </w:tc>
        <w:tc>
          <w:tcPr>
            <w:tcW w:w="6853" w:type="dxa"/>
            <w:hideMark/>
          </w:tcPr>
          <w:p w14:paraId="631C3EF9"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reciclare pentru deșeurile textile</w:t>
            </w:r>
          </w:p>
        </w:tc>
        <w:tc>
          <w:tcPr>
            <w:tcW w:w="4394" w:type="dxa"/>
            <w:hideMark/>
          </w:tcPr>
          <w:p w14:paraId="4DA8D0E4"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Capacitate operațională suplimentară de minimum 18.000 t/an până în anul 2035</w:t>
            </w:r>
          </w:p>
        </w:tc>
        <w:tc>
          <w:tcPr>
            <w:tcW w:w="3309" w:type="dxa"/>
            <w:hideMark/>
          </w:tcPr>
          <w:p w14:paraId="60628D0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Operatori economici</w:t>
            </w:r>
          </w:p>
        </w:tc>
        <w:tc>
          <w:tcPr>
            <w:tcW w:w="2928" w:type="dxa"/>
            <w:hideMark/>
          </w:tcPr>
          <w:p w14:paraId="3FC902F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local/național; Fonduri europene; Alte fonduri; Investiții private</w:t>
            </w:r>
          </w:p>
        </w:tc>
      </w:tr>
      <w:tr w:rsidR="00802971" w:rsidRPr="00187708" w14:paraId="24AF2212"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78C8C641"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MUN-A21</w:t>
            </w:r>
          </w:p>
        </w:tc>
        <w:tc>
          <w:tcPr>
            <w:tcW w:w="730" w:type="dxa"/>
            <w:shd w:val="clear" w:color="auto" w:fill="auto"/>
            <w:hideMark/>
          </w:tcPr>
          <w:p w14:paraId="496AABA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C4882E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2.3.6</w:t>
            </w:r>
          </w:p>
        </w:tc>
        <w:tc>
          <w:tcPr>
            <w:tcW w:w="6853" w:type="dxa"/>
            <w:shd w:val="clear" w:color="auto" w:fill="auto"/>
            <w:hideMark/>
          </w:tcPr>
          <w:p w14:paraId="24D3CD1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Îndeplinirea indicatorilor de performanță pentru tratarea deșeurilor în IITD noi sau rezultate prin conversia TMB (sortare hârtie/plastic/metal/sticlă; reciclabile sortate din reziduale; compost din biodeșeuri – categoriile A și B conform Legii compostului)</w:t>
            </w:r>
          </w:p>
        </w:tc>
        <w:tc>
          <w:tcPr>
            <w:tcW w:w="4394" w:type="dxa"/>
            <w:shd w:val="clear" w:color="auto" w:fill="auto"/>
            <w:hideMark/>
          </w:tcPr>
          <w:p w14:paraId="6C6EA82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Min. 75% în anul 1 și min. 80% din fluxul de hârtie/plastic/metal/sticlă colectate separat din anul 2; Min. 5% din fluxul de reziduale tratate (anual); Min. 35% din cantitatea de biodeșeuri tratate (anual)</w:t>
            </w:r>
          </w:p>
        </w:tc>
        <w:tc>
          <w:tcPr>
            <w:tcW w:w="3309" w:type="dxa"/>
            <w:shd w:val="clear" w:color="auto" w:fill="auto"/>
            <w:hideMark/>
          </w:tcPr>
          <w:p w14:paraId="6C364CC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Operatorii de salubrizare</w:t>
            </w:r>
          </w:p>
        </w:tc>
        <w:tc>
          <w:tcPr>
            <w:tcW w:w="2928" w:type="dxa"/>
            <w:shd w:val="clear" w:color="auto" w:fill="auto"/>
            <w:hideMark/>
          </w:tcPr>
          <w:p w14:paraId="7A2CD33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r w:rsidR="00802971" w:rsidRPr="00187708" w14:paraId="59E3E894" w14:textId="77777777" w:rsidTr="007A13C1">
        <w:trPr>
          <w:trHeight w:val="73"/>
        </w:trPr>
        <w:tc>
          <w:tcPr>
            <w:cnfStyle w:val="001000000000" w:firstRow="0" w:lastRow="0" w:firstColumn="1" w:lastColumn="0" w:oddVBand="0" w:evenVBand="0" w:oddHBand="0" w:evenHBand="0" w:firstRowFirstColumn="0" w:firstRowLastColumn="0" w:lastRowFirstColumn="0" w:lastRowLastColumn="0"/>
            <w:tcW w:w="1620" w:type="dxa"/>
            <w:hideMark/>
          </w:tcPr>
          <w:p w14:paraId="6DBADE95"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MUN-M5</w:t>
            </w:r>
          </w:p>
        </w:tc>
        <w:tc>
          <w:tcPr>
            <w:tcW w:w="730" w:type="dxa"/>
            <w:hideMark/>
          </w:tcPr>
          <w:p w14:paraId="34F9F65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746D078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2.4</w:t>
            </w:r>
          </w:p>
        </w:tc>
        <w:tc>
          <w:tcPr>
            <w:tcW w:w="6853" w:type="dxa"/>
            <w:hideMark/>
          </w:tcPr>
          <w:p w14:paraId="15C7AE27"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Consolidarea cadrului administrativ și operațional în vederea creșterii gradului de pregătire pentru reutilizare și reciclare a deșeurilor municipale</w:t>
            </w:r>
          </w:p>
        </w:tc>
        <w:tc>
          <w:tcPr>
            <w:tcW w:w="4394" w:type="dxa"/>
            <w:hideMark/>
          </w:tcPr>
          <w:p w14:paraId="2870C072" w14:textId="0173E1FC"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0893AAB0" w14:textId="55B13AD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2407CA2D" w14:textId="0B2B3016"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3EECAA33" w14:textId="77777777" w:rsidTr="007A13C1">
        <w:trPr>
          <w:cnfStyle w:val="000000100000" w:firstRow="0" w:lastRow="0" w:firstColumn="0" w:lastColumn="0" w:oddVBand="0" w:evenVBand="0" w:oddHBand="1"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175E5381"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MUN-A22</w:t>
            </w:r>
          </w:p>
        </w:tc>
        <w:tc>
          <w:tcPr>
            <w:tcW w:w="730" w:type="dxa"/>
            <w:shd w:val="clear" w:color="auto" w:fill="auto"/>
            <w:hideMark/>
          </w:tcPr>
          <w:p w14:paraId="18B6384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2198FEE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2.4.1</w:t>
            </w:r>
          </w:p>
        </w:tc>
        <w:tc>
          <w:tcPr>
            <w:tcW w:w="6853" w:type="dxa"/>
            <w:shd w:val="clear" w:color="auto" w:fill="auto"/>
            <w:hideMark/>
          </w:tcPr>
          <w:p w14:paraId="05772C2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și implementarea la nivelul fiecărei UAT a regulamentului pentru instrumentul economic „Plătește pentru cât arunci” (art. 42 alin. (1) Legea nr. 101/2006)</w:t>
            </w:r>
          </w:p>
        </w:tc>
        <w:tc>
          <w:tcPr>
            <w:tcW w:w="4394" w:type="dxa"/>
            <w:shd w:val="clear" w:color="auto" w:fill="auto"/>
            <w:hideMark/>
          </w:tcPr>
          <w:p w14:paraId="47E6686E"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Cel puțin 95% dintre UAT și subdiviziuni până în anul 2026</w:t>
            </w:r>
          </w:p>
        </w:tc>
        <w:tc>
          <w:tcPr>
            <w:tcW w:w="3309" w:type="dxa"/>
            <w:shd w:val="clear" w:color="auto" w:fill="auto"/>
            <w:hideMark/>
          </w:tcPr>
          <w:p w14:paraId="6D4112A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w:t>
            </w:r>
          </w:p>
        </w:tc>
        <w:tc>
          <w:tcPr>
            <w:tcW w:w="2928" w:type="dxa"/>
            <w:shd w:val="clear" w:color="auto" w:fill="auto"/>
            <w:hideMark/>
          </w:tcPr>
          <w:p w14:paraId="7474C66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w:t>
            </w:r>
          </w:p>
        </w:tc>
      </w:tr>
      <w:tr w:rsidR="00802971" w:rsidRPr="00187708" w14:paraId="43177130" w14:textId="77777777" w:rsidTr="007A13C1">
        <w:trPr>
          <w:trHeight w:val="80"/>
        </w:trPr>
        <w:tc>
          <w:tcPr>
            <w:cnfStyle w:val="001000000000" w:firstRow="0" w:lastRow="0" w:firstColumn="1" w:lastColumn="0" w:oddVBand="0" w:evenVBand="0" w:oddHBand="0" w:evenHBand="0" w:firstRowFirstColumn="0" w:firstRowLastColumn="0" w:lastRowFirstColumn="0" w:lastRowLastColumn="0"/>
            <w:tcW w:w="1620" w:type="dxa"/>
            <w:hideMark/>
          </w:tcPr>
          <w:p w14:paraId="184A2A5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MUN-A23</w:t>
            </w:r>
          </w:p>
        </w:tc>
        <w:tc>
          <w:tcPr>
            <w:tcW w:w="730" w:type="dxa"/>
            <w:hideMark/>
          </w:tcPr>
          <w:p w14:paraId="70470DD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70EAE0D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2.4.2</w:t>
            </w:r>
          </w:p>
        </w:tc>
        <w:tc>
          <w:tcPr>
            <w:tcW w:w="6853" w:type="dxa"/>
            <w:hideMark/>
          </w:tcPr>
          <w:p w14:paraId="7DBFD1E5"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și aprobarea de către fiecare UAT a Planului de colectare separată, anexă la regulamentul local și parte din PJGD/PGDMB revizuit</w:t>
            </w:r>
          </w:p>
        </w:tc>
        <w:tc>
          <w:tcPr>
            <w:tcW w:w="4394" w:type="dxa"/>
            <w:hideMark/>
          </w:tcPr>
          <w:p w14:paraId="42E436E7"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Cel puțin 95% dintre UAT și subdiviziuni până în anul 2027</w:t>
            </w:r>
          </w:p>
        </w:tc>
        <w:tc>
          <w:tcPr>
            <w:tcW w:w="3309" w:type="dxa"/>
            <w:hideMark/>
          </w:tcPr>
          <w:p w14:paraId="481B075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4FF69DF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w:t>
            </w:r>
          </w:p>
        </w:tc>
      </w:tr>
      <w:tr w:rsidR="00802971" w:rsidRPr="00187708" w14:paraId="2079DF36"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755E1175"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MUN-A24</w:t>
            </w:r>
          </w:p>
        </w:tc>
        <w:tc>
          <w:tcPr>
            <w:tcW w:w="730" w:type="dxa"/>
            <w:shd w:val="clear" w:color="auto" w:fill="auto"/>
            <w:hideMark/>
          </w:tcPr>
          <w:p w14:paraId="34D0993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419363A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2.4.3</w:t>
            </w:r>
          </w:p>
        </w:tc>
        <w:tc>
          <w:tcPr>
            <w:tcW w:w="6853" w:type="dxa"/>
            <w:shd w:val="clear" w:color="auto" w:fill="auto"/>
            <w:hideMark/>
          </w:tcPr>
          <w:p w14:paraId="4E628A68"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Derularea de campanii de informare și conștientizare a generatorilor de deșeuri municipale privind prevenirea și colectarea separată</w:t>
            </w:r>
          </w:p>
        </w:tc>
        <w:tc>
          <w:tcPr>
            <w:tcW w:w="4394" w:type="dxa"/>
            <w:shd w:val="clear" w:color="auto" w:fill="auto"/>
            <w:hideMark/>
          </w:tcPr>
          <w:p w14:paraId="35648CF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Anual, min. 1 campanie națională (acoperire min. 70% din populație); Anual, min. 1 campanie/județ și Mun. București (acoperire min. 85% din populația județului/municipiului)</w:t>
            </w:r>
          </w:p>
        </w:tc>
        <w:tc>
          <w:tcPr>
            <w:tcW w:w="3309" w:type="dxa"/>
            <w:shd w:val="clear" w:color="auto" w:fill="auto"/>
            <w:hideMark/>
          </w:tcPr>
          <w:p w14:paraId="6D811A7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UAT/ADI; Operatori</w:t>
            </w:r>
          </w:p>
        </w:tc>
        <w:tc>
          <w:tcPr>
            <w:tcW w:w="2928" w:type="dxa"/>
            <w:shd w:val="clear" w:color="auto" w:fill="auto"/>
            <w:hideMark/>
          </w:tcPr>
          <w:p w14:paraId="0CE0A07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Buget local; Buget operatori</w:t>
            </w:r>
          </w:p>
        </w:tc>
      </w:tr>
      <w:tr w:rsidR="00802971" w:rsidRPr="00187708" w14:paraId="6260B35D"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7E74E17F"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MUN-A25</w:t>
            </w:r>
          </w:p>
        </w:tc>
        <w:tc>
          <w:tcPr>
            <w:tcW w:w="730" w:type="dxa"/>
            <w:hideMark/>
          </w:tcPr>
          <w:p w14:paraId="64FBBEE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28D7377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2.4.4</w:t>
            </w:r>
          </w:p>
        </w:tc>
        <w:tc>
          <w:tcPr>
            <w:tcW w:w="6853" w:type="dxa"/>
            <w:hideMark/>
          </w:tcPr>
          <w:p w14:paraId="63780674"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Creșterea capacității instituționale prin sesiuni de instruire periodică pentru personalul autorităților de mediu și al APL la nivel de județ și Mun. București</w:t>
            </w:r>
          </w:p>
        </w:tc>
        <w:tc>
          <w:tcPr>
            <w:tcW w:w="4394" w:type="dxa"/>
            <w:hideMark/>
          </w:tcPr>
          <w:p w14:paraId="0E9C86C1"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Anual, min. 1 sesiune de instruire/UAT-J, cu min. 20 participanți</w:t>
            </w:r>
          </w:p>
        </w:tc>
        <w:tc>
          <w:tcPr>
            <w:tcW w:w="3309" w:type="dxa"/>
            <w:hideMark/>
          </w:tcPr>
          <w:p w14:paraId="25EA623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ADI; UAT; CJ; MMAP</w:t>
            </w:r>
          </w:p>
        </w:tc>
        <w:tc>
          <w:tcPr>
            <w:tcW w:w="2928" w:type="dxa"/>
            <w:hideMark/>
          </w:tcPr>
          <w:p w14:paraId="2BC5E7F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Buget local</w:t>
            </w:r>
          </w:p>
        </w:tc>
      </w:tr>
      <w:tr w:rsidR="00802971" w:rsidRPr="00187708" w14:paraId="70340F75" w14:textId="77777777" w:rsidTr="007A13C1">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32CDDF50"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MUN-A26</w:t>
            </w:r>
          </w:p>
        </w:tc>
        <w:tc>
          <w:tcPr>
            <w:tcW w:w="730" w:type="dxa"/>
            <w:shd w:val="clear" w:color="auto" w:fill="auto"/>
            <w:hideMark/>
          </w:tcPr>
          <w:p w14:paraId="1EFCC27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61BC8D1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2.4.5</w:t>
            </w:r>
          </w:p>
        </w:tc>
        <w:tc>
          <w:tcPr>
            <w:tcW w:w="6853" w:type="dxa"/>
            <w:shd w:val="clear" w:color="auto" w:fill="auto"/>
            <w:hideMark/>
          </w:tcPr>
          <w:p w14:paraId="197CB678"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Monitorizarea anuală a activității operatorilor de salubrizare privind obligațiile legale și contractuale, inclusiv aplicarea sancțiunilor/penalităților</w:t>
            </w:r>
          </w:p>
        </w:tc>
        <w:tc>
          <w:tcPr>
            <w:tcW w:w="4394" w:type="dxa"/>
            <w:shd w:val="clear" w:color="auto" w:fill="auto"/>
            <w:hideMark/>
          </w:tcPr>
          <w:p w14:paraId="6070E5A5"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Cel puțin 70% dintre UAT-J realizează anual un raport de monitorizare (analiza conformării și penalități)</w:t>
            </w:r>
          </w:p>
        </w:tc>
        <w:tc>
          <w:tcPr>
            <w:tcW w:w="3309" w:type="dxa"/>
            <w:shd w:val="clear" w:color="auto" w:fill="auto"/>
            <w:hideMark/>
          </w:tcPr>
          <w:p w14:paraId="6626D2C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ADI; UAT; CJ</w:t>
            </w:r>
          </w:p>
        </w:tc>
        <w:tc>
          <w:tcPr>
            <w:tcW w:w="2928" w:type="dxa"/>
            <w:shd w:val="clear" w:color="auto" w:fill="auto"/>
            <w:hideMark/>
          </w:tcPr>
          <w:p w14:paraId="7A71862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w:t>
            </w:r>
          </w:p>
        </w:tc>
      </w:tr>
      <w:tr w:rsidR="00802971" w:rsidRPr="00187708" w14:paraId="7BAD7D0A"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1841E96D"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MUN-A27</w:t>
            </w:r>
          </w:p>
        </w:tc>
        <w:tc>
          <w:tcPr>
            <w:tcW w:w="730" w:type="dxa"/>
            <w:hideMark/>
          </w:tcPr>
          <w:p w14:paraId="33A4C00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5268C18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2.4.6</w:t>
            </w:r>
          </w:p>
        </w:tc>
        <w:tc>
          <w:tcPr>
            <w:tcW w:w="6853" w:type="dxa"/>
            <w:hideMark/>
          </w:tcPr>
          <w:p w14:paraId="17D5868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Derularea unui proiect național privind compoziția, densitatea și indicii de generare a deșeurilor municipale</w:t>
            </w:r>
          </w:p>
        </w:tc>
        <w:tc>
          <w:tcPr>
            <w:tcW w:w="4394" w:type="dxa"/>
            <w:hideMark/>
          </w:tcPr>
          <w:p w14:paraId="7597AAA2"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Proiect finalizat la sfârșitul anului 2027</w:t>
            </w:r>
          </w:p>
        </w:tc>
        <w:tc>
          <w:tcPr>
            <w:tcW w:w="3309" w:type="dxa"/>
            <w:hideMark/>
          </w:tcPr>
          <w:p w14:paraId="5679F9C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w:t>
            </w:r>
          </w:p>
        </w:tc>
        <w:tc>
          <w:tcPr>
            <w:tcW w:w="2928" w:type="dxa"/>
            <w:hideMark/>
          </w:tcPr>
          <w:p w14:paraId="206FCA3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6F9EEAF4"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49A2D96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MUN-A28</w:t>
            </w:r>
          </w:p>
        </w:tc>
        <w:tc>
          <w:tcPr>
            <w:tcW w:w="730" w:type="dxa"/>
            <w:shd w:val="clear" w:color="auto" w:fill="auto"/>
            <w:hideMark/>
          </w:tcPr>
          <w:p w14:paraId="077B062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5A7054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2.4.7</w:t>
            </w:r>
          </w:p>
        </w:tc>
        <w:tc>
          <w:tcPr>
            <w:tcW w:w="6853" w:type="dxa"/>
            <w:shd w:val="clear" w:color="auto" w:fill="auto"/>
            <w:hideMark/>
          </w:tcPr>
          <w:p w14:paraId="4382D7E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Aplicarea de către APL a penalităților și sancțiunilor contravenționale pentru nerespectarea obligațiilor de colectare separată</w:t>
            </w:r>
          </w:p>
        </w:tc>
        <w:tc>
          <w:tcPr>
            <w:tcW w:w="4394" w:type="dxa"/>
            <w:shd w:val="clear" w:color="auto" w:fill="auto"/>
            <w:hideMark/>
          </w:tcPr>
          <w:p w14:paraId="0DA1819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Anual, cel puțin 60% dintre UAT-J raportează măsuri de sancționare în cel puțin 30% din UAT/subdiviziuni</w:t>
            </w:r>
          </w:p>
        </w:tc>
        <w:tc>
          <w:tcPr>
            <w:tcW w:w="3309" w:type="dxa"/>
            <w:shd w:val="clear" w:color="auto" w:fill="auto"/>
            <w:hideMark/>
          </w:tcPr>
          <w:p w14:paraId="07F5ABC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w:t>
            </w:r>
          </w:p>
        </w:tc>
        <w:tc>
          <w:tcPr>
            <w:tcW w:w="2928" w:type="dxa"/>
            <w:shd w:val="clear" w:color="auto" w:fill="auto"/>
            <w:hideMark/>
          </w:tcPr>
          <w:p w14:paraId="76CB483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w:t>
            </w:r>
          </w:p>
        </w:tc>
      </w:tr>
      <w:tr w:rsidR="00802971" w:rsidRPr="00187708" w14:paraId="6AAF0F03" w14:textId="77777777" w:rsidTr="007A13C1">
        <w:trPr>
          <w:trHeight w:val="82"/>
        </w:trPr>
        <w:tc>
          <w:tcPr>
            <w:cnfStyle w:val="001000000000" w:firstRow="0" w:lastRow="0" w:firstColumn="1" w:lastColumn="0" w:oddVBand="0" w:evenVBand="0" w:oddHBand="0" w:evenHBand="0" w:firstRowFirstColumn="0" w:firstRowLastColumn="0" w:lastRowFirstColumn="0" w:lastRowLastColumn="0"/>
            <w:tcW w:w="1620" w:type="dxa"/>
            <w:hideMark/>
          </w:tcPr>
          <w:p w14:paraId="3EA885A8" w14:textId="77777777" w:rsidR="00802971" w:rsidRPr="00187708" w:rsidRDefault="00802971"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MUN-OS-03</w:t>
            </w:r>
          </w:p>
        </w:tc>
        <w:tc>
          <w:tcPr>
            <w:tcW w:w="730" w:type="dxa"/>
            <w:hideMark/>
          </w:tcPr>
          <w:p w14:paraId="621C50F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45" w:type="dxa"/>
            <w:hideMark/>
          </w:tcPr>
          <w:p w14:paraId="735B639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3</w:t>
            </w:r>
          </w:p>
        </w:tc>
        <w:tc>
          <w:tcPr>
            <w:tcW w:w="6853" w:type="dxa"/>
            <w:hideMark/>
          </w:tcPr>
          <w:p w14:paraId="14082007"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Reducerea la depozitare a deșeurilor municipale (măsurile și acțiunile aferente obiectivelor 1-2 contribuie semnificativ la atingerea acestui obiectiv)</w:t>
            </w:r>
          </w:p>
        </w:tc>
        <w:tc>
          <w:tcPr>
            <w:tcW w:w="4394" w:type="dxa"/>
            <w:hideMark/>
          </w:tcPr>
          <w:p w14:paraId="16C15861" w14:textId="12E0831A"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p>
        </w:tc>
        <w:tc>
          <w:tcPr>
            <w:tcW w:w="3309" w:type="dxa"/>
            <w:hideMark/>
          </w:tcPr>
          <w:p w14:paraId="12683EAF" w14:textId="4A123E62"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c>
          <w:tcPr>
            <w:tcW w:w="2928" w:type="dxa"/>
            <w:hideMark/>
          </w:tcPr>
          <w:p w14:paraId="443970F4" w14:textId="38F00972"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r>
      <w:tr w:rsidR="00802971" w:rsidRPr="00187708" w14:paraId="4EBFDCB6"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58DFE624"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MUN-M6</w:t>
            </w:r>
          </w:p>
        </w:tc>
        <w:tc>
          <w:tcPr>
            <w:tcW w:w="730" w:type="dxa"/>
            <w:shd w:val="clear" w:color="auto" w:fill="auto"/>
            <w:hideMark/>
          </w:tcPr>
          <w:p w14:paraId="208CDD2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shd w:val="clear" w:color="auto" w:fill="auto"/>
            <w:hideMark/>
          </w:tcPr>
          <w:p w14:paraId="570DE8F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3.1</w:t>
            </w:r>
          </w:p>
        </w:tc>
        <w:tc>
          <w:tcPr>
            <w:tcW w:w="6853" w:type="dxa"/>
            <w:shd w:val="clear" w:color="auto" w:fill="auto"/>
            <w:hideMark/>
          </w:tcPr>
          <w:p w14:paraId="4BAFB2A9"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Asigurarea capacității de valorificare energetică a deșeurilor rezultate din tratarea deșeurilor municipale</w:t>
            </w:r>
          </w:p>
        </w:tc>
        <w:tc>
          <w:tcPr>
            <w:tcW w:w="4394" w:type="dxa"/>
            <w:shd w:val="clear" w:color="auto" w:fill="auto"/>
            <w:hideMark/>
          </w:tcPr>
          <w:p w14:paraId="2E65D031" w14:textId="6BA73E11"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shd w:val="clear" w:color="auto" w:fill="auto"/>
            <w:hideMark/>
          </w:tcPr>
          <w:p w14:paraId="12F0B6A1" w14:textId="0A050259"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shd w:val="clear" w:color="auto" w:fill="auto"/>
            <w:hideMark/>
          </w:tcPr>
          <w:p w14:paraId="379AF543" w14:textId="7D37C0A8"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5C154733"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318315FF"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MUN-A29</w:t>
            </w:r>
          </w:p>
        </w:tc>
        <w:tc>
          <w:tcPr>
            <w:tcW w:w="730" w:type="dxa"/>
            <w:hideMark/>
          </w:tcPr>
          <w:p w14:paraId="0CEFB65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63333E9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3.1.1</w:t>
            </w:r>
          </w:p>
        </w:tc>
        <w:tc>
          <w:tcPr>
            <w:tcW w:w="6853" w:type="dxa"/>
            <w:hideMark/>
          </w:tcPr>
          <w:p w14:paraId="3FF4DA8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unei strategii naționale privind soluțiile de valorificare energetică a deșeurilor, pentru atingerea țintei de depozitare de 10%, și aprobarea prin HG</w:t>
            </w:r>
          </w:p>
        </w:tc>
        <w:tc>
          <w:tcPr>
            <w:tcW w:w="4394" w:type="dxa"/>
            <w:hideMark/>
          </w:tcPr>
          <w:p w14:paraId="2F71602A"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2028</w:t>
            </w:r>
          </w:p>
        </w:tc>
        <w:tc>
          <w:tcPr>
            <w:tcW w:w="3309" w:type="dxa"/>
            <w:hideMark/>
          </w:tcPr>
          <w:p w14:paraId="2B82F84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5A7BD7DE"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50638069"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37594A6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MUN-A30</w:t>
            </w:r>
          </w:p>
        </w:tc>
        <w:tc>
          <w:tcPr>
            <w:tcW w:w="730" w:type="dxa"/>
            <w:shd w:val="clear" w:color="auto" w:fill="auto"/>
            <w:hideMark/>
          </w:tcPr>
          <w:p w14:paraId="7788AB0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5115582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3.1.2</w:t>
            </w:r>
          </w:p>
        </w:tc>
        <w:tc>
          <w:tcPr>
            <w:tcW w:w="6853" w:type="dxa"/>
            <w:shd w:val="clear" w:color="auto" w:fill="auto"/>
            <w:hideMark/>
          </w:tcPr>
          <w:p w14:paraId="3AE37D5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Implementarea strategiei naționale de valorificare energetică a deșeurilor pentru atingerea țintei de depozitare de 10%</w:t>
            </w:r>
          </w:p>
        </w:tc>
        <w:tc>
          <w:tcPr>
            <w:tcW w:w="4394" w:type="dxa"/>
            <w:shd w:val="clear" w:color="auto" w:fill="auto"/>
            <w:hideMark/>
          </w:tcPr>
          <w:p w14:paraId="444CAD7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2034</w:t>
            </w:r>
          </w:p>
        </w:tc>
        <w:tc>
          <w:tcPr>
            <w:tcW w:w="3309" w:type="dxa"/>
            <w:shd w:val="clear" w:color="auto" w:fill="auto"/>
            <w:hideMark/>
          </w:tcPr>
          <w:p w14:paraId="4CA7FB9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shd w:val="clear" w:color="auto" w:fill="auto"/>
            <w:hideMark/>
          </w:tcPr>
          <w:p w14:paraId="636C64C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 alte surse de finanțare</w:t>
            </w:r>
          </w:p>
        </w:tc>
      </w:tr>
      <w:tr w:rsidR="00802971" w:rsidRPr="00187708" w14:paraId="59EE4C1F" w14:textId="77777777" w:rsidTr="007A13C1">
        <w:trPr>
          <w:trHeight w:val="510"/>
        </w:trPr>
        <w:tc>
          <w:tcPr>
            <w:cnfStyle w:val="001000000000" w:firstRow="0" w:lastRow="0" w:firstColumn="1" w:lastColumn="0" w:oddVBand="0" w:evenVBand="0" w:oddHBand="0" w:evenHBand="0" w:firstRowFirstColumn="0" w:firstRowLastColumn="0" w:lastRowFirstColumn="0" w:lastRowLastColumn="0"/>
            <w:tcW w:w="1620" w:type="dxa"/>
            <w:hideMark/>
          </w:tcPr>
          <w:p w14:paraId="14420C9F"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MUN-M7</w:t>
            </w:r>
          </w:p>
        </w:tc>
        <w:tc>
          <w:tcPr>
            <w:tcW w:w="730" w:type="dxa"/>
            <w:hideMark/>
          </w:tcPr>
          <w:p w14:paraId="44EAE66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0295276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3.2</w:t>
            </w:r>
          </w:p>
        </w:tc>
        <w:tc>
          <w:tcPr>
            <w:tcW w:w="6853" w:type="dxa"/>
            <w:hideMark/>
          </w:tcPr>
          <w:p w14:paraId="2F15602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Închiderea depozitelor de deșeuri municipale neconforme care fac obiectul cauzei C-2020/2276</w:t>
            </w:r>
          </w:p>
        </w:tc>
        <w:tc>
          <w:tcPr>
            <w:tcW w:w="4394" w:type="dxa"/>
            <w:hideMark/>
          </w:tcPr>
          <w:p w14:paraId="62177C4F" w14:textId="5EE6F34D"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3A08CB00" w14:textId="5D10BDFE"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7E6092D7" w14:textId="66559E20"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30F5118C"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5EB3195"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MUN-A31</w:t>
            </w:r>
          </w:p>
        </w:tc>
        <w:tc>
          <w:tcPr>
            <w:tcW w:w="730" w:type="dxa"/>
            <w:shd w:val="clear" w:color="auto" w:fill="auto"/>
            <w:hideMark/>
          </w:tcPr>
          <w:p w14:paraId="4AD9DF5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23591D7D"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3.2.1</w:t>
            </w:r>
          </w:p>
        </w:tc>
        <w:tc>
          <w:tcPr>
            <w:tcW w:w="6853" w:type="dxa"/>
            <w:shd w:val="clear" w:color="auto" w:fill="auto"/>
            <w:hideMark/>
          </w:tcPr>
          <w:p w14:paraId="2CCD0FF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Închiderea a 8 depozite de deșeuri municipale</w:t>
            </w:r>
          </w:p>
        </w:tc>
        <w:tc>
          <w:tcPr>
            <w:tcW w:w="4394" w:type="dxa"/>
            <w:shd w:val="clear" w:color="auto" w:fill="auto"/>
            <w:hideMark/>
          </w:tcPr>
          <w:p w14:paraId="51E9479F"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Câmpulung Moldovenesc (SV), Darabani (BT), Săveni (BT), Vulcan (HD), Lipova (AR), Rupea (BV); Mediaș (SB), Horezu (VL) – 2030</w:t>
            </w:r>
          </w:p>
        </w:tc>
        <w:tc>
          <w:tcPr>
            <w:tcW w:w="3309" w:type="dxa"/>
            <w:shd w:val="clear" w:color="auto" w:fill="auto"/>
            <w:hideMark/>
          </w:tcPr>
          <w:p w14:paraId="7D6D8C0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UAT</w:t>
            </w:r>
          </w:p>
        </w:tc>
        <w:tc>
          <w:tcPr>
            <w:tcW w:w="2928" w:type="dxa"/>
            <w:shd w:val="clear" w:color="auto" w:fill="auto"/>
            <w:hideMark/>
          </w:tcPr>
          <w:p w14:paraId="6EA0FC1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AFM; Fonduri europene; Alte fonduri; Buget local</w:t>
            </w:r>
          </w:p>
        </w:tc>
      </w:tr>
      <w:tr w:rsidR="00802971" w:rsidRPr="00187708" w14:paraId="75D38F4F"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44AEEB12" w14:textId="77777777" w:rsidR="00802971" w:rsidRPr="00187708" w:rsidRDefault="00802971"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MUN-OS-04</w:t>
            </w:r>
          </w:p>
        </w:tc>
        <w:tc>
          <w:tcPr>
            <w:tcW w:w="730" w:type="dxa"/>
            <w:hideMark/>
          </w:tcPr>
          <w:p w14:paraId="057CE8C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45" w:type="dxa"/>
            <w:hideMark/>
          </w:tcPr>
          <w:p w14:paraId="23FA1E70"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4</w:t>
            </w:r>
          </w:p>
        </w:tc>
        <w:tc>
          <w:tcPr>
            <w:tcW w:w="6853" w:type="dxa"/>
            <w:hideMark/>
          </w:tcPr>
          <w:p w14:paraId="4D6E7EDC"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Depozitarea numai a deșeurilor supuse în prealabil unor operații de tratare, în depozite conforme</w:t>
            </w:r>
          </w:p>
        </w:tc>
        <w:tc>
          <w:tcPr>
            <w:tcW w:w="4394" w:type="dxa"/>
            <w:hideMark/>
          </w:tcPr>
          <w:p w14:paraId="2305A566" w14:textId="7DA01E31"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p>
        </w:tc>
        <w:tc>
          <w:tcPr>
            <w:tcW w:w="3309" w:type="dxa"/>
            <w:hideMark/>
          </w:tcPr>
          <w:p w14:paraId="2AA70DFA" w14:textId="02B34593"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c>
          <w:tcPr>
            <w:tcW w:w="2928" w:type="dxa"/>
            <w:hideMark/>
          </w:tcPr>
          <w:p w14:paraId="65CFF414" w14:textId="3280D0F9"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r>
      <w:tr w:rsidR="00802971" w:rsidRPr="00187708" w14:paraId="58411B6E"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502DC70E"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MUN-M8</w:t>
            </w:r>
          </w:p>
        </w:tc>
        <w:tc>
          <w:tcPr>
            <w:tcW w:w="730" w:type="dxa"/>
            <w:shd w:val="clear" w:color="auto" w:fill="auto"/>
            <w:hideMark/>
          </w:tcPr>
          <w:p w14:paraId="073A399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shd w:val="clear" w:color="auto" w:fill="auto"/>
            <w:hideMark/>
          </w:tcPr>
          <w:p w14:paraId="5FBFC64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4.1</w:t>
            </w:r>
          </w:p>
        </w:tc>
        <w:tc>
          <w:tcPr>
            <w:tcW w:w="6853" w:type="dxa"/>
            <w:shd w:val="clear" w:color="auto" w:fill="auto"/>
            <w:hideMark/>
          </w:tcPr>
          <w:p w14:paraId="5B26274C"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Asigurarea capacității de tratare pentru întreaga cantitate de deșeuri reziduale</w:t>
            </w:r>
          </w:p>
        </w:tc>
        <w:tc>
          <w:tcPr>
            <w:tcW w:w="4394" w:type="dxa"/>
            <w:shd w:val="clear" w:color="auto" w:fill="auto"/>
            <w:hideMark/>
          </w:tcPr>
          <w:p w14:paraId="61BE6D78" w14:textId="12DDBF9F"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shd w:val="clear" w:color="auto" w:fill="auto"/>
            <w:hideMark/>
          </w:tcPr>
          <w:p w14:paraId="617A6CC8" w14:textId="600CF51A"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shd w:val="clear" w:color="auto" w:fill="auto"/>
            <w:hideMark/>
          </w:tcPr>
          <w:p w14:paraId="30AC2CD8" w14:textId="6C23C514"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1B2C4D3B"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54C6374E"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MUN-A32</w:t>
            </w:r>
          </w:p>
        </w:tc>
        <w:tc>
          <w:tcPr>
            <w:tcW w:w="730" w:type="dxa"/>
            <w:hideMark/>
          </w:tcPr>
          <w:p w14:paraId="53449E3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0A75F5D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4.1.1</w:t>
            </w:r>
          </w:p>
        </w:tc>
        <w:tc>
          <w:tcPr>
            <w:tcW w:w="6853" w:type="dxa"/>
            <w:hideMark/>
          </w:tcPr>
          <w:p w14:paraId="6A647DAF"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tratare a deșeurilor reziduale prin conversia TMB existente și construirea de capacități noi în cadrul IITD (Cap. 3.7, Tabel 3-44)</w:t>
            </w:r>
          </w:p>
        </w:tc>
        <w:tc>
          <w:tcPr>
            <w:tcW w:w="4394" w:type="dxa"/>
            <w:hideMark/>
          </w:tcPr>
          <w:p w14:paraId="2C36A134"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Conversia în IITD a 16 instalații TMB existente (tratare reziduale 590.000 t/an) până în 2030; Construirea a 27 IITD noi (tratare reziduale 1.100.000 t/an) până în 2030</w:t>
            </w:r>
          </w:p>
        </w:tc>
        <w:tc>
          <w:tcPr>
            <w:tcW w:w="3309" w:type="dxa"/>
            <w:hideMark/>
          </w:tcPr>
          <w:p w14:paraId="46D320AE"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 CJ</w:t>
            </w:r>
          </w:p>
        </w:tc>
        <w:tc>
          <w:tcPr>
            <w:tcW w:w="2928" w:type="dxa"/>
            <w:hideMark/>
          </w:tcPr>
          <w:p w14:paraId="2C99966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802971" w:rsidRPr="00187708" w14:paraId="530C7D8B" w14:textId="77777777" w:rsidTr="007A13C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0D9B996B"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MUN-M9</w:t>
            </w:r>
          </w:p>
        </w:tc>
        <w:tc>
          <w:tcPr>
            <w:tcW w:w="730" w:type="dxa"/>
            <w:shd w:val="clear" w:color="auto" w:fill="auto"/>
            <w:hideMark/>
          </w:tcPr>
          <w:p w14:paraId="25594E3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shd w:val="clear" w:color="auto" w:fill="auto"/>
            <w:hideMark/>
          </w:tcPr>
          <w:p w14:paraId="6E19DA6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4.2</w:t>
            </w:r>
          </w:p>
        </w:tc>
        <w:tc>
          <w:tcPr>
            <w:tcW w:w="6853" w:type="dxa"/>
            <w:shd w:val="clear" w:color="auto" w:fill="auto"/>
            <w:hideMark/>
          </w:tcPr>
          <w:p w14:paraId="70DDC158"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Asigurarea capacității de depozitare a deșeurilor tratate în depozite conforme</w:t>
            </w:r>
          </w:p>
        </w:tc>
        <w:tc>
          <w:tcPr>
            <w:tcW w:w="4394" w:type="dxa"/>
            <w:shd w:val="clear" w:color="auto" w:fill="auto"/>
            <w:hideMark/>
          </w:tcPr>
          <w:p w14:paraId="064F31E7" w14:textId="334C79EA"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shd w:val="clear" w:color="auto" w:fill="auto"/>
            <w:hideMark/>
          </w:tcPr>
          <w:p w14:paraId="273A11CF" w14:textId="17EDE458"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shd w:val="clear" w:color="auto" w:fill="auto"/>
            <w:hideMark/>
          </w:tcPr>
          <w:p w14:paraId="79C9F016" w14:textId="1C5DD1BF"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6EA8E527"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2139199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MUN-A33</w:t>
            </w:r>
          </w:p>
        </w:tc>
        <w:tc>
          <w:tcPr>
            <w:tcW w:w="730" w:type="dxa"/>
            <w:hideMark/>
          </w:tcPr>
          <w:p w14:paraId="26974C0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154CC61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4.2.1</w:t>
            </w:r>
          </w:p>
        </w:tc>
        <w:tc>
          <w:tcPr>
            <w:tcW w:w="6853" w:type="dxa"/>
            <w:hideMark/>
          </w:tcPr>
          <w:p w14:paraId="3D59465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depozitare în depozite conforme, prin construirea de depozite noi și extinderea capacităților existente</w:t>
            </w:r>
          </w:p>
        </w:tc>
        <w:tc>
          <w:tcPr>
            <w:tcW w:w="4394" w:type="dxa"/>
            <w:hideMark/>
          </w:tcPr>
          <w:p w14:paraId="24ED32FB"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Construirea a 1 depozit nou (650.000 mc) până în 2030; Extinderea a 20 depozite existente prin celule noi (total 3.400.000 mc) până în 2035</w:t>
            </w:r>
          </w:p>
        </w:tc>
        <w:tc>
          <w:tcPr>
            <w:tcW w:w="3309" w:type="dxa"/>
            <w:hideMark/>
          </w:tcPr>
          <w:p w14:paraId="3AC98ED1"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CJ; UAT</w:t>
            </w:r>
          </w:p>
        </w:tc>
        <w:tc>
          <w:tcPr>
            <w:tcW w:w="2928" w:type="dxa"/>
            <w:hideMark/>
          </w:tcPr>
          <w:p w14:paraId="6178B44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Alte fonduri</w:t>
            </w:r>
          </w:p>
        </w:tc>
      </w:tr>
      <w:tr w:rsidR="00802971" w:rsidRPr="00187708" w14:paraId="08164BF7"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606BEF72"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MUN-A34</w:t>
            </w:r>
          </w:p>
        </w:tc>
        <w:tc>
          <w:tcPr>
            <w:tcW w:w="730" w:type="dxa"/>
            <w:shd w:val="clear" w:color="auto" w:fill="auto"/>
            <w:hideMark/>
          </w:tcPr>
          <w:p w14:paraId="27CDC00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B4BCD2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4.2.2</w:t>
            </w:r>
          </w:p>
        </w:tc>
        <w:tc>
          <w:tcPr>
            <w:tcW w:w="6853" w:type="dxa"/>
            <w:shd w:val="clear" w:color="auto" w:fill="auto"/>
            <w:hideMark/>
          </w:tcPr>
          <w:p w14:paraId="460AA63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depozitare a deșeurilor municipale tratate pentru Municipiul București</w:t>
            </w:r>
          </w:p>
        </w:tc>
        <w:tc>
          <w:tcPr>
            <w:tcW w:w="4394" w:type="dxa"/>
            <w:shd w:val="clear" w:color="auto" w:fill="auto"/>
            <w:hideMark/>
          </w:tcPr>
          <w:p w14:paraId="219668C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Construirea unui depozit nou (3.500.000 mc) până în anul 2030</w:t>
            </w:r>
          </w:p>
        </w:tc>
        <w:tc>
          <w:tcPr>
            <w:tcW w:w="3309" w:type="dxa"/>
            <w:shd w:val="clear" w:color="auto" w:fill="auto"/>
            <w:hideMark/>
          </w:tcPr>
          <w:p w14:paraId="223ECFB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 București</w:t>
            </w:r>
          </w:p>
        </w:tc>
        <w:tc>
          <w:tcPr>
            <w:tcW w:w="2928" w:type="dxa"/>
            <w:shd w:val="clear" w:color="auto" w:fill="auto"/>
            <w:hideMark/>
          </w:tcPr>
          <w:p w14:paraId="5EB2AFF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Alte fonduri</w:t>
            </w:r>
          </w:p>
        </w:tc>
      </w:tr>
      <w:tr w:rsidR="00802971" w:rsidRPr="00187708" w14:paraId="11C8104A" w14:textId="77777777" w:rsidTr="007A13C1">
        <w:trPr>
          <w:trHeight w:val="159"/>
        </w:trPr>
        <w:tc>
          <w:tcPr>
            <w:cnfStyle w:val="001000000000" w:firstRow="0" w:lastRow="0" w:firstColumn="1" w:lastColumn="0" w:oddVBand="0" w:evenVBand="0" w:oddHBand="0" w:evenHBand="0" w:firstRowFirstColumn="0" w:firstRowLastColumn="0" w:lastRowFirstColumn="0" w:lastRowLastColumn="0"/>
            <w:tcW w:w="1620" w:type="dxa"/>
            <w:hideMark/>
          </w:tcPr>
          <w:p w14:paraId="5A6CE80B"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MUN-M10</w:t>
            </w:r>
          </w:p>
        </w:tc>
        <w:tc>
          <w:tcPr>
            <w:tcW w:w="730" w:type="dxa"/>
            <w:hideMark/>
          </w:tcPr>
          <w:p w14:paraId="1F0ED95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17B5D02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4.3</w:t>
            </w:r>
          </w:p>
        </w:tc>
        <w:tc>
          <w:tcPr>
            <w:tcW w:w="6853" w:type="dxa"/>
            <w:hideMark/>
          </w:tcPr>
          <w:p w14:paraId="34FF3C50"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Consolidarea cadrului administrativ și operațional pentru asigurarea tratării întregii cantități de deșeuri municipale înaintea depozitării</w:t>
            </w:r>
          </w:p>
        </w:tc>
        <w:tc>
          <w:tcPr>
            <w:tcW w:w="4394" w:type="dxa"/>
            <w:hideMark/>
          </w:tcPr>
          <w:p w14:paraId="3EB9A23A" w14:textId="564454B1"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72916AC0" w14:textId="1671EF02"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4FB9463A" w14:textId="2BEAD800"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067CF452" w14:textId="77777777" w:rsidTr="007A13C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4325ABF8"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MUN-A35</w:t>
            </w:r>
          </w:p>
        </w:tc>
        <w:tc>
          <w:tcPr>
            <w:tcW w:w="730" w:type="dxa"/>
            <w:shd w:val="clear" w:color="auto" w:fill="auto"/>
            <w:hideMark/>
          </w:tcPr>
          <w:p w14:paraId="17430EB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0297DF6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4.3.1</w:t>
            </w:r>
          </w:p>
        </w:tc>
        <w:tc>
          <w:tcPr>
            <w:tcW w:w="6853" w:type="dxa"/>
            <w:shd w:val="clear" w:color="auto" w:fill="auto"/>
            <w:hideMark/>
          </w:tcPr>
          <w:p w14:paraId="1762BF0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Aplicarea de sancțiuni și măsuri coercitive către CJ/UAT în cazul nerespectării obligației de tratare prealabilă înaintea depozitării</w:t>
            </w:r>
          </w:p>
        </w:tc>
        <w:tc>
          <w:tcPr>
            <w:tcW w:w="4394" w:type="dxa"/>
            <w:shd w:val="clear" w:color="auto" w:fill="auto"/>
            <w:hideMark/>
          </w:tcPr>
          <w:p w14:paraId="42480B86"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100% dintre UAT-J</w:t>
            </w:r>
          </w:p>
        </w:tc>
        <w:tc>
          <w:tcPr>
            <w:tcW w:w="3309" w:type="dxa"/>
            <w:shd w:val="clear" w:color="auto" w:fill="auto"/>
            <w:hideMark/>
          </w:tcPr>
          <w:p w14:paraId="60EEEE3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2928" w:type="dxa"/>
            <w:shd w:val="clear" w:color="auto" w:fill="auto"/>
            <w:hideMark/>
          </w:tcPr>
          <w:p w14:paraId="4934B7D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05AFA3BB"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02B5990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MUN-A36</w:t>
            </w:r>
          </w:p>
        </w:tc>
        <w:tc>
          <w:tcPr>
            <w:tcW w:w="730" w:type="dxa"/>
            <w:hideMark/>
          </w:tcPr>
          <w:p w14:paraId="0BBC4D9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51F9DF4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4.3.2</w:t>
            </w:r>
          </w:p>
        </w:tc>
        <w:tc>
          <w:tcPr>
            <w:tcW w:w="6853" w:type="dxa"/>
            <w:hideMark/>
          </w:tcPr>
          <w:p w14:paraId="79F8229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Definirea și determinarea unor indicatori tehnici cuantificabili privind nivelul de tratare a deșeurilor municipale înaintea depozitării, în vederea reglementării la nivel național</w:t>
            </w:r>
          </w:p>
        </w:tc>
        <w:tc>
          <w:tcPr>
            <w:tcW w:w="4394" w:type="dxa"/>
            <w:hideMark/>
          </w:tcPr>
          <w:p w14:paraId="3F54E4E9"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hideMark/>
          </w:tcPr>
          <w:p w14:paraId="36DE8C7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12C0B36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02ED4F0B"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3E28F594" w14:textId="77777777" w:rsidR="00802971" w:rsidRPr="00187708" w:rsidRDefault="00802971"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MUN-OS-05</w:t>
            </w:r>
          </w:p>
        </w:tc>
        <w:tc>
          <w:tcPr>
            <w:tcW w:w="730" w:type="dxa"/>
            <w:shd w:val="clear" w:color="auto" w:fill="auto"/>
            <w:hideMark/>
          </w:tcPr>
          <w:p w14:paraId="446214E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45" w:type="dxa"/>
            <w:shd w:val="clear" w:color="auto" w:fill="auto"/>
            <w:hideMark/>
          </w:tcPr>
          <w:p w14:paraId="01C85EC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5</w:t>
            </w:r>
          </w:p>
        </w:tc>
        <w:tc>
          <w:tcPr>
            <w:tcW w:w="6853" w:type="dxa"/>
            <w:shd w:val="clear" w:color="auto" w:fill="auto"/>
            <w:hideMark/>
          </w:tcPr>
          <w:p w14:paraId="7EE893A3"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Consolidarea cadrului de reglementare și autorizare care să susțină funcționarea eficientă a sistemelor de gestionare a deșeurilor municipale</w:t>
            </w:r>
          </w:p>
        </w:tc>
        <w:tc>
          <w:tcPr>
            <w:tcW w:w="4394" w:type="dxa"/>
            <w:shd w:val="clear" w:color="auto" w:fill="auto"/>
            <w:hideMark/>
          </w:tcPr>
          <w:p w14:paraId="3B74DFE2" w14:textId="6B6D3B49"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3309" w:type="dxa"/>
            <w:shd w:val="clear" w:color="auto" w:fill="auto"/>
            <w:hideMark/>
          </w:tcPr>
          <w:p w14:paraId="0DBDC1D6" w14:textId="58883DB4"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2928" w:type="dxa"/>
            <w:shd w:val="clear" w:color="auto" w:fill="auto"/>
            <w:hideMark/>
          </w:tcPr>
          <w:p w14:paraId="43C1F553" w14:textId="7DB408AA"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r>
      <w:tr w:rsidR="00802971" w:rsidRPr="00187708" w14:paraId="4DB6CB0B"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64FDFCF6"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MUN-M11</w:t>
            </w:r>
          </w:p>
        </w:tc>
        <w:tc>
          <w:tcPr>
            <w:tcW w:w="730" w:type="dxa"/>
            <w:hideMark/>
          </w:tcPr>
          <w:p w14:paraId="7EDE4A6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30D9248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5.1</w:t>
            </w:r>
          </w:p>
        </w:tc>
        <w:tc>
          <w:tcPr>
            <w:tcW w:w="6853" w:type="dxa"/>
            <w:hideMark/>
          </w:tcPr>
          <w:p w14:paraId="155AA05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Modificări legislative care să asigure o practică unitară de gestionare a deșeurilor municipale</w:t>
            </w:r>
          </w:p>
        </w:tc>
        <w:tc>
          <w:tcPr>
            <w:tcW w:w="4394" w:type="dxa"/>
            <w:hideMark/>
          </w:tcPr>
          <w:p w14:paraId="50C6E368" w14:textId="7EBD5FA2"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790EDB87" w14:textId="420AD00C"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4A08C693" w14:textId="33DC427D"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0F8168B9" w14:textId="77777777" w:rsidTr="007A13C1">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7898566F"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MUN-A37</w:t>
            </w:r>
          </w:p>
        </w:tc>
        <w:tc>
          <w:tcPr>
            <w:tcW w:w="730" w:type="dxa"/>
            <w:shd w:val="clear" w:color="auto" w:fill="auto"/>
            <w:hideMark/>
          </w:tcPr>
          <w:p w14:paraId="0738E0A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2C102C88"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w:t>
            </w:r>
          </w:p>
        </w:tc>
        <w:tc>
          <w:tcPr>
            <w:tcW w:w="6853" w:type="dxa"/>
            <w:shd w:val="clear" w:color="auto" w:fill="auto"/>
            <w:hideMark/>
          </w:tcPr>
          <w:p w14:paraId="0389358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Modificarea OUG 92/2021: revizuirea Anexei nr. 5 (indicatori minimi de performanță – includerea indicatorilor pentru colectare separată și tratare în IITD conform acțiunilor 2.2.7-2.2.12 și 2.3.6; definire prin raportare la cantitatea totală estimată; înlocuirea ponderii de 33% cu valoarea ajustată cu impactul SGR; indicator distinct pentru stații de sortare manuale și 75%/80% pentru cele semi/automatizate); grad maxim de impurități 25% până în 2029 și 20% din 2030 pentru hârtie/carton/plastic/metal, respectiv 15% până în 2029 și 10% din 2030 pentru biodeșeuri; obligația UAT de plan de combatere a abandonării deșeurilor și raportare anuală (15 februarie) către DJM/GNM/ADI; obligația de contracte/parteneriate APL/ADI–OIREP, inclusiv pentru utilizatorii non-casnici</w:t>
            </w:r>
          </w:p>
        </w:tc>
        <w:tc>
          <w:tcPr>
            <w:tcW w:w="4394" w:type="dxa"/>
            <w:shd w:val="clear" w:color="auto" w:fill="auto"/>
            <w:hideMark/>
          </w:tcPr>
          <w:p w14:paraId="41D72089"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7507ECD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shd w:val="clear" w:color="auto" w:fill="auto"/>
            <w:hideMark/>
          </w:tcPr>
          <w:p w14:paraId="4C16532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6BDF823A"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729B3B59"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MUN-A38</w:t>
            </w:r>
          </w:p>
        </w:tc>
        <w:tc>
          <w:tcPr>
            <w:tcW w:w="730" w:type="dxa"/>
            <w:hideMark/>
          </w:tcPr>
          <w:p w14:paraId="4840C3B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77A1ED9E"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5.1.2</w:t>
            </w:r>
          </w:p>
        </w:tc>
        <w:tc>
          <w:tcPr>
            <w:tcW w:w="6853" w:type="dxa"/>
            <w:hideMark/>
          </w:tcPr>
          <w:p w14:paraId="1A25BCF0"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Corelarea prevederilor OUG 92/2021 cu Legea 101/2006: organizarea colectării hârtie/carton/plastic/metal și a rezidualelor într-un singur contract de delegare; eliminarea obligației de tarife distincte în caiete/contracte; obligația de stabilire și aprobare a tarifelor distincte; clarificarea includerii costurilor textilelor; eliminarea obligației de tarife distincte la plata prin tarif (corelat cu art. 41 alin.(5) din Legea 101/2006); obligația operatorilor de a suporta CEC și cheltuielile de depozitare pentru cantitățile peste indicatorii de performanță</w:t>
            </w:r>
          </w:p>
        </w:tc>
        <w:tc>
          <w:tcPr>
            <w:tcW w:w="4394" w:type="dxa"/>
            <w:hideMark/>
          </w:tcPr>
          <w:p w14:paraId="34CE0473"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5E8D91A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7818D63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4C12ED5C"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7893E161"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MUN-A39</w:t>
            </w:r>
          </w:p>
        </w:tc>
        <w:tc>
          <w:tcPr>
            <w:tcW w:w="730" w:type="dxa"/>
            <w:shd w:val="clear" w:color="auto" w:fill="auto"/>
            <w:hideMark/>
          </w:tcPr>
          <w:p w14:paraId="5C3A3F3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41993B3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5.1.3</w:t>
            </w:r>
          </w:p>
        </w:tc>
        <w:tc>
          <w:tcPr>
            <w:tcW w:w="6853" w:type="dxa"/>
            <w:shd w:val="clear" w:color="auto" w:fill="auto"/>
            <w:hideMark/>
          </w:tcPr>
          <w:p w14:paraId="2E8172F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Modificarea Legii 101/2006: reglementarea transportului reziduurilor din stații de sortare și instalații de tratare aerobă către TMB/IITD; calcularea și aprobarea reducerii facturii/taxei de salubrizare și pentru utilizatorii non-casnici, pe baza sumelor de la OIREP și a veniturilor din valorificare (norme A.N.R.S.C.)</w:t>
            </w:r>
          </w:p>
        </w:tc>
        <w:tc>
          <w:tcPr>
            <w:tcW w:w="4394" w:type="dxa"/>
            <w:shd w:val="clear" w:color="auto" w:fill="auto"/>
            <w:hideMark/>
          </w:tcPr>
          <w:p w14:paraId="37243A3C"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03DAD4B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MDLPA; ANRSC</w:t>
            </w:r>
          </w:p>
        </w:tc>
        <w:tc>
          <w:tcPr>
            <w:tcW w:w="2928" w:type="dxa"/>
            <w:shd w:val="clear" w:color="auto" w:fill="auto"/>
            <w:hideMark/>
          </w:tcPr>
          <w:p w14:paraId="7D1FE7F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5EC50858"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0D28BB5D"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MUN-A40</w:t>
            </w:r>
          </w:p>
        </w:tc>
        <w:tc>
          <w:tcPr>
            <w:tcW w:w="730" w:type="dxa"/>
            <w:hideMark/>
          </w:tcPr>
          <w:p w14:paraId="6EA8A990"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577DDDC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5.1.4</w:t>
            </w:r>
          </w:p>
        </w:tc>
        <w:tc>
          <w:tcPr>
            <w:tcW w:w="6853" w:type="dxa"/>
            <w:hideMark/>
          </w:tcPr>
          <w:p w14:paraId="12B27E8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Modificarea Ordinului ANRSC nr. 640/2022: reducerea taxei distincte pentru reziduale cu veniturile din vânzarea reciclabilelor/valorificare (corelat cu Anexa 6); revizuirea Anexei 6 – tarife unice pe zonă de colectare fără diferențiere pe medii; aplicarea factorilor de ajustare a taxei conform art. 42 alin. (4) din Legea nr. 101/2006</w:t>
            </w:r>
          </w:p>
        </w:tc>
        <w:tc>
          <w:tcPr>
            <w:tcW w:w="4394" w:type="dxa"/>
            <w:hideMark/>
          </w:tcPr>
          <w:p w14:paraId="64ADBDD6"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7858BA0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ANRSC</w:t>
            </w:r>
          </w:p>
        </w:tc>
        <w:tc>
          <w:tcPr>
            <w:tcW w:w="2928" w:type="dxa"/>
            <w:hideMark/>
          </w:tcPr>
          <w:p w14:paraId="7EE6292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158CFA8B"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47DDEFB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MUN-A41</w:t>
            </w:r>
          </w:p>
        </w:tc>
        <w:tc>
          <w:tcPr>
            <w:tcW w:w="730" w:type="dxa"/>
            <w:shd w:val="clear" w:color="auto" w:fill="auto"/>
            <w:hideMark/>
          </w:tcPr>
          <w:p w14:paraId="2841E77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035AA67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5.1.5</w:t>
            </w:r>
          </w:p>
        </w:tc>
        <w:tc>
          <w:tcPr>
            <w:tcW w:w="6853" w:type="dxa"/>
            <w:shd w:val="clear" w:color="auto" w:fill="auto"/>
            <w:hideMark/>
          </w:tcPr>
          <w:p w14:paraId="47B0E6F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Modificarea OUG 196/2005: eliminarea scutirii de CEC pentru deșeurile CLO; diferențierea CEC în funcție de tipul deșeurilor depozitate (tratate vs. netratate); prioritizarea de către MMAP, la bugetul AFM, a proiectelor de management al deșeurilor</w:t>
            </w:r>
          </w:p>
        </w:tc>
        <w:tc>
          <w:tcPr>
            <w:tcW w:w="4394" w:type="dxa"/>
            <w:shd w:val="clear" w:color="auto" w:fill="auto"/>
            <w:hideMark/>
          </w:tcPr>
          <w:p w14:paraId="6899735C"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61EB844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w:t>
            </w:r>
          </w:p>
        </w:tc>
        <w:tc>
          <w:tcPr>
            <w:tcW w:w="2928" w:type="dxa"/>
            <w:shd w:val="clear" w:color="auto" w:fill="auto"/>
            <w:hideMark/>
          </w:tcPr>
          <w:p w14:paraId="233DD12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2211F5D2"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5C745D44"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MUN-A42</w:t>
            </w:r>
          </w:p>
        </w:tc>
        <w:tc>
          <w:tcPr>
            <w:tcW w:w="730" w:type="dxa"/>
            <w:hideMark/>
          </w:tcPr>
          <w:p w14:paraId="772AF16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57D3991"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5.1.6</w:t>
            </w:r>
          </w:p>
        </w:tc>
        <w:tc>
          <w:tcPr>
            <w:tcW w:w="6853" w:type="dxa"/>
            <w:hideMark/>
          </w:tcPr>
          <w:p w14:paraId="70164E75"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unui act normativ privind gestionarea deșeurilor textile și implementarea REP pentru deșeurile textile</w:t>
            </w:r>
          </w:p>
        </w:tc>
        <w:tc>
          <w:tcPr>
            <w:tcW w:w="4394" w:type="dxa"/>
            <w:hideMark/>
          </w:tcPr>
          <w:p w14:paraId="22CCD617"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273E064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MEDAT</w:t>
            </w:r>
          </w:p>
        </w:tc>
        <w:tc>
          <w:tcPr>
            <w:tcW w:w="2928" w:type="dxa"/>
            <w:hideMark/>
          </w:tcPr>
          <w:p w14:paraId="11847890"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2E04DB07"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6103409"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MUN-A43</w:t>
            </w:r>
          </w:p>
        </w:tc>
        <w:tc>
          <w:tcPr>
            <w:tcW w:w="730" w:type="dxa"/>
            <w:shd w:val="clear" w:color="auto" w:fill="auto"/>
            <w:hideMark/>
          </w:tcPr>
          <w:p w14:paraId="56A9005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2C7E862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5.1.7</w:t>
            </w:r>
          </w:p>
        </w:tc>
        <w:tc>
          <w:tcPr>
            <w:tcW w:w="6853" w:type="dxa"/>
            <w:shd w:val="clear" w:color="auto" w:fill="auto"/>
            <w:hideMark/>
          </w:tcPr>
          <w:p w14:paraId="0CED9F1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Abrogarea HG 856/2002 privind evidența gestiunii deșeurilor și aprobarea listei deșeurilor, inclusiv periculoase</w:t>
            </w:r>
          </w:p>
        </w:tc>
        <w:tc>
          <w:tcPr>
            <w:tcW w:w="4394" w:type="dxa"/>
            <w:shd w:val="clear" w:color="auto" w:fill="auto"/>
            <w:hideMark/>
          </w:tcPr>
          <w:p w14:paraId="12FD5182"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1B2CB06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shd w:val="clear" w:color="auto" w:fill="auto"/>
            <w:hideMark/>
          </w:tcPr>
          <w:p w14:paraId="1C77765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3BF9D93B" w14:textId="77777777" w:rsidTr="007A13C1">
        <w:trPr>
          <w:trHeight w:val="510"/>
        </w:trPr>
        <w:tc>
          <w:tcPr>
            <w:cnfStyle w:val="001000000000" w:firstRow="0" w:lastRow="0" w:firstColumn="1" w:lastColumn="0" w:oddVBand="0" w:evenVBand="0" w:oddHBand="0" w:evenHBand="0" w:firstRowFirstColumn="0" w:firstRowLastColumn="0" w:lastRowFirstColumn="0" w:lastRowLastColumn="0"/>
            <w:tcW w:w="1620" w:type="dxa"/>
            <w:hideMark/>
          </w:tcPr>
          <w:p w14:paraId="0B535E15"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MUN-A44</w:t>
            </w:r>
          </w:p>
        </w:tc>
        <w:tc>
          <w:tcPr>
            <w:tcW w:w="730" w:type="dxa"/>
            <w:hideMark/>
          </w:tcPr>
          <w:p w14:paraId="184D0A7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5E986CD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5.1.8</w:t>
            </w:r>
          </w:p>
        </w:tc>
        <w:tc>
          <w:tcPr>
            <w:tcW w:w="6853" w:type="dxa"/>
            <w:hideMark/>
          </w:tcPr>
          <w:p w14:paraId="1893A775"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Includerea în legislație a definițiilor privind deșeurile similare din comerț, industrie și instituții și a deșeurilor de ambalaje municipale</w:t>
            </w:r>
          </w:p>
        </w:tc>
        <w:tc>
          <w:tcPr>
            <w:tcW w:w="4394" w:type="dxa"/>
            <w:hideMark/>
          </w:tcPr>
          <w:p w14:paraId="738BEDF2"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5A3450D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240DAED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5347BD9C"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7B0F85D2"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MUN-A45</w:t>
            </w:r>
          </w:p>
        </w:tc>
        <w:tc>
          <w:tcPr>
            <w:tcW w:w="730" w:type="dxa"/>
            <w:shd w:val="clear" w:color="auto" w:fill="auto"/>
            <w:hideMark/>
          </w:tcPr>
          <w:p w14:paraId="1D8DBDE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61BA2C7D"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5.1.9</w:t>
            </w:r>
          </w:p>
        </w:tc>
        <w:tc>
          <w:tcPr>
            <w:tcW w:w="6853" w:type="dxa"/>
            <w:shd w:val="clear" w:color="auto" w:fill="auto"/>
            <w:hideMark/>
          </w:tcPr>
          <w:p w14:paraId="3E49A9C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Revizuirea Ordinului MMAP nr. 140/2019 pentru alinierea documentelor de planificare județeană/Mun. București (PJGD/PMBGD) cu PNGD revizuit</w:t>
            </w:r>
          </w:p>
        </w:tc>
        <w:tc>
          <w:tcPr>
            <w:tcW w:w="4394" w:type="dxa"/>
            <w:shd w:val="clear" w:color="auto" w:fill="auto"/>
            <w:hideMark/>
          </w:tcPr>
          <w:p w14:paraId="2B020BA2"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08851A60"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shd w:val="clear" w:color="auto" w:fill="auto"/>
            <w:hideMark/>
          </w:tcPr>
          <w:p w14:paraId="7551842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3A2E3E20" w14:textId="77777777" w:rsidTr="007A13C1">
        <w:trPr>
          <w:trHeight w:val="146"/>
        </w:trPr>
        <w:tc>
          <w:tcPr>
            <w:cnfStyle w:val="001000000000" w:firstRow="0" w:lastRow="0" w:firstColumn="1" w:lastColumn="0" w:oddVBand="0" w:evenVBand="0" w:oddHBand="0" w:evenHBand="0" w:firstRowFirstColumn="0" w:firstRowLastColumn="0" w:lastRowFirstColumn="0" w:lastRowLastColumn="0"/>
            <w:tcW w:w="1620" w:type="dxa"/>
            <w:hideMark/>
          </w:tcPr>
          <w:p w14:paraId="0241E3D1"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MUN-A46</w:t>
            </w:r>
          </w:p>
        </w:tc>
        <w:tc>
          <w:tcPr>
            <w:tcW w:w="730" w:type="dxa"/>
            <w:hideMark/>
          </w:tcPr>
          <w:p w14:paraId="34CD69B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75E8D4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5.1.10</w:t>
            </w:r>
          </w:p>
        </w:tc>
        <w:tc>
          <w:tcPr>
            <w:tcW w:w="6853" w:type="dxa"/>
            <w:hideMark/>
          </w:tcPr>
          <w:p w14:paraId="115F5CFA"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metodologiei de monitorizare și evaluare a PNGD (responsabilități instituționale, mecanisme de coordonare și control, fișe de responsabilități, platformă online de raportare, proceduri de evaluare cu sancțiuni, mecanism de avertizare timpurie)</w:t>
            </w:r>
          </w:p>
        </w:tc>
        <w:tc>
          <w:tcPr>
            <w:tcW w:w="4394" w:type="dxa"/>
            <w:hideMark/>
          </w:tcPr>
          <w:p w14:paraId="127E976C"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1D83D15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6502DEE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615CF418"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1B123548"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MUN-A47</w:t>
            </w:r>
          </w:p>
        </w:tc>
        <w:tc>
          <w:tcPr>
            <w:tcW w:w="730" w:type="dxa"/>
            <w:shd w:val="clear" w:color="auto" w:fill="auto"/>
            <w:hideMark/>
          </w:tcPr>
          <w:p w14:paraId="2492D4F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3000B7F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5.1.11</w:t>
            </w:r>
          </w:p>
        </w:tc>
        <w:tc>
          <w:tcPr>
            <w:tcW w:w="6853" w:type="dxa"/>
            <w:shd w:val="clear" w:color="auto" w:fill="auto"/>
            <w:hideMark/>
          </w:tcPr>
          <w:p w14:paraId="269F177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platformei online de raportare PNGD</w:t>
            </w:r>
          </w:p>
        </w:tc>
        <w:tc>
          <w:tcPr>
            <w:tcW w:w="4394" w:type="dxa"/>
            <w:shd w:val="clear" w:color="auto" w:fill="auto"/>
            <w:hideMark/>
          </w:tcPr>
          <w:p w14:paraId="4054E13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shd w:val="clear" w:color="auto" w:fill="auto"/>
            <w:hideMark/>
          </w:tcPr>
          <w:p w14:paraId="134FD2E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shd w:val="clear" w:color="auto" w:fill="auto"/>
            <w:hideMark/>
          </w:tcPr>
          <w:p w14:paraId="785B4B1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3ECBB81F"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460D19D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MUN-A48</w:t>
            </w:r>
          </w:p>
        </w:tc>
        <w:tc>
          <w:tcPr>
            <w:tcW w:w="730" w:type="dxa"/>
            <w:hideMark/>
          </w:tcPr>
          <w:p w14:paraId="7FA5B7E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138E095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5.1.12</w:t>
            </w:r>
          </w:p>
        </w:tc>
        <w:tc>
          <w:tcPr>
            <w:tcW w:w="6853" w:type="dxa"/>
            <w:hideMark/>
          </w:tcPr>
          <w:p w14:paraId="4B092D64"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procedurii privind derogările de la art. 16 alin.(1) din OUG 92/2021 (obligația colectării separate), conform art. 16 alin.(4) din OUG 92/2021</w:t>
            </w:r>
          </w:p>
        </w:tc>
        <w:tc>
          <w:tcPr>
            <w:tcW w:w="4394" w:type="dxa"/>
            <w:hideMark/>
          </w:tcPr>
          <w:p w14:paraId="3A1F268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5816C52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w:t>
            </w:r>
          </w:p>
        </w:tc>
        <w:tc>
          <w:tcPr>
            <w:tcW w:w="2928" w:type="dxa"/>
            <w:hideMark/>
          </w:tcPr>
          <w:p w14:paraId="7C96C33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486CE32C" w14:textId="77777777" w:rsidTr="007A13C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8635E72"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MUN-A49</w:t>
            </w:r>
          </w:p>
        </w:tc>
        <w:tc>
          <w:tcPr>
            <w:tcW w:w="730" w:type="dxa"/>
            <w:shd w:val="clear" w:color="auto" w:fill="auto"/>
            <w:hideMark/>
          </w:tcPr>
          <w:p w14:paraId="072B057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87CAB9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5.1.13</w:t>
            </w:r>
          </w:p>
        </w:tc>
        <w:tc>
          <w:tcPr>
            <w:tcW w:w="6853" w:type="dxa"/>
            <w:shd w:val="clear" w:color="auto" w:fill="auto"/>
            <w:hideMark/>
          </w:tcPr>
          <w:p w14:paraId="01CEF2FC"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unor norme metodologice privind funcționarea CAV (flux, categorii deșeuri, trasabilitate, cuantificare la ținta de reciclare)</w:t>
            </w:r>
          </w:p>
        </w:tc>
        <w:tc>
          <w:tcPr>
            <w:tcW w:w="4394" w:type="dxa"/>
            <w:shd w:val="clear" w:color="auto" w:fill="auto"/>
            <w:hideMark/>
          </w:tcPr>
          <w:p w14:paraId="7B4C5315"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3A1C4CE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shd w:val="clear" w:color="auto" w:fill="auto"/>
            <w:hideMark/>
          </w:tcPr>
          <w:p w14:paraId="6ABF4FF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015C2C70"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1453DA4A"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MUN-A50</w:t>
            </w:r>
          </w:p>
        </w:tc>
        <w:tc>
          <w:tcPr>
            <w:tcW w:w="730" w:type="dxa"/>
            <w:hideMark/>
          </w:tcPr>
          <w:p w14:paraId="6FEA116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01AAE2C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5.1.14</w:t>
            </w:r>
          </w:p>
        </w:tc>
        <w:tc>
          <w:tcPr>
            <w:tcW w:w="6853" w:type="dxa"/>
            <w:hideMark/>
          </w:tcPr>
          <w:p w14:paraId="13C9D876"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Revizuirea Ordinului nr. 757/2004 pentru aprobarea Normativului tehnic privind depozitarea deșeurilor</w:t>
            </w:r>
          </w:p>
        </w:tc>
        <w:tc>
          <w:tcPr>
            <w:tcW w:w="4394" w:type="dxa"/>
            <w:hideMark/>
          </w:tcPr>
          <w:p w14:paraId="4181F23F"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hideMark/>
          </w:tcPr>
          <w:p w14:paraId="3137416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2FD45F6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5DC837D9" w14:textId="77777777" w:rsidTr="007A13C1">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48218580"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MUN-A51</w:t>
            </w:r>
          </w:p>
        </w:tc>
        <w:tc>
          <w:tcPr>
            <w:tcW w:w="730" w:type="dxa"/>
            <w:shd w:val="clear" w:color="auto" w:fill="auto"/>
            <w:hideMark/>
          </w:tcPr>
          <w:p w14:paraId="490B5DE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541E93D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5.1.15</w:t>
            </w:r>
          </w:p>
        </w:tc>
        <w:tc>
          <w:tcPr>
            <w:tcW w:w="6853" w:type="dxa"/>
            <w:shd w:val="clear" w:color="auto" w:fill="auto"/>
            <w:hideMark/>
          </w:tcPr>
          <w:p w14:paraId="341AF4B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Revizuirea HG 246/2006 privind rata de suportabilitate a populației pentru managementul deșeurilor (corelare cu activitățile de salubrizare și cu praguri pentru alte servicii publice; praguri diferențiate urban/rural; mecanisme de protecție socială pentru gospodăriile vulnerabile)</w:t>
            </w:r>
          </w:p>
        </w:tc>
        <w:tc>
          <w:tcPr>
            <w:tcW w:w="4394" w:type="dxa"/>
            <w:shd w:val="clear" w:color="auto" w:fill="auto"/>
            <w:hideMark/>
          </w:tcPr>
          <w:p w14:paraId="092B57F1"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5ED9804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MDLPA</w:t>
            </w:r>
          </w:p>
        </w:tc>
        <w:tc>
          <w:tcPr>
            <w:tcW w:w="2928" w:type="dxa"/>
            <w:shd w:val="clear" w:color="auto" w:fill="auto"/>
            <w:hideMark/>
          </w:tcPr>
          <w:p w14:paraId="591A374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22AB1E5E"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6513667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MUN-A52</w:t>
            </w:r>
          </w:p>
        </w:tc>
        <w:tc>
          <w:tcPr>
            <w:tcW w:w="730" w:type="dxa"/>
            <w:hideMark/>
          </w:tcPr>
          <w:p w14:paraId="344F770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6796AC3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w:t>
            </w:r>
          </w:p>
        </w:tc>
        <w:tc>
          <w:tcPr>
            <w:tcW w:w="6853" w:type="dxa"/>
            <w:hideMark/>
          </w:tcPr>
          <w:p w14:paraId="1A59EEA3"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unor analize suport pentru decizii de modificare/completare a legislației (acțiune-cadru cu sub-componentele a–t de mai jos)</w:t>
            </w:r>
          </w:p>
        </w:tc>
        <w:tc>
          <w:tcPr>
            <w:tcW w:w="4394" w:type="dxa"/>
            <w:hideMark/>
          </w:tcPr>
          <w:p w14:paraId="07249439"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2026-2028 (pe sub-componente)</w:t>
            </w:r>
          </w:p>
        </w:tc>
        <w:tc>
          <w:tcPr>
            <w:tcW w:w="3309" w:type="dxa"/>
            <w:hideMark/>
          </w:tcPr>
          <w:p w14:paraId="2156FA3E"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și alți responsabili (pe sub-componente)</w:t>
            </w:r>
          </w:p>
        </w:tc>
        <w:tc>
          <w:tcPr>
            <w:tcW w:w="2928" w:type="dxa"/>
            <w:hideMark/>
          </w:tcPr>
          <w:p w14:paraId="20CAE47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 nespecificat</w:t>
            </w:r>
          </w:p>
        </w:tc>
      </w:tr>
      <w:tr w:rsidR="00802971" w:rsidRPr="00187708" w14:paraId="4A0DD255"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19B8C90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MUN-A53</w:t>
            </w:r>
          </w:p>
        </w:tc>
        <w:tc>
          <w:tcPr>
            <w:tcW w:w="730" w:type="dxa"/>
            <w:shd w:val="clear" w:color="auto" w:fill="auto"/>
            <w:hideMark/>
          </w:tcPr>
          <w:p w14:paraId="6104D2F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11DCA70"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5.1.16.a</w:t>
            </w:r>
          </w:p>
        </w:tc>
        <w:tc>
          <w:tcPr>
            <w:tcW w:w="6853" w:type="dxa"/>
            <w:shd w:val="clear" w:color="auto" w:fill="auto"/>
            <w:hideMark/>
          </w:tcPr>
          <w:p w14:paraId="3EEBDE7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Stabilirea măsurilor pentru promovarea pregătirii pentru reutilizare (art. 7 alin. 1 OG 2/2021)</w:t>
            </w:r>
          </w:p>
        </w:tc>
        <w:tc>
          <w:tcPr>
            <w:tcW w:w="4394" w:type="dxa"/>
            <w:shd w:val="clear" w:color="auto" w:fill="auto"/>
            <w:hideMark/>
          </w:tcPr>
          <w:p w14:paraId="79C24269"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2C7AA56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w:t>
            </w:r>
          </w:p>
        </w:tc>
        <w:tc>
          <w:tcPr>
            <w:tcW w:w="2928" w:type="dxa"/>
            <w:shd w:val="clear" w:color="auto" w:fill="auto"/>
            <w:hideMark/>
          </w:tcPr>
          <w:p w14:paraId="7828A34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04953D96"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0F4AEF68"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MUN-A54</w:t>
            </w:r>
          </w:p>
        </w:tc>
        <w:tc>
          <w:tcPr>
            <w:tcW w:w="730" w:type="dxa"/>
            <w:hideMark/>
          </w:tcPr>
          <w:p w14:paraId="48CF2B2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EB7E7E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5.1.16.b</w:t>
            </w:r>
          </w:p>
        </w:tc>
        <w:tc>
          <w:tcPr>
            <w:tcW w:w="6853" w:type="dxa"/>
            <w:hideMark/>
          </w:tcPr>
          <w:p w14:paraId="0048C6F1"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Eficientizarea sistemului de gestionare a deșeurilor prin revizuirea responsabilităților MMAP și GNM</w:t>
            </w:r>
          </w:p>
        </w:tc>
        <w:tc>
          <w:tcPr>
            <w:tcW w:w="4394" w:type="dxa"/>
            <w:hideMark/>
          </w:tcPr>
          <w:p w14:paraId="0304B13E"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hideMark/>
          </w:tcPr>
          <w:p w14:paraId="6610590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GNM</w:t>
            </w:r>
          </w:p>
        </w:tc>
        <w:tc>
          <w:tcPr>
            <w:tcW w:w="2928" w:type="dxa"/>
            <w:hideMark/>
          </w:tcPr>
          <w:p w14:paraId="1C33A6D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79DFA3DE"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6C685A0A"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MUN-A55</w:t>
            </w:r>
          </w:p>
        </w:tc>
        <w:tc>
          <w:tcPr>
            <w:tcW w:w="730" w:type="dxa"/>
            <w:shd w:val="clear" w:color="auto" w:fill="auto"/>
            <w:hideMark/>
          </w:tcPr>
          <w:p w14:paraId="7A53147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6044E32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5.1.16.c</w:t>
            </w:r>
          </w:p>
        </w:tc>
        <w:tc>
          <w:tcPr>
            <w:tcW w:w="6853" w:type="dxa"/>
            <w:shd w:val="clear" w:color="auto" w:fill="auto"/>
            <w:hideMark/>
          </w:tcPr>
          <w:p w14:paraId="4DCC66B4"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Armonizarea dispozițiilor legale pentru raportarea și trasabilitatea corectă a deșeurilor de ambalaje colectate și reciclate (Legea 249/2015)</w:t>
            </w:r>
          </w:p>
        </w:tc>
        <w:tc>
          <w:tcPr>
            <w:tcW w:w="4394" w:type="dxa"/>
            <w:shd w:val="clear" w:color="auto" w:fill="auto"/>
            <w:hideMark/>
          </w:tcPr>
          <w:p w14:paraId="358CDF0F"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shd w:val="clear" w:color="auto" w:fill="auto"/>
            <w:hideMark/>
          </w:tcPr>
          <w:p w14:paraId="785609D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MDLPA</w:t>
            </w:r>
          </w:p>
        </w:tc>
        <w:tc>
          <w:tcPr>
            <w:tcW w:w="2928" w:type="dxa"/>
            <w:shd w:val="clear" w:color="auto" w:fill="auto"/>
            <w:hideMark/>
          </w:tcPr>
          <w:p w14:paraId="17C4F45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Nespecificat</w:t>
            </w:r>
          </w:p>
        </w:tc>
      </w:tr>
      <w:tr w:rsidR="00802971" w:rsidRPr="00187708" w14:paraId="74DD6C30"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139E872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MUN-A56</w:t>
            </w:r>
          </w:p>
        </w:tc>
        <w:tc>
          <w:tcPr>
            <w:tcW w:w="730" w:type="dxa"/>
            <w:hideMark/>
          </w:tcPr>
          <w:p w14:paraId="43B4387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73E7F24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5.1.16.d</w:t>
            </w:r>
          </w:p>
        </w:tc>
        <w:tc>
          <w:tcPr>
            <w:tcW w:w="6853" w:type="dxa"/>
            <w:hideMark/>
          </w:tcPr>
          <w:p w14:paraId="24461942"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Stabilirea unei instituții care să aprobe ajustarea/modificarea tarifelor operatorilor pe fluxul deșeurilor municipale și a tarifelor distincte</w:t>
            </w:r>
          </w:p>
        </w:tc>
        <w:tc>
          <w:tcPr>
            <w:tcW w:w="4394" w:type="dxa"/>
            <w:hideMark/>
          </w:tcPr>
          <w:p w14:paraId="3043CAE0"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hideMark/>
          </w:tcPr>
          <w:p w14:paraId="33CABB4F"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MDLPA; ANRSC</w:t>
            </w:r>
          </w:p>
        </w:tc>
        <w:tc>
          <w:tcPr>
            <w:tcW w:w="2928" w:type="dxa"/>
            <w:hideMark/>
          </w:tcPr>
          <w:p w14:paraId="03808791"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Nespecificat</w:t>
            </w:r>
          </w:p>
        </w:tc>
      </w:tr>
      <w:tr w:rsidR="00802971" w:rsidRPr="00187708" w14:paraId="5E18DFBF"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6D8C553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MUN-A57</w:t>
            </w:r>
          </w:p>
        </w:tc>
        <w:tc>
          <w:tcPr>
            <w:tcW w:w="730" w:type="dxa"/>
            <w:shd w:val="clear" w:color="auto" w:fill="auto"/>
            <w:hideMark/>
          </w:tcPr>
          <w:p w14:paraId="3BADE87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9BCBE3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5.1.16.e</w:t>
            </w:r>
          </w:p>
        </w:tc>
        <w:tc>
          <w:tcPr>
            <w:tcW w:w="6853" w:type="dxa"/>
            <w:shd w:val="clear" w:color="auto" w:fill="auto"/>
            <w:hideMark/>
          </w:tcPr>
          <w:p w14:paraId="78DAA776"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Determinarea unei modalități de evidențiere și bugetare separată, în tarifele de colectare/sortare, a operațiunilor pentru deșeurile textile și voluminoase colectate separat</w:t>
            </w:r>
          </w:p>
        </w:tc>
        <w:tc>
          <w:tcPr>
            <w:tcW w:w="4394" w:type="dxa"/>
            <w:shd w:val="clear" w:color="auto" w:fill="auto"/>
            <w:hideMark/>
          </w:tcPr>
          <w:p w14:paraId="77574563"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6A0DD9F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MDLPA; ANRSC</w:t>
            </w:r>
          </w:p>
        </w:tc>
        <w:tc>
          <w:tcPr>
            <w:tcW w:w="2928" w:type="dxa"/>
            <w:shd w:val="clear" w:color="auto" w:fill="auto"/>
            <w:hideMark/>
          </w:tcPr>
          <w:p w14:paraId="3070452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3DDB87F1"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7B4C9DA4"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MUN-A58</w:t>
            </w:r>
          </w:p>
        </w:tc>
        <w:tc>
          <w:tcPr>
            <w:tcW w:w="730" w:type="dxa"/>
            <w:hideMark/>
          </w:tcPr>
          <w:p w14:paraId="45489510"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0C8B63A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5.1.16.f</w:t>
            </w:r>
          </w:p>
        </w:tc>
        <w:tc>
          <w:tcPr>
            <w:tcW w:w="6853" w:type="dxa"/>
            <w:hideMark/>
          </w:tcPr>
          <w:p w14:paraId="5A7AB32A"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Oportunitatea eliminării din serviciul public de salubrizare a colectării deșeurilor de hârtie/metal/plastic/sticlă și a tratării acestora</w:t>
            </w:r>
          </w:p>
        </w:tc>
        <w:tc>
          <w:tcPr>
            <w:tcW w:w="4394" w:type="dxa"/>
            <w:hideMark/>
          </w:tcPr>
          <w:p w14:paraId="3038469F"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hideMark/>
          </w:tcPr>
          <w:p w14:paraId="79FA1EF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MDLPA</w:t>
            </w:r>
          </w:p>
        </w:tc>
        <w:tc>
          <w:tcPr>
            <w:tcW w:w="2928" w:type="dxa"/>
            <w:hideMark/>
          </w:tcPr>
          <w:p w14:paraId="0B830EC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424235F2"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9FB0E9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MUN-A59</w:t>
            </w:r>
          </w:p>
        </w:tc>
        <w:tc>
          <w:tcPr>
            <w:tcW w:w="730" w:type="dxa"/>
            <w:shd w:val="clear" w:color="auto" w:fill="auto"/>
            <w:hideMark/>
          </w:tcPr>
          <w:p w14:paraId="1F6C12E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101EAD9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5.1.16.g</w:t>
            </w:r>
          </w:p>
        </w:tc>
        <w:tc>
          <w:tcPr>
            <w:tcW w:w="6853" w:type="dxa"/>
            <w:shd w:val="clear" w:color="auto" w:fill="auto"/>
            <w:hideMark/>
          </w:tcPr>
          <w:p w14:paraId="03F5789C"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Stabilirea modalității prin care redevența să se reflecte diferit în tarife pentru utilizatori casnici și non-casnici (recuperare integrală costuri operare/capital pentru non-casnici)</w:t>
            </w:r>
          </w:p>
        </w:tc>
        <w:tc>
          <w:tcPr>
            <w:tcW w:w="4394" w:type="dxa"/>
            <w:shd w:val="clear" w:color="auto" w:fill="auto"/>
            <w:hideMark/>
          </w:tcPr>
          <w:p w14:paraId="7B209F7B"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shd w:val="clear" w:color="auto" w:fill="auto"/>
            <w:hideMark/>
          </w:tcPr>
          <w:p w14:paraId="2D93355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MDLPA; MF</w:t>
            </w:r>
          </w:p>
        </w:tc>
        <w:tc>
          <w:tcPr>
            <w:tcW w:w="2928" w:type="dxa"/>
            <w:shd w:val="clear" w:color="auto" w:fill="auto"/>
            <w:hideMark/>
          </w:tcPr>
          <w:p w14:paraId="0371DD4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Nespecificat</w:t>
            </w:r>
          </w:p>
        </w:tc>
      </w:tr>
      <w:tr w:rsidR="00802971" w:rsidRPr="00187708" w14:paraId="4F5BBC28"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011C6041"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MUN-A60</w:t>
            </w:r>
          </w:p>
        </w:tc>
        <w:tc>
          <w:tcPr>
            <w:tcW w:w="730" w:type="dxa"/>
            <w:hideMark/>
          </w:tcPr>
          <w:p w14:paraId="38A5613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3B8EB53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5.1.16.h</w:t>
            </w:r>
          </w:p>
        </w:tc>
        <w:tc>
          <w:tcPr>
            <w:tcW w:w="6853" w:type="dxa"/>
            <w:hideMark/>
          </w:tcPr>
          <w:p w14:paraId="6CCB2CE3"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unui Contract-cadru de delegare a activităților serviciului de salubrizare</w:t>
            </w:r>
          </w:p>
        </w:tc>
        <w:tc>
          <w:tcPr>
            <w:tcW w:w="4394" w:type="dxa"/>
            <w:hideMark/>
          </w:tcPr>
          <w:p w14:paraId="4985F0DB"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3275ED1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ANRSC; ANAP</w:t>
            </w:r>
          </w:p>
        </w:tc>
        <w:tc>
          <w:tcPr>
            <w:tcW w:w="2928" w:type="dxa"/>
            <w:hideMark/>
          </w:tcPr>
          <w:p w14:paraId="71150B3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0B31D420" w14:textId="77777777" w:rsidTr="007A13C1">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0D4E248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MUN-A61</w:t>
            </w:r>
          </w:p>
        </w:tc>
        <w:tc>
          <w:tcPr>
            <w:tcW w:w="730" w:type="dxa"/>
            <w:shd w:val="clear" w:color="auto" w:fill="auto"/>
            <w:hideMark/>
          </w:tcPr>
          <w:p w14:paraId="09DBE1E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5377123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5.1.16.i</w:t>
            </w:r>
          </w:p>
        </w:tc>
        <w:tc>
          <w:tcPr>
            <w:tcW w:w="6853" w:type="dxa"/>
            <w:shd w:val="clear" w:color="auto" w:fill="auto"/>
            <w:hideMark/>
          </w:tcPr>
          <w:p w14:paraId="1A03C9D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Crearea cadrului legal pentru contracte tip proiectare-execuție-operare (PEO), corelat cu principiile PPP</w:t>
            </w:r>
          </w:p>
        </w:tc>
        <w:tc>
          <w:tcPr>
            <w:tcW w:w="4394" w:type="dxa"/>
            <w:shd w:val="clear" w:color="auto" w:fill="auto"/>
            <w:hideMark/>
          </w:tcPr>
          <w:p w14:paraId="1E63E7FF"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shd w:val="clear" w:color="auto" w:fill="auto"/>
            <w:hideMark/>
          </w:tcPr>
          <w:p w14:paraId="79C7EAC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MF</w:t>
            </w:r>
          </w:p>
        </w:tc>
        <w:tc>
          <w:tcPr>
            <w:tcW w:w="2928" w:type="dxa"/>
            <w:shd w:val="clear" w:color="auto" w:fill="auto"/>
            <w:hideMark/>
          </w:tcPr>
          <w:p w14:paraId="058645D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1C709B4E"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11A377A4"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MUN-A62</w:t>
            </w:r>
          </w:p>
        </w:tc>
        <w:tc>
          <w:tcPr>
            <w:tcW w:w="730" w:type="dxa"/>
            <w:hideMark/>
          </w:tcPr>
          <w:p w14:paraId="473181E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5151650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5.1.16.j</w:t>
            </w:r>
          </w:p>
        </w:tc>
        <w:tc>
          <w:tcPr>
            <w:tcW w:w="6853" w:type="dxa"/>
            <w:hideMark/>
          </w:tcPr>
          <w:p w14:paraId="3A9D2C16"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Clarificarea statutului juridic al asociațiilor de dezvoltare intercomunitară din domeniul gestionării deșeurilor</w:t>
            </w:r>
          </w:p>
        </w:tc>
        <w:tc>
          <w:tcPr>
            <w:tcW w:w="4394" w:type="dxa"/>
            <w:hideMark/>
          </w:tcPr>
          <w:p w14:paraId="3AB1157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36916F6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MDLPA; MF</w:t>
            </w:r>
          </w:p>
        </w:tc>
        <w:tc>
          <w:tcPr>
            <w:tcW w:w="2928" w:type="dxa"/>
            <w:hideMark/>
          </w:tcPr>
          <w:p w14:paraId="046B1E28"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74526091"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702D0B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MUN-A63</w:t>
            </w:r>
          </w:p>
        </w:tc>
        <w:tc>
          <w:tcPr>
            <w:tcW w:w="730" w:type="dxa"/>
            <w:shd w:val="clear" w:color="auto" w:fill="auto"/>
            <w:hideMark/>
          </w:tcPr>
          <w:p w14:paraId="320D93A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4DE58C8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5.1.16.k</w:t>
            </w:r>
          </w:p>
        </w:tc>
        <w:tc>
          <w:tcPr>
            <w:tcW w:w="6853" w:type="dxa"/>
            <w:shd w:val="clear" w:color="auto" w:fill="auto"/>
            <w:hideMark/>
          </w:tcPr>
          <w:p w14:paraId="7A4E3A9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Posibilitatea subvenționării de către AFM a operării centrelor de pregătire pentru reutilizare a deșeurilor municipale</w:t>
            </w:r>
          </w:p>
        </w:tc>
        <w:tc>
          <w:tcPr>
            <w:tcW w:w="4394" w:type="dxa"/>
            <w:shd w:val="clear" w:color="auto" w:fill="auto"/>
            <w:hideMark/>
          </w:tcPr>
          <w:p w14:paraId="2629A6BE"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26EE876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w:t>
            </w:r>
          </w:p>
        </w:tc>
        <w:tc>
          <w:tcPr>
            <w:tcW w:w="2928" w:type="dxa"/>
            <w:shd w:val="clear" w:color="auto" w:fill="auto"/>
            <w:hideMark/>
          </w:tcPr>
          <w:p w14:paraId="27CCBBE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48872698"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174F82F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MUN-A64</w:t>
            </w:r>
          </w:p>
        </w:tc>
        <w:tc>
          <w:tcPr>
            <w:tcW w:w="730" w:type="dxa"/>
            <w:hideMark/>
          </w:tcPr>
          <w:p w14:paraId="606084A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71CE5169"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5.1.16.l</w:t>
            </w:r>
          </w:p>
        </w:tc>
        <w:tc>
          <w:tcPr>
            <w:tcW w:w="6853" w:type="dxa"/>
            <w:hideMark/>
          </w:tcPr>
          <w:p w14:paraId="13161951"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Introducerea unor noi categorii de produse acoperite de REP (mobilier, saltele și covoare, materiale de construcții)</w:t>
            </w:r>
          </w:p>
        </w:tc>
        <w:tc>
          <w:tcPr>
            <w:tcW w:w="4394" w:type="dxa"/>
            <w:hideMark/>
          </w:tcPr>
          <w:p w14:paraId="51D5E8C1"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164F140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72BFF0D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3F92E300"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03E081F2"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MUN-A65</w:t>
            </w:r>
          </w:p>
        </w:tc>
        <w:tc>
          <w:tcPr>
            <w:tcW w:w="730" w:type="dxa"/>
            <w:shd w:val="clear" w:color="auto" w:fill="auto"/>
            <w:hideMark/>
          </w:tcPr>
          <w:p w14:paraId="56E5C388"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478B0F1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5.1.16.m</w:t>
            </w:r>
          </w:p>
        </w:tc>
        <w:tc>
          <w:tcPr>
            <w:tcW w:w="6853" w:type="dxa"/>
            <w:shd w:val="clear" w:color="auto" w:fill="auto"/>
            <w:hideMark/>
          </w:tcPr>
          <w:p w14:paraId="3CCF11FE"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Posibilitatea ajustării/indexării cu IPC a contribuției prevăzute la art. 9 alin.(1) lit. p) din OUG 196/2005</w:t>
            </w:r>
          </w:p>
        </w:tc>
        <w:tc>
          <w:tcPr>
            <w:tcW w:w="4394" w:type="dxa"/>
            <w:shd w:val="clear" w:color="auto" w:fill="auto"/>
            <w:hideMark/>
          </w:tcPr>
          <w:p w14:paraId="6EF203EE"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558DA650"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w:t>
            </w:r>
          </w:p>
        </w:tc>
        <w:tc>
          <w:tcPr>
            <w:tcW w:w="2928" w:type="dxa"/>
            <w:shd w:val="clear" w:color="auto" w:fill="auto"/>
            <w:hideMark/>
          </w:tcPr>
          <w:p w14:paraId="363237C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20D8C450" w14:textId="77777777" w:rsidTr="007A13C1">
        <w:trPr>
          <w:trHeight w:val="135"/>
        </w:trPr>
        <w:tc>
          <w:tcPr>
            <w:cnfStyle w:val="001000000000" w:firstRow="0" w:lastRow="0" w:firstColumn="1" w:lastColumn="0" w:oddVBand="0" w:evenVBand="0" w:oddHBand="0" w:evenHBand="0" w:firstRowFirstColumn="0" w:firstRowLastColumn="0" w:lastRowFirstColumn="0" w:lastRowLastColumn="0"/>
            <w:tcW w:w="1620" w:type="dxa"/>
            <w:hideMark/>
          </w:tcPr>
          <w:p w14:paraId="011B4DB2"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MUN-A66</w:t>
            </w:r>
          </w:p>
        </w:tc>
        <w:tc>
          <w:tcPr>
            <w:tcW w:w="730" w:type="dxa"/>
            <w:hideMark/>
          </w:tcPr>
          <w:p w14:paraId="0F805F3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AD1614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5.1.16.n</w:t>
            </w:r>
          </w:p>
        </w:tc>
        <w:tc>
          <w:tcPr>
            <w:tcW w:w="6853" w:type="dxa"/>
            <w:hideMark/>
          </w:tcPr>
          <w:p w14:paraId="5D8DAAC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Modificarea OUG 92/2021 și a Legii 101/2006 astfel încât OUG 92/2021 să rămână act de sine stătător pentru gestionarea deșeurilor, iar Legea 101/2006 să reglementeze exclusiv contractarea, implementarea contractelor și tarifele</w:t>
            </w:r>
          </w:p>
        </w:tc>
        <w:tc>
          <w:tcPr>
            <w:tcW w:w="4394" w:type="dxa"/>
            <w:hideMark/>
          </w:tcPr>
          <w:p w14:paraId="1EDDB5D7"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3A95C44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ANRSC</w:t>
            </w:r>
          </w:p>
        </w:tc>
        <w:tc>
          <w:tcPr>
            <w:tcW w:w="2928" w:type="dxa"/>
            <w:hideMark/>
          </w:tcPr>
          <w:p w14:paraId="1E96F8F0"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55B260E4" w14:textId="77777777" w:rsidTr="007A13C1">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36F00296"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MUN-A67</w:t>
            </w:r>
          </w:p>
        </w:tc>
        <w:tc>
          <w:tcPr>
            <w:tcW w:w="730" w:type="dxa"/>
            <w:shd w:val="clear" w:color="auto" w:fill="auto"/>
            <w:hideMark/>
          </w:tcPr>
          <w:p w14:paraId="309FFFF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052ABD6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5.1.16.o</w:t>
            </w:r>
          </w:p>
        </w:tc>
        <w:tc>
          <w:tcPr>
            <w:tcW w:w="6853" w:type="dxa"/>
            <w:shd w:val="clear" w:color="auto" w:fill="auto"/>
            <w:hideMark/>
          </w:tcPr>
          <w:p w14:paraId="53B0239B"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Studii pilot privind contabilizarea biodeșeurilor separate și reciclate la sursă la ținta de reciclare (Anexa II la Decizia (UE) 2019/1004), pentru APL care au distribuit compostoare</w:t>
            </w:r>
          </w:p>
        </w:tc>
        <w:tc>
          <w:tcPr>
            <w:tcW w:w="4394" w:type="dxa"/>
            <w:shd w:val="clear" w:color="auto" w:fill="auto"/>
            <w:hideMark/>
          </w:tcPr>
          <w:p w14:paraId="2752C455"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2028</w:t>
            </w:r>
          </w:p>
        </w:tc>
        <w:tc>
          <w:tcPr>
            <w:tcW w:w="3309" w:type="dxa"/>
            <w:shd w:val="clear" w:color="auto" w:fill="auto"/>
            <w:hideMark/>
          </w:tcPr>
          <w:p w14:paraId="2D42AE3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CJ; ADI</w:t>
            </w:r>
          </w:p>
        </w:tc>
        <w:tc>
          <w:tcPr>
            <w:tcW w:w="2928" w:type="dxa"/>
            <w:shd w:val="clear" w:color="auto" w:fill="auto"/>
            <w:hideMark/>
          </w:tcPr>
          <w:p w14:paraId="722377A8"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538CA6E5"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373BE438"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MUN-A68</w:t>
            </w:r>
          </w:p>
        </w:tc>
        <w:tc>
          <w:tcPr>
            <w:tcW w:w="730" w:type="dxa"/>
            <w:hideMark/>
          </w:tcPr>
          <w:p w14:paraId="0FAF069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489BDAC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5.1.16.p</w:t>
            </w:r>
          </w:p>
        </w:tc>
        <w:tc>
          <w:tcPr>
            <w:tcW w:w="6853" w:type="dxa"/>
            <w:hideMark/>
          </w:tcPr>
          <w:p w14:paraId="1E2569BA"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Actualizarea SR 13400/2016 – Salubrizarea localităților. Deșeuri urbane. Prescripții pentru determinarea cantităților și dimensionarea capacităților de precolectare, colectare și transport</w:t>
            </w:r>
          </w:p>
        </w:tc>
        <w:tc>
          <w:tcPr>
            <w:tcW w:w="4394" w:type="dxa"/>
            <w:hideMark/>
          </w:tcPr>
          <w:p w14:paraId="1C55BF1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hideMark/>
          </w:tcPr>
          <w:p w14:paraId="2090A9E0"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hideMark/>
          </w:tcPr>
          <w:p w14:paraId="68D1CC0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79584D0D"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55EB792E"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MUN-A69</w:t>
            </w:r>
          </w:p>
        </w:tc>
        <w:tc>
          <w:tcPr>
            <w:tcW w:w="730" w:type="dxa"/>
            <w:shd w:val="clear" w:color="auto" w:fill="auto"/>
            <w:hideMark/>
          </w:tcPr>
          <w:p w14:paraId="4594B95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75964FE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5.1.16.r</w:t>
            </w:r>
          </w:p>
        </w:tc>
        <w:tc>
          <w:tcPr>
            <w:tcW w:w="6853" w:type="dxa"/>
            <w:shd w:val="clear" w:color="auto" w:fill="auto"/>
            <w:hideMark/>
          </w:tcPr>
          <w:p w14:paraId="2285792A"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Stabilirea unor metodologii naționale pentru determinarea fracției biogene din deșeurile municipale tratate (aplicarea Regulamentului 2018/2066 privind monitorizarea/raportarea GES, în special instalațiile EU-ETS)</w:t>
            </w:r>
          </w:p>
        </w:tc>
        <w:tc>
          <w:tcPr>
            <w:tcW w:w="4394" w:type="dxa"/>
            <w:shd w:val="clear" w:color="auto" w:fill="auto"/>
            <w:hideMark/>
          </w:tcPr>
          <w:p w14:paraId="7586051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2028</w:t>
            </w:r>
          </w:p>
        </w:tc>
        <w:tc>
          <w:tcPr>
            <w:tcW w:w="3309" w:type="dxa"/>
            <w:shd w:val="clear" w:color="auto" w:fill="auto"/>
            <w:hideMark/>
          </w:tcPr>
          <w:p w14:paraId="317F26F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928" w:type="dxa"/>
            <w:shd w:val="clear" w:color="auto" w:fill="auto"/>
            <w:hideMark/>
          </w:tcPr>
          <w:p w14:paraId="7606AE4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702485F3"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4B90F0B8"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MUN-M12</w:t>
            </w:r>
          </w:p>
        </w:tc>
        <w:tc>
          <w:tcPr>
            <w:tcW w:w="730" w:type="dxa"/>
            <w:hideMark/>
          </w:tcPr>
          <w:p w14:paraId="126FAC92"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613C1BD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5.2</w:t>
            </w:r>
          </w:p>
        </w:tc>
        <w:tc>
          <w:tcPr>
            <w:tcW w:w="6853" w:type="dxa"/>
            <w:hideMark/>
          </w:tcPr>
          <w:p w14:paraId="5A047618"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Elaborarea și aprobarea de ghiduri și norme tehnice privind gestionarea deșeurilor</w:t>
            </w:r>
          </w:p>
        </w:tc>
        <w:tc>
          <w:tcPr>
            <w:tcW w:w="4394" w:type="dxa"/>
            <w:hideMark/>
          </w:tcPr>
          <w:p w14:paraId="78336E00" w14:textId="23EF7EFE"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680FFCCB" w14:textId="35E797FD"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4861EF42" w14:textId="10BE83DA"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2559C756"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4433A65A"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MUN-A70</w:t>
            </w:r>
          </w:p>
        </w:tc>
        <w:tc>
          <w:tcPr>
            <w:tcW w:w="730" w:type="dxa"/>
            <w:shd w:val="clear" w:color="auto" w:fill="auto"/>
            <w:hideMark/>
          </w:tcPr>
          <w:p w14:paraId="0C8193E7"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6213CA26"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5.2.1</w:t>
            </w:r>
          </w:p>
        </w:tc>
        <w:tc>
          <w:tcPr>
            <w:tcW w:w="6853" w:type="dxa"/>
            <w:shd w:val="clear" w:color="auto" w:fill="auto"/>
            <w:hideMark/>
          </w:tcPr>
          <w:p w14:paraId="2C3F0DB7"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unui ghid privind încadrarea deșeurilor în lista europeană a deșeurilor (Comunicarea Comisiei 2018/C 124/01)</w:t>
            </w:r>
          </w:p>
        </w:tc>
        <w:tc>
          <w:tcPr>
            <w:tcW w:w="4394" w:type="dxa"/>
            <w:shd w:val="clear" w:color="auto" w:fill="auto"/>
            <w:hideMark/>
          </w:tcPr>
          <w:p w14:paraId="09FDED44"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shd w:val="clear" w:color="auto" w:fill="auto"/>
            <w:hideMark/>
          </w:tcPr>
          <w:p w14:paraId="6D83FDA0"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w:t>
            </w:r>
          </w:p>
        </w:tc>
        <w:tc>
          <w:tcPr>
            <w:tcW w:w="2928" w:type="dxa"/>
            <w:shd w:val="clear" w:color="auto" w:fill="auto"/>
            <w:hideMark/>
          </w:tcPr>
          <w:p w14:paraId="7BA5DE9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754E1682" w14:textId="77777777" w:rsidTr="007A13C1">
        <w:trPr>
          <w:trHeight w:val="83"/>
        </w:trPr>
        <w:tc>
          <w:tcPr>
            <w:cnfStyle w:val="001000000000" w:firstRow="0" w:lastRow="0" w:firstColumn="1" w:lastColumn="0" w:oddVBand="0" w:evenVBand="0" w:oddHBand="0" w:evenHBand="0" w:firstRowFirstColumn="0" w:firstRowLastColumn="0" w:lastRowFirstColumn="0" w:lastRowLastColumn="0"/>
            <w:tcW w:w="1620" w:type="dxa"/>
            <w:hideMark/>
          </w:tcPr>
          <w:p w14:paraId="0040FECB"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MUN-A71</w:t>
            </w:r>
          </w:p>
        </w:tc>
        <w:tc>
          <w:tcPr>
            <w:tcW w:w="730" w:type="dxa"/>
            <w:hideMark/>
          </w:tcPr>
          <w:p w14:paraId="587B6F56"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126B1BE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5.2.2</w:t>
            </w:r>
          </w:p>
        </w:tc>
        <w:tc>
          <w:tcPr>
            <w:tcW w:w="6853" w:type="dxa"/>
            <w:hideMark/>
          </w:tcPr>
          <w:p w14:paraId="321B0141"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și aprobarea normelor tehnice pentru categoriile de calitate a compostului (art. 2 alin. (2) din Legea 181/2020 privind gestionarea deșeurilor nepericuloase compostabile)</w:t>
            </w:r>
          </w:p>
        </w:tc>
        <w:tc>
          <w:tcPr>
            <w:tcW w:w="4394" w:type="dxa"/>
            <w:hideMark/>
          </w:tcPr>
          <w:p w14:paraId="510BF041"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hideMark/>
          </w:tcPr>
          <w:p w14:paraId="520CDF0E"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w:t>
            </w:r>
          </w:p>
        </w:tc>
        <w:tc>
          <w:tcPr>
            <w:tcW w:w="2928" w:type="dxa"/>
            <w:hideMark/>
          </w:tcPr>
          <w:p w14:paraId="52D5F613"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44526564"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4FC270BD"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MUN-A72</w:t>
            </w:r>
          </w:p>
        </w:tc>
        <w:tc>
          <w:tcPr>
            <w:tcW w:w="730" w:type="dxa"/>
            <w:shd w:val="clear" w:color="auto" w:fill="auto"/>
            <w:hideMark/>
          </w:tcPr>
          <w:p w14:paraId="716BD1B5"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5058FEC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5.2.3</w:t>
            </w:r>
          </w:p>
        </w:tc>
        <w:tc>
          <w:tcPr>
            <w:tcW w:w="6853" w:type="dxa"/>
            <w:shd w:val="clear" w:color="auto" w:fill="auto"/>
            <w:hideMark/>
          </w:tcPr>
          <w:p w14:paraId="01339D46"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unui ghid privind activitatea financiar-contabilă la nivelul ADI din domeniul salubrizării</w:t>
            </w:r>
          </w:p>
        </w:tc>
        <w:tc>
          <w:tcPr>
            <w:tcW w:w="4394" w:type="dxa"/>
            <w:shd w:val="clear" w:color="auto" w:fill="auto"/>
            <w:hideMark/>
          </w:tcPr>
          <w:p w14:paraId="34252CA5"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112E81D9"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MF</w:t>
            </w:r>
          </w:p>
        </w:tc>
        <w:tc>
          <w:tcPr>
            <w:tcW w:w="2928" w:type="dxa"/>
            <w:shd w:val="clear" w:color="auto" w:fill="auto"/>
            <w:hideMark/>
          </w:tcPr>
          <w:p w14:paraId="403820E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1C7B6251" w14:textId="77777777" w:rsidTr="007A13C1">
        <w:trPr>
          <w:trHeight w:val="510"/>
        </w:trPr>
        <w:tc>
          <w:tcPr>
            <w:cnfStyle w:val="001000000000" w:firstRow="0" w:lastRow="0" w:firstColumn="1" w:lastColumn="0" w:oddVBand="0" w:evenVBand="0" w:oddHBand="0" w:evenHBand="0" w:firstRowFirstColumn="0" w:firstRowLastColumn="0" w:lastRowFirstColumn="0" w:lastRowLastColumn="0"/>
            <w:tcW w:w="1620" w:type="dxa"/>
            <w:hideMark/>
          </w:tcPr>
          <w:p w14:paraId="2808830C"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MUN-M13</w:t>
            </w:r>
          </w:p>
        </w:tc>
        <w:tc>
          <w:tcPr>
            <w:tcW w:w="730" w:type="dxa"/>
            <w:hideMark/>
          </w:tcPr>
          <w:p w14:paraId="6998356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0F45ACA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5.3</w:t>
            </w:r>
          </w:p>
        </w:tc>
        <w:tc>
          <w:tcPr>
            <w:tcW w:w="6853" w:type="dxa"/>
            <w:hideMark/>
          </w:tcPr>
          <w:p w14:paraId="7EFD3C49"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Îmbunătățirea accesului factorilor interesați la informațiile de mediu, inclusiv cele legate de gestionarea deșeurilor</w:t>
            </w:r>
          </w:p>
        </w:tc>
        <w:tc>
          <w:tcPr>
            <w:tcW w:w="4394" w:type="dxa"/>
            <w:hideMark/>
          </w:tcPr>
          <w:p w14:paraId="53FEB082" w14:textId="77D50BD9"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6CC64BF5" w14:textId="433472E0"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0E5CE2F4" w14:textId="4E27DCB5"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2116DA2D"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44776F54"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MUN-A73</w:t>
            </w:r>
          </w:p>
        </w:tc>
        <w:tc>
          <w:tcPr>
            <w:tcW w:w="730" w:type="dxa"/>
            <w:shd w:val="clear" w:color="auto" w:fill="auto"/>
            <w:hideMark/>
          </w:tcPr>
          <w:p w14:paraId="34F6C24F"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79890D8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5.3.1</w:t>
            </w:r>
          </w:p>
        </w:tc>
        <w:tc>
          <w:tcPr>
            <w:tcW w:w="6853" w:type="dxa"/>
            <w:shd w:val="clear" w:color="auto" w:fill="auto"/>
            <w:hideMark/>
          </w:tcPr>
          <w:p w14:paraId="19D953DB"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Publicarea pe paginile web ale direcțiilor județene ANMAP a autorizațiilor integrate de mediu și a autorizațiilor de mediu</w:t>
            </w:r>
          </w:p>
        </w:tc>
        <w:tc>
          <w:tcPr>
            <w:tcW w:w="4394" w:type="dxa"/>
            <w:shd w:val="clear" w:color="auto" w:fill="auto"/>
            <w:hideMark/>
          </w:tcPr>
          <w:p w14:paraId="4172C19D"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100% începând cu 2026</w:t>
            </w:r>
          </w:p>
        </w:tc>
        <w:tc>
          <w:tcPr>
            <w:tcW w:w="3309" w:type="dxa"/>
            <w:shd w:val="clear" w:color="auto" w:fill="auto"/>
            <w:hideMark/>
          </w:tcPr>
          <w:p w14:paraId="6A7A81B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ANMAP</w:t>
            </w:r>
          </w:p>
        </w:tc>
        <w:tc>
          <w:tcPr>
            <w:tcW w:w="2928" w:type="dxa"/>
            <w:shd w:val="clear" w:color="auto" w:fill="auto"/>
            <w:hideMark/>
          </w:tcPr>
          <w:p w14:paraId="78CE6573"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7E09BF51" w14:textId="77777777" w:rsidTr="007A13C1">
        <w:trPr>
          <w:trHeight w:val="510"/>
        </w:trPr>
        <w:tc>
          <w:tcPr>
            <w:cnfStyle w:val="001000000000" w:firstRow="0" w:lastRow="0" w:firstColumn="1" w:lastColumn="0" w:oddVBand="0" w:evenVBand="0" w:oddHBand="0" w:evenHBand="0" w:firstRowFirstColumn="0" w:firstRowLastColumn="0" w:lastRowFirstColumn="0" w:lastRowLastColumn="0"/>
            <w:tcW w:w="1620" w:type="dxa"/>
            <w:hideMark/>
          </w:tcPr>
          <w:p w14:paraId="04BCAB52"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MUN-A74</w:t>
            </w:r>
          </w:p>
        </w:tc>
        <w:tc>
          <w:tcPr>
            <w:tcW w:w="730" w:type="dxa"/>
            <w:hideMark/>
          </w:tcPr>
          <w:p w14:paraId="55051A6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3FD2519C"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5.3.2</w:t>
            </w:r>
          </w:p>
        </w:tc>
        <w:tc>
          <w:tcPr>
            <w:tcW w:w="6853" w:type="dxa"/>
            <w:hideMark/>
          </w:tcPr>
          <w:p w14:paraId="02919B00"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Digitalizarea emiterii autorizațiilor de mediu/integrate de mediu prin introducerea datelor personalizate într-o machetă prestabilită</w:t>
            </w:r>
          </w:p>
        </w:tc>
        <w:tc>
          <w:tcPr>
            <w:tcW w:w="4394" w:type="dxa"/>
            <w:hideMark/>
          </w:tcPr>
          <w:p w14:paraId="26F413DC"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100% începând cu 2026</w:t>
            </w:r>
          </w:p>
        </w:tc>
        <w:tc>
          <w:tcPr>
            <w:tcW w:w="3309" w:type="dxa"/>
            <w:hideMark/>
          </w:tcPr>
          <w:p w14:paraId="7CAAB5F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ANMAP</w:t>
            </w:r>
          </w:p>
        </w:tc>
        <w:tc>
          <w:tcPr>
            <w:tcW w:w="2928" w:type="dxa"/>
            <w:hideMark/>
          </w:tcPr>
          <w:p w14:paraId="3C149E4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712604D9" w14:textId="77777777" w:rsidTr="007A13C1">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56FD9457"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MUN-A75</w:t>
            </w:r>
          </w:p>
        </w:tc>
        <w:tc>
          <w:tcPr>
            <w:tcW w:w="730" w:type="dxa"/>
            <w:shd w:val="clear" w:color="auto" w:fill="auto"/>
            <w:hideMark/>
          </w:tcPr>
          <w:p w14:paraId="5930A8A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3AC29004"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5.3.3</w:t>
            </w:r>
          </w:p>
        </w:tc>
        <w:tc>
          <w:tcPr>
            <w:tcW w:w="6853" w:type="dxa"/>
            <w:shd w:val="clear" w:color="auto" w:fill="auto"/>
            <w:hideMark/>
          </w:tcPr>
          <w:p w14:paraId="551BCDA2"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Facilitarea accesului GNM la bazele de date operate de ANMAP și AFM, pentru controale mai eficiente</w:t>
            </w:r>
          </w:p>
        </w:tc>
        <w:tc>
          <w:tcPr>
            <w:tcW w:w="4394" w:type="dxa"/>
            <w:shd w:val="clear" w:color="auto" w:fill="auto"/>
            <w:hideMark/>
          </w:tcPr>
          <w:p w14:paraId="26AC9413"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309" w:type="dxa"/>
            <w:shd w:val="clear" w:color="auto" w:fill="auto"/>
            <w:hideMark/>
          </w:tcPr>
          <w:p w14:paraId="45B956AC"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ANMAP; AFM; GNM</w:t>
            </w:r>
          </w:p>
        </w:tc>
        <w:tc>
          <w:tcPr>
            <w:tcW w:w="2928" w:type="dxa"/>
            <w:shd w:val="clear" w:color="auto" w:fill="auto"/>
            <w:hideMark/>
          </w:tcPr>
          <w:p w14:paraId="723EE00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0219B150"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5A94E69A"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MUN-A76</w:t>
            </w:r>
          </w:p>
        </w:tc>
        <w:tc>
          <w:tcPr>
            <w:tcW w:w="730" w:type="dxa"/>
            <w:hideMark/>
          </w:tcPr>
          <w:p w14:paraId="1D5F7FD5"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hideMark/>
          </w:tcPr>
          <w:p w14:paraId="73B7D8B4"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5.3.4</w:t>
            </w:r>
          </w:p>
        </w:tc>
        <w:tc>
          <w:tcPr>
            <w:tcW w:w="6853" w:type="dxa"/>
            <w:hideMark/>
          </w:tcPr>
          <w:p w14:paraId="6F0178C9"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Publicarea și actualizarea permanentă pe paginile web ale UAT/ADI a informațiilor privind gestionarea deșeurilor (contracte de delegare, costuri, fluxuri, cantități, penalități operatori, penalități UAT la AFM)</w:t>
            </w:r>
          </w:p>
        </w:tc>
        <w:tc>
          <w:tcPr>
            <w:tcW w:w="4394" w:type="dxa"/>
            <w:hideMark/>
          </w:tcPr>
          <w:p w14:paraId="2683998D"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începând cu 2026</w:t>
            </w:r>
          </w:p>
        </w:tc>
        <w:tc>
          <w:tcPr>
            <w:tcW w:w="3309" w:type="dxa"/>
            <w:hideMark/>
          </w:tcPr>
          <w:p w14:paraId="21A68AAB"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 ADI</w:t>
            </w:r>
          </w:p>
        </w:tc>
        <w:tc>
          <w:tcPr>
            <w:tcW w:w="2928" w:type="dxa"/>
            <w:hideMark/>
          </w:tcPr>
          <w:p w14:paraId="0D2290CD"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w:t>
            </w:r>
          </w:p>
        </w:tc>
      </w:tr>
      <w:tr w:rsidR="00802971" w:rsidRPr="00187708" w14:paraId="0A64C53D"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EB3FD51"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MUN-A77</w:t>
            </w:r>
          </w:p>
        </w:tc>
        <w:tc>
          <w:tcPr>
            <w:tcW w:w="730" w:type="dxa"/>
            <w:shd w:val="clear" w:color="auto" w:fill="auto"/>
            <w:hideMark/>
          </w:tcPr>
          <w:p w14:paraId="4A09C932"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7478598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5.3.5</w:t>
            </w:r>
          </w:p>
        </w:tc>
        <w:tc>
          <w:tcPr>
            <w:tcW w:w="6853" w:type="dxa"/>
            <w:shd w:val="clear" w:color="auto" w:fill="auto"/>
            <w:hideMark/>
          </w:tcPr>
          <w:p w14:paraId="481086FC"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sistem digital unitar de raportare și trasabilitate pentru toate fluxurile de deșeuri reglementate, gestionat de ANMAP și interconectat (raportare/validare pe flux; trasabilitate de la colectare la tratare/reciclare/valorificare/eliminare; corectarea datelor după controale; rapoarte automate privind atingerea țintelor)</w:t>
            </w:r>
          </w:p>
        </w:tc>
        <w:tc>
          <w:tcPr>
            <w:tcW w:w="4394" w:type="dxa"/>
            <w:shd w:val="clear" w:color="auto" w:fill="auto"/>
            <w:hideMark/>
          </w:tcPr>
          <w:p w14:paraId="3D1748B0"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309" w:type="dxa"/>
            <w:shd w:val="clear" w:color="auto" w:fill="auto"/>
            <w:hideMark/>
          </w:tcPr>
          <w:p w14:paraId="414C6B4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 AFM; GNM; UAT; Operatori de salubrizare; Operatori instalații tratare/valorificare/reciclare/eliminare</w:t>
            </w:r>
          </w:p>
        </w:tc>
        <w:tc>
          <w:tcPr>
            <w:tcW w:w="2928" w:type="dxa"/>
            <w:shd w:val="clear" w:color="auto" w:fill="auto"/>
            <w:hideMark/>
          </w:tcPr>
          <w:p w14:paraId="2BBCF08B"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02971" w:rsidRPr="00187708" w14:paraId="6768723C"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620" w:type="dxa"/>
            <w:hideMark/>
          </w:tcPr>
          <w:p w14:paraId="56EF663D" w14:textId="77777777" w:rsidR="00802971" w:rsidRPr="00187708" w:rsidRDefault="00802971" w:rsidP="00B80B00">
            <w:pPr>
              <w:rPr>
                <w:rFonts w:ascii="Nunito" w:eastAsia="Times New Roman" w:hAnsi="Nunito" w:cs="Arial"/>
                <w:color w:val="1F3864"/>
                <w:sz w:val="16"/>
                <w:szCs w:val="16"/>
                <w:lang w:val="ro-RO"/>
              </w:rPr>
            </w:pPr>
            <w:r w:rsidRPr="00187708">
              <w:rPr>
                <w:rFonts w:ascii="Nunito" w:eastAsia="Times New Roman" w:hAnsi="Nunito" w:cs="Arial"/>
                <w:color w:val="1F3864"/>
                <w:sz w:val="16"/>
                <w:szCs w:val="16"/>
                <w:lang w:val="ro-RO"/>
              </w:rPr>
              <w:t>MUN-M14</w:t>
            </w:r>
          </w:p>
        </w:tc>
        <w:tc>
          <w:tcPr>
            <w:tcW w:w="730" w:type="dxa"/>
            <w:hideMark/>
          </w:tcPr>
          <w:p w14:paraId="39320B07"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M</w:t>
            </w:r>
          </w:p>
        </w:tc>
        <w:tc>
          <w:tcPr>
            <w:tcW w:w="1145" w:type="dxa"/>
            <w:hideMark/>
          </w:tcPr>
          <w:p w14:paraId="4FDDCF5A" w14:textId="77777777"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5.4</w:t>
            </w:r>
          </w:p>
        </w:tc>
        <w:tc>
          <w:tcPr>
            <w:tcW w:w="6853" w:type="dxa"/>
            <w:hideMark/>
          </w:tcPr>
          <w:p w14:paraId="0B68984C" w14:textId="77777777"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r w:rsidRPr="00187708">
              <w:rPr>
                <w:rFonts w:ascii="Nunito" w:eastAsia="Times New Roman" w:hAnsi="Nunito" w:cs="Arial"/>
                <w:b/>
                <w:bCs/>
                <w:color w:val="1F3864"/>
                <w:sz w:val="16"/>
                <w:szCs w:val="16"/>
                <w:lang w:val="ro-RO"/>
              </w:rPr>
              <w:t>Asigurarea corelării viitoarelor investiții cu documentele de planificare PNGD/PJGD revizuite</w:t>
            </w:r>
          </w:p>
        </w:tc>
        <w:tc>
          <w:tcPr>
            <w:tcW w:w="4394" w:type="dxa"/>
            <w:hideMark/>
          </w:tcPr>
          <w:p w14:paraId="46A764F7" w14:textId="6A4AE3B8" w:rsidR="00802971" w:rsidRPr="00187708" w:rsidRDefault="00802971"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3309" w:type="dxa"/>
            <w:hideMark/>
          </w:tcPr>
          <w:p w14:paraId="1ED92AE7" w14:textId="560EED1F"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c>
          <w:tcPr>
            <w:tcW w:w="2928" w:type="dxa"/>
            <w:hideMark/>
          </w:tcPr>
          <w:p w14:paraId="0C4FAB39" w14:textId="15ABB1F4" w:rsidR="00802971" w:rsidRPr="00187708" w:rsidRDefault="00802971"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1F3864"/>
                <w:sz w:val="16"/>
                <w:szCs w:val="16"/>
                <w:lang w:val="ro-RO"/>
              </w:rPr>
            </w:pPr>
          </w:p>
        </w:tc>
      </w:tr>
      <w:tr w:rsidR="00802971" w:rsidRPr="00187708" w14:paraId="47E58DEF" w14:textId="77777777" w:rsidTr="007A13C1">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620" w:type="dxa"/>
            <w:shd w:val="clear" w:color="auto" w:fill="auto"/>
            <w:hideMark/>
          </w:tcPr>
          <w:p w14:paraId="2CF36168" w14:textId="77777777" w:rsidR="00802971" w:rsidRPr="00187708" w:rsidRDefault="00802971"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MUN-A78</w:t>
            </w:r>
          </w:p>
        </w:tc>
        <w:tc>
          <w:tcPr>
            <w:tcW w:w="730" w:type="dxa"/>
            <w:shd w:val="clear" w:color="auto" w:fill="auto"/>
            <w:hideMark/>
          </w:tcPr>
          <w:p w14:paraId="0FECA50E"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45" w:type="dxa"/>
            <w:shd w:val="clear" w:color="auto" w:fill="auto"/>
            <w:hideMark/>
          </w:tcPr>
          <w:p w14:paraId="0484CE80"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5.4.1</w:t>
            </w:r>
          </w:p>
        </w:tc>
        <w:tc>
          <w:tcPr>
            <w:tcW w:w="6853" w:type="dxa"/>
            <w:shd w:val="clear" w:color="auto" w:fill="auto"/>
            <w:hideMark/>
          </w:tcPr>
          <w:p w14:paraId="75F2B1C1"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Emiterea acordurilor de mediu pentru investiții noi neprevăzute în documentele de planificare (PNGD/PJGD/PMGD revizuite) cu tehnologii alternative/complementare numai cu aviz prealabil ANMAP, pe baza studiilor de fundamentare (necesitate, eficiență, sustenabilitate)</w:t>
            </w:r>
          </w:p>
        </w:tc>
        <w:tc>
          <w:tcPr>
            <w:tcW w:w="4394" w:type="dxa"/>
            <w:shd w:val="clear" w:color="auto" w:fill="auto"/>
            <w:hideMark/>
          </w:tcPr>
          <w:p w14:paraId="7A9A2E39" w14:textId="77777777" w:rsidR="00802971" w:rsidRPr="00187708" w:rsidRDefault="00802971"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începând cu 2026</w:t>
            </w:r>
          </w:p>
        </w:tc>
        <w:tc>
          <w:tcPr>
            <w:tcW w:w="3309" w:type="dxa"/>
            <w:shd w:val="clear" w:color="auto" w:fill="auto"/>
            <w:hideMark/>
          </w:tcPr>
          <w:p w14:paraId="07EC3D51"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ANMAP; DJM</w:t>
            </w:r>
          </w:p>
        </w:tc>
        <w:tc>
          <w:tcPr>
            <w:tcW w:w="2928" w:type="dxa"/>
            <w:shd w:val="clear" w:color="auto" w:fill="auto"/>
            <w:hideMark/>
          </w:tcPr>
          <w:p w14:paraId="0CF9029A" w14:textId="77777777" w:rsidR="00802971" w:rsidRPr="00187708" w:rsidRDefault="00802971"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1C5371CC" w14:textId="19D53EC8" w:rsidR="00187708" w:rsidRPr="00187708" w:rsidRDefault="00187708" w:rsidP="008A6FDD">
      <w:pPr>
        <w:rPr>
          <w:lang w:val="ro-RO"/>
        </w:rPr>
      </w:pPr>
    </w:p>
    <w:p w14:paraId="24D63EA6" w14:textId="77777777" w:rsidR="00187708" w:rsidRPr="00187708" w:rsidRDefault="00187708">
      <w:pPr>
        <w:rPr>
          <w:lang w:val="ro-RO"/>
        </w:rPr>
      </w:pPr>
      <w:r w:rsidRPr="00187708">
        <w:rPr>
          <w:lang w:val="ro-RO"/>
        </w:rPr>
        <w:br w:type="page"/>
      </w:r>
    </w:p>
    <w:p w14:paraId="45138B56" w14:textId="77777777" w:rsidR="002F22BA" w:rsidRPr="00187708" w:rsidRDefault="002F22BA" w:rsidP="008A6FDD">
      <w:pPr>
        <w:rPr>
          <w:lang w:val="ro-RO"/>
        </w:rPr>
      </w:pPr>
    </w:p>
    <w:p w14:paraId="439E3264" w14:textId="28D5498C" w:rsidR="00D334CC" w:rsidRPr="00187708" w:rsidRDefault="00040799" w:rsidP="008A6FDD">
      <w:pPr>
        <w:rPr>
          <w:rFonts w:ascii="Nunito" w:hAnsi="Nunito"/>
          <w:b/>
          <w:bCs/>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3</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îndeplire al </w:t>
      </w:r>
      <w:r w:rsidRPr="00187708">
        <w:rPr>
          <w:rFonts w:ascii="Nunito" w:hAnsi="Nunito"/>
          <w:b/>
          <w:bCs/>
          <w:color w:val="009DF0" w:themeColor="text2"/>
          <w:sz w:val="16"/>
          <w:szCs w:val="16"/>
          <w:lang w:val="ro-RO"/>
        </w:rPr>
        <w:t>Planul</w:t>
      </w:r>
      <w:r w:rsidR="00BD212A"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w:t>
      </w:r>
      <w:r w:rsidR="00AF5F4C" w:rsidRPr="00187708">
        <w:rPr>
          <w:lang w:val="ro-RO"/>
        </w:rPr>
        <w:t xml:space="preserve"> </w:t>
      </w:r>
      <w:r w:rsidR="00AF5F4C" w:rsidRPr="00187708">
        <w:rPr>
          <w:rFonts w:ascii="Nunito" w:hAnsi="Nunito"/>
          <w:b/>
          <w:bCs/>
          <w:color w:val="009DF0" w:themeColor="text2"/>
          <w:sz w:val="16"/>
          <w:szCs w:val="16"/>
          <w:lang w:val="ro-RO"/>
        </w:rPr>
        <w:t>deșeurilor alimentare</w:t>
      </w:r>
    </w:p>
    <w:p w14:paraId="450ACF31" w14:textId="77777777" w:rsidR="00D334CC" w:rsidRPr="00187708" w:rsidRDefault="00D334CC" w:rsidP="008A6FDD">
      <w:pPr>
        <w:rPr>
          <w:lang w:val="ro-RO"/>
        </w:rPr>
      </w:pPr>
    </w:p>
    <w:tbl>
      <w:tblPr>
        <w:tblStyle w:val="ListTable1Light-Accent1"/>
        <w:tblW w:w="20979" w:type="dxa"/>
        <w:tblBorders>
          <w:bottom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259"/>
        <w:gridCol w:w="742"/>
        <w:gridCol w:w="1160"/>
        <w:gridCol w:w="7324"/>
        <w:gridCol w:w="4116"/>
        <w:gridCol w:w="3260"/>
        <w:gridCol w:w="3118"/>
      </w:tblGrid>
      <w:tr w:rsidR="00D334CC" w:rsidRPr="00187708" w14:paraId="04ED48C1" w14:textId="77777777" w:rsidTr="007A13C1">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259" w:type="dxa"/>
            <w:tcBorders>
              <w:bottom w:val="none" w:sz="0" w:space="0" w:color="auto"/>
            </w:tcBorders>
            <w:shd w:val="clear" w:color="auto" w:fill="00B0F0"/>
            <w:hideMark/>
          </w:tcPr>
          <w:p w14:paraId="6D99DE9F" w14:textId="77777777" w:rsidR="00D334CC" w:rsidRPr="00187708" w:rsidRDefault="00D334CC" w:rsidP="00D334CC">
            <w:pPr>
              <w:jc w:val="center"/>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Cod</w:t>
            </w:r>
          </w:p>
        </w:tc>
        <w:tc>
          <w:tcPr>
            <w:tcW w:w="742" w:type="dxa"/>
            <w:tcBorders>
              <w:bottom w:val="none" w:sz="0" w:space="0" w:color="auto"/>
            </w:tcBorders>
            <w:shd w:val="clear" w:color="auto" w:fill="00B0F0"/>
            <w:hideMark/>
          </w:tcPr>
          <w:p w14:paraId="42FE6B34" w14:textId="77777777" w:rsidR="00D334CC" w:rsidRPr="00187708" w:rsidRDefault="00D334CC" w:rsidP="00D334C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Nivel</w:t>
            </w:r>
          </w:p>
        </w:tc>
        <w:tc>
          <w:tcPr>
            <w:tcW w:w="1160" w:type="dxa"/>
            <w:tcBorders>
              <w:bottom w:val="none" w:sz="0" w:space="0" w:color="auto"/>
            </w:tcBorders>
            <w:shd w:val="clear" w:color="auto" w:fill="00B0F0"/>
            <w:hideMark/>
          </w:tcPr>
          <w:p w14:paraId="35638408" w14:textId="77777777" w:rsidR="00D334CC" w:rsidRPr="00187708" w:rsidRDefault="00D334CC" w:rsidP="00D334C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Nr. PNGD</w:t>
            </w:r>
          </w:p>
        </w:tc>
        <w:tc>
          <w:tcPr>
            <w:tcW w:w="7324" w:type="dxa"/>
            <w:tcBorders>
              <w:bottom w:val="none" w:sz="0" w:space="0" w:color="auto"/>
            </w:tcBorders>
            <w:shd w:val="clear" w:color="auto" w:fill="00B0F0"/>
            <w:hideMark/>
          </w:tcPr>
          <w:p w14:paraId="45CCEE17" w14:textId="77777777" w:rsidR="00D334CC" w:rsidRPr="00187708" w:rsidRDefault="00D334CC" w:rsidP="00D334C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Denumire obiectiv / acțiune</w:t>
            </w:r>
          </w:p>
        </w:tc>
        <w:tc>
          <w:tcPr>
            <w:tcW w:w="4116" w:type="dxa"/>
            <w:tcBorders>
              <w:bottom w:val="none" w:sz="0" w:space="0" w:color="auto"/>
            </w:tcBorders>
            <w:shd w:val="clear" w:color="auto" w:fill="00B0F0"/>
            <w:hideMark/>
          </w:tcPr>
          <w:p w14:paraId="61D6B142" w14:textId="77777777" w:rsidR="00D334CC" w:rsidRPr="00187708" w:rsidRDefault="00D334CC" w:rsidP="00D334C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Termen</w:t>
            </w:r>
          </w:p>
        </w:tc>
        <w:tc>
          <w:tcPr>
            <w:tcW w:w="3260" w:type="dxa"/>
            <w:tcBorders>
              <w:bottom w:val="none" w:sz="0" w:space="0" w:color="auto"/>
            </w:tcBorders>
            <w:shd w:val="clear" w:color="auto" w:fill="00B0F0"/>
            <w:hideMark/>
          </w:tcPr>
          <w:p w14:paraId="045B2711" w14:textId="77777777" w:rsidR="00D334CC" w:rsidRPr="00187708" w:rsidRDefault="00D334CC" w:rsidP="00D334C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Responsabili</w:t>
            </w:r>
          </w:p>
        </w:tc>
        <w:tc>
          <w:tcPr>
            <w:tcW w:w="3118" w:type="dxa"/>
            <w:tcBorders>
              <w:bottom w:val="none" w:sz="0" w:space="0" w:color="auto"/>
            </w:tcBorders>
            <w:shd w:val="clear" w:color="auto" w:fill="00B0F0"/>
            <w:hideMark/>
          </w:tcPr>
          <w:p w14:paraId="37F674D8" w14:textId="77777777" w:rsidR="00D334CC" w:rsidRPr="00187708" w:rsidRDefault="00D334CC" w:rsidP="00D334C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Surse de finanțare</w:t>
            </w:r>
          </w:p>
        </w:tc>
      </w:tr>
      <w:tr w:rsidR="00D334CC" w:rsidRPr="00187708" w14:paraId="0222DC07" w14:textId="77777777" w:rsidTr="007A13C1">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1E0CD621" w14:textId="77777777" w:rsidR="00D334CC" w:rsidRPr="00187708" w:rsidRDefault="00D334CC"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ALI-OS-01</w:t>
            </w:r>
          </w:p>
        </w:tc>
        <w:tc>
          <w:tcPr>
            <w:tcW w:w="742" w:type="dxa"/>
            <w:shd w:val="clear" w:color="auto" w:fill="auto"/>
            <w:hideMark/>
          </w:tcPr>
          <w:p w14:paraId="6D7F6470"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60" w:type="dxa"/>
            <w:shd w:val="clear" w:color="auto" w:fill="auto"/>
            <w:hideMark/>
          </w:tcPr>
          <w:p w14:paraId="4B3CFC39"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1</w:t>
            </w:r>
          </w:p>
        </w:tc>
        <w:tc>
          <w:tcPr>
            <w:tcW w:w="7324" w:type="dxa"/>
            <w:shd w:val="clear" w:color="auto" w:fill="auto"/>
            <w:hideMark/>
          </w:tcPr>
          <w:p w14:paraId="7DA4E0F5"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Reducerea deșeurilor alimentare în procesarea și fabricarea alimentelor</w:t>
            </w:r>
          </w:p>
        </w:tc>
        <w:tc>
          <w:tcPr>
            <w:tcW w:w="4116" w:type="dxa"/>
            <w:shd w:val="clear" w:color="auto" w:fill="auto"/>
            <w:hideMark/>
          </w:tcPr>
          <w:p w14:paraId="3957176F"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 </w:t>
            </w:r>
          </w:p>
        </w:tc>
        <w:tc>
          <w:tcPr>
            <w:tcW w:w="3260" w:type="dxa"/>
            <w:shd w:val="clear" w:color="auto" w:fill="auto"/>
            <w:hideMark/>
          </w:tcPr>
          <w:p w14:paraId="5D2ABDB0"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 </w:t>
            </w:r>
          </w:p>
        </w:tc>
        <w:tc>
          <w:tcPr>
            <w:tcW w:w="3118" w:type="dxa"/>
            <w:shd w:val="clear" w:color="auto" w:fill="auto"/>
            <w:hideMark/>
          </w:tcPr>
          <w:p w14:paraId="4BBBE3E6"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 </w:t>
            </w:r>
          </w:p>
        </w:tc>
      </w:tr>
      <w:tr w:rsidR="00D334CC" w:rsidRPr="00187708" w14:paraId="46D26F41"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259" w:type="dxa"/>
            <w:hideMark/>
          </w:tcPr>
          <w:p w14:paraId="0E5FBA7C"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ALI-A1</w:t>
            </w:r>
          </w:p>
        </w:tc>
        <w:tc>
          <w:tcPr>
            <w:tcW w:w="742" w:type="dxa"/>
            <w:hideMark/>
          </w:tcPr>
          <w:p w14:paraId="0981D489"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54C339B3"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7324" w:type="dxa"/>
            <w:hideMark/>
          </w:tcPr>
          <w:p w14:paraId="60896F21"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și adoptarea Strategiei Naționale pentru prevenirea și reducerea risipei alimentare 2026–2030</w:t>
            </w:r>
          </w:p>
        </w:tc>
        <w:tc>
          <w:tcPr>
            <w:tcW w:w="4116" w:type="dxa"/>
            <w:hideMark/>
          </w:tcPr>
          <w:p w14:paraId="13791C6F"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284480D4"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 ANSVSA (în conformitate cu atribuțiile și competențele legale)</w:t>
            </w:r>
          </w:p>
        </w:tc>
        <w:tc>
          <w:tcPr>
            <w:tcW w:w="3118" w:type="dxa"/>
            <w:hideMark/>
          </w:tcPr>
          <w:p w14:paraId="670F08D3"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D334CC" w:rsidRPr="00187708" w14:paraId="070E99D8" w14:textId="77777777" w:rsidTr="007A13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1202D9F9"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ALI-A2</w:t>
            </w:r>
          </w:p>
        </w:tc>
        <w:tc>
          <w:tcPr>
            <w:tcW w:w="742" w:type="dxa"/>
            <w:shd w:val="clear" w:color="auto" w:fill="auto"/>
            <w:hideMark/>
          </w:tcPr>
          <w:p w14:paraId="1270D244"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shd w:val="clear" w:color="auto" w:fill="auto"/>
            <w:hideMark/>
          </w:tcPr>
          <w:p w14:paraId="0D3F4602"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7324" w:type="dxa"/>
            <w:shd w:val="clear" w:color="auto" w:fill="auto"/>
            <w:hideMark/>
          </w:tcPr>
          <w:p w14:paraId="4F6D8342"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Punerea în aplicare a măsurilor de reducere a deșeurilor alimentare</w:t>
            </w:r>
          </w:p>
        </w:tc>
        <w:tc>
          <w:tcPr>
            <w:tcW w:w="4116" w:type="dxa"/>
            <w:shd w:val="clear" w:color="auto" w:fill="auto"/>
            <w:hideMark/>
          </w:tcPr>
          <w:p w14:paraId="37514E39"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3260" w:type="dxa"/>
            <w:shd w:val="clear" w:color="auto" w:fill="auto"/>
            <w:hideMark/>
          </w:tcPr>
          <w:p w14:paraId="4532B2FA"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ANSVSA; Operatori economici</w:t>
            </w:r>
          </w:p>
        </w:tc>
        <w:tc>
          <w:tcPr>
            <w:tcW w:w="3118" w:type="dxa"/>
            <w:shd w:val="clear" w:color="auto" w:fill="auto"/>
            <w:hideMark/>
          </w:tcPr>
          <w:p w14:paraId="45090B98"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D334CC" w:rsidRPr="00187708" w14:paraId="456294B7" w14:textId="77777777" w:rsidTr="007A13C1">
        <w:trPr>
          <w:trHeight w:val="120"/>
        </w:trPr>
        <w:tc>
          <w:tcPr>
            <w:cnfStyle w:val="001000000000" w:firstRow="0" w:lastRow="0" w:firstColumn="1" w:lastColumn="0" w:oddVBand="0" w:evenVBand="0" w:oddHBand="0" w:evenHBand="0" w:firstRowFirstColumn="0" w:firstRowLastColumn="0" w:lastRowFirstColumn="0" w:lastRowLastColumn="0"/>
            <w:tcW w:w="1259" w:type="dxa"/>
            <w:hideMark/>
          </w:tcPr>
          <w:p w14:paraId="56309BDB" w14:textId="77777777" w:rsidR="00D334CC" w:rsidRPr="00187708" w:rsidRDefault="00D334CC"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ALI-OS-02</w:t>
            </w:r>
          </w:p>
        </w:tc>
        <w:tc>
          <w:tcPr>
            <w:tcW w:w="742" w:type="dxa"/>
            <w:hideMark/>
          </w:tcPr>
          <w:p w14:paraId="21D7F6BA"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160" w:type="dxa"/>
            <w:hideMark/>
          </w:tcPr>
          <w:p w14:paraId="75211310"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7324" w:type="dxa"/>
            <w:hideMark/>
          </w:tcPr>
          <w:p w14:paraId="10E53052"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Reducerea deșeurilor alimentare în comerțul cu amănuntul, restaurante, servicii alimentare și gospodării</w:t>
            </w:r>
          </w:p>
        </w:tc>
        <w:tc>
          <w:tcPr>
            <w:tcW w:w="4116" w:type="dxa"/>
            <w:hideMark/>
          </w:tcPr>
          <w:p w14:paraId="437B75A8"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 </w:t>
            </w:r>
          </w:p>
        </w:tc>
        <w:tc>
          <w:tcPr>
            <w:tcW w:w="3260" w:type="dxa"/>
            <w:hideMark/>
          </w:tcPr>
          <w:p w14:paraId="725D8CE3"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 </w:t>
            </w:r>
          </w:p>
        </w:tc>
        <w:tc>
          <w:tcPr>
            <w:tcW w:w="3118" w:type="dxa"/>
            <w:hideMark/>
          </w:tcPr>
          <w:p w14:paraId="09F2DF06"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 </w:t>
            </w:r>
          </w:p>
        </w:tc>
      </w:tr>
      <w:tr w:rsidR="00D334CC" w:rsidRPr="00187708" w14:paraId="4594266B" w14:textId="77777777" w:rsidTr="007A13C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71EFF869"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ALI-A3</w:t>
            </w:r>
          </w:p>
        </w:tc>
        <w:tc>
          <w:tcPr>
            <w:tcW w:w="742" w:type="dxa"/>
            <w:shd w:val="clear" w:color="auto" w:fill="auto"/>
            <w:hideMark/>
          </w:tcPr>
          <w:p w14:paraId="1E19BC5F"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shd w:val="clear" w:color="auto" w:fill="auto"/>
            <w:hideMark/>
          </w:tcPr>
          <w:p w14:paraId="5C5C5576"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7324" w:type="dxa"/>
            <w:shd w:val="clear" w:color="auto" w:fill="auto"/>
            <w:hideMark/>
          </w:tcPr>
          <w:p w14:paraId="5D477E9C"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Platformei Naționale pentru raportarea de către operatorii economici a datelor privind risipa alimentară</w:t>
            </w:r>
          </w:p>
        </w:tc>
        <w:tc>
          <w:tcPr>
            <w:tcW w:w="4116" w:type="dxa"/>
            <w:shd w:val="clear" w:color="auto" w:fill="auto"/>
            <w:hideMark/>
          </w:tcPr>
          <w:p w14:paraId="1AD11259"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2025</w:t>
            </w:r>
          </w:p>
        </w:tc>
        <w:tc>
          <w:tcPr>
            <w:tcW w:w="3260" w:type="dxa"/>
            <w:shd w:val="clear" w:color="auto" w:fill="auto"/>
            <w:hideMark/>
          </w:tcPr>
          <w:p w14:paraId="61B9947B"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w:t>
            </w:r>
          </w:p>
        </w:tc>
        <w:tc>
          <w:tcPr>
            <w:tcW w:w="3118" w:type="dxa"/>
            <w:shd w:val="clear" w:color="auto" w:fill="auto"/>
            <w:hideMark/>
          </w:tcPr>
          <w:p w14:paraId="27821CB5"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 Fonduri europene</w:t>
            </w:r>
          </w:p>
        </w:tc>
      </w:tr>
      <w:tr w:rsidR="00D334CC" w:rsidRPr="00187708" w14:paraId="35C488CC" w14:textId="77777777" w:rsidTr="007A13C1">
        <w:trPr>
          <w:trHeight w:val="510"/>
        </w:trPr>
        <w:tc>
          <w:tcPr>
            <w:cnfStyle w:val="001000000000" w:firstRow="0" w:lastRow="0" w:firstColumn="1" w:lastColumn="0" w:oddVBand="0" w:evenVBand="0" w:oddHBand="0" w:evenHBand="0" w:firstRowFirstColumn="0" w:firstRowLastColumn="0" w:lastRowFirstColumn="0" w:lastRowLastColumn="0"/>
            <w:tcW w:w="1259" w:type="dxa"/>
            <w:hideMark/>
          </w:tcPr>
          <w:p w14:paraId="5F92A877"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ALI-A4</w:t>
            </w:r>
          </w:p>
        </w:tc>
        <w:tc>
          <w:tcPr>
            <w:tcW w:w="742" w:type="dxa"/>
            <w:hideMark/>
          </w:tcPr>
          <w:p w14:paraId="1855D605"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300029CD"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w:t>
            </w:r>
          </w:p>
        </w:tc>
        <w:tc>
          <w:tcPr>
            <w:tcW w:w="7324" w:type="dxa"/>
            <w:hideMark/>
          </w:tcPr>
          <w:p w14:paraId="115068DB"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Punerea în aplicare a măsurilor de reducere a risipei alimentare în comerț, sectorul HoReCa și gospodării prin acțiuni integrate la nivel național</w:t>
            </w:r>
          </w:p>
        </w:tc>
        <w:tc>
          <w:tcPr>
            <w:tcW w:w="4116" w:type="dxa"/>
            <w:hideMark/>
          </w:tcPr>
          <w:p w14:paraId="54D342B1"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3260" w:type="dxa"/>
            <w:hideMark/>
          </w:tcPr>
          <w:p w14:paraId="47B275CA"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ANSVSA; Operatori economici</w:t>
            </w:r>
          </w:p>
        </w:tc>
        <w:tc>
          <w:tcPr>
            <w:tcW w:w="3118" w:type="dxa"/>
            <w:hideMark/>
          </w:tcPr>
          <w:p w14:paraId="245D9908"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D334CC" w:rsidRPr="00187708" w14:paraId="5CC8D392" w14:textId="77777777" w:rsidTr="007A13C1">
        <w:trPr>
          <w:cnfStyle w:val="000000100000" w:firstRow="0" w:lastRow="0" w:firstColumn="0" w:lastColumn="0" w:oddVBand="0" w:evenVBand="0" w:oddHBand="1" w:evenHBand="0" w:firstRowFirstColumn="0" w:firstRowLastColumn="0" w:lastRowFirstColumn="0" w:lastRowLastColumn="0"/>
          <w:trHeight w:val="569"/>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4FC0B920"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ALI-A5</w:t>
            </w:r>
          </w:p>
        </w:tc>
        <w:tc>
          <w:tcPr>
            <w:tcW w:w="742" w:type="dxa"/>
            <w:shd w:val="clear" w:color="auto" w:fill="auto"/>
            <w:hideMark/>
          </w:tcPr>
          <w:p w14:paraId="2F8AD140"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shd w:val="clear" w:color="auto" w:fill="auto"/>
            <w:hideMark/>
          </w:tcPr>
          <w:p w14:paraId="7B8A48CE"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w:t>
            </w:r>
          </w:p>
        </w:tc>
        <w:tc>
          <w:tcPr>
            <w:tcW w:w="7324" w:type="dxa"/>
            <w:shd w:val="clear" w:color="auto" w:fill="auto"/>
            <w:hideMark/>
          </w:tcPr>
          <w:p w14:paraId="03180EC3"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Derularea de acțiuni de informare și educare a consumatorilor finali privind prevenirea și diminuarea risipei alimentare (campanii media, campanii în școli, campanii online, seminare, conferințe, forumuri, manifestări educative și de voluntariat cu caracter social, materiale publicitare și de informare)</w:t>
            </w:r>
          </w:p>
        </w:tc>
        <w:tc>
          <w:tcPr>
            <w:tcW w:w="4116" w:type="dxa"/>
            <w:shd w:val="clear" w:color="auto" w:fill="auto"/>
            <w:hideMark/>
          </w:tcPr>
          <w:p w14:paraId="4CFAEF22"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51B4D035"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w:t>
            </w:r>
          </w:p>
        </w:tc>
        <w:tc>
          <w:tcPr>
            <w:tcW w:w="3118" w:type="dxa"/>
            <w:shd w:val="clear" w:color="auto" w:fill="auto"/>
            <w:hideMark/>
          </w:tcPr>
          <w:p w14:paraId="20A45E78"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D334CC" w:rsidRPr="00187708" w14:paraId="1622E0A9" w14:textId="77777777" w:rsidTr="007A13C1">
        <w:trPr>
          <w:trHeight w:val="95"/>
        </w:trPr>
        <w:tc>
          <w:tcPr>
            <w:cnfStyle w:val="001000000000" w:firstRow="0" w:lastRow="0" w:firstColumn="1" w:lastColumn="0" w:oddVBand="0" w:evenVBand="0" w:oddHBand="0" w:evenHBand="0" w:firstRowFirstColumn="0" w:firstRowLastColumn="0" w:lastRowFirstColumn="0" w:lastRowLastColumn="0"/>
            <w:tcW w:w="1259" w:type="dxa"/>
            <w:hideMark/>
          </w:tcPr>
          <w:p w14:paraId="1F6967CD" w14:textId="77777777" w:rsidR="00D334CC" w:rsidRPr="00187708" w:rsidRDefault="00D334CC"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ALI-OS-03</w:t>
            </w:r>
          </w:p>
        </w:tc>
        <w:tc>
          <w:tcPr>
            <w:tcW w:w="742" w:type="dxa"/>
            <w:hideMark/>
          </w:tcPr>
          <w:p w14:paraId="29BFDC32"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60" w:type="dxa"/>
            <w:hideMark/>
          </w:tcPr>
          <w:p w14:paraId="406F30E6"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3</w:t>
            </w:r>
          </w:p>
        </w:tc>
        <w:tc>
          <w:tcPr>
            <w:tcW w:w="7324" w:type="dxa"/>
            <w:hideMark/>
          </w:tcPr>
          <w:p w14:paraId="04B3AD04"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Încurajarea utilizării în agricultură a compostului / digestatului rezultat de la tratarea deșeurilor alimentare</w:t>
            </w:r>
          </w:p>
        </w:tc>
        <w:tc>
          <w:tcPr>
            <w:tcW w:w="4116" w:type="dxa"/>
          </w:tcPr>
          <w:p w14:paraId="7C013489" w14:textId="208B36CD"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p>
        </w:tc>
        <w:tc>
          <w:tcPr>
            <w:tcW w:w="3260" w:type="dxa"/>
          </w:tcPr>
          <w:p w14:paraId="554973EA" w14:textId="1B0EC43E"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p>
        </w:tc>
        <w:tc>
          <w:tcPr>
            <w:tcW w:w="3118" w:type="dxa"/>
          </w:tcPr>
          <w:p w14:paraId="7DF0B37E" w14:textId="022D331E"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p>
        </w:tc>
      </w:tr>
      <w:tr w:rsidR="00D334CC" w:rsidRPr="00187708" w14:paraId="717DDFDA"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53117ED9"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ALI-A6</w:t>
            </w:r>
          </w:p>
        </w:tc>
        <w:tc>
          <w:tcPr>
            <w:tcW w:w="742" w:type="dxa"/>
            <w:shd w:val="clear" w:color="auto" w:fill="auto"/>
            <w:hideMark/>
          </w:tcPr>
          <w:p w14:paraId="613C214C"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shd w:val="clear" w:color="auto" w:fill="auto"/>
            <w:hideMark/>
          </w:tcPr>
          <w:p w14:paraId="5AD651F9"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w:t>
            </w:r>
          </w:p>
        </w:tc>
        <w:tc>
          <w:tcPr>
            <w:tcW w:w="7324" w:type="dxa"/>
            <w:shd w:val="clear" w:color="auto" w:fill="auto"/>
            <w:hideMark/>
          </w:tcPr>
          <w:p w14:paraId="6B13B6D7"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de campanii de informare la nivel județean și național, prin difuzarea de mesaje de interes public privind încurajarea utilizării în agricultură a compostului și digestatului (anual, cel puțin o campanie județeană și una națională)</w:t>
            </w:r>
          </w:p>
        </w:tc>
        <w:tc>
          <w:tcPr>
            <w:tcW w:w="4116" w:type="dxa"/>
            <w:shd w:val="clear" w:color="auto" w:fill="auto"/>
            <w:hideMark/>
          </w:tcPr>
          <w:p w14:paraId="6E5A39D5"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16699798"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 Autorități publice locale; Operatorii instalațiilor de compostare și digestie anaerobă</w:t>
            </w:r>
          </w:p>
        </w:tc>
        <w:tc>
          <w:tcPr>
            <w:tcW w:w="3118" w:type="dxa"/>
            <w:shd w:val="clear" w:color="auto" w:fill="auto"/>
            <w:hideMark/>
          </w:tcPr>
          <w:p w14:paraId="6BE95564"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Buget local; Fonduri private</w:t>
            </w:r>
          </w:p>
        </w:tc>
      </w:tr>
      <w:tr w:rsidR="00D334CC" w:rsidRPr="00187708" w14:paraId="01D9C4D8" w14:textId="77777777" w:rsidTr="007A13C1">
        <w:trPr>
          <w:trHeight w:val="80"/>
        </w:trPr>
        <w:tc>
          <w:tcPr>
            <w:cnfStyle w:val="001000000000" w:firstRow="0" w:lastRow="0" w:firstColumn="1" w:lastColumn="0" w:oddVBand="0" w:evenVBand="0" w:oddHBand="0" w:evenHBand="0" w:firstRowFirstColumn="0" w:firstRowLastColumn="0" w:lastRowFirstColumn="0" w:lastRowLastColumn="0"/>
            <w:tcW w:w="1259" w:type="dxa"/>
            <w:hideMark/>
          </w:tcPr>
          <w:p w14:paraId="05019839" w14:textId="77777777" w:rsidR="00D334CC" w:rsidRPr="00187708" w:rsidRDefault="00D334CC"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ALI-OS-04</w:t>
            </w:r>
          </w:p>
        </w:tc>
        <w:tc>
          <w:tcPr>
            <w:tcW w:w="742" w:type="dxa"/>
            <w:hideMark/>
          </w:tcPr>
          <w:p w14:paraId="29397715"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60" w:type="dxa"/>
            <w:hideMark/>
          </w:tcPr>
          <w:p w14:paraId="1C9A3932"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4</w:t>
            </w:r>
          </w:p>
        </w:tc>
        <w:tc>
          <w:tcPr>
            <w:tcW w:w="7324" w:type="dxa"/>
            <w:hideMark/>
          </w:tcPr>
          <w:p w14:paraId="63910176"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Consolidarea cadrului legal de reglementare a gestiunii deșeurilor alimentare</w:t>
            </w:r>
          </w:p>
        </w:tc>
        <w:tc>
          <w:tcPr>
            <w:tcW w:w="4116" w:type="dxa"/>
          </w:tcPr>
          <w:p w14:paraId="4CF204F3" w14:textId="17C20A6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sz w:val="16"/>
                <w:szCs w:val="16"/>
                <w:lang w:val="ro-RO"/>
              </w:rPr>
            </w:pPr>
          </w:p>
        </w:tc>
        <w:tc>
          <w:tcPr>
            <w:tcW w:w="3260" w:type="dxa"/>
            <w:hideMark/>
          </w:tcPr>
          <w:p w14:paraId="7BB4CC7E"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118" w:type="dxa"/>
            <w:hideMark/>
          </w:tcPr>
          <w:p w14:paraId="62160564"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D334CC" w:rsidRPr="00187708" w14:paraId="00884C94"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1A613B15"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ALI-A7</w:t>
            </w:r>
          </w:p>
        </w:tc>
        <w:tc>
          <w:tcPr>
            <w:tcW w:w="742" w:type="dxa"/>
            <w:shd w:val="clear" w:color="auto" w:fill="auto"/>
            <w:hideMark/>
          </w:tcPr>
          <w:p w14:paraId="1F245958"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shd w:val="clear" w:color="auto" w:fill="auto"/>
            <w:hideMark/>
          </w:tcPr>
          <w:p w14:paraId="50843EBD"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4.1</w:t>
            </w:r>
          </w:p>
        </w:tc>
        <w:tc>
          <w:tcPr>
            <w:tcW w:w="7324" w:type="dxa"/>
            <w:shd w:val="clear" w:color="auto" w:fill="auto"/>
            <w:hideMark/>
          </w:tcPr>
          <w:p w14:paraId="7C67B438"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Actualizarea Legii nr. 181/2020 privind gestionarea deșeurilor nepericuloase compostabile, ținând cont de prevederile Regulamentului (UE) 2019/1009</w:t>
            </w:r>
          </w:p>
        </w:tc>
        <w:tc>
          <w:tcPr>
            <w:tcW w:w="4116" w:type="dxa"/>
            <w:shd w:val="clear" w:color="auto" w:fill="auto"/>
            <w:hideMark/>
          </w:tcPr>
          <w:p w14:paraId="3179C733"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260" w:type="dxa"/>
            <w:shd w:val="clear" w:color="auto" w:fill="auto"/>
            <w:hideMark/>
          </w:tcPr>
          <w:p w14:paraId="27DBB6F0"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w:t>
            </w:r>
          </w:p>
        </w:tc>
        <w:tc>
          <w:tcPr>
            <w:tcW w:w="3118" w:type="dxa"/>
            <w:shd w:val="clear" w:color="auto" w:fill="auto"/>
            <w:hideMark/>
          </w:tcPr>
          <w:p w14:paraId="3305CCA3"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D334CC" w:rsidRPr="00187708" w14:paraId="52664769"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259" w:type="dxa"/>
            <w:hideMark/>
          </w:tcPr>
          <w:p w14:paraId="07EE888F"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ALI-A8</w:t>
            </w:r>
          </w:p>
        </w:tc>
        <w:tc>
          <w:tcPr>
            <w:tcW w:w="742" w:type="dxa"/>
            <w:hideMark/>
          </w:tcPr>
          <w:p w14:paraId="64F991AB"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5556298B"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4.2</w:t>
            </w:r>
          </w:p>
        </w:tc>
        <w:tc>
          <w:tcPr>
            <w:tcW w:w="7324" w:type="dxa"/>
            <w:hideMark/>
          </w:tcPr>
          <w:p w14:paraId="6584A88A"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de studii privind monitorizarea cantităților de alimente redistribuite, precum și studii care să sprijine fundamentarea normelor pentru aplicarea Deciziei delegate (UE) 2019/1597 de completare a Directivei 2008/98/CE privind o metodologie comună și cerințe minime de calitate pentru măsurarea uniformă a nivelurilor de deșeuri alimentare</w:t>
            </w:r>
          </w:p>
        </w:tc>
        <w:tc>
          <w:tcPr>
            <w:tcW w:w="4116" w:type="dxa"/>
            <w:hideMark/>
          </w:tcPr>
          <w:p w14:paraId="2D429751"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260" w:type="dxa"/>
            <w:hideMark/>
          </w:tcPr>
          <w:p w14:paraId="6EB3C874"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 MMAP; ANSVSA; Institute de cercetare</w:t>
            </w:r>
          </w:p>
        </w:tc>
        <w:tc>
          <w:tcPr>
            <w:tcW w:w="3118" w:type="dxa"/>
            <w:hideMark/>
          </w:tcPr>
          <w:p w14:paraId="021DF5AB"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AFM</w:t>
            </w:r>
          </w:p>
        </w:tc>
      </w:tr>
      <w:tr w:rsidR="00D334CC" w:rsidRPr="00187708" w14:paraId="5042ED8A" w14:textId="77777777" w:rsidTr="007A13C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38CE5A05" w14:textId="77777777" w:rsidR="00D334CC" w:rsidRPr="00187708" w:rsidRDefault="00D334CC" w:rsidP="00B80B00">
            <w:pPr>
              <w:rPr>
                <w:rFonts w:ascii="Nunito" w:eastAsia="Times New Roman" w:hAnsi="Nunito" w:cs="Arial"/>
                <w:sz w:val="16"/>
                <w:szCs w:val="16"/>
                <w:lang w:val="ro-RO"/>
              </w:rPr>
            </w:pPr>
            <w:r w:rsidRPr="00187708">
              <w:rPr>
                <w:rFonts w:ascii="Nunito" w:eastAsia="Times New Roman" w:hAnsi="Nunito" w:cs="Arial"/>
                <w:sz w:val="16"/>
                <w:szCs w:val="16"/>
                <w:lang w:val="ro-RO"/>
              </w:rPr>
              <w:t>ALI-OS-05</w:t>
            </w:r>
          </w:p>
        </w:tc>
        <w:tc>
          <w:tcPr>
            <w:tcW w:w="742" w:type="dxa"/>
            <w:shd w:val="clear" w:color="auto" w:fill="auto"/>
            <w:hideMark/>
          </w:tcPr>
          <w:p w14:paraId="5F60383F"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160" w:type="dxa"/>
            <w:shd w:val="clear" w:color="auto" w:fill="auto"/>
            <w:hideMark/>
          </w:tcPr>
          <w:p w14:paraId="095ABF34"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5</w:t>
            </w:r>
          </w:p>
        </w:tc>
        <w:tc>
          <w:tcPr>
            <w:tcW w:w="7324" w:type="dxa"/>
            <w:shd w:val="clear" w:color="auto" w:fill="auto"/>
            <w:hideMark/>
          </w:tcPr>
          <w:p w14:paraId="7965DA18"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Îmbunătățirea sistemului de raportare a datelor privind deșeurile alimentare</w:t>
            </w:r>
          </w:p>
        </w:tc>
        <w:tc>
          <w:tcPr>
            <w:tcW w:w="4116" w:type="dxa"/>
            <w:shd w:val="clear" w:color="auto" w:fill="auto"/>
          </w:tcPr>
          <w:p w14:paraId="536CD15D" w14:textId="0FD02691"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c>
          <w:tcPr>
            <w:tcW w:w="3260" w:type="dxa"/>
            <w:shd w:val="clear" w:color="auto" w:fill="auto"/>
          </w:tcPr>
          <w:p w14:paraId="10A8C65D" w14:textId="7F7A3F02"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c>
          <w:tcPr>
            <w:tcW w:w="3118" w:type="dxa"/>
            <w:shd w:val="clear" w:color="auto" w:fill="auto"/>
          </w:tcPr>
          <w:p w14:paraId="35CE8EA4" w14:textId="0A15C02D"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r>
      <w:tr w:rsidR="00D334CC" w:rsidRPr="00187708" w14:paraId="4E4F15C0" w14:textId="77777777" w:rsidTr="007A13C1">
        <w:trPr>
          <w:trHeight w:val="510"/>
        </w:trPr>
        <w:tc>
          <w:tcPr>
            <w:cnfStyle w:val="001000000000" w:firstRow="0" w:lastRow="0" w:firstColumn="1" w:lastColumn="0" w:oddVBand="0" w:evenVBand="0" w:oddHBand="0" w:evenHBand="0" w:firstRowFirstColumn="0" w:firstRowLastColumn="0" w:lastRowFirstColumn="0" w:lastRowLastColumn="0"/>
            <w:tcW w:w="1259" w:type="dxa"/>
            <w:hideMark/>
          </w:tcPr>
          <w:p w14:paraId="329F974F"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ALI-A9</w:t>
            </w:r>
          </w:p>
        </w:tc>
        <w:tc>
          <w:tcPr>
            <w:tcW w:w="742" w:type="dxa"/>
            <w:hideMark/>
          </w:tcPr>
          <w:p w14:paraId="2F7C72D0"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544D697B" w14:textId="77777777" w:rsidR="00D334CC" w:rsidRPr="00187708" w:rsidRDefault="00D334CC" w:rsidP="00D334C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w:t>
            </w:r>
          </w:p>
        </w:tc>
        <w:tc>
          <w:tcPr>
            <w:tcW w:w="7324" w:type="dxa"/>
            <w:hideMark/>
          </w:tcPr>
          <w:p w14:paraId="38D47E4F"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sistem digital de raportare și trasabilitate pentru deșeurile alimentare</w:t>
            </w:r>
          </w:p>
        </w:tc>
        <w:tc>
          <w:tcPr>
            <w:tcW w:w="4116" w:type="dxa"/>
            <w:hideMark/>
          </w:tcPr>
          <w:p w14:paraId="4AFE6262"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2028</w:t>
            </w:r>
          </w:p>
        </w:tc>
        <w:tc>
          <w:tcPr>
            <w:tcW w:w="3260" w:type="dxa"/>
            <w:hideMark/>
          </w:tcPr>
          <w:p w14:paraId="1C112099"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 ANSVSA</w:t>
            </w:r>
          </w:p>
        </w:tc>
        <w:tc>
          <w:tcPr>
            <w:tcW w:w="3118" w:type="dxa"/>
            <w:hideMark/>
          </w:tcPr>
          <w:p w14:paraId="581C3CA3" w14:textId="77777777" w:rsidR="00D334CC" w:rsidRPr="00187708" w:rsidRDefault="00D334CC" w:rsidP="00D334C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D334CC" w:rsidRPr="00187708" w14:paraId="2814313B" w14:textId="77777777" w:rsidTr="007A13C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259" w:type="dxa"/>
            <w:shd w:val="clear" w:color="auto" w:fill="auto"/>
            <w:hideMark/>
          </w:tcPr>
          <w:p w14:paraId="4B024D1A" w14:textId="77777777" w:rsidR="00D334CC" w:rsidRPr="00187708" w:rsidRDefault="00D334CC"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ALI-A10</w:t>
            </w:r>
          </w:p>
        </w:tc>
        <w:tc>
          <w:tcPr>
            <w:tcW w:w="742" w:type="dxa"/>
            <w:shd w:val="clear" w:color="auto" w:fill="auto"/>
            <w:hideMark/>
          </w:tcPr>
          <w:p w14:paraId="3254BCEE"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shd w:val="clear" w:color="auto" w:fill="auto"/>
            <w:hideMark/>
          </w:tcPr>
          <w:p w14:paraId="77E0D22C" w14:textId="77777777" w:rsidR="00D334CC" w:rsidRPr="00187708" w:rsidRDefault="00D334CC" w:rsidP="00D334C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5.2</w:t>
            </w:r>
          </w:p>
        </w:tc>
        <w:tc>
          <w:tcPr>
            <w:tcW w:w="7324" w:type="dxa"/>
            <w:shd w:val="clear" w:color="auto" w:fill="auto"/>
            <w:hideMark/>
          </w:tcPr>
          <w:p w14:paraId="06EBC86A"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Interconectarea tuturor platformelor digitale pentru unitatea datelor din domeniul deșeurilor alimentare</w:t>
            </w:r>
          </w:p>
        </w:tc>
        <w:tc>
          <w:tcPr>
            <w:tcW w:w="4116" w:type="dxa"/>
            <w:shd w:val="clear" w:color="auto" w:fill="auto"/>
            <w:hideMark/>
          </w:tcPr>
          <w:p w14:paraId="1E7449AD"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2028</w:t>
            </w:r>
          </w:p>
        </w:tc>
        <w:tc>
          <w:tcPr>
            <w:tcW w:w="3260" w:type="dxa"/>
            <w:shd w:val="clear" w:color="auto" w:fill="auto"/>
            <w:hideMark/>
          </w:tcPr>
          <w:p w14:paraId="6E3B2A0B"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w:t>
            </w:r>
          </w:p>
        </w:tc>
        <w:tc>
          <w:tcPr>
            <w:tcW w:w="3118" w:type="dxa"/>
            <w:shd w:val="clear" w:color="auto" w:fill="auto"/>
            <w:hideMark/>
          </w:tcPr>
          <w:p w14:paraId="6EC8CAAD" w14:textId="77777777" w:rsidR="00D334CC" w:rsidRPr="00187708" w:rsidRDefault="00D334CC" w:rsidP="00D334C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4168103F" w14:textId="77777777" w:rsidR="00ED42B3" w:rsidRPr="00187708" w:rsidRDefault="00ED42B3" w:rsidP="008A6FDD">
      <w:pPr>
        <w:rPr>
          <w:lang w:val="ro-RO"/>
        </w:rPr>
      </w:pPr>
    </w:p>
    <w:p w14:paraId="40A5EEDB" w14:textId="068A9303" w:rsidR="00ED42B3" w:rsidRPr="00187708" w:rsidRDefault="00ED42B3" w:rsidP="00ED42B3">
      <w:pPr>
        <w:rPr>
          <w:rFonts w:ascii="Nunito" w:hAnsi="Nunito"/>
          <w:b/>
          <w:bCs/>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4</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w:t>
      </w:r>
      <w:r w:rsidR="005D7120" w:rsidRPr="00187708">
        <w:rPr>
          <w:rFonts w:ascii="Nunito" w:hAnsi="Nunito"/>
          <w:b/>
          <w:bCs/>
          <w:color w:val="009DF0" w:themeColor="text2"/>
          <w:sz w:val="16"/>
          <w:szCs w:val="16"/>
          <w:lang w:val="ro-RO"/>
        </w:rPr>
        <w:t>Modul de îndeplinire al</w:t>
      </w:r>
      <w:r w:rsidRPr="00187708">
        <w:rPr>
          <w:rFonts w:ascii="Nunito" w:hAnsi="Nunito"/>
          <w:b/>
          <w:bCs/>
          <w:color w:val="009DF0" w:themeColor="text2"/>
          <w:sz w:val="16"/>
          <w:szCs w:val="16"/>
          <w:lang w:val="ro-RO"/>
        </w:rPr>
        <w:t xml:space="preserve"> 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w:t>
      </w:r>
      <w:r w:rsidRPr="00187708">
        <w:rPr>
          <w:lang w:val="ro-RO"/>
        </w:rPr>
        <w:t xml:space="preserve"> </w:t>
      </w:r>
      <w:r w:rsidRPr="00187708">
        <w:rPr>
          <w:rFonts w:ascii="Nunito" w:hAnsi="Nunito"/>
          <w:b/>
          <w:bCs/>
          <w:color w:val="009DF0" w:themeColor="text2"/>
          <w:sz w:val="16"/>
          <w:szCs w:val="16"/>
          <w:lang w:val="ro-RO"/>
        </w:rPr>
        <w:t>deșeurilor</w:t>
      </w:r>
      <w:r w:rsidR="00C47E40" w:rsidRPr="00187708">
        <w:rPr>
          <w:rFonts w:ascii="Nunito" w:hAnsi="Nunito"/>
          <w:b/>
          <w:bCs/>
          <w:color w:val="009DF0" w:themeColor="text2"/>
          <w:sz w:val="16"/>
          <w:szCs w:val="16"/>
          <w:lang w:val="ro-RO"/>
        </w:rPr>
        <w:t xml:space="preserve"> de ambalaje</w:t>
      </w:r>
    </w:p>
    <w:tbl>
      <w:tblPr>
        <w:tblStyle w:val="ListTable1Light-Accent1"/>
        <w:tblW w:w="20979" w:type="dxa"/>
        <w:tblBorders>
          <w:bottom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499"/>
        <w:gridCol w:w="883"/>
        <w:gridCol w:w="1380"/>
        <w:gridCol w:w="6728"/>
        <w:gridCol w:w="4111"/>
        <w:gridCol w:w="3260"/>
        <w:gridCol w:w="3118"/>
      </w:tblGrid>
      <w:tr w:rsidR="000D5630" w:rsidRPr="00187708" w14:paraId="31EF70F8" w14:textId="77777777" w:rsidTr="007A13C1">
        <w:trPr>
          <w:cnfStyle w:val="100000000000" w:firstRow="1" w:lastRow="0" w:firstColumn="0" w:lastColumn="0" w:oddVBand="0" w:evenVBand="0" w:oddHBand="0" w:evenHBand="0" w:firstRowFirstColumn="0" w:firstRowLastColumn="0" w:lastRowFirstColumn="0" w:lastRowLastColumn="0"/>
          <w:trHeight w:val="304"/>
          <w:tblHeader/>
        </w:trPr>
        <w:tc>
          <w:tcPr>
            <w:cnfStyle w:val="001000000000" w:firstRow="0" w:lastRow="0" w:firstColumn="1" w:lastColumn="0" w:oddVBand="0" w:evenVBand="0" w:oddHBand="0" w:evenHBand="0" w:firstRowFirstColumn="0" w:firstRowLastColumn="0" w:lastRowFirstColumn="0" w:lastRowLastColumn="0"/>
            <w:tcW w:w="1499" w:type="dxa"/>
            <w:tcBorders>
              <w:bottom w:val="none" w:sz="0" w:space="0" w:color="auto"/>
            </w:tcBorders>
            <w:shd w:val="clear" w:color="auto" w:fill="00B0F0"/>
            <w:hideMark/>
          </w:tcPr>
          <w:p w14:paraId="750DCFC5" w14:textId="77777777" w:rsidR="000D5630" w:rsidRPr="00187708" w:rsidRDefault="000D5630" w:rsidP="000D5630">
            <w:pPr>
              <w:jc w:val="center"/>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Cod</w:t>
            </w:r>
          </w:p>
        </w:tc>
        <w:tc>
          <w:tcPr>
            <w:tcW w:w="883" w:type="dxa"/>
            <w:tcBorders>
              <w:bottom w:val="none" w:sz="0" w:space="0" w:color="auto"/>
            </w:tcBorders>
            <w:shd w:val="clear" w:color="auto" w:fill="00B0F0"/>
            <w:hideMark/>
          </w:tcPr>
          <w:p w14:paraId="2DE8BDDE" w14:textId="77777777" w:rsidR="000D5630" w:rsidRPr="00187708" w:rsidRDefault="000D5630" w:rsidP="000D563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Nivel</w:t>
            </w:r>
          </w:p>
        </w:tc>
        <w:tc>
          <w:tcPr>
            <w:tcW w:w="1380" w:type="dxa"/>
            <w:tcBorders>
              <w:bottom w:val="none" w:sz="0" w:space="0" w:color="auto"/>
            </w:tcBorders>
            <w:shd w:val="clear" w:color="auto" w:fill="00B0F0"/>
            <w:hideMark/>
          </w:tcPr>
          <w:p w14:paraId="54C8A685" w14:textId="77777777" w:rsidR="000D5630" w:rsidRPr="00187708" w:rsidRDefault="000D5630" w:rsidP="000D563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Nr. PNGD</w:t>
            </w:r>
          </w:p>
        </w:tc>
        <w:tc>
          <w:tcPr>
            <w:tcW w:w="6728" w:type="dxa"/>
            <w:tcBorders>
              <w:bottom w:val="none" w:sz="0" w:space="0" w:color="auto"/>
            </w:tcBorders>
            <w:shd w:val="clear" w:color="auto" w:fill="00B0F0"/>
            <w:hideMark/>
          </w:tcPr>
          <w:p w14:paraId="30A910FD" w14:textId="77777777" w:rsidR="000D5630" w:rsidRPr="00187708" w:rsidRDefault="000D5630" w:rsidP="000D563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Denumire obiectiv / acțiune</w:t>
            </w:r>
          </w:p>
        </w:tc>
        <w:tc>
          <w:tcPr>
            <w:tcW w:w="4111" w:type="dxa"/>
            <w:tcBorders>
              <w:bottom w:val="none" w:sz="0" w:space="0" w:color="auto"/>
            </w:tcBorders>
            <w:shd w:val="clear" w:color="auto" w:fill="00B0F0"/>
            <w:hideMark/>
          </w:tcPr>
          <w:p w14:paraId="60FD7720" w14:textId="77777777" w:rsidR="000D5630" w:rsidRPr="00187708" w:rsidRDefault="000D5630" w:rsidP="000D563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Termen</w:t>
            </w:r>
          </w:p>
        </w:tc>
        <w:tc>
          <w:tcPr>
            <w:tcW w:w="3260" w:type="dxa"/>
            <w:tcBorders>
              <w:bottom w:val="none" w:sz="0" w:space="0" w:color="auto"/>
            </w:tcBorders>
            <w:shd w:val="clear" w:color="auto" w:fill="00B0F0"/>
            <w:hideMark/>
          </w:tcPr>
          <w:p w14:paraId="76CFEFD2" w14:textId="77777777" w:rsidR="000D5630" w:rsidRPr="00187708" w:rsidRDefault="000D5630" w:rsidP="000D563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Responsabil principal / alți responsabili</w:t>
            </w:r>
          </w:p>
        </w:tc>
        <w:tc>
          <w:tcPr>
            <w:tcW w:w="3118" w:type="dxa"/>
            <w:tcBorders>
              <w:bottom w:val="none" w:sz="0" w:space="0" w:color="auto"/>
            </w:tcBorders>
            <w:shd w:val="clear" w:color="auto" w:fill="00B0F0"/>
            <w:hideMark/>
          </w:tcPr>
          <w:p w14:paraId="22304C65" w14:textId="77777777" w:rsidR="000D5630" w:rsidRPr="00187708" w:rsidRDefault="000D5630" w:rsidP="000D563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Sursa de finanțare</w:t>
            </w:r>
          </w:p>
        </w:tc>
      </w:tr>
      <w:tr w:rsidR="000D5630" w:rsidRPr="00187708" w14:paraId="3E1D5CA6"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49CDAF5D" w14:textId="77777777" w:rsidR="000D5630" w:rsidRPr="00187708" w:rsidRDefault="000D5630"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AMB-OS-01</w:t>
            </w:r>
          </w:p>
        </w:tc>
        <w:tc>
          <w:tcPr>
            <w:tcW w:w="883" w:type="dxa"/>
            <w:shd w:val="clear" w:color="auto" w:fill="auto"/>
            <w:hideMark/>
          </w:tcPr>
          <w:p w14:paraId="72CD5162"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0" w:type="dxa"/>
            <w:shd w:val="clear" w:color="auto" w:fill="auto"/>
            <w:hideMark/>
          </w:tcPr>
          <w:p w14:paraId="49B80B32"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1</w:t>
            </w:r>
          </w:p>
        </w:tc>
        <w:tc>
          <w:tcPr>
            <w:tcW w:w="6728" w:type="dxa"/>
            <w:shd w:val="clear" w:color="auto" w:fill="auto"/>
            <w:hideMark/>
          </w:tcPr>
          <w:p w14:paraId="34925AE6"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Creșterea obiectivului global de valorificare</w:t>
            </w:r>
          </w:p>
        </w:tc>
        <w:tc>
          <w:tcPr>
            <w:tcW w:w="4111" w:type="dxa"/>
            <w:shd w:val="clear" w:color="auto" w:fill="auto"/>
            <w:hideMark/>
          </w:tcPr>
          <w:p w14:paraId="6DB60C4F"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260" w:type="dxa"/>
            <w:shd w:val="clear" w:color="auto" w:fill="auto"/>
            <w:hideMark/>
          </w:tcPr>
          <w:p w14:paraId="7C031BF8"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118" w:type="dxa"/>
            <w:shd w:val="clear" w:color="auto" w:fill="auto"/>
            <w:hideMark/>
          </w:tcPr>
          <w:p w14:paraId="1E55013E"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0D5630" w:rsidRPr="00187708" w14:paraId="7E44CD5C" w14:textId="77777777" w:rsidTr="007A13C1">
        <w:trPr>
          <w:trHeight w:val="266"/>
        </w:trPr>
        <w:tc>
          <w:tcPr>
            <w:cnfStyle w:val="001000000000" w:firstRow="0" w:lastRow="0" w:firstColumn="1" w:lastColumn="0" w:oddVBand="0" w:evenVBand="0" w:oddHBand="0" w:evenHBand="0" w:firstRowFirstColumn="0" w:firstRowLastColumn="0" w:lastRowFirstColumn="0" w:lastRowLastColumn="0"/>
            <w:tcW w:w="1499" w:type="dxa"/>
            <w:hideMark/>
          </w:tcPr>
          <w:p w14:paraId="07781DD5"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w:t>
            </w:r>
          </w:p>
        </w:tc>
        <w:tc>
          <w:tcPr>
            <w:tcW w:w="883" w:type="dxa"/>
            <w:hideMark/>
          </w:tcPr>
          <w:p w14:paraId="261D1978"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4566E710"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6728" w:type="dxa"/>
            <w:hideMark/>
          </w:tcPr>
          <w:p w14:paraId="17BB1BD2"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capacității de valorificare a deșeurilor de ambalaje la nivel național</w:t>
            </w:r>
          </w:p>
        </w:tc>
        <w:tc>
          <w:tcPr>
            <w:tcW w:w="4111" w:type="dxa"/>
            <w:hideMark/>
          </w:tcPr>
          <w:p w14:paraId="0026F3F3"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71696EA4"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Investitori privați; Fabrici de ciment</w:t>
            </w:r>
          </w:p>
        </w:tc>
        <w:tc>
          <w:tcPr>
            <w:tcW w:w="3118" w:type="dxa"/>
            <w:hideMark/>
          </w:tcPr>
          <w:p w14:paraId="74C680B6"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propriu; Alte surse de finanțare</w:t>
            </w:r>
          </w:p>
        </w:tc>
      </w:tr>
      <w:tr w:rsidR="000D5630" w:rsidRPr="00187708" w14:paraId="7AAFE345"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30873D61" w14:textId="77777777" w:rsidR="000D5630" w:rsidRPr="00187708" w:rsidRDefault="000D5630"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AMB-OS-02</w:t>
            </w:r>
          </w:p>
        </w:tc>
        <w:tc>
          <w:tcPr>
            <w:tcW w:w="883" w:type="dxa"/>
            <w:shd w:val="clear" w:color="auto" w:fill="auto"/>
            <w:hideMark/>
          </w:tcPr>
          <w:p w14:paraId="4F4A8EED"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0" w:type="dxa"/>
            <w:shd w:val="clear" w:color="auto" w:fill="auto"/>
            <w:hideMark/>
          </w:tcPr>
          <w:p w14:paraId="7A59E805"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6728" w:type="dxa"/>
            <w:shd w:val="clear" w:color="auto" w:fill="auto"/>
            <w:hideMark/>
          </w:tcPr>
          <w:p w14:paraId="6627046C"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Creșterea obiectivului de reciclare</w:t>
            </w:r>
          </w:p>
        </w:tc>
        <w:tc>
          <w:tcPr>
            <w:tcW w:w="4111" w:type="dxa"/>
            <w:shd w:val="clear" w:color="auto" w:fill="auto"/>
            <w:hideMark/>
          </w:tcPr>
          <w:p w14:paraId="01E17FC6"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260" w:type="dxa"/>
            <w:shd w:val="clear" w:color="auto" w:fill="auto"/>
            <w:hideMark/>
          </w:tcPr>
          <w:p w14:paraId="42EF8EEB"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118" w:type="dxa"/>
            <w:shd w:val="clear" w:color="auto" w:fill="auto"/>
            <w:hideMark/>
          </w:tcPr>
          <w:p w14:paraId="7B4AABDB"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0D5630" w:rsidRPr="00187708" w14:paraId="0CB81F24"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99" w:type="dxa"/>
            <w:hideMark/>
          </w:tcPr>
          <w:p w14:paraId="48AED1DD"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AMB-A2</w:t>
            </w:r>
          </w:p>
        </w:tc>
        <w:tc>
          <w:tcPr>
            <w:tcW w:w="883" w:type="dxa"/>
            <w:hideMark/>
          </w:tcPr>
          <w:p w14:paraId="75B5F89A"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610F2CAC"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6728" w:type="dxa"/>
            <w:hideMark/>
          </w:tcPr>
          <w:p w14:paraId="1E319EB9"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Verificarea îndeplinirii criteriilor de clasificare a ambalajelor în funcție de reciclabilitate (încadrarea în clasele A, B sau C de performanță a reciclării)</w:t>
            </w:r>
          </w:p>
        </w:tc>
        <w:tc>
          <w:tcPr>
            <w:tcW w:w="4111" w:type="dxa"/>
            <w:hideMark/>
          </w:tcPr>
          <w:p w14:paraId="70A2E9AF"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34EBCD8B"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MEDAT; MMAP (până la desemnarea autorităților competente conform art. 40 alin. 1, Regulamentul (UE) 2025/40)</w:t>
            </w:r>
          </w:p>
        </w:tc>
        <w:tc>
          <w:tcPr>
            <w:tcW w:w="3118" w:type="dxa"/>
            <w:hideMark/>
          </w:tcPr>
          <w:p w14:paraId="553927C9"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0A95A9D5" w14:textId="77777777" w:rsidTr="007A13C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0E8F68BF"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AMB-A3</w:t>
            </w:r>
          </w:p>
        </w:tc>
        <w:tc>
          <w:tcPr>
            <w:tcW w:w="883" w:type="dxa"/>
            <w:shd w:val="clear" w:color="auto" w:fill="auto"/>
            <w:hideMark/>
          </w:tcPr>
          <w:p w14:paraId="2EB2117F"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00561220"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w:t>
            </w:r>
          </w:p>
        </w:tc>
        <w:tc>
          <w:tcPr>
            <w:tcW w:w="6728" w:type="dxa"/>
            <w:shd w:val="clear" w:color="auto" w:fill="auto"/>
            <w:hideMark/>
          </w:tcPr>
          <w:p w14:paraId="01021911"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introducerii pe piață doar a ambalajelor și etichetelor adezive pentru fructe și legume certificate ca fiind compostabile industrial, conform standardelor aplicabile</w:t>
            </w:r>
          </w:p>
        </w:tc>
        <w:tc>
          <w:tcPr>
            <w:tcW w:w="4111" w:type="dxa"/>
            <w:shd w:val="clear" w:color="auto" w:fill="auto"/>
            <w:hideMark/>
          </w:tcPr>
          <w:p w14:paraId="48884092"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 februarie 2028</w:t>
            </w:r>
          </w:p>
        </w:tc>
        <w:tc>
          <w:tcPr>
            <w:tcW w:w="3260" w:type="dxa"/>
            <w:shd w:val="clear" w:color="auto" w:fill="auto"/>
            <w:hideMark/>
          </w:tcPr>
          <w:p w14:paraId="2E220D60"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MEDAT; MMAP (până la desemnarea autorităților competente conform art. 40 alin. 1, Regulamentul (UE) 2025/40)</w:t>
            </w:r>
          </w:p>
        </w:tc>
        <w:tc>
          <w:tcPr>
            <w:tcW w:w="3118" w:type="dxa"/>
            <w:shd w:val="clear" w:color="auto" w:fill="auto"/>
            <w:hideMark/>
          </w:tcPr>
          <w:p w14:paraId="6B67DCFC"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302C310B" w14:textId="77777777" w:rsidTr="007A13C1">
        <w:trPr>
          <w:trHeight w:val="505"/>
        </w:trPr>
        <w:tc>
          <w:tcPr>
            <w:cnfStyle w:val="001000000000" w:firstRow="0" w:lastRow="0" w:firstColumn="1" w:lastColumn="0" w:oddVBand="0" w:evenVBand="0" w:oddHBand="0" w:evenHBand="0" w:firstRowFirstColumn="0" w:firstRowLastColumn="0" w:lastRowFirstColumn="0" w:lastRowLastColumn="0"/>
            <w:tcW w:w="1499" w:type="dxa"/>
            <w:hideMark/>
          </w:tcPr>
          <w:p w14:paraId="2AA114A4"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AMB-A4</w:t>
            </w:r>
          </w:p>
        </w:tc>
        <w:tc>
          <w:tcPr>
            <w:tcW w:w="883" w:type="dxa"/>
            <w:hideMark/>
          </w:tcPr>
          <w:p w14:paraId="00A19D44"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531AEA55"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w:t>
            </w:r>
          </w:p>
        </w:tc>
        <w:tc>
          <w:tcPr>
            <w:tcW w:w="6728" w:type="dxa"/>
            <w:hideMark/>
          </w:tcPr>
          <w:p w14:paraId="4A9C944C"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Derularea campaniilor de informare și educare a publicului și a operatorilor economici privind deșeurile de ambalaje</w:t>
            </w:r>
          </w:p>
        </w:tc>
        <w:tc>
          <w:tcPr>
            <w:tcW w:w="4111" w:type="dxa"/>
            <w:hideMark/>
          </w:tcPr>
          <w:p w14:paraId="73F20F9B"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284DB202"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UAT/ADI; OIREP</w:t>
            </w:r>
          </w:p>
        </w:tc>
        <w:tc>
          <w:tcPr>
            <w:tcW w:w="3118" w:type="dxa"/>
            <w:hideMark/>
          </w:tcPr>
          <w:p w14:paraId="47B2C494"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Buget de stat</w:t>
            </w:r>
          </w:p>
        </w:tc>
      </w:tr>
      <w:tr w:rsidR="000D5630" w:rsidRPr="00187708" w14:paraId="1EDF776A"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2A622D38"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AMB-A5</w:t>
            </w:r>
          </w:p>
        </w:tc>
        <w:tc>
          <w:tcPr>
            <w:tcW w:w="883" w:type="dxa"/>
            <w:shd w:val="clear" w:color="auto" w:fill="auto"/>
            <w:hideMark/>
          </w:tcPr>
          <w:p w14:paraId="136D75FE"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69545109"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w:t>
            </w:r>
          </w:p>
        </w:tc>
        <w:tc>
          <w:tcPr>
            <w:tcW w:w="6728" w:type="dxa"/>
            <w:shd w:val="clear" w:color="auto" w:fill="auto"/>
            <w:hideMark/>
          </w:tcPr>
          <w:p w14:paraId="62B5B636"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Îmbunătățirea procesului de sortare și asigurarea capacităților de reciclare pe tipuri de materiale prin sprijinirea operatorilor economici – scheme de ajutor financiar și/sau programe de finanțare speciale pentru înființarea/dezvoltarea unor fabrici de reciclare, în special în sectorul deficitar (sticlă, folii de plastic etc.)</w:t>
            </w:r>
          </w:p>
        </w:tc>
        <w:tc>
          <w:tcPr>
            <w:tcW w:w="4111" w:type="dxa"/>
            <w:shd w:val="clear" w:color="auto" w:fill="auto"/>
            <w:hideMark/>
          </w:tcPr>
          <w:p w14:paraId="701C1DB1"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01ABF49C"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MIPE; MF; Investitori privați</w:t>
            </w:r>
          </w:p>
        </w:tc>
        <w:tc>
          <w:tcPr>
            <w:tcW w:w="3118" w:type="dxa"/>
            <w:shd w:val="clear" w:color="auto" w:fill="auto"/>
            <w:hideMark/>
          </w:tcPr>
          <w:p w14:paraId="3CD3A7F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local/național; Fonduri europene; Alte fonduri; Investiții private</w:t>
            </w:r>
          </w:p>
        </w:tc>
      </w:tr>
      <w:tr w:rsidR="000D5630" w:rsidRPr="00187708" w14:paraId="1DB5EAD8"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99" w:type="dxa"/>
            <w:hideMark/>
          </w:tcPr>
          <w:p w14:paraId="7DF4EF53"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AMB-A6</w:t>
            </w:r>
          </w:p>
        </w:tc>
        <w:tc>
          <w:tcPr>
            <w:tcW w:w="883" w:type="dxa"/>
            <w:hideMark/>
          </w:tcPr>
          <w:p w14:paraId="388E50D8"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46C03487"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2.5</w:t>
            </w:r>
          </w:p>
        </w:tc>
        <w:tc>
          <w:tcPr>
            <w:tcW w:w="6728" w:type="dxa"/>
            <w:hideMark/>
          </w:tcPr>
          <w:p w14:paraId="56ABF283"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Urmărirea îndeplinirii obligațiilor de notificare/înregistrare la nivelul APL/ADI și raportare a cantităților de către operatorii economici colectori autorizați reglementați de Legea 249/2015</w:t>
            </w:r>
          </w:p>
        </w:tc>
        <w:tc>
          <w:tcPr>
            <w:tcW w:w="4111" w:type="dxa"/>
            <w:hideMark/>
          </w:tcPr>
          <w:p w14:paraId="1D8372C5"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56D6A79D"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3118" w:type="dxa"/>
            <w:hideMark/>
          </w:tcPr>
          <w:p w14:paraId="03E906C8"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3A33D0CC"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66FF1F2F"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AMB-A7</w:t>
            </w:r>
          </w:p>
        </w:tc>
        <w:tc>
          <w:tcPr>
            <w:tcW w:w="883" w:type="dxa"/>
            <w:shd w:val="clear" w:color="auto" w:fill="auto"/>
            <w:hideMark/>
          </w:tcPr>
          <w:p w14:paraId="645C292F"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3EA4EB7B"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2.6</w:t>
            </w:r>
          </w:p>
        </w:tc>
        <w:tc>
          <w:tcPr>
            <w:tcW w:w="6728" w:type="dxa"/>
            <w:shd w:val="clear" w:color="auto" w:fill="auto"/>
            <w:hideMark/>
          </w:tcPr>
          <w:p w14:paraId="57EAADBE"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xml:space="preserve">Dezvoltarea unui sistem digital unitar de raportare și trasabilitate pentru toate fluxurile de deșeuri reglementate (inclusiv deșeurile de ambalaje), gestionat de ANMAP și </w:t>
            </w:r>
            <w:r w:rsidRPr="00187708">
              <w:rPr>
                <w:rFonts w:ascii="Nunito" w:eastAsia="Times New Roman" w:hAnsi="Nunito" w:cs="Arial"/>
                <w:color w:val="000000"/>
                <w:sz w:val="16"/>
                <w:szCs w:val="16"/>
                <w:lang w:val="ro-RO"/>
              </w:rPr>
              <w:lastRenderedPageBreak/>
              <w:t>interconectat cu platformele existente (raportare/validare pe flux; trasabilitate de la colectare la tratare/reciclare/valorificare/eliminare; corectarea datelor după controale; rapoarte automate privind atingerea țintelor naționale și europene)</w:t>
            </w:r>
          </w:p>
        </w:tc>
        <w:tc>
          <w:tcPr>
            <w:tcW w:w="4111" w:type="dxa"/>
            <w:shd w:val="clear" w:color="auto" w:fill="auto"/>
            <w:hideMark/>
          </w:tcPr>
          <w:p w14:paraId="6118269E"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2027</w:t>
            </w:r>
          </w:p>
        </w:tc>
        <w:tc>
          <w:tcPr>
            <w:tcW w:w="3260" w:type="dxa"/>
            <w:shd w:val="clear" w:color="auto" w:fill="auto"/>
            <w:hideMark/>
          </w:tcPr>
          <w:p w14:paraId="768E5802"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 AFM; GNM</w:t>
            </w:r>
          </w:p>
        </w:tc>
        <w:tc>
          <w:tcPr>
            <w:tcW w:w="3118" w:type="dxa"/>
            <w:shd w:val="clear" w:color="auto" w:fill="auto"/>
            <w:hideMark/>
          </w:tcPr>
          <w:p w14:paraId="4DD3320C"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5A59ED87" w14:textId="77777777" w:rsidTr="007A13C1">
        <w:trPr>
          <w:trHeight w:val="505"/>
        </w:trPr>
        <w:tc>
          <w:tcPr>
            <w:cnfStyle w:val="001000000000" w:firstRow="0" w:lastRow="0" w:firstColumn="1" w:lastColumn="0" w:oddVBand="0" w:evenVBand="0" w:oddHBand="0" w:evenHBand="0" w:firstRowFirstColumn="0" w:firstRowLastColumn="0" w:lastRowFirstColumn="0" w:lastRowLastColumn="0"/>
            <w:tcW w:w="1499" w:type="dxa"/>
            <w:hideMark/>
          </w:tcPr>
          <w:p w14:paraId="70DE0529"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AMB-A8</w:t>
            </w:r>
          </w:p>
        </w:tc>
        <w:tc>
          <w:tcPr>
            <w:tcW w:w="883" w:type="dxa"/>
            <w:hideMark/>
          </w:tcPr>
          <w:p w14:paraId="1078FB0C"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0C43A64C"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2.7</w:t>
            </w:r>
          </w:p>
        </w:tc>
        <w:tc>
          <w:tcPr>
            <w:tcW w:w="6728" w:type="dxa"/>
            <w:hideMark/>
          </w:tcPr>
          <w:p w14:paraId="1A4F6829"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unor unități de recondiționare și reutilizare a ambalajelor refolosibile (curățare, testare, reetichetare)</w:t>
            </w:r>
          </w:p>
        </w:tc>
        <w:tc>
          <w:tcPr>
            <w:tcW w:w="4111" w:type="dxa"/>
            <w:hideMark/>
          </w:tcPr>
          <w:p w14:paraId="735BA95C"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1E7D1EAB"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w:t>
            </w:r>
          </w:p>
        </w:tc>
        <w:tc>
          <w:tcPr>
            <w:tcW w:w="3118" w:type="dxa"/>
            <w:hideMark/>
          </w:tcPr>
          <w:p w14:paraId="410E3D7E"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0D5630" w:rsidRPr="00187708" w14:paraId="6A3BD51A" w14:textId="77777777" w:rsidTr="007A13C1">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46FA3D51"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AMB-A9</w:t>
            </w:r>
          </w:p>
        </w:tc>
        <w:tc>
          <w:tcPr>
            <w:tcW w:w="883" w:type="dxa"/>
            <w:shd w:val="clear" w:color="auto" w:fill="auto"/>
            <w:hideMark/>
          </w:tcPr>
          <w:p w14:paraId="090F2E23"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2669A2CC"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2.8</w:t>
            </w:r>
          </w:p>
        </w:tc>
        <w:tc>
          <w:tcPr>
            <w:tcW w:w="6728" w:type="dxa"/>
            <w:shd w:val="clear" w:color="auto" w:fill="auto"/>
            <w:hideMark/>
          </w:tcPr>
          <w:p w14:paraId="3D973AC9"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Digitalizarea trasabilității deșeurilor de ambalaje din fluxul comercial și industrie</w:t>
            </w:r>
          </w:p>
        </w:tc>
        <w:tc>
          <w:tcPr>
            <w:tcW w:w="4111" w:type="dxa"/>
            <w:shd w:val="clear" w:color="auto" w:fill="auto"/>
            <w:hideMark/>
          </w:tcPr>
          <w:p w14:paraId="6DB7003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20903DF6"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118" w:type="dxa"/>
            <w:shd w:val="clear" w:color="auto" w:fill="auto"/>
            <w:hideMark/>
          </w:tcPr>
          <w:p w14:paraId="58A5C322"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38C23577" w14:textId="77777777" w:rsidTr="007A13C1">
        <w:trPr>
          <w:trHeight w:val="758"/>
        </w:trPr>
        <w:tc>
          <w:tcPr>
            <w:cnfStyle w:val="001000000000" w:firstRow="0" w:lastRow="0" w:firstColumn="1" w:lastColumn="0" w:oddVBand="0" w:evenVBand="0" w:oddHBand="0" w:evenHBand="0" w:firstRowFirstColumn="0" w:firstRowLastColumn="0" w:lastRowFirstColumn="0" w:lastRowLastColumn="0"/>
            <w:tcW w:w="1499" w:type="dxa"/>
            <w:hideMark/>
          </w:tcPr>
          <w:p w14:paraId="146B39EA" w14:textId="77777777" w:rsidR="000D5630" w:rsidRPr="00187708" w:rsidRDefault="000D5630" w:rsidP="00E51D7B">
            <w:pPr>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AMB-A10</w:t>
            </w:r>
          </w:p>
        </w:tc>
        <w:tc>
          <w:tcPr>
            <w:tcW w:w="883" w:type="dxa"/>
            <w:hideMark/>
          </w:tcPr>
          <w:p w14:paraId="709975F6"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4A4F41CC"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2.9</w:t>
            </w:r>
          </w:p>
        </w:tc>
        <w:tc>
          <w:tcPr>
            <w:tcW w:w="6728" w:type="dxa"/>
            <w:hideMark/>
          </w:tcPr>
          <w:p w14:paraId="5D9C0A72"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Crearea cadrului legal și organizatoric național pentru asigurarea unor sisteme de returnare și colectare și pentru alte tipuri de ambalaje decât cele deja reglementate (prin SGR existent) și monitorizarea implementării</w:t>
            </w:r>
          </w:p>
        </w:tc>
        <w:tc>
          <w:tcPr>
            <w:tcW w:w="4111" w:type="dxa"/>
            <w:hideMark/>
          </w:tcPr>
          <w:p w14:paraId="4649A15D"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260" w:type="dxa"/>
            <w:hideMark/>
          </w:tcPr>
          <w:p w14:paraId="11C0407C"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MEDAT; MMAP (până la desemnarea autorităților competente conform art. 40 alin. 1, Regulamentul (UE) 2025/40)</w:t>
            </w:r>
          </w:p>
        </w:tc>
        <w:tc>
          <w:tcPr>
            <w:tcW w:w="3118" w:type="dxa"/>
            <w:hideMark/>
          </w:tcPr>
          <w:p w14:paraId="17768468"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6B63F03C" w14:textId="77777777" w:rsidTr="007A13C1">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0D89EC1A" w14:textId="77777777" w:rsidR="000D5630" w:rsidRPr="00187708" w:rsidRDefault="000D5630" w:rsidP="00E51D7B">
            <w:pPr>
              <w:jc w:val="cente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AMB-OS-03</w:t>
            </w:r>
          </w:p>
        </w:tc>
        <w:tc>
          <w:tcPr>
            <w:tcW w:w="883" w:type="dxa"/>
            <w:shd w:val="clear" w:color="auto" w:fill="auto"/>
            <w:hideMark/>
          </w:tcPr>
          <w:p w14:paraId="7F335B10"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0" w:type="dxa"/>
            <w:shd w:val="clear" w:color="auto" w:fill="auto"/>
            <w:hideMark/>
          </w:tcPr>
          <w:p w14:paraId="703968CD"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3</w:t>
            </w:r>
          </w:p>
        </w:tc>
        <w:tc>
          <w:tcPr>
            <w:tcW w:w="6728" w:type="dxa"/>
            <w:shd w:val="clear" w:color="auto" w:fill="auto"/>
            <w:hideMark/>
          </w:tcPr>
          <w:p w14:paraId="65766134"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Asigurarea colectării separate, în termeni de greutate, pentru următoarele formate de ambalaje puse la dispoziție pe piață pentru prima dată în România într-un anumit an calendaristic: (a) sticle din plastic de unică folosință pentru băuturi, cu o capacitate de până la trei litri; (b) recipiente metalice de unică folosință pentru băuturi, cu o capacitate de până la trei litri</w:t>
            </w:r>
          </w:p>
        </w:tc>
        <w:tc>
          <w:tcPr>
            <w:tcW w:w="4111" w:type="dxa"/>
            <w:shd w:val="clear" w:color="auto" w:fill="auto"/>
            <w:hideMark/>
          </w:tcPr>
          <w:p w14:paraId="097BF4EA"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260" w:type="dxa"/>
            <w:shd w:val="clear" w:color="auto" w:fill="auto"/>
            <w:hideMark/>
          </w:tcPr>
          <w:p w14:paraId="736F737F"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118" w:type="dxa"/>
            <w:shd w:val="clear" w:color="auto" w:fill="auto"/>
            <w:hideMark/>
          </w:tcPr>
          <w:p w14:paraId="15AEBBB6"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0D5630" w:rsidRPr="00187708" w14:paraId="06621E4F" w14:textId="77777777" w:rsidTr="007A13C1">
        <w:trPr>
          <w:trHeight w:val="505"/>
        </w:trPr>
        <w:tc>
          <w:tcPr>
            <w:cnfStyle w:val="001000000000" w:firstRow="0" w:lastRow="0" w:firstColumn="1" w:lastColumn="0" w:oddVBand="0" w:evenVBand="0" w:oddHBand="0" w:evenHBand="0" w:firstRowFirstColumn="0" w:firstRowLastColumn="0" w:lastRowFirstColumn="0" w:lastRowLastColumn="0"/>
            <w:tcW w:w="1499" w:type="dxa"/>
            <w:hideMark/>
          </w:tcPr>
          <w:p w14:paraId="740413B2" w14:textId="77777777" w:rsidR="000D5630" w:rsidRPr="00187708" w:rsidRDefault="000D5630" w:rsidP="00E51D7B">
            <w:pPr>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AMB-A11</w:t>
            </w:r>
          </w:p>
        </w:tc>
        <w:tc>
          <w:tcPr>
            <w:tcW w:w="883" w:type="dxa"/>
            <w:hideMark/>
          </w:tcPr>
          <w:p w14:paraId="5B749510"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22877B54"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w:t>
            </w:r>
          </w:p>
        </w:tc>
        <w:tc>
          <w:tcPr>
            <w:tcW w:w="6728" w:type="dxa"/>
            <w:hideMark/>
          </w:tcPr>
          <w:p w14:paraId="42930A4D"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infrastructurii de colectare separată, inclusiv a ambalajelor de plastic de unică folosință</w:t>
            </w:r>
          </w:p>
        </w:tc>
        <w:tc>
          <w:tcPr>
            <w:tcW w:w="4111" w:type="dxa"/>
            <w:hideMark/>
          </w:tcPr>
          <w:p w14:paraId="1DFEFC13"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5A191F0C"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UAT/ADI</w:t>
            </w:r>
          </w:p>
        </w:tc>
        <w:tc>
          <w:tcPr>
            <w:tcW w:w="3118" w:type="dxa"/>
            <w:hideMark/>
          </w:tcPr>
          <w:p w14:paraId="10C8E767"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 Fonduri europene; Alte fonduri</w:t>
            </w:r>
          </w:p>
        </w:tc>
      </w:tr>
      <w:tr w:rsidR="000D5630" w:rsidRPr="00187708" w14:paraId="14844F3F" w14:textId="77777777" w:rsidTr="007A13C1">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7D315F8A" w14:textId="77777777" w:rsidR="000D5630" w:rsidRPr="00187708" w:rsidRDefault="000D5630" w:rsidP="00E51D7B">
            <w:pPr>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AMB-A12</w:t>
            </w:r>
          </w:p>
        </w:tc>
        <w:tc>
          <w:tcPr>
            <w:tcW w:w="883" w:type="dxa"/>
            <w:shd w:val="clear" w:color="auto" w:fill="auto"/>
            <w:hideMark/>
          </w:tcPr>
          <w:p w14:paraId="6A2B1CBA"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12FA057B"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3.2</w:t>
            </w:r>
          </w:p>
        </w:tc>
        <w:tc>
          <w:tcPr>
            <w:tcW w:w="6728" w:type="dxa"/>
            <w:shd w:val="clear" w:color="auto" w:fill="auto"/>
            <w:hideMark/>
          </w:tcPr>
          <w:p w14:paraId="1CB10778"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Monitorizarea îndeplinirii obligațiilor legale de către autoritățile locale privind organizarea sistemelor de colectare separată a produselor de plastic de unică folosință, respectiv a țintelor de colectare de către operatorii economici care introduc pe piață produse din plastic de unică folosință</w:t>
            </w:r>
          </w:p>
        </w:tc>
        <w:tc>
          <w:tcPr>
            <w:tcW w:w="4111" w:type="dxa"/>
            <w:shd w:val="clear" w:color="auto" w:fill="auto"/>
            <w:hideMark/>
          </w:tcPr>
          <w:p w14:paraId="4E783A85"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7569D56F"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3118" w:type="dxa"/>
            <w:shd w:val="clear" w:color="auto" w:fill="auto"/>
            <w:hideMark/>
          </w:tcPr>
          <w:p w14:paraId="782DEA59"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634F1FE4" w14:textId="77777777" w:rsidTr="007A13C1">
        <w:trPr>
          <w:trHeight w:val="192"/>
        </w:trPr>
        <w:tc>
          <w:tcPr>
            <w:cnfStyle w:val="001000000000" w:firstRow="0" w:lastRow="0" w:firstColumn="1" w:lastColumn="0" w:oddVBand="0" w:evenVBand="0" w:oddHBand="0" w:evenHBand="0" w:firstRowFirstColumn="0" w:firstRowLastColumn="0" w:lastRowFirstColumn="0" w:lastRowLastColumn="0"/>
            <w:tcW w:w="1499" w:type="dxa"/>
            <w:hideMark/>
          </w:tcPr>
          <w:p w14:paraId="32E0E18E" w14:textId="77777777" w:rsidR="000D5630" w:rsidRPr="00187708" w:rsidRDefault="000D5630"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AMB-OS-04</w:t>
            </w:r>
          </w:p>
        </w:tc>
        <w:tc>
          <w:tcPr>
            <w:tcW w:w="883" w:type="dxa"/>
            <w:hideMark/>
          </w:tcPr>
          <w:p w14:paraId="7839CADE"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0" w:type="dxa"/>
            <w:hideMark/>
          </w:tcPr>
          <w:p w14:paraId="5C288F06"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4</w:t>
            </w:r>
          </w:p>
        </w:tc>
        <w:tc>
          <w:tcPr>
            <w:tcW w:w="6728" w:type="dxa"/>
            <w:hideMark/>
          </w:tcPr>
          <w:p w14:paraId="1B03B412"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Includerea de către companiile/producătorii de ambalaje din plastic a unui conținut minim de material reciclat</w:t>
            </w:r>
          </w:p>
        </w:tc>
        <w:tc>
          <w:tcPr>
            <w:tcW w:w="4111" w:type="dxa"/>
            <w:hideMark/>
          </w:tcPr>
          <w:p w14:paraId="781FD6AD"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260" w:type="dxa"/>
            <w:hideMark/>
          </w:tcPr>
          <w:p w14:paraId="787B9744"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118" w:type="dxa"/>
            <w:hideMark/>
          </w:tcPr>
          <w:p w14:paraId="3867059D"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0D5630" w:rsidRPr="00187708" w14:paraId="23BDCD19" w14:textId="77777777" w:rsidTr="007A13C1">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6D874F15"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AMB-A13</w:t>
            </w:r>
          </w:p>
        </w:tc>
        <w:tc>
          <w:tcPr>
            <w:tcW w:w="883" w:type="dxa"/>
            <w:shd w:val="clear" w:color="auto" w:fill="auto"/>
            <w:hideMark/>
          </w:tcPr>
          <w:p w14:paraId="7AF1CFFD"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29C50463"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4.1</w:t>
            </w:r>
          </w:p>
        </w:tc>
        <w:tc>
          <w:tcPr>
            <w:tcW w:w="6728" w:type="dxa"/>
            <w:shd w:val="clear" w:color="auto" w:fill="auto"/>
            <w:hideMark/>
          </w:tcPr>
          <w:p w14:paraId="06461DF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Modernizarea liniilor industriale pentru integrarea plasticului reciclat (rPET, rHDPE etc.)</w:t>
            </w:r>
          </w:p>
        </w:tc>
        <w:tc>
          <w:tcPr>
            <w:tcW w:w="4111" w:type="dxa"/>
            <w:shd w:val="clear" w:color="auto" w:fill="auto"/>
            <w:hideMark/>
          </w:tcPr>
          <w:p w14:paraId="4AF83198"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2029</w:t>
            </w:r>
          </w:p>
        </w:tc>
        <w:tc>
          <w:tcPr>
            <w:tcW w:w="3260" w:type="dxa"/>
            <w:shd w:val="clear" w:color="auto" w:fill="auto"/>
            <w:hideMark/>
          </w:tcPr>
          <w:p w14:paraId="2E937C25"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 de ambalaje</w:t>
            </w:r>
          </w:p>
        </w:tc>
        <w:tc>
          <w:tcPr>
            <w:tcW w:w="3118" w:type="dxa"/>
            <w:shd w:val="clear" w:color="auto" w:fill="auto"/>
            <w:hideMark/>
          </w:tcPr>
          <w:p w14:paraId="6B0E6ECE"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w:t>
            </w:r>
          </w:p>
        </w:tc>
      </w:tr>
      <w:tr w:rsidR="000D5630" w:rsidRPr="00187708" w14:paraId="15D9567A" w14:textId="77777777" w:rsidTr="007A13C1">
        <w:trPr>
          <w:trHeight w:val="505"/>
        </w:trPr>
        <w:tc>
          <w:tcPr>
            <w:cnfStyle w:val="001000000000" w:firstRow="0" w:lastRow="0" w:firstColumn="1" w:lastColumn="0" w:oddVBand="0" w:evenVBand="0" w:oddHBand="0" w:evenHBand="0" w:firstRowFirstColumn="0" w:firstRowLastColumn="0" w:lastRowFirstColumn="0" w:lastRowLastColumn="0"/>
            <w:tcW w:w="1499" w:type="dxa"/>
            <w:hideMark/>
          </w:tcPr>
          <w:p w14:paraId="43720017"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AMB-A14</w:t>
            </w:r>
          </w:p>
        </w:tc>
        <w:tc>
          <w:tcPr>
            <w:tcW w:w="883" w:type="dxa"/>
            <w:hideMark/>
          </w:tcPr>
          <w:p w14:paraId="077A3B31"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773D6931"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4.2</w:t>
            </w:r>
          </w:p>
        </w:tc>
        <w:tc>
          <w:tcPr>
            <w:tcW w:w="6728" w:type="dxa"/>
            <w:hideMark/>
          </w:tcPr>
          <w:p w14:paraId="09F964F4"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Implementarea obligației de certificare a procentului de material reciclat (ex. prin audituri, etichetare, declarații de conformitate)</w:t>
            </w:r>
          </w:p>
        </w:tc>
        <w:tc>
          <w:tcPr>
            <w:tcW w:w="4111" w:type="dxa"/>
            <w:hideMark/>
          </w:tcPr>
          <w:p w14:paraId="3FA2AAB3"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260" w:type="dxa"/>
            <w:hideMark/>
          </w:tcPr>
          <w:p w14:paraId="5E7B687F"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ambalaje</w:t>
            </w:r>
          </w:p>
        </w:tc>
        <w:tc>
          <w:tcPr>
            <w:tcW w:w="3118" w:type="dxa"/>
            <w:hideMark/>
          </w:tcPr>
          <w:p w14:paraId="3F64B750"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w:t>
            </w:r>
          </w:p>
        </w:tc>
      </w:tr>
      <w:tr w:rsidR="000D5630" w:rsidRPr="00187708" w14:paraId="4943F05E" w14:textId="77777777" w:rsidTr="007A13C1">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4DD734B3"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AMB-A15</w:t>
            </w:r>
          </w:p>
        </w:tc>
        <w:tc>
          <w:tcPr>
            <w:tcW w:w="883" w:type="dxa"/>
            <w:shd w:val="clear" w:color="auto" w:fill="auto"/>
            <w:hideMark/>
          </w:tcPr>
          <w:p w14:paraId="540DA193"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29FC697B"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4.3</w:t>
            </w:r>
          </w:p>
        </w:tc>
        <w:tc>
          <w:tcPr>
            <w:tcW w:w="6728" w:type="dxa"/>
            <w:shd w:val="clear" w:color="auto" w:fill="auto"/>
            <w:hideMark/>
          </w:tcPr>
          <w:p w14:paraId="53676ECC"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Stimularea pieței prin scutiri fiscale și scheme de sprijin</w:t>
            </w:r>
          </w:p>
        </w:tc>
        <w:tc>
          <w:tcPr>
            <w:tcW w:w="4111" w:type="dxa"/>
            <w:shd w:val="clear" w:color="auto" w:fill="auto"/>
            <w:hideMark/>
          </w:tcPr>
          <w:p w14:paraId="42125D2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558C813A"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MF; MMAP</w:t>
            </w:r>
          </w:p>
        </w:tc>
        <w:tc>
          <w:tcPr>
            <w:tcW w:w="3118" w:type="dxa"/>
            <w:shd w:val="clear" w:color="auto" w:fill="auto"/>
            <w:hideMark/>
          </w:tcPr>
          <w:p w14:paraId="0A4662AB"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78DA802A" w14:textId="77777777" w:rsidTr="007A13C1">
        <w:trPr>
          <w:trHeight w:val="80"/>
        </w:trPr>
        <w:tc>
          <w:tcPr>
            <w:cnfStyle w:val="001000000000" w:firstRow="0" w:lastRow="0" w:firstColumn="1" w:lastColumn="0" w:oddVBand="0" w:evenVBand="0" w:oddHBand="0" w:evenHBand="0" w:firstRowFirstColumn="0" w:firstRowLastColumn="0" w:lastRowFirstColumn="0" w:lastRowLastColumn="0"/>
            <w:tcW w:w="1499" w:type="dxa"/>
            <w:hideMark/>
          </w:tcPr>
          <w:p w14:paraId="4E693378" w14:textId="77777777" w:rsidR="000D5630" w:rsidRPr="00187708" w:rsidRDefault="000D5630"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AMB-OS-05</w:t>
            </w:r>
          </w:p>
        </w:tc>
        <w:tc>
          <w:tcPr>
            <w:tcW w:w="883" w:type="dxa"/>
            <w:hideMark/>
          </w:tcPr>
          <w:p w14:paraId="34E85CF5"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0" w:type="dxa"/>
            <w:hideMark/>
          </w:tcPr>
          <w:p w14:paraId="5142FF17"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5</w:t>
            </w:r>
          </w:p>
        </w:tc>
        <w:tc>
          <w:tcPr>
            <w:tcW w:w="6728" w:type="dxa"/>
            <w:hideMark/>
          </w:tcPr>
          <w:p w14:paraId="1240F844"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Completarea/modificarea legislației existente pentru conformarea cu actele normative la nivel european, inclusiv ca urmare a deficiențelor identificate</w:t>
            </w:r>
          </w:p>
        </w:tc>
        <w:tc>
          <w:tcPr>
            <w:tcW w:w="4111" w:type="dxa"/>
            <w:hideMark/>
          </w:tcPr>
          <w:p w14:paraId="6180F330"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260" w:type="dxa"/>
            <w:hideMark/>
          </w:tcPr>
          <w:p w14:paraId="2AFE51E7"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118" w:type="dxa"/>
            <w:hideMark/>
          </w:tcPr>
          <w:p w14:paraId="7998E01C"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0D5630" w:rsidRPr="00187708" w14:paraId="7AEADBEA" w14:textId="77777777" w:rsidTr="007A13C1">
        <w:trPr>
          <w:cnfStyle w:val="000000100000" w:firstRow="0" w:lastRow="0" w:firstColumn="0" w:lastColumn="0" w:oddVBand="0" w:evenVBand="0" w:oddHBand="1" w:evenHBand="0" w:firstRowFirstColumn="0" w:firstRowLastColumn="0" w:lastRowFirstColumn="0" w:lastRowLastColumn="0"/>
          <w:trHeight w:val="758"/>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7173BDF8"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AMB-A16</w:t>
            </w:r>
          </w:p>
        </w:tc>
        <w:tc>
          <w:tcPr>
            <w:tcW w:w="883" w:type="dxa"/>
            <w:shd w:val="clear" w:color="auto" w:fill="auto"/>
            <w:hideMark/>
          </w:tcPr>
          <w:p w14:paraId="004BD6E6"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787FD625"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w:t>
            </w:r>
          </w:p>
        </w:tc>
        <w:tc>
          <w:tcPr>
            <w:tcW w:w="6728" w:type="dxa"/>
            <w:shd w:val="clear" w:color="auto" w:fill="auto"/>
            <w:hideMark/>
          </w:tcPr>
          <w:p w14:paraId="5B474A2B"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Modificarea Legii 249/2015 și a actelor subsecvente pentru alinierea cu prevederile Regulamentului (UE) 2025/40 privind ambalajele și deșeurile de ambalaje</w:t>
            </w:r>
          </w:p>
        </w:tc>
        <w:tc>
          <w:tcPr>
            <w:tcW w:w="4111" w:type="dxa"/>
            <w:shd w:val="clear" w:color="auto" w:fill="auto"/>
            <w:hideMark/>
          </w:tcPr>
          <w:p w14:paraId="58F53E18"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535BFCD4"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118" w:type="dxa"/>
            <w:shd w:val="clear" w:color="auto" w:fill="auto"/>
            <w:hideMark/>
          </w:tcPr>
          <w:p w14:paraId="0AFF3041"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4F4D25F5" w14:textId="77777777" w:rsidTr="007A13C1">
        <w:trPr>
          <w:trHeight w:val="505"/>
        </w:trPr>
        <w:tc>
          <w:tcPr>
            <w:cnfStyle w:val="001000000000" w:firstRow="0" w:lastRow="0" w:firstColumn="1" w:lastColumn="0" w:oddVBand="0" w:evenVBand="0" w:oddHBand="0" w:evenHBand="0" w:firstRowFirstColumn="0" w:firstRowLastColumn="0" w:lastRowFirstColumn="0" w:lastRowLastColumn="0"/>
            <w:tcW w:w="1499" w:type="dxa"/>
            <w:hideMark/>
          </w:tcPr>
          <w:p w14:paraId="1F03A9F4"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AMB-A17</w:t>
            </w:r>
          </w:p>
        </w:tc>
        <w:tc>
          <w:tcPr>
            <w:tcW w:w="883" w:type="dxa"/>
            <w:hideMark/>
          </w:tcPr>
          <w:p w14:paraId="6A9BB88D"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7303DAED"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5.2</w:t>
            </w:r>
          </w:p>
        </w:tc>
        <w:tc>
          <w:tcPr>
            <w:tcW w:w="6728" w:type="dxa"/>
            <w:hideMark/>
          </w:tcPr>
          <w:p w14:paraId="75F2B0E7"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unui ordin comun al MS și MMAP pentru reglementarea PFAS în ambalajele alimentare pe piața națională, cu intrare în vigoare etapizată</w:t>
            </w:r>
          </w:p>
        </w:tc>
        <w:tc>
          <w:tcPr>
            <w:tcW w:w="4111" w:type="dxa"/>
            <w:hideMark/>
          </w:tcPr>
          <w:p w14:paraId="7A798307"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22A4A027"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MS; MMAP</w:t>
            </w:r>
          </w:p>
        </w:tc>
        <w:tc>
          <w:tcPr>
            <w:tcW w:w="3118" w:type="dxa"/>
            <w:hideMark/>
          </w:tcPr>
          <w:p w14:paraId="20A0AE58"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663BDD5B" w14:textId="77777777" w:rsidTr="007A13C1">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5DB6067D"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AMB-A18</w:t>
            </w:r>
          </w:p>
        </w:tc>
        <w:tc>
          <w:tcPr>
            <w:tcW w:w="883" w:type="dxa"/>
            <w:shd w:val="clear" w:color="auto" w:fill="auto"/>
            <w:hideMark/>
          </w:tcPr>
          <w:p w14:paraId="2B23C520"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164E1CB1"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5.3</w:t>
            </w:r>
          </w:p>
        </w:tc>
        <w:tc>
          <w:tcPr>
            <w:tcW w:w="6728" w:type="dxa"/>
            <w:shd w:val="clear" w:color="auto" w:fill="auto"/>
            <w:hideMark/>
          </w:tcPr>
          <w:p w14:paraId="4DAF7164"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Adoptarea modificărilor legislative pentru consolidarea REP, conform cap. 19.2, obiectiv 2, măsura 2.1</w:t>
            </w:r>
          </w:p>
        </w:tc>
        <w:tc>
          <w:tcPr>
            <w:tcW w:w="4111" w:type="dxa"/>
            <w:shd w:val="clear" w:color="auto" w:fill="auto"/>
            <w:hideMark/>
          </w:tcPr>
          <w:p w14:paraId="5E9DE0EB"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shd w:val="clear" w:color="auto" w:fill="auto"/>
            <w:hideMark/>
          </w:tcPr>
          <w:p w14:paraId="69CA7E2C"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118" w:type="dxa"/>
            <w:shd w:val="clear" w:color="auto" w:fill="auto"/>
            <w:hideMark/>
          </w:tcPr>
          <w:p w14:paraId="18573FEB"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3D5A7A37" w14:textId="77777777" w:rsidTr="007A13C1">
        <w:trPr>
          <w:trHeight w:val="361"/>
        </w:trPr>
        <w:tc>
          <w:tcPr>
            <w:cnfStyle w:val="001000000000" w:firstRow="0" w:lastRow="0" w:firstColumn="1" w:lastColumn="0" w:oddVBand="0" w:evenVBand="0" w:oddHBand="0" w:evenHBand="0" w:firstRowFirstColumn="0" w:firstRowLastColumn="0" w:lastRowFirstColumn="0" w:lastRowLastColumn="0"/>
            <w:tcW w:w="1499" w:type="dxa"/>
            <w:hideMark/>
          </w:tcPr>
          <w:p w14:paraId="21A7D4BC"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AMB-A19</w:t>
            </w:r>
          </w:p>
        </w:tc>
        <w:tc>
          <w:tcPr>
            <w:tcW w:w="883" w:type="dxa"/>
            <w:hideMark/>
          </w:tcPr>
          <w:p w14:paraId="3E99009F"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0EB9A2D0"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5.4</w:t>
            </w:r>
          </w:p>
        </w:tc>
        <w:tc>
          <w:tcPr>
            <w:tcW w:w="6728" w:type="dxa"/>
            <w:hideMark/>
          </w:tcPr>
          <w:p w14:paraId="02A7D13F"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Crearea cadrului legal pentru: a) plata de către producători a taxelor modulate în funcție de reciclabilitatea ambalajelor; b) includerea PFAS în lista substanțelor restricționate în ambalajele alimentare, conform reglementărilor UE; c) obligația producătorilor de ambalaje din plastic / oricărei părți din plastic care reprezintă cel puțin 5% din greutatea totală a unității de ambalaj de a include un conținut minim de material reciclat; d) cerința ca ambalajele introduse pe piața națională să fie reutilizabile sau reciclabile</w:t>
            </w:r>
          </w:p>
        </w:tc>
        <w:tc>
          <w:tcPr>
            <w:tcW w:w="4111" w:type="dxa"/>
            <w:hideMark/>
          </w:tcPr>
          <w:p w14:paraId="7B12FC87"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3260" w:type="dxa"/>
            <w:hideMark/>
          </w:tcPr>
          <w:p w14:paraId="226ED26A"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118" w:type="dxa"/>
            <w:hideMark/>
          </w:tcPr>
          <w:p w14:paraId="108AF15F"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71188842" w14:textId="77777777" w:rsidTr="007A13C1">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530F6C5E" w14:textId="77777777" w:rsidR="000D5630" w:rsidRPr="00187708" w:rsidRDefault="000D5630"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AMB-OS-06</w:t>
            </w:r>
          </w:p>
        </w:tc>
        <w:tc>
          <w:tcPr>
            <w:tcW w:w="883" w:type="dxa"/>
            <w:shd w:val="clear" w:color="auto" w:fill="auto"/>
            <w:hideMark/>
          </w:tcPr>
          <w:p w14:paraId="11BD2A91"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0" w:type="dxa"/>
            <w:shd w:val="clear" w:color="auto" w:fill="auto"/>
            <w:hideMark/>
          </w:tcPr>
          <w:p w14:paraId="2116BD0B"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6</w:t>
            </w:r>
          </w:p>
        </w:tc>
        <w:tc>
          <w:tcPr>
            <w:tcW w:w="6728" w:type="dxa"/>
            <w:shd w:val="clear" w:color="auto" w:fill="auto"/>
            <w:hideMark/>
          </w:tcPr>
          <w:p w14:paraId="005F039A"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Creșterea gradului de conformare a sistemelor de responsabilitate extinsă a producătorilor pentru ambalaje, prin reducerea fenomenului de free-riding generat de comerțul electronic transfrontalier și consolidarea trasabilității digitale a fluxurilor de deșeuri</w:t>
            </w:r>
          </w:p>
        </w:tc>
        <w:tc>
          <w:tcPr>
            <w:tcW w:w="4111" w:type="dxa"/>
            <w:shd w:val="clear" w:color="auto" w:fill="auto"/>
            <w:hideMark/>
          </w:tcPr>
          <w:p w14:paraId="5819CBB0"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260" w:type="dxa"/>
            <w:shd w:val="clear" w:color="auto" w:fill="auto"/>
            <w:hideMark/>
          </w:tcPr>
          <w:p w14:paraId="70A8073D"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118" w:type="dxa"/>
            <w:shd w:val="clear" w:color="auto" w:fill="auto"/>
            <w:hideMark/>
          </w:tcPr>
          <w:p w14:paraId="792A9163"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0D5630" w:rsidRPr="00187708" w14:paraId="4AE601CC" w14:textId="77777777" w:rsidTr="007A13C1">
        <w:trPr>
          <w:trHeight w:val="126"/>
        </w:trPr>
        <w:tc>
          <w:tcPr>
            <w:cnfStyle w:val="001000000000" w:firstRow="0" w:lastRow="0" w:firstColumn="1" w:lastColumn="0" w:oddVBand="0" w:evenVBand="0" w:oddHBand="0" w:evenHBand="0" w:firstRowFirstColumn="0" w:firstRowLastColumn="0" w:lastRowFirstColumn="0" w:lastRowLastColumn="0"/>
            <w:tcW w:w="1499" w:type="dxa"/>
            <w:hideMark/>
          </w:tcPr>
          <w:p w14:paraId="55305193"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AMB-A20</w:t>
            </w:r>
          </w:p>
        </w:tc>
        <w:tc>
          <w:tcPr>
            <w:tcW w:w="883" w:type="dxa"/>
            <w:hideMark/>
          </w:tcPr>
          <w:p w14:paraId="39B64926"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hideMark/>
          </w:tcPr>
          <w:p w14:paraId="2120FAFE" w14:textId="77777777" w:rsidR="000D5630" w:rsidRPr="00187708" w:rsidRDefault="000D5630" w:rsidP="00E51D7B">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6.1</w:t>
            </w:r>
          </w:p>
        </w:tc>
        <w:tc>
          <w:tcPr>
            <w:tcW w:w="6728" w:type="dxa"/>
            <w:hideMark/>
          </w:tcPr>
          <w:p w14:paraId="0949A0FE"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Stabilirea operatorilor platformelor de tip piață online drept introducători pe piață ai ambalajelor aferente produselor livrate către consumatorii din România de către vânzători din afara UE, precum și obligația acestora de a: declara cantitățile de ambalaje puse pe piață (primare, secundare și terțiare); finanța colectarea și reciclarea prin scheme EPR; raporta datele în sistemele naționale de raportare pentru ambalaje</w:t>
            </w:r>
          </w:p>
        </w:tc>
        <w:tc>
          <w:tcPr>
            <w:tcW w:w="4111" w:type="dxa"/>
            <w:hideMark/>
          </w:tcPr>
          <w:p w14:paraId="68B1E505"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260" w:type="dxa"/>
            <w:hideMark/>
          </w:tcPr>
          <w:p w14:paraId="0BABEC3A"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MEDAT; AFM; ANMAP; OIREP</w:t>
            </w:r>
          </w:p>
        </w:tc>
        <w:tc>
          <w:tcPr>
            <w:tcW w:w="3118" w:type="dxa"/>
            <w:hideMark/>
          </w:tcPr>
          <w:p w14:paraId="5D9226C3" w14:textId="77777777" w:rsidR="000D5630" w:rsidRPr="00187708" w:rsidRDefault="000D5630" w:rsidP="00E51D7B">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0D5630" w:rsidRPr="00187708" w14:paraId="7A57F1B2" w14:textId="77777777" w:rsidTr="007A13C1">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499" w:type="dxa"/>
            <w:shd w:val="clear" w:color="auto" w:fill="auto"/>
            <w:hideMark/>
          </w:tcPr>
          <w:p w14:paraId="74DFCBB8" w14:textId="77777777" w:rsidR="000D5630" w:rsidRPr="00187708" w:rsidRDefault="000D5630"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AMB-A21</w:t>
            </w:r>
          </w:p>
        </w:tc>
        <w:tc>
          <w:tcPr>
            <w:tcW w:w="883" w:type="dxa"/>
            <w:shd w:val="clear" w:color="auto" w:fill="auto"/>
            <w:hideMark/>
          </w:tcPr>
          <w:p w14:paraId="48973F2A"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0" w:type="dxa"/>
            <w:shd w:val="clear" w:color="auto" w:fill="auto"/>
            <w:hideMark/>
          </w:tcPr>
          <w:p w14:paraId="6D5F08B2" w14:textId="77777777" w:rsidR="000D5630" w:rsidRPr="00187708" w:rsidRDefault="000D5630" w:rsidP="00E51D7B">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6.2</w:t>
            </w:r>
          </w:p>
        </w:tc>
        <w:tc>
          <w:tcPr>
            <w:tcW w:w="6728" w:type="dxa"/>
            <w:shd w:val="clear" w:color="auto" w:fill="auto"/>
            <w:hideMark/>
          </w:tcPr>
          <w:p w14:paraId="71DD77B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și implementarea unui mecanism național care să asigure identificarea, înregistrarea și conformarea operatorilor de e-commerce, inclusiv transfrontalieri, în sistemele EPR, precum și raportarea ambalajelor introduse pe piața din România, inclusiv o metodologie de calcul a operațiunilor</w:t>
            </w:r>
          </w:p>
        </w:tc>
        <w:tc>
          <w:tcPr>
            <w:tcW w:w="4111" w:type="dxa"/>
            <w:shd w:val="clear" w:color="auto" w:fill="auto"/>
            <w:hideMark/>
          </w:tcPr>
          <w:p w14:paraId="5846ACC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260" w:type="dxa"/>
            <w:shd w:val="clear" w:color="auto" w:fill="auto"/>
            <w:hideMark/>
          </w:tcPr>
          <w:p w14:paraId="2A5F2D8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MEDAT; AFM; ANMAP; OIREP</w:t>
            </w:r>
          </w:p>
        </w:tc>
        <w:tc>
          <w:tcPr>
            <w:tcW w:w="3118" w:type="dxa"/>
            <w:shd w:val="clear" w:color="auto" w:fill="auto"/>
            <w:hideMark/>
          </w:tcPr>
          <w:p w14:paraId="206268B7" w14:textId="77777777" w:rsidR="000D5630" w:rsidRPr="00187708" w:rsidRDefault="000D5630" w:rsidP="00E51D7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15B82FCC" w14:textId="77777777" w:rsidR="00BC59D0" w:rsidRPr="00187708" w:rsidRDefault="00BC59D0" w:rsidP="00E51D7B">
      <w:pPr>
        <w:rPr>
          <w:rFonts w:ascii="Nunito" w:hAnsi="Nunito"/>
          <w:b/>
          <w:bCs/>
          <w:color w:val="009DF0" w:themeColor="text2"/>
          <w:sz w:val="16"/>
          <w:szCs w:val="16"/>
          <w:lang w:val="ro-RO"/>
        </w:rPr>
      </w:pPr>
    </w:p>
    <w:p w14:paraId="7EF08998" w14:textId="77777777" w:rsidR="00BC59D0" w:rsidRPr="00187708" w:rsidRDefault="00BC59D0">
      <w:pPr>
        <w:rPr>
          <w:rFonts w:ascii="Nunito" w:hAnsi="Nunito"/>
          <w:b/>
          <w:bCs/>
          <w:color w:val="009DF0" w:themeColor="text2"/>
          <w:sz w:val="16"/>
          <w:szCs w:val="16"/>
          <w:lang w:val="ro-RO"/>
        </w:rPr>
      </w:pPr>
      <w:r w:rsidRPr="00187708">
        <w:rPr>
          <w:rFonts w:ascii="Nunito" w:hAnsi="Nunito"/>
          <w:b/>
          <w:bCs/>
          <w:color w:val="009DF0" w:themeColor="text2"/>
          <w:sz w:val="16"/>
          <w:szCs w:val="16"/>
          <w:lang w:val="ro-RO"/>
        </w:rPr>
        <w:br w:type="page"/>
      </w:r>
    </w:p>
    <w:p w14:paraId="50E07B42" w14:textId="329DB101" w:rsidR="008A6FDD" w:rsidRPr="00187708" w:rsidRDefault="00551206" w:rsidP="00E51D7B">
      <w:pPr>
        <w:rPr>
          <w:lang w:val="ro-RO"/>
        </w:rPr>
      </w:pPr>
      <w:r w:rsidRPr="00187708">
        <w:rPr>
          <w:rFonts w:ascii="Nunito" w:hAnsi="Nunito"/>
          <w:b/>
          <w:bCs/>
          <w:color w:val="009DF0" w:themeColor="text2"/>
          <w:sz w:val="16"/>
          <w:szCs w:val="16"/>
          <w:lang w:val="ro-RO"/>
        </w:rPr>
        <w:lastRenderedPageBreak/>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5</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w:t>
      </w:r>
      <w:r w:rsidR="005D7120" w:rsidRPr="00187708">
        <w:rPr>
          <w:rFonts w:ascii="Nunito" w:hAnsi="Nunito"/>
          <w:b/>
          <w:bCs/>
          <w:color w:val="009DF0" w:themeColor="text2"/>
          <w:sz w:val="16"/>
          <w:szCs w:val="16"/>
          <w:lang w:val="ro-RO"/>
        </w:rPr>
        <w:t xml:space="preserve"> Modul de îndeplinire al </w:t>
      </w:r>
      <w:r w:rsidRPr="00187708">
        <w:rPr>
          <w:rFonts w:ascii="Nunito" w:hAnsi="Nunito"/>
          <w:b/>
          <w:bCs/>
          <w:color w:val="009DF0" w:themeColor="text2"/>
          <w:sz w:val="16"/>
          <w:szCs w:val="16"/>
          <w:lang w:val="ro-RO"/>
        </w:rPr>
        <w:t xml:space="preserve"> 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w:t>
      </w:r>
      <w:r w:rsidRPr="00187708">
        <w:rPr>
          <w:lang w:val="ro-RO"/>
        </w:rPr>
        <w:t xml:space="preserve"> </w:t>
      </w:r>
      <w:r w:rsidR="00D0010B" w:rsidRPr="00187708">
        <w:rPr>
          <w:rFonts w:ascii="Nunito" w:hAnsi="Nunito"/>
          <w:b/>
          <w:bCs/>
          <w:color w:val="009DF0" w:themeColor="text2"/>
          <w:sz w:val="16"/>
          <w:szCs w:val="16"/>
          <w:lang w:val="ro-RO"/>
        </w:rPr>
        <w:t xml:space="preserve">deșeurilor de echipamente electrice și electronice </w:t>
      </w:r>
    </w:p>
    <w:p w14:paraId="3E2434C6" w14:textId="77777777" w:rsidR="002B3399" w:rsidRPr="00187708" w:rsidRDefault="002B3399">
      <w:pPr>
        <w:rPr>
          <w:rFonts w:ascii="Nunito" w:eastAsiaTheme="majorEastAsia" w:hAnsi="Nunito" w:cstheme="majorBidi"/>
          <w:b/>
          <w:bCs/>
          <w:color w:val="00B0F0"/>
          <w:sz w:val="16"/>
          <w:szCs w:val="16"/>
          <w:lang w:val="ro-RO"/>
        </w:rPr>
      </w:pPr>
    </w:p>
    <w:tbl>
      <w:tblPr>
        <w:tblStyle w:val="ListTable1Light-Accent1"/>
        <w:tblW w:w="21121" w:type="dxa"/>
        <w:tblBorders>
          <w:bottom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525"/>
        <w:gridCol w:w="895"/>
        <w:gridCol w:w="1404"/>
        <w:gridCol w:w="8134"/>
        <w:gridCol w:w="1525"/>
        <w:gridCol w:w="4333"/>
        <w:gridCol w:w="3305"/>
      </w:tblGrid>
      <w:tr w:rsidR="00FE25E6" w:rsidRPr="00187708" w14:paraId="7DB6E8A7" w14:textId="77777777" w:rsidTr="007A13C1">
        <w:trPr>
          <w:cnfStyle w:val="100000000000" w:firstRow="1" w:lastRow="0" w:firstColumn="0" w:lastColumn="0" w:oddVBand="0" w:evenVBand="0" w:oddHBand="0" w:evenHBand="0" w:firstRowFirstColumn="0" w:firstRowLastColumn="0" w:lastRowFirstColumn="0" w:lastRowLastColumn="0"/>
          <w:trHeight w:val="287"/>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shd w:val="clear" w:color="auto" w:fill="00B0F0"/>
            <w:hideMark/>
          </w:tcPr>
          <w:p w14:paraId="3602C98C" w14:textId="77777777" w:rsidR="00FE25E6" w:rsidRPr="00187708" w:rsidRDefault="00FE25E6" w:rsidP="00FE25E6">
            <w:pPr>
              <w:jc w:val="center"/>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Cod</w:t>
            </w:r>
          </w:p>
        </w:tc>
        <w:tc>
          <w:tcPr>
            <w:tcW w:w="895" w:type="dxa"/>
            <w:tcBorders>
              <w:bottom w:val="none" w:sz="0" w:space="0" w:color="auto"/>
            </w:tcBorders>
            <w:shd w:val="clear" w:color="auto" w:fill="00B0F0"/>
            <w:hideMark/>
          </w:tcPr>
          <w:p w14:paraId="23FAD0EF" w14:textId="77777777" w:rsidR="00FE25E6" w:rsidRPr="00187708" w:rsidRDefault="00FE25E6" w:rsidP="00FE25E6">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Nivel</w:t>
            </w:r>
          </w:p>
        </w:tc>
        <w:tc>
          <w:tcPr>
            <w:tcW w:w="1404" w:type="dxa"/>
            <w:tcBorders>
              <w:bottom w:val="none" w:sz="0" w:space="0" w:color="auto"/>
            </w:tcBorders>
            <w:shd w:val="clear" w:color="auto" w:fill="00B0F0"/>
            <w:hideMark/>
          </w:tcPr>
          <w:p w14:paraId="682E28D4" w14:textId="25D09872" w:rsidR="00FE25E6" w:rsidRPr="00187708" w:rsidRDefault="00FE25E6" w:rsidP="00FE25E6">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xml:space="preserve">Nr. </w:t>
            </w:r>
            <w:r w:rsidR="00FC57DB" w:rsidRPr="00187708">
              <w:rPr>
                <w:rFonts w:ascii="NunitoCustom" w:eastAsia="Times New Roman" w:hAnsi="NunitoCustom" w:cs="Calibri"/>
                <w:color w:val="FFFFFF"/>
                <w:sz w:val="16"/>
                <w:szCs w:val="16"/>
                <w:lang w:val="ro-RO"/>
              </w:rPr>
              <w:t>Crt .</w:t>
            </w:r>
            <w:r w:rsidRPr="00187708">
              <w:rPr>
                <w:rFonts w:ascii="NunitoCustom" w:eastAsia="Times New Roman" w:hAnsi="NunitoCustom" w:cs="Calibri"/>
                <w:color w:val="FFFFFF"/>
                <w:sz w:val="16"/>
                <w:szCs w:val="16"/>
                <w:lang w:val="ro-RO"/>
              </w:rPr>
              <w:t>PNGD</w:t>
            </w:r>
          </w:p>
        </w:tc>
        <w:tc>
          <w:tcPr>
            <w:tcW w:w="8134" w:type="dxa"/>
            <w:tcBorders>
              <w:bottom w:val="none" w:sz="0" w:space="0" w:color="auto"/>
            </w:tcBorders>
            <w:shd w:val="clear" w:color="auto" w:fill="00B0F0"/>
            <w:hideMark/>
          </w:tcPr>
          <w:p w14:paraId="4DE13C35" w14:textId="77777777" w:rsidR="00FE25E6" w:rsidRPr="00187708" w:rsidRDefault="00FE25E6" w:rsidP="00FE25E6">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Denumire obiectiv / acțiune</w:t>
            </w:r>
          </w:p>
        </w:tc>
        <w:tc>
          <w:tcPr>
            <w:tcW w:w="1525" w:type="dxa"/>
            <w:tcBorders>
              <w:bottom w:val="none" w:sz="0" w:space="0" w:color="auto"/>
            </w:tcBorders>
            <w:shd w:val="clear" w:color="auto" w:fill="00B0F0"/>
            <w:hideMark/>
          </w:tcPr>
          <w:p w14:paraId="54CFAC5F" w14:textId="77777777" w:rsidR="00FE25E6" w:rsidRPr="00187708" w:rsidRDefault="00FE25E6" w:rsidP="00FE25E6">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Termen</w:t>
            </w:r>
          </w:p>
        </w:tc>
        <w:tc>
          <w:tcPr>
            <w:tcW w:w="4333" w:type="dxa"/>
            <w:tcBorders>
              <w:bottom w:val="none" w:sz="0" w:space="0" w:color="auto"/>
            </w:tcBorders>
            <w:shd w:val="clear" w:color="auto" w:fill="00B0F0"/>
            <w:hideMark/>
          </w:tcPr>
          <w:p w14:paraId="3E14A0AA" w14:textId="77777777" w:rsidR="00FE25E6" w:rsidRPr="00187708" w:rsidRDefault="00FE25E6" w:rsidP="00FE25E6">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Responsabil principal / alți responsabili</w:t>
            </w:r>
          </w:p>
        </w:tc>
        <w:tc>
          <w:tcPr>
            <w:tcW w:w="3305" w:type="dxa"/>
            <w:tcBorders>
              <w:bottom w:val="none" w:sz="0" w:space="0" w:color="auto"/>
            </w:tcBorders>
            <w:shd w:val="clear" w:color="auto" w:fill="00B0F0"/>
            <w:hideMark/>
          </w:tcPr>
          <w:p w14:paraId="38645FAB" w14:textId="77777777" w:rsidR="00FE25E6" w:rsidRPr="00187708" w:rsidRDefault="00FE25E6" w:rsidP="00FE25E6">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Sursa de finanțare</w:t>
            </w:r>
          </w:p>
        </w:tc>
      </w:tr>
      <w:tr w:rsidR="00FE25E6" w:rsidRPr="00187708" w14:paraId="7B66D622" w14:textId="77777777" w:rsidTr="007A13C1">
        <w:trPr>
          <w:cnfStyle w:val="100000000000" w:firstRow="1" w:lastRow="0" w:firstColumn="0" w:lastColumn="0" w:oddVBand="0" w:evenVBand="0" w:oddHBand="0" w:evenHBand="0" w:firstRowFirstColumn="0" w:firstRowLastColumn="0" w:lastRowFirstColumn="0" w:lastRowLastColumn="0"/>
          <w:trHeight w:val="287"/>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6D083E15" w14:textId="77777777" w:rsidR="00FE25E6" w:rsidRPr="00187708" w:rsidRDefault="00FE25E6" w:rsidP="00B80B00">
            <w:pPr>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DEEE-OS-01</w:t>
            </w:r>
          </w:p>
        </w:tc>
        <w:tc>
          <w:tcPr>
            <w:tcW w:w="895" w:type="dxa"/>
            <w:tcBorders>
              <w:bottom w:val="none" w:sz="0" w:space="0" w:color="auto"/>
            </w:tcBorders>
            <w:hideMark/>
          </w:tcPr>
          <w:p w14:paraId="7042AFBA"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OS</w:t>
            </w:r>
          </w:p>
        </w:tc>
        <w:tc>
          <w:tcPr>
            <w:tcW w:w="1404" w:type="dxa"/>
            <w:tcBorders>
              <w:bottom w:val="none" w:sz="0" w:space="0" w:color="auto"/>
            </w:tcBorders>
            <w:hideMark/>
          </w:tcPr>
          <w:p w14:paraId="495C5567"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Obiectiv 1</w:t>
            </w:r>
          </w:p>
        </w:tc>
        <w:tc>
          <w:tcPr>
            <w:tcW w:w="8134" w:type="dxa"/>
            <w:tcBorders>
              <w:bottom w:val="none" w:sz="0" w:space="0" w:color="auto"/>
            </w:tcBorders>
            <w:hideMark/>
          </w:tcPr>
          <w:p w14:paraId="76451A5F"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Creșterea ratei de colectare separată a DEEE</w:t>
            </w:r>
          </w:p>
        </w:tc>
        <w:tc>
          <w:tcPr>
            <w:tcW w:w="1525" w:type="dxa"/>
            <w:tcBorders>
              <w:bottom w:val="none" w:sz="0" w:space="0" w:color="auto"/>
            </w:tcBorders>
            <w:hideMark/>
          </w:tcPr>
          <w:p w14:paraId="5411931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4333" w:type="dxa"/>
            <w:tcBorders>
              <w:bottom w:val="none" w:sz="0" w:space="0" w:color="auto"/>
            </w:tcBorders>
            <w:hideMark/>
          </w:tcPr>
          <w:p w14:paraId="4143C406"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3305" w:type="dxa"/>
            <w:tcBorders>
              <w:bottom w:val="none" w:sz="0" w:space="0" w:color="auto"/>
            </w:tcBorders>
            <w:hideMark/>
          </w:tcPr>
          <w:p w14:paraId="5FC3F3A4"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r>
      <w:tr w:rsidR="00FE25E6" w:rsidRPr="00187708" w14:paraId="5293F2F5" w14:textId="77777777" w:rsidTr="007A13C1">
        <w:trPr>
          <w:cnfStyle w:val="100000000000" w:firstRow="1" w:lastRow="0" w:firstColumn="0" w:lastColumn="0" w:oddVBand="0" w:evenVBand="0" w:oddHBand="0" w:evenHBand="0" w:firstRowFirstColumn="0" w:firstRowLastColumn="0" w:lastRowFirstColumn="0" w:lastRowLastColumn="0"/>
          <w:trHeight w:val="8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3331C459"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w:t>
            </w:r>
          </w:p>
        </w:tc>
        <w:tc>
          <w:tcPr>
            <w:tcW w:w="895" w:type="dxa"/>
            <w:tcBorders>
              <w:bottom w:val="none" w:sz="0" w:space="0" w:color="auto"/>
            </w:tcBorders>
            <w:hideMark/>
          </w:tcPr>
          <w:p w14:paraId="174656B0"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007854F0"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1.1</w:t>
            </w:r>
          </w:p>
        </w:tc>
        <w:tc>
          <w:tcPr>
            <w:tcW w:w="8134" w:type="dxa"/>
            <w:tcBorders>
              <w:bottom w:val="none" w:sz="0" w:space="0" w:color="auto"/>
            </w:tcBorders>
            <w:hideMark/>
          </w:tcPr>
          <w:p w14:paraId="235F3B1A"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Realizarea infrastructurii de colectare minime prevăzute în lege</w:t>
            </w:r>
          </w:p>
        </w:tc>
        <w:tc>
          <w:tcPr>
            <w:tcW w:w="1525" w:type="dxa"/>
            <w:tcBorders>
              <w:bottom w:val="none" w:sz="0" w:space="0" w:color="auto"/>
            </w:tcBorders>
            <w:hideMark/>
          </w:tcPr>
          <w:p w14:paraId="176B2BF7"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058267B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UAT</w:t>
            </w:r>
          </w:p>
        </w:tc>
        <w:tc>
          <w:tcPr>
            <w:tcW w:w="3305" w:type="dxa"/>
            <w:tcBorders>
              <w:bottom w:val="none" w:sz="0" w:space="0" w:color="auto"/>
            </w:tcBorders>
            <w:hideMark/>
          </w:tcPr>
          <w:p w14:paraId="76D132BA"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local; Fonduri europene; Alte fonduri</w:t>
            </w:r>
          </w:p>
        </w:tc>
      </w:tr>
      <w:tr w:rsidR="00FE25E6" w:rsidRPr="00187708" w14:paraId="61F2FF43" w14:textId="77777777" w:rsidTr="007A13C1">
        <w:trPr>
          <w:cnfStyle w:val="100000000000" w:firstRow="1" w:lastRow="0" w:firstColumn="0" w:lastColumn="0" w:oddVBand="0" w:evenVBand="0" w:oddHBand="0" w:evenHBand="0" w:firstRowFirstColumn="0" w:firstRowLastColumn="0" w:lastRowFirstColumn="0" w:lastRowLastColumn="0"/>
          <w:trHeight w:val="733"/>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10DC7A19"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DEEE-A2</w:t>
            </w:r>
          </w:p>
        </w:tc>
        <w:tc>
          <w:tcPr>
            <w:tcW w:w="895" w:type="dxa"/>
            <w:tcBorders>
              <w:bottom w:val="none" w:sz="0" w:space="0" w:color="auto"/>
            </w:tcBorders>
            <w:hideMark/>
          </w:tcPr>
          <w:p w14:paraId="7544C36E"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6A0A558F"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1.2</w:t>
            </w:r>
          </w:p>
        </w:tc>
        <w:tc>
          <w:tcPr>
            <w:tcW w:w="8134" w:type="dxa"/>
            <w:tcBorders>
              <w:bottom w:val="none" w:sz="0" w:space="0" w:color="auto"/>
            </w:tcBorders>
            <w:hideMark/>
          </w:tcPr>
          <w:p w14:paraId="29813FDE"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Verificarea înființării centrelor publice de colectare (minimum un centru la fiecare 50.000 de locuitori, cu cel puțin un centru în fiecare UAT), a punctelor de colectare mobile sau a realizării periodice a colectării DEEE la nivel de UAT</w:t>
            </w:r>
          </w:p>
        </w:tc>
        <w:tc>
          <w:tcPr>
            <w:tcW w:w="1525" w:type="dxa"/>
            <w:tcBorders>
              <w:bottom w:val="none" w:sz="0" w:space="0" w:color="auto"/>
            </w:tcBorders>
            <w:hideMark/>
          </w:tcPr>
          <w:p w14:paraId="5E7BF739"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54C81BCC"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GNM</w:t>
            </w:r>
          </w:p>
        </w:tc>
        <w:tc>
          <w:tcPr>
            <w:tcW w:w="3305" w:type="dxa"/>
            <w:tcBorders>
              <w:bottom w:val="none" w:sz="0" w:space="0" w:color="auto"/>
            </w:tcBorders>
            <w:hideMark/>
          </w:tcPr>
          <w:p w14:paraId="1BDF560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Bugetul de stat</w:t>
            </w:r>
          </w:p>
        </w:tc>
      </w:tr>
      <w:tr w:rsidR="00FE25E6" w:rsidRPr="00187708" w14:paraId="1C4F90BC"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42378F32"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DEEE-A3</w:t>
            </w:r>
          </w:p>
        </w:tc>
        <w:tc>
          <w:tcPr>
            <w:tcW w:w="895" w:type="dxa"/>
            <w:tcBorders>
              <w:bottom w:val="none" w:sz="0" w:space="0" w:color="auto"/>
            </w:tcBorders>
            <w:hideMark/>
          </w:tcPr>
          <w:p w14:paraId="687D538B"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2AFAE84B"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1.3</w:t>
            </w:r>
          </w:p>
        </w:tc>
        <w:tc>
          <w:tcPr>
            <w:tcW w:w="8134" w:type="dxa"/>
            <w:tcBorders>
              <w:bottom w:val="none" w:sz="0" w:space="0" w:color="auto"/>
            </w:tcBorders>
            <w:hideMark/>
          </w:tcPr>
          <w:p w14:paraId="76AE553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Colaborare între autorități și OIREP DEEE pentru dezvoltarea logisticii preluării DEEE de tip 1:1 sau 1:0 și a evidenței DEEE colectate de la comercianți/populație</w:t>
            </w:r>
          </w:p>
        </w:tc>
        <w:tc>
          <w:tcPr>
            <w:tcW w:w="1525" w:type="dxa"/>
            <w:tcBorders>
              <w:bottom w:val="none" w:sz="0" w:space="0" w:color="auto"/>
            </w:tcBorders>
            <w:hideMark/>
          </w:tcPr>
          <w:p w14:paraId="190731B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440BD9BB"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Producători; Distribuitori; Comercianți</w:t>
            </w:r>
          </w:p>
        </w:tc>
        <w:tc>
          <w:tcPr>
            <w:tcW w:w="3305" w:type="dxa"/>
            <w:tcBorders>
              <w:bottom w:val="none" w:sz="0" w:space="0" w:color="auto"/>
            </w:tcBorders>
            <w:hideMark/>
          </w:tcPr>
          <w:p w14:paraId="15ACAC0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Bugetele comercianților</w:t>
            </w:r>
          </w:p>
        </w:tc>
      </w:tr>
      <w:tr w:rsidR="00FE25E6" w:rsidRPr="00187708" w14:paraId="67976478"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33704521"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DEEE-A4</w:t>
            </w:r>
          </w:p>
        </w:tc>
        <w:tc>
          <w:tcPr>
            <w:tcW w:w="895" w:type="dxa"/>
            <w:tcBorders>
              <w:bottom w:val="none" w:sz="0" w:space="0" w:color="auto"/>
            </w:tcBorders>
            <w:hideMark/>
          </w:tcPr>
          <w:p w14:paraId="7518CBBE"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534D202C"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1.4</w:t>
            </w:r>
          </w:p>
        </w:tc>
        <w:tc>
          <w:tcPr>
            <w:tcW w:w="8134" w:type="dxa"/>
            <w:tcBorders>
              <w:bottom w:val="none" w:sz="0" w:space="0" w:color="auto"/>
            </w:tcBorders>
            <w:hideMark/>
          </w:tcPr>
          <w:p w14:paraId="50D82468"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Derularea de campanii de conștientizare a populației privind importanța colectării separate a DEEE</w:t>
            </w:r>
          </w:p>
        </w:tc>
        <w:tc>
          <w:tcPr>
            <w:tcW w:w="1525" w:type="dxa"/>
            <w:tcBorders>
              <w:bottom w:val="none" w:sz="0" w:space="0" w:color="auto"/>
            </w:tcBorders>
            <w:hideMark/>
          </w:tcPr>
          <w:p w14:paraId="0EF97D4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1446E76E"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Producători; Distribuitori</w:t>
            </w:r>
          </w:p>
        </w:tc>
        <w:tc>
          <w:tcPr>
            <w:tcW w:w="3305" w:type="dxa"/>
            <w:tcBorders>
              <w:bottom w:val="none" w:sz="0" w:space="0" w:color="auto"/>
            </w:tcBorders>
            <w:hideMark/>
          </w:tcPr>
          <w:p w14:paraId="7F291F0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 Buget producători/distribuitori</w:t>
            </w:r>
          </w:p>
        </w:tc>
      </w:tr>
      <w:tr w:rsidR="00FE25E6" w:rsidRPr="00187708" w14:paraId="28931FB9"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35F63A38"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DEEE-A5</w:t>
            </w:r>
          </w:p>
        </w:tc>
        <w:tc>
          <w:tcPr>
            <w:tcW w:w="895" w:type="dxa"/>
            <w:tcBorders>
              <w:bottom w:val="none" w:sz="0" w:space="0" w:color="auto"/>
            </w:tcBorders>
            <w:hideMark/>
          </w:tcPr>
          <w:p w14:paraId="42243C07"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031FAF8A"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1.5</w:t>
            </w:r>
          </w:p>
        </w:tc>
        <w:tc>
          <w:tcPr>
            <w:tcW w:w="8134" w:type="dxa"/>
            <w:tcBorders>
              <w:bottom w:val="none" w:sz="0" w:space="0" w:color="auto"/>
            </w:tcBorders>
            <w:hideMark/>
          </w:tcPr>
          <w:p w14:paraId="719DF02F"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Efectuarea de inspecții tematice periodice privind fluxul DEEE, corelat cu datele din SIATD și din rapoartele OIREP</w:t>
            </w:r>
          </w:p>
        </w:tc>
        <w:tc>
          <w:tcPr>
            <w:tcW w:w="1525" w:type="dxa"/>
            <w:tcBorders>
              <w:bottom w:val="none" w:sz="0" w:space="0" w:color="auto"/>
            </w:tcBorders>
            <w:hideMark/>
          </w:tcPr>
          <w:p w14:paraId="53143DFA"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4A9A76D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GNM</w:t>
            </w:r>
          </w:p>
        </w:tc>
        <w:tc>
          <w:tcPr>
            <w:tcW w:w="3305" w:type="dxa"/>
            <w:tcBorders>
              <w:bottom w:val="none" w:sz="0" w:space="0" w:color="auto"/>
            </w:tcBorders>
            <w:hideMark/>
          </w:tcPr>
          <w:p w14:paraId="22CCDEFC"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513365EB" w14:textId="77777777" w:rsidTr="007A13C1">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2F34BC32"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DEEE-A6</w:t>
            </w:r>
          </w:p>
        </w:tc>
        <w:tc>
          <w:tcPr>
            <w:tcW w:w="895" w:type="dxa"/>
            <w:tcBorders>
              <w:bottom w:val="none" w:sz="0" w:space="0" w:color="auto"/>
            </w:tcBorders>
            <w:hideMark/>
          </w:tcPr>
          <w:p w14:paraId="1524A8A7"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3A66C405"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1.6</w:t>
            </w:r>
          </w:p>
        </w:tc>
        <w:tc>
          <w:tcPr>
            <w:tcW w:w="8134" w:type="dxa"/>
            <w:tcBorders>
              <w:bottom w:val="none" w:sz="0" w:space="0" w:color="auto"/>
            </w:tcBorders>
            <w:hideMark/>
          </w:tcPr>
          <w:p w14:paraId="137AB3E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Dezvoltarea unui sistem digital unitar de raportare și trasabilitate pentru toate fluxurile de deșeuri reglementate (inclusiv DEEE), gestionat de ANMAP și interconectat cu platformele existente (raportare/validare pe flux; trasabilitate de la colectare la tratare/reciclare/valorificare/eliminare; corectarea datelor după controale; rapoarte automate privind atingerea țintelor naționale și europene)</w:t>
            </w:r>
          </w:p>
        </w:tc>
        <w:tc>
          <w:tcPr>
            <w:tcW w:w="1525" w:type="dxa"/>
            <w:tcBorders>
              <w:bottom w:val="none" w:sz="0" w:space="0" w:color="auto"/>
            </w:tcBorders>
            <w:hideMark/>
          </w:tcPr>
          <w:p w14:paraId="6553A43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54CEC364"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AFM</w:t>
            </w:r>
          </w:p>
        </w:tc>
        <w:tc>
          <w:tcPr>
            <w:tcW w:w="3305" w:type="dxa"/>
            <w:tcBorders>
              <w:bottom w:val="none" w:sz="0" w:space="0" w:color="auto"/>
            </w:tcBorders>
            <w:hideMark/>
          </w:tcPr>
          <w:p w14:paraId="1B2ABA2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686898EA"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3BD9D1B9"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DEEE-A7</w:t>
            </w:r>
          </w:p>
        </w:tc>
        <w:tc>
          <w:tcPr>
            <w:tcW w:w="895" w:type="dxa"/>
            <w:tcBorders>
              <w:bottom w:val="none" w:sz="0" w:space="0" w:color="auto"/>
            </w:tcBorders>
            <w:hideMark/>
          </w:tcPr>
          <w:p w14:paraId="2E4F6885"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376986A4"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1.7</w:t>
            </w:r>
          </w:p>
        </w:tc>
        <w:tc>
          <w:tcPr>
            <w:tcW w:w="8134" w:type="dxa"/>
            <w:tcBorders>
              <w:bottom w:val="none" w:sz="0" w:space="0" w:color="auto"/>
            </w:tcBorders>
            <w:hideMark/>
          </w:tcPr>
          <w:p w14:paraId="665F10A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Dezvoltarea unor capacități naționale de recuperare a materiilor prime critice (CRM) din DEEE</w:t>
            </w:r>
          </w:p>
        </w:tc>
        <w:tc>
          <w:tcPr>
            <w:tcW w:w="1525" w:type="dxa"/>
            <w:tcBorders>
              <w:bottom w:val="none" w:sz="0" w:space="0" w:color="auto"/>
            </w:tcBorders>
            <w:hideMark/>
          </w:tcPr>
          <w:p w14:paraId="680DBC2A"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71F882A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AFM; Investitori privați</w:t>
            </w:r>
          </w:p>
        </w:tc>
        <w:tc>
          <w:tcPr>
            <w:tcW w:w="3305" w:type="dxa"/>
            <w:tcBorders>
              <w:bottom w:val="none" w:sz="0" w:space="0" w:color="auto"/>
            </w:tcBorders>
            <w:hideMark/>
          </w:tcPr>
          <w:p w14:paraId="65B83F7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 Fonduri proprii producători; Alte fonduri</w:t>
            </w:r>
          </w:p>
        </w:tc>
      </w:tr>
      <w:tr w:rsidR="00FE25E6" w:rsidRPr="00187708" w14:paraId="49ABC487" w14:textId="77777777" w:rsidTr="007A13C1">
        <w:trPr>
          <w:cnfStyle w:val="100000000000" w:firstRow="1" w:lastRow="0" w:firstColumn="0" w:lastColumn="0" w:oddVBand="0" w:evenVBand="0" w:oddHBand="0" w:evenHBand="0" w:firstRowFirstColumn="0" w:firstRowLastColumn="0" w:lastRowFirstColumn="0" w:lastRowLastColumn="0"/>
          <w:trHeight w:val="8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0FBF488A" w14:textId="77777777" w:rsidR="00FE25E6" w:rsidRPr="00187708" w:rsidRDefault="00FE25E6" w:rsidP="00B80B00">
            <w:pPr>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DEEE-OS-02</w:t>
            </w:r>
          </w:p>
        </w:tc>
        <w:tc>
          <w:tcPr>
            <w:tcW w:w="895" w:type="dxa"/>
            <w:tcBorders>
              <w:bottom w:val="none" w:sz="0" w:space="0" w:color="auto"/>
            </w:tcBorders>
            <w:hideMark/>
          </w:tcPr>
          <w:p w14:paraId="384E8F74"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OS</w:t>
            </w:r>
          </w:p>
        </w:tc>
        <w:tc>
          <w:tcPr>
            <w:tcW w:w="1404" w:type="dxa"/>
            <w:tcBorders>
              <w:bottom w:val="none" w:sz="0" w:space="0" w:color="auto"/>
            </w:tcBorders>
            <w:hideMark/>
          </w:tcPr>
          <w:p w14:paraId="38E22D42"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Obiectiv 2</w:t>
            </w:r>
          </w:p>
        </w:tc>
        <w:tc>
          <w:tcPr>
            <w:tcW w:w="8134" w:type="dxa"/>
            <w:tcBorders>
              <w:bottom w:val="none" w:sz="0" w:space="0" w:color="auto"/>
            </w:tcBorders>
            <w:hideMark/>
          </w:tcPr>
          <w:p w14:paraId="57EF07D4"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Creșterea ratei de colectare separată pe fiecare categorie în parte (cu excepția panourilor fotovoltaice)</w:t>
            </w:r>
          </w:p>
        </w:tc>
        <w:tc>
          <w:tcPr>
            <w:tcW w:w="1525" w:type="dxa"/>
            <w:tcBorders>
              <w:bottom w:val="none" w:sz="0" w:space="0" w:color="auto"/>
            </w:tcBorders>
            <w:hideMark/>
          </w:tcPr>
          <w:p w14:paraId="080C3B77"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4333" w:type="dxa"/>
            <w:tcBorders>
              <w:bottom w:val="none" w:sz="0" w:space="0" w:color="auto"/>
            </w:tcBorders>
            <w:hideMark/>
          </w:tcPr>
          <w:p w14:paraId="585209D6"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3305" w:type="dxa"/>
            <w:tcBorders>
              <w:bottom w:val="none" w:sz="0" w:space="0" w:color="auto"/>
            </w:tcBorders>
            <w:hideMark/>
          </w:tcPr>
          <w:p w14:paraId="5E504D2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r>
      <w:tr w:rsidR="00FE25E6" w:rsidRPr="00187708" w14:paraId="6964D68F"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5D9F4B34"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DEEE-A8</w:t>
            </w:r>
          </w:p>
        </w:tc>
        <w:tc>
          <w:tcPr>
            <w:tcW w:w="895" w:type="dxa"/>
            <w:tcBorders>
              <w:bottom w:val="none" w:sz="0" w:space="0" w:color="auto"/>
            </w:tcBorders>
            <w:hideMark/>
          </w:tcPr>
          <w:p w14:paraId="4314F3C4"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15D872EF"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2.1</w:t>
            </w:r>
          </w:p>
        </w:tc>
        <w:tc>
          <w:tcPr>
            <w:tcW w:w="8134" w:type="dxa"/>
            <w:tcBorders>
              <w:bottom w:val="none" w:sz="0" w:space="0" w:color="auto"/>
            </w:tcBorders>
            <w:hideMark/>
          </w:tcPr>
          <w:p w14:paraId="2BBDEE4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Extinderea infrastructurii existente pentru asigurarea colectării separate pe fiecare categorie de DEEE</w:t>
            </w:r>
          </w:p>
        </w:tc>
        <w:tc>
          <w:tcPr>
            <w:tcW w:w="1525" w:type="dxa"/>
            <w:tcBorders>
              <w:bottom w:val="none" w:sz="0" w:space="0" w:color="auto"/>
            </w:tcBorders>
            <w:hideMark/>
          </w:tcPr>
          <w:p w14:paraId="306BD1A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3356805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UAT; Producătorii; OIREP</w:t>
            </w:r>
          </w:p>
        </w:tc>
        <w:tc>
          <w:tcPr>
            <w:tcW w:w="3305" w:type="dxa"/>
            <w:tcBorders>
              <w:bottom w:val="none" w:sz="0" w:space="0" w:color="auto"/>
            </w:tcBorders>
            <w:hideMark/>
          </w:tcPr>
          <w:p w14:paraId="18860B1B"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 Fonduri proprii producători</w:t>
            </w:r>
          </w:p>
        </w:tc>
      </w:tr>
      <w:tr w:rsidR="00FE25E6" w:rsidRPr="00187708" w14:paraId="0AEABEB5" w14:textId="77777777" w:rsidTr="007A13C1">
        <w:trPr>
          <w:cnfStyle w:val="100000000000" w:firstRow="1" w:lastRow="0" w:firstColumn="0" w:lastColumn="0" w:oddVBand="0" w:evenVBand="0" w:oddHBand="0" w:evenHBand="0" w:firstRowFirstColumn="0" w:firstRowLastColumn="0" w:lastRowFirstColumn="0" w:lastRowLastColumn="0"/>
          <w:trHeight w:val="8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5C881E4A" w14:textId="77777777" w:rsidR="00FE25E6" w:rsidRPr="00187708" w:rsidRDefault="00FE25E6" w:rsidP="00B80B00">
            <w:pPr>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DEEE-OS-03</w:t>
            </w:r>
          </w:p>
        </w:tc>
        <w:tc>
          <w:tcPr>
            <w:tcW w:w="895" w:type="dxa"/>
            <w:tcBorders>
              <w:bottom w:val="none" w:sz="0" w:space="0" w:color="auto"/>
            </w:tcBorders>
            <w:hideMark/>
          </w:tcPr>
          <w:p w14:paraId="6CFEDDC3"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OS</w:t>
            </w:r>
          </w:p>
        </w:tc>
        <w:tc>
          <w:tcPr>
            <w:tcW w:w="1404" w:type="dxa"/>
            <w:tcBorders>
              <w:bottom w:val="none" w:sz="0" w:space="0" w:color="auto"/>
            </w:tcBorders>
            <w:hideMark/>
          </w:tcPr>
          <w:p w14:paraId="088E7CBA"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Obiectiv 3</w:t>
            </w:r>
          </w:p>
        </w:tc>
        <w:tc>
          <w:tcPr>
            <w:tcW w:w="8134" w:type="dxa"/>
            <w:tcBorders>
              <w:bottom w:val="none" w:sz="0" w:space="0" w:color="auto"/>
            </w:tcBorders>
            <w:hideMark/>
          </w:tcPr>
          <w:p w14:paraId="5D539AD9"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Creșterea ratei de valorificare și a ratei de pregătire pentru reutilizare și reciclare a DEEE</w:t>
            </w:r>
          </w:p>
        </w:tc>
        <w:tc>
          <w:tcPr>
            <w:tcW w:w="1525" w:type="dxa"/>
            <w:tcBorders>
              <w:bottom w:val="none" w:sz="0" w:space="0" w:color="auto"/>
            </w:tcBorders>
            <w:hideMark/>
          </w:tcPr>
          <w:p w14:paraId="6B68684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4333" w:type="dxa"/>
            <w:tcBorders>
              <w:bottom w:val="none" w:sz="0" w:space="0" w:color="auto"/>
            </w:tcBorders>
            <w:hideMark/>
          </w:tcPr>
          <w:p w14:paraId="1F751F6C"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3305" w:type="dxa"/>
            <w:tcBorders>
              <w:bottom w:val="none" w:sz="0" w:space="0" w:color="auto"/>
            </w:tcBorders>
            <w:hideMark/>
          </w:tcPr>
          <w:p w14:paraId="6B432B8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r>
      <w:tr w:rsidR="00FE25E6" w:rsidRPr="00187708" w14:paraId="3B1A49E0" w14:textId="77777777" w:rsidTr="007A13C1">
        <w:trPr>
          <w:cnfStyle w:val="100000000000" w:firstRow="1" w:lastRow="0" w:firstColumn="0" w:lastColumn="0" w:oddVBand="0" w:evenVBand="0" w:oddHBand="0" w:evenHBand="0" w:firstRowFirstColumn="0" w:firstRowLastColumn="0" w:lastRowFirstColumn="0" w:lastRowLastColumn="0"/>
          <w:trHeight w:val="733"/>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6AA2CA3E"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DEEE-A9</w:t>
            </w:r>
          </w:p>
        </w:tc>
        <w:tc>
          <w:tcPr>
            <w:tcW w:w="895" w:type="dxa"/>
            <w:tcBorders>
              <w:bottom w:val="none" w:sz="0" w:space="0" w:color="auto"/>
            </w:tcBorders>
            <w:hideMark/>
          </w:tcPr>
          <w:p w14:paraId="023597FA"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5D13F110"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3.1</w:t>
            </w:r>
          </w:p>
        </w:tc>
        <w:tc>
          <w:tcPr>
            <w:tcW w:w="8134" w:type="dxa"/>
            <w:tcBorders>
              <w:bottom w:val="none" w:sz="0" w:space="0" w:color="auto"/>
            </w:tcBorders>
            <w:hideMark/>
          </w:tcPr>
          <w:p w14:paraId="6113E933"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Asigurarea separării la punctul de colectare a DEEE care urmează să fie pregătite pentru reutilizare de alte DEEE colectate separat, în centrele publice de colectare, înainte de orice transfer (art. 16 din OUG 5/2015)</w:t>
            </w:r>
          </w:p>
        </w:tc>
        <w:tc>
          <w:tcPr>
            <w:tcW w:w="1525" w:type="dxa"/>
            <w:tcBorders>
              <w:bottom w:val="none" w:sz="0" w:space="0" w:color="auto"/>
            </w:tcBorders>
            <w:hideMark/>
          </w:tcPr>
          <w:p w14:paraId="53E63A1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424E97A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Operatorii centrelor</w:t>
            </w:r>
          </w:p>
        </w:tc>
        <w:tc>
          <w:tcPr>
            <w:tcW w:w="3305" w:type="dxa"/>
            <w:tcBorders>
              <w:bottom w:val="none" w:sz="0" w:space="0" w:color="auto"/>
            </w:tcBorders>
            <w:hideMark/>
          </w:tcPr>
          <w:p w14:paraId="5C1C0C8C"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10294BFB"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7A90E93E"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DEEE-A10</w:t>
            </w:r>
          </w:p>
        </w:tc>
        <w:tc>
          <w:tcPr>
            <w:tcW w:w="895" w:type="dxa"/>
            <w:tcBorders>
              <w:bottom w:val="none" w:sz="0" w:space="0" w:color="auto"/>
            </w:tcBorders>
            <w:hideMark/>
          </w:tcPr>
          <w:p w14:paraId="2450EBAE"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4F6E4B4D"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3.2</w:t>
            </w:r>
          </w:p>
        </w:tc>
        <w:tc>
          <w:tcPr>
            <w:tcW w:w="8134" w:type="dxa"/>
            <w:tcBorders>
              <w:bottom w:val="none" w:sz="0" w:space="0" w:color="auto"/>
            </w:tcBorders>
            <w:hideMark/>
          </w:tcPr>
          <w:p w14:paraId="554BA1B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Informarea utilizatorilor cu privire la infrastructura disponibilă pentru eliminarea DEEE, precum și la posibilitățile de reparare ale produselor achiziționate</w:t>
            </w:r>
          </w:p>
        </w:tc>
        <w:tc>
          <w:tcPr>
            <w:tcW w:w="1525" w:type="dxa"/>
            <w:tcBorders>
              <w:bottom w:val="none" w:sz="0" w:space="0" w:color="auto"/>
            </w:tcBorders>
            <w:hideMark/>
          </w:tcPr>
          <w:p w14:paraId="5186B92C"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387ABDD4"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Producători</w:t>
            </w:r>
          </w:p>
        </w:tc>
        <w:tc>
          <w:tcPr>
            <w:tcW w:w="3305" w:type="dxa"/>
            <w:tcBorders>
              <w:bottom w:val="none" w:sz="0" w:space="0" w:color="auto"/>
            </w:tcBorders>
            <w:hideMark/>
          </w:tcPr>
          <w:p w14:paraId="57D1369F"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Fonduri proprii</w:t>
            </w:r>
          </w:p>
        </w:tc>
      </w:tr>
      <w:tr w:rsidR="00FE25E6" w:rsidRPr="00187708" w14:paraId="1698B9B4"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1B5483F9"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DEEE-A11</w:t>
            </w:r>
          </w:p>
        </w:tc>
        <w:tc>
          <w:tcPr>
            <w:tcW w:w="895" w:type="dxa"/>
            <w:tcBorders>
              <w:bottom w:val="none" w:sz="0" w:space="0" w:color="auto"/>
            </w:tcBorders>
            <w:hideMark/>
          </w:tcPr>
          <w:p w14:paraId="1457AC3F"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027796A0"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3.3</w:t>
            </w:r>
          </w:p>
        </w:tc>
        <w:tc>
          <w:tcPr>
            <w:tcW w:w="8134" w:type="dxa"/>
            <w:tcBorders>
              <w:bottom w:val="none" w:sz="0" w:space="0" w:color="auto"/>
            </w:tcBorders>
            <w:hideMark/>
          </w:tcPr>
          <w:p w14:paraId="40DA324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Instalații noi / modernizarea-retehnologizarea instalațiilor existente de tratare a DEEE pentru atingerea țintelor de reciclare și valorificare</w:t>
            </w:r>
          </w:p>
        </w:tc>
        <w:tc>
          <w:tcPr>
            <w:tcW w:w="1525" w:type="dxa"/>
            <w:tcBorders>
              <w:bottom w:val="none" w:sz="0" w:space="0" w:color="auto"/>
            </w:tcBorders>
            <w:hideMark/>
          </w:tcPr>
          <w:p w14:paraId="0DC7591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33B2621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Investitori privați</w:t>
            </w:r>
          </w:p>
        </w:tc>
        <w:tc>
          <w:tcPr>
            <w:tcW w:w="3305" w:type="dxa"/>
            <w:tcBorders>
              <w:bottom w:val="none" w:sz="0" w:space="0" w:color="auto"/>
            </w:tcBorders>
            <w:hideMark/>
          </w:tcPr>
          <w:p w14:paraId="5D68BFF3"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 Fonduri europene; Alte fonduri</w:t>
            </w:r>
          </w:p>
        </w:tc>
      </w:tr>
      <w:tr w:rsidR="00FE25E6" w:rsidRPr="00187708" w14:paraId="0EE00F10"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7C18DB7E" w14:textId="77777777" w:rsidR="00FE25E6" w:rsidRPr="00187708" w:rsidRDefault="00FE25E6" w:rsidP="00B80B00">
            <w:pPr>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DEEE-OS-04</w:t>
            </w:r>
          </w:p>
        </w:tc>
        <w:tc>
          <w:tcPr>
            <w:tcW w:w="895" w:type="dxa"/>
            <w:tcBorders>
              <w:bottom w:val="none" w:sz="0" w:space="0" w:color="auto"/>
            </w:tcBorders>
            <w:hideMark/>
          </w:tcPr>
          <w:p w14:paraId="60A97E50"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OS</w:t>
            </w:r>
          </w:p>
        </w:tc>
        <w:tc>
          <w:tcPr>
            <w:tcW w:w="1404" w:type="dxa"/>
            <w:tcBorders>
              <w:bottom w:val="none" w:sz="0" w:space="0" w:color="auto"/>
            </w:tcBorders>
            <w:hideMark/>
          </w:tcPr>
          <w:p w14:paraId="615FA18C"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Obiectiv 4</w:t>
            </w:r>
          </w:p>
        </w:tc>
        <w:tc>
          <w:tcPr>
            <w:tcW w:w="8134" w:type="dxa"/>
            <w:tcBorders>
              <w:bottom w:val="none" w:sz="0" w:space="0" w:color="auto"/>
            </w:tcBorders>
            <w:hideMark/>
          </w:tcPr>
          <w:p w14:paraId="2CC55393"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Completarea/modificarea legislației existente în scopul eficientizării prevederilor pentru atingerea țintelor și asigurarea trasabilității</w:t>
            </w:r>
          </w:p>
        </w:tc>
        <w:tc>
          <w:tcPr>
            <w:tcW w:w="1525" w:type="dxa"/>
            <w:tcBorders>
              <w:bottom w:val="none" w:sz="0" w:space="0" w:color="auto"/>
            </w:tcBorders>
            <w:hideMark/>
          </w:tcPr>
          <w:p w14:paraId="2923EE78"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4333" w:type="dxa"/>
            <w:tcBorders>
              <w:bottom w:val="none" w:sz="0" w:space="0" w:color="auto"/>
            </w:tcBorders>
            <w:hideMark/>
          </w:tcPr>
          <w:p w14:paraId="628030AE"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3305" w:type="dxa"/>
            <w:tcBorders>
              <w:bottom w:val="none" w:sz="0" w:space="0" w:color="auto"/>
            </w:tcBorders>
            <w:hideMark/>
          </w:tcPr>
          <w:p w14:paraId="6AD8812A"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r>
      <w:tr w:rsidR="00FE25E6" w:rsidRPr="00187708" w14:paraId="09CA508B" w14:textId="77777777" w:rsidTr="007A13C1">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44AE9461"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DEEE-A12</w:t>
            </w:r>
          </w:p>
        </w:tc>
        <w:tc>
          <w:tcPr>
            <w:tcW w:w="895" w:type="dxa"/>
            <w:tcBorders>
              <w:bottom w:val="none" w:sz="0" w:space="0" w:color="auto"/>
            </w:tcBorders>
            <w:hideMark/>
          </w:tcPr>
          <w:p w14:paraId="787F3696"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435E012B"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4.1</w:t>
            </w:r>
          </w:p>
        </w:tc>
        <w:tc>
          <w:tcPr>
            <w:tcW w:w="8134" w:type="dxa"/>
            <w:tcBorders>
              <w:bottom w:val="none" w:sz="0" w:space="0" w:color="auto"/>
            </w:tcBorders>
            <w:hideMark/>
          </w:tcPr>
          <w:p w14:paraId="085F9F06"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Elaborarea unei analize și, după caz, a unui act normativ privind menținerea/revizuirea modalității de implementare de către statul român a obligației de supraveghere a implementării obligațiilor REP (art. 8a din Directiva (UE) 2018/851 – autoritate publică/organism independent de interesele private), cu modificarea art. 12 alin. (14) din OUG 92/2021, după caz</w:t>
            </w:r>
          </w:p>
        </w:tc>
        <w:tc>
          <w:tcPr>
            <w:tcW w:w="1525" w:type="dxa"/>
            <w:tcBorders>
              <w:bottom w:val="none" w:sz="0" w:space="0" w:color="auto"/>
            </w:tcBorders>
            <w:hideMark/>
          </w:tcPr>
          <w:p w14:paraId="576458D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3FB0D14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w:t>
            </w:r>
          </w:p>
        </w:tc>
        <w:tc>
          <w:tcPr>
            <w:tcW w:w="3305" w:type="dxa"/>
            <w:tcBorders>
              <w:bottom w:val="none" w:sz="0" w:space="0" w:color="auto"/>
            </w:tcBorders>
            <w:hideMark/>
          </w:tcPr>
          <w:p w14:paraId="7D5A3C5A"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75CDE972" w14:textId="77777777" w:rsidTr="007A13C1">
        <w:trPr>
          <w:cnfStyle w:val="100000000000" w:firstRow="1" w:lastRow="0" w:firstColumn="0" w:lastColumn="0" w:oddVBand="0" w:evenVBand="0" w:oddHBand="0" w:evenHBand="0" w:firstRowFirstColumn="0" w:firstRowLastColumn="0" w:lastRowFirstColumn="0" w:lastRowLastColumn="0"/>
          <w:trHeight w:val="287"/>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3180A41D"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DEEE-A13</w:t>
            </w:r>
          </w:p>
        </w:tc>
        <w:tc>
          <w:tcPr>
            <w:tcW w:w="895" w:type="dxa"/>
            <w:tcBorders>
              <w:bottom w:val="none" w:sz="0" w:space="0" w:color="auto"/>
            </w:tcBorders>
            <w:hideMark/>
          </w:tcPr>
          <w:p w14:paraId="2F24A82E"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2C54B6AB"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4.2</w:t>
            </w:r>
          </w:p>
        </w:tc>
        <w:tc>
          <w:tcPr>
            <w:tcW w:w="8134" w:type="dxa"/>
            <w:tcBorders>
              <w:bottom w:val="none" w:sz="0" w:space="0" w:color="auto"/>
            </w:tcBorders>
            <w:hideMark/>
          </w:tcPr>
          <w:p w14:paraId="48F07C5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Definirea clară în legislație a rolurilor și responsabilităților în cadrul schemei REP</w:t>
            </w:r>
          </w:p>
        </w:tc>
        <w:tc>
          <w:tcPr>
            <w:tcW w:w="1525" w:type="dxa"/>
            <w:tcBorders>
              <w:bottom w:val="none" w:sz="0" w:space="0" w:color="auto"/>
            </w:tcBorders>
            <w:hideMark/>
          </w:tcPr>
          <w:p w14:paraId="4CDDD9C3"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75F7D95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w:t>
            </w:r>
          </w:p>
        </w:tc>
        <w:tc>
          <w:tcPr>
            <w:tcW w:w="3305" w:type="dxa"/>
            <w:tcBorders>
              <w:bottom w:val="none" w:sz="0" w:space="0" w:color="auto"/>
            </w:tcBorders>
            <w:hideMark/>
          </w:tcPr>
          <w:p w14:paraId="405AC896"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1928BC0C"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7781BB23"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DEEE-A14</w:t>
            </w:r>
          </w:p>
        </w:tc>
        <w:tc>
          <w:tcPr>
            <w:tcW w:w="895" w:type="dxa"/>
            <w:tcBorders>
              <w:bottom w:val="none" w:sz="0" w:space="0" w:color="auto"/>
            </w:tcBorders>
            <w:hideMark/>
          </w:tcPr>
          <w:p w14:paraId="46F53051"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474B5DFB"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4.3</w:t>
            </w:r>
          </w:p>
        </w:tc>
        <w:tc>
          <w:tcPr>
            <w:tcW w:w="8134" w:type="dxa"/>
            <w:tcBorders>
              <w:bottom w:val="none" w:sz="0" w:space="0" w:color="auto"/>
            </w:tcBorders>
            <w:hideMark/>
          </w:tcPr>
          <w:p w14:paraId="316135C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Dezvoltarea unui pachet de măsuri pentru creșterea duratei medii de viață a EEE, inclusiv sancțiuni pentru scoaterea din uz înainte de expirarea duratei de viață</w:t>
            </w:r>
          </w:p>
        </w:tc>
        <w:tc>
          <w:tcPr>
            <w:tcW w:w="1525" w:type="dxa"/>
            <w:tcBorders>
              <w:bottom w:val="none" w:sz="0" w:space="0" w:color="auto"/>
            </w:tcBorders>
            <w:hideMark/>
          </w:tcPr>
          <w:p w14:paraId="7958299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463F949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w:t>
            </w:r>
          </w:p>
        </w:tc>
        <w:tc>
          <w:tcPr>
            <w:tcW w:w="3305" w:type="dxa"/>
            <w:tcBorders>
              <w:bottom w:val="none" w:sz="0" w:space="0" w:color="auto"/>
            </w:tcBorders>
            <w:hideMark/>
          </w:tcPr>
          <w:p w14:paraId="10333FF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25163AF5" w14:textId="77777777" w:rsidTr="007A13C1">
        <w:trPr>
          <w:cnfStyle w:val="100000000000" w:firstRow="1" w:lastRow="0" w:firstColumn="0" w:lastColumn="0" w:oddVBand="0" w:evenVBand="0" w:oddHBand="0" w:evenHBand="0" w:firstRowFirstColumn="0" w:firstRowLastColumn="0" w:lastRowFirstColumn="0" w:lastRowLastColumn="0"/>
          <w:trHeight w:val="8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4AC2D460"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DEEE-A15</w:t>
            </w:r>
          </w:p>
        </w:tc>
        <w:tc>
          <w:tcPr>
            <w:tcW w:w="895" w:type="dxa"/>
            <w:tcBorders>
              <w:bottom w:val="none" w:sz="0" w:space="0" w:color="auto"/>
            </w:tcBorders>
            <w:hideMark/>
          </w:tcPr>
          <w:p w14:paraId="2F5A53AC"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3748BD6F"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4.4</w:t>
            </w:r>
          </w:p>
        </w:tc>
        <w:tc>
          <w:tcPr>
            <w:tcW w:w="8134" w:type="dxa"/>
            <w:tcBorders>
              <w:bottom w:val="none" w:sz="0" w:space="0" w:color="auto"/>
            </w:tcBorders>
            <w:hideMark/>
          </w:tcPr>
          <w:p w14:paraId="7C981DE4"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Implementarea de măsuri riguroase de verificare a calității produselor la intrarea pe piața internă a EEE</w:t>
            </w:r>
          </w:p>
        </w:tc>
        <w:tc>
          <w:tcPr>
            <w:tcW w:w="1525" w:type="dxa"/>
            <w:tcBorders>
              <w:bottom w:val="none" w:sz="0" w:space="0" w:color="auto"/>
            </w:tcBorders>
            <w:hideMark/>
          </w:tcPr>
          <w:p w14:paraId="72BFBA79"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40619D88"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w:t>
            </w:r>
          </w:p>
        </w:tc>
        <w:tc>
          <w:tcPr>
            <w:tcW w:w="3305" w:type="dxa"/>
            <w:tcBorders>
              <w:bottom w:val="none" w:sz="0" w:space="0" w:color="auto"/>
            </w:tcBorders>
            <w:hideMark/>
          </w:tcPr>
          <w:p w14:paraId="7BE541B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2F59E747" w14:textId="77777777" w:rsidTr="007A13C1">
        <w:trPr>
          <w:cnfStyle w:val="100000000000" w:firstRow="1" w:lastRow="0" w:firstColumn="0" w:lastColumn="0" w:oddVBand="0" w:evenVBand="0" w:oddHBand="0" w:evenHBand="0" w:firstRowFirstColumn="0" w:firstRowLastColumn="0" w:lastRowFirstColumn="0" w:lastRowLastColumn="0"/>
          <w:trHeight w:val="48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60E0950E"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DEEE-A16</w:t>
            </w:r>
          </w:p>
        </w:tc>
        <w:tc>
          <w:tcPr>
            <w:tcW w:w="895" w:type="dxa"/>
            <w:tcBorders>
              <w:bottom w:val="none" w:sz="0" w:space="0" w:color="auto"/>
            </w:tcBorders>
            <w:hideMark/>
          </w:tcPr>
          <w:p w14:paraId="22C321F0"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32F9C496"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4.5</w:t>
            </w:r>
          </w:p>
        </w:tc>
        <w:tc>
          <w:tcPr>
            <w:tcW w:w="8134" w:type="dxa"/>
            <w:tcBorders>
              <w:bottom w:val="none" w:sz="0" w:space="0" w:color="auto"/>
            </w:tcBorders>
            <w:hideMark/>
          </w:tcPr>
          <w:p w14:paraId="32F78483"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Elaborarea unor acte normative privind stabilirea criteriilor naționale de încetare a statutului de deșeu (inclusiv pentru DEEE)</w:t>
            </w:r>
          </w:p>
        </w:tc>
        <w:tc>
          <w:tcPr>
            <w:tcW w:w="1525" w:type="dxa"/>
            <w:tcBorders>
              <w:bottom w:val="none" w:sz="0" w:space="0" w:color="auto"/>
            </w:tcBorders>
            <w:hideMark/>
          </w:tcPr>
          <w:p w14:paraId="5CA35D2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02394031"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MDLPA</w:t>
            </w:r>
          </w:p>
        </w:tc>
        <w:tc>
          <w:tcPr>
            <w:tcW w:w="3305" w:type="dxa"/>
            <w:tcBorders>
              <w:bottom w:val="none" w:sz="0" w:space="0" w:color="auto"/>
            </w:tcBorders>
            <w:hideMark/>
          </w:tcPr>
          <w:p w14:paraId="696052EB"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1FCE6682" w14:textId="77777777" w:rsidTr="007A13C1">
        <w:trPr>
          <w:cnfStyle w:val="100000000000" w:firstRow="1" w:lastRow="0" w:firstColumn="0" w:lastColumn="0" w:oddVBand="0" w:evenVBand="0" w:oddHBand="0" w:evenHBand="0" w:firstRowFirstColumn="0" w:firstRowLastColumn="0" w:lastRowFirstColumn="0" w:lastRowLastColumn="0"/>
          <w:trHeight w:val="8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270A5A79" w14:textId="77777777" w:rsidR="00FE25E6" w:rsidRPr="00187708" w:rsidRDefault="00FE25E6" w:rsidP="00B80B00">
            <w:pPr>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DEEE-OS-05</w:t>
            </w:r>
          </w:p>
        </w:tc>
        <w:tc>
          <w:tcPr>
            <w:tcW w:w="895" w:type="dxa"/>
            <w:tcBorders>
              <w:bottom w:val="none" w:sz="0" w:space="0" w:color="auto"/>
            </w:tcBorders>
            <w:hideMark/>
          </w:tcPr>
          <w:p w14:paraId="533D98F7"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OS</w:t>
            </w:r>
          </w:p>
        </w:tc>
        <w:tc>
          <w:tcPr>
            <w:tcW w:w="1404" w:type="dxa"/>
            <w:tcBorders>
              <w:bottom w:val="none" w:sz="0" w:space="0" w:color="auto"/>
            </w:tcBorders>
            <w:hideMark/>
          </w:tcPr>
          <w:p w14:paraId="7D2220BB"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Obiectiv 5</w:t>
            </w:r>
          </w:p>
        </w:tc>
        <w:tc>
          <w:tcPr>
            <w:tcW w:w="8134" w:type="dxa"/>
            <w:tcBorders>
              <w:bottom w:val="none" w:sz="0" w:space="0" w:color="auto"/>
            </w:tcBorders>
            <w:hideMark/>
          </w:tcPr>
          <w:p w14:paraId="214EA07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000000" w:themeColor="text1"/>
                <w:sz w:val="16"/>
                <w:szCs w:val="16"/>
                <w:lang w:val="ro-RO"/>
              </w:rPr>
            </w:pPr>
            <w:r w:rsidRPr="00187708">
              <w:rPr>
                <w:rFonts w:ascii="NunitoCustom" w:eastAsia="Times New Roman" w:hAnsi="NunitoCustom" w:cs="Calibri"/>
                <w:color w:val="000000" w:themeColor="text1"/>
                <w:sz w:val="16"/>
                <w:szCs w:val="16"/>
                <w:lang w:val="ro-RO"/>
              </w:rPr>
              <w:t>Creșterea gradului de conformare a sistemelor de responsabilitate extinsă a producătorilor (EPR) pentru EEE, prin reducerea fenomenului de free-riding generat de comerțul electronic transfrontalier și consolidarea trasabilității digitale a fluxurilor de deșeuri</w:t>
            </w:r>
          </w:p>
        </w:tc>
        <w:tc>
          <w:tcPr>
            <w:tcW w:w="1525" w:type="dxa"/>
            <w:tcBorders>
              <w:bottom w:val="none" w:sz="0" w:space="0" w:color="auto"/>
            </w:tcBorders>
            <w:hideMark/>
          </w:tcPr>
          <w:p w14:paraId="606DE84A"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4333" w:type="dxa"/>
            <w:tcBorders>
              <w:bottom w:val="none" w:sz="0" w:space="0" w:color="auto"/>
            </w:tcBorders>
            <w:hideMark/>
          </w:tcPr>
          <w:p w14:paraId="73754588"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c>
          <w:tcPr>
            <w:tcW w:w="3305" w:type="dxa"/>
            <w:tcBorders>
              <w:bottom w:val="none" w:sz="0" w:space="0" w:color="auto"/>
            </w:tcBorders>
            <w:hideMark/>
          </w:tcPr>
          <w:p w14:paraId="74F96CC3"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color w:val="FFFFFF"/>
                <w:sz w:val="16"/>
                <w:szCs w:val="16"/>
                <w:lang w:val="ro-RO"/>
              </w:rPr>
            </w:pPr>
            <w:r w:rsidRPr="00187708">
              <w:rPr>
                <w:rFonts w:ascii="NunitoCustom" w:eastAsia="Times New Roman" w:hAnsi="NunitoCustom" w:cs="Calibri"/>
                <w:color w:val="FFFFFF"/>
                <w:sz w:val="16"/>
                <w:szCs w:val="16"/>
                <w:lang w:val="ro-RO"/>
              </w:rPr>
              <w:t> </w:t>
            </w:r>
          </w:p>
        </w:tc>
      </w:tr>
      <w:tr w:rsidR="00FE25E6" w:rsidRPr="00187708" w14:paraId="7C20307C" w14:textId="77777777" w:rsidTr="007A13C1">
        <w:trPr>
          <w:cnfStyle w:val="100000000000" w:firstRow="1" w:lastRow="0" w:firstColumn="0" w:lastColumn="0" w:oddVBand="0" w:evenVBand="0" w:oddHBand="0" w:evenHBand="0" w:firstRowFirstColumn="0" w:firstRowLastColumn="0" w:lastRowFirstColumn="0" w:lastRowLastColumn="0"/>
          <w:trHeight w:val="22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4C3F51D5"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DEEE-A17</w:t>
            </w:r>
          </w:p>
        </w:tc>
        <w:tc>
          <w:tcPr>
            <w:tcW w:w="895" w:type="dxa"/>
            <w:tcBorders>
              <w:bottom w:val="none" w:sz="0" w:space="0" w:color="auto"/>
            </w:tcBorders>
            <w:hideMark/>
          </w:tcPr>
          <w:p w14:paraId="34333298"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2B28BF5F"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5.1</w:t>
            </w:r>
          </w:p>
        </w:tc>
        <w:tc>
          <w:tcPr>
            <w:tcW w:w="8134" w:type="dxa"/>
            <w:tcBorders>
              <w:bottom w:val="none" w:sz="0" w:space="0" w:color="auto"/>
            </w:tcBorders>
            <w:hideMark/>
          </w:tcPr>
          <w:p w14:paraId="5542644B"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Introducerea obligației ca operatorii de platforme de tip piață online să se înregistreze ca producători de EEE în România (în sensul legislației DEEE) pentru produsele puse pe piața din România prin platformă de către vânzători stabiliți în afara UE, cu obligația de a: declara cantitățile reale de EEE puse pe piață; îndeplini țintele de colectare DEEE (individual sau prin aderare la OIREP); raporta datele în sistemele naționale de trasabilitate</w:t>
            </w:r>
          </w:p>
        </w:tc>
        <w:tc>
          <w:tcPr>
            <w:tcW w:w="1525" w:type="dxa"/>
            <w:tcBorders>
              <w:bottom w:val="none" w:sz="0" w:space="0" w:color="auto"/>
            </w:tcBorders>
            <w:hideMark/>
          </w:tcPr>
          <w:p w14:paraId="6F0E87B5"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2026</w:t>
            </w:r>
          </w:p>
        </w:tc>
        <w:tc>
          <w:tcPr>
            <w:tcW w:w="4333" w:type="dxa"/>
            <w:tcBorders>
              <w:bottom w:val="none" w:sz="0" w:space="0" w:color="auto"/>
            </w:tcBorders>
            <w:hideMark/>
          </w:tcPr>
          <w:p w14:paraId="1B790B44"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AFM; ANMAP</w:t>
            </w:r>
          </w:p>
        </w:tc>
        <w:tc>
          <w:tcPr>
            <w:tcW w:w="3305" w:type="dxa"/>
            <w:tcBorders>
              <w:bottom w:val="none" w:sz="0" w:space="0" w:color="auto"/>
            </w:tcBorders>
            <w:hideMark/>
          </w:tcPr>
          <w:p w14:paraId="0DB1E162"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473769CA" w14:textId="77777777" w:rsidTr="007A13C1">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79F0F49D"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DEEE-A18</w:t>
            </w:r>
          </w:p>
        </w:tc>
        <w:tc>
          <w:tcPr>
            <w:tcW w:w="895" w:type="dxa"/>
            <w:tcBorders>
              <w:bottom w:val="none" w:sz="0" w:space="0" w:color="auto"/>
            </w:tcBorders>
            <w:hideMark/>
          </w:tcPr>
          <w:p w14:paraId="2BE516B5"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0EA4F858"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5.2</w:t>
            </w:r>
          </w:p>
        </w:tc>
        <w:tc>
          <w:tcPr>
            <w:tcW w:w="8134" w:type="dxa"/>
            <w:tcBorders>
              <w:bottom w:val="none" w:sz="0" w:space="0" w:color="auto"/>
            </w:tcBorders>
            <w:hideMark/>
          </w:tcPr>
          <w:p w14:paraId="69D81298"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Dezvoltarea și implementarea unui mecanism național care să asigure identificarea, înregistrarea și conformarea operatorilor de e-commerce, inclusiv transfrontalieri, în sistemele EPR, precum și raportarea EEE introduse pe piața din România, inclusiv o metodologie de calcul a operațiunilor</w:t>
            </w:r>
          </w:p>
        </w:tc>
        <w:tc>
          <w:tcPr>
            <w:tcW w:w="1525" w:type="dxa"/>
            <w:tcBorders>
              <w:bottom w:val="none" w:sz="0" w:space="0" w:color="auto"/>
            </w:tcBorders>
            <w:hideMark/>
          </w:tcPr>
          <w:p w14:paraId="214E4E20"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5417F398"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MEDAT; AFM; ANMAP; OIREP</w:t>
            </w:r>
          </w:p>
        </w:tc>
        <w:tc>
          <w:tcPr>
            <w:tcW w:w="3305" w:type="dxa"/>
            <w:tcBorders>
              <w:bottom w:val="none" w:sz="0" w:space="0" w:color="auto"/>
            </w:tcBorders>
            <w:hideMark/>
          </w:tcPr>
          <w:p w14:paraId="35E9037C"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r w:rsidR="00FE25E6" w:rsidRPr="00187708" w14:paraId="69C3E1FF" w14:textId="77777777" w:rsidTr="007A13C1">
        <w:trPr>
          <w:cnfStyle w:val="100000000000" w:firstRow="1" w:lastRow="0" w:firstColumn="0" w:lastColumn="0" w:oddVBand="0" w:evenVBand="0" w:oddHBand="0" w:evenHBand="0" w:firstRowFirstColumn="0" w:firstRowLastColumn="0" w:lastRowFirstColumn="0" w:lastRowLastColumn="0"/>
          <w:trHeight w:val="569"/>
          <w:tblHeader/>
        </w:trPr>
        <w:tc>
          <w:tcPr>
            <w:cnfStyle w:val="001000000000" w:firstRow="0" w:lastRow="0" w:firstColumn="1" w:lastColumn="0" w:oddVBand="0" w:evenVBand="0" w:oddHBand="0" w:evenHBand="0" w:firstRowFirstColumn="0" w:firstRowLastColumn="0" w:lastRowFirstColumn="0" w:lastRowLastColumn="0"/>
            <w:tcW w:w="1525" w:type="dxa"/>
            <w:tcBorders>
              <w:bottom w:val="none" w:sz="0" w:space="0" w:color="auto"/>
            </w:tcBorders>
            <w:hideMark/>
          </w:tcPr>
          <w:p w14:paraId="33E237A3" w14:textId="77777777" w:rsidR="00FE25E6" w:rsidRPr="00187708" w:rsidRDefault="00FE25E6" w:rsidP="00B80B00">
            <w:pPr>
              <w:rPr>
                <w:rFonts w:ascii="NunitoCustom" w:eastAsia="Times New Roman" w:hAnsi="NunitoCustom" w:cs="Calibri"/>
                <w:color w:val="000000"/>
                <w:sz w:val="16"/>
                <w:szCs w:val="16"/>
                <w:lang w:val="ro-RO"/>
              </w:rPr>
            </w:pPr>
            <w:r w:rsidRPr="00187708">
              <w:rPr>
                <w:rFonts w:ascii="NunitoCustom" w:eastAsia="Times New Roman" w:hAnsi="NunitoCustom" w:cs="Calibri"/>
                <w:color w:val="000000"/>
                <w:sz w:val="16"/>
                <w:szCs w:val="16"/>
                <w:lang w:val="ro-RO"/>
              </w:rPr>
              <w:t>DEEE-A19</w:t>
            </w:r>
          </w:p>
        </w:tc>
        <w:tc>
          <w:tcPr>
            <w:tcW w:w="895" w:type="dxa"/>
            <w:tcBorders>
              <w:bottom w:val="none" w:sz="0" w:space="0" w:color="auto"/>
            </w:tcBorders>
            <w:hideMark/>
          </w:tcPr>
          <w:p w14:paraId="087D261C"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A</w:t>
            </w:r>
          </w:p>
        </w:tc>
        <w:tc>
          <w:tcPr>
            <w:tcW w:w="1404" w:type="dxa"/>
            <w:tcBorders>
              <w:bottom w:val="none" w:sz="0" w:space="0" w:color="auto"/>
            </w:tcBorders>
            <w:hideMark/>
          </w:tcPr>
          <w:p w14:paraId="442BB4FF" w14:textId="77777777" w:rsidR="00FE25E6" w:rsidRPr="00187708" w:rsidRDefault="00FE25E6" w:rsidP="00D0010B">
            <w:pPr>
              <w:jc w:val="cente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5.3</w:t>
            </w:r>
          </w:p>
        </w:tc>
        <w:tc>
          <w:tcPr>
            <w:tcW w:w="8134" w:type="dxa"/>
            <w:tcBorders>
              <w:bottom w:val="none" w:sz="0" w:space="0" w:color="auto"/>
            </w:tcBorders>
            <w:hideMark/>
          </w:tcPr>
          <w:p w14:paraId="5BCB76A6"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Integrarea platformelor de tip piață online în sistemele digitale naționale de raportare și trasabilitate, inclusiv în SIATD pentru fluxul EEE/DEEE, astfel încât datele platformelor să fie referință primară pentru verificarea conformării EPR, cu raportare trimestrială privind cel puțin: unități puse pe piață; greutăți aferente produselor EEE; tipuri și cantități de ambalaje</w:t>
            </w:r>
          </w:p>
        </w:tc>
        <w:tc>
          <w:tcPr>
            <w:tcW w:w="1525" w:type="dxa"/>
            <w:tcBorders>
              <w:bottom w:val="none" w:sz="0" w:space="0" w:color="auto"/>
            </w:tcBorders>
            <w:hideMark/>
          </w:tcPr>
          <w:p w14:paraId="27939A3E"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2027</w:t>
            </w:r>
          </w:p>
        </w:tc>
        <w:tc>
          <w:tcPr>
            <w:tcW w:w="4333" w:type="dxa"/>
            <w:tcBorders>
              <w:bottom w:val="none" w:sz="0" w:space="0" w:color="auto"/>
            </w:tcBorders>
            <w:hideMark/>
          </w:tcPr>
          <w:p w14:paraId="6491117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MMAP; MEDAT; AFM; ANMAP; GNM</w:t>
            </w:r>
          </w:p>
        </w:tc>
        <w:tc>
          <w:tcPr>
            <w:tcW w:w="3305" w:type="dxa"/>
            <w:tcBorders>
              <w:bottom w:val="none" w:sz="0" w:space="0" w:color="auto"/>
            </w:tcBorders>
            <w:hideMark/>
          </w:tcPr>
          <w:p w14:paraId="2C58E7DD" w14:textId="77777777" w:rsidR="00FE25E6" w:rsidRPr="00187708" w:rsidRDefault="00FE25E6" w:rsidP="00D0010B">
            <w:pPr>
              <w:cnfStyle w:val="100000000000" w:firstRow="1" w:lastRow="0" w:firstColumn="0" w:lastColumn="0" w:oddVBand="0" w:evenVBand="0" w:oddHBand="0" w:evenHBand="0" w:firstRowFirstColumn="0" w:firstRowLastColumn="0" w:lastRowFirstColumn="0" w:lastRowLastColumn="0"/>
              <w:rPr>
                <w:rFonts w:ascii="NunitoCustom" w:eastAsia="Times New Roman" w:hAnsi="NunitoCustom" w:cs="Calibri"/>
                <w:b w:val="0"/>
                <w:bCs w:val="0"/>
                <w:color w:val="000000"/>
                <w:sz w:val="16"/>
                <w:szCs w:val="16"/>
                <w:lang w:val="ro-RO"/>
              </w:rPr>
            </w:pPr>
            <w:r w:rsidRPr="00187708">
              <w:rPr>
                <w:rFonts w:ascii="NunitoCustom" w:eastAsia="Times New Roman" w:hAnsi="NunitoCustom" w:cs="Calibri"/>
                <w:b w:val="0"/>
                <w:bCs w:val="0"/>
                <w:color w:val="000000"/>
                <w:sz w:val="16"/>
                <w:szCs w:val="16"/>
                <w:lang w:val="ro-RO"/>
              </w:rPr>
              <w:t>Buget de stat</w:t>
            </w:r>
          </w:p>
        </w:tc>
      </w:tr>
    </w:tbl>
    <w:p w14:paraId="111F1435" w14:textId="77777777" w:rsidR="002F22BA" w:rsidRPr="00187708" w:rsidRDefault="002F22BA" w:rsidP="00D0010B">
      <w:pPr>
        <w:rPr>
          <w:rFonts w:ascii="Nunito" w:eastAsiaTheme="majorEastAsia" w:hAnsi="Nunito" w:cstheme="majorBidi"/>
          <w:b/>
          <w:bCs/>
          <w:color w:val="00B0F0"/>
          <w:sz w:val="16"/>
          <w:szCs w:val="16"/>
          <w:lang w:val="ro-RO"/>
        </w:rPr>
      </w:pPr>
    </w:p>
    <w:p w14:paraId="23599C0D" w14:textId="77777777" w:rsidR="00486F02" w:rsidRPr="00187708" w:rsidRDefault="00486F02" w:rsidP="00D0010B">
      <w:pPr>
        <w:rPr>
          <w:rFonts w:ascii="Nunito" w:eastAsiaTheme="majorEastAsia" w:hAnsi="Nunito" w:cstheme="majorBidi"/>
          <w:b/>
          <w:bCs/>
          <w:color w:val="00B0F0"/>
          <w:sz w:val="16"/>
          <w:szCs w:val="16"/>
          <w:lang w:val="ro-RO"/>
        </w:rPr>
      </w:pPr>
    </w:p>
    <w:p w14:paraId="4500929B" w14:textId="51D1DBD2" w:rsidR="00191E45" w:rsidRPr="00187708" w:rsidRDefault="00486F02" w:rsidP="00D0010B">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6</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w:t>
      </w:r>
      <w:r w:rsidRPr="00187708">
        <w:rPr>
          <w:lang w:val="ro-RO"/>
        </w:rPr>
        <w:t xml:space="preserve"> </w:t>
      </w:r>
      <w:r w:rsidRPr="00187708">
        <w:rPr>
          <w:rFonts w:ascii="Nunito" w:hAnsi="Nunito"/>
          <w:b/>
          <w:bCs/>
          <w:color w:val="009DF0" w:themeColor="text2"/>
          <w:sz w:val="16"/>
          <w:szCs w:val="16"/>
          <w:lang w:val="ro-RO"/>
        </w:rPr>
        <w:t xml:space="preserve">deșeurilor de </w:t>
      </w:r>
      <w:r w:rsidR="001A32CF" w:rsidRPr="00187708">
        <w:rPr>
          <w:rFonts w:ascii="Nunito" w:hAnsi="Nunito"/>
          <w:b/>
          <w:bCs/>
          <w:color w:val="009DF0" w:themeColor="text2"/>
          <w:sz w:val="16"/>
          <w:szCs w:val="16"/>
          <w:lang w:val="ro-RO"/>
        </w:rPr>
        <w:t>baterii și acumulatori</w:t>
      </w:r>
    </w:p>
    <w:tbl>
      <w:tblPr>
        <w:tblStyle w:val="ListTable1Light-Accent1"/>
        <w:tblW w:w="21121" w:type="dxa"/>
        <w:tblLook w:val="04A0" w:firstRow="1" w:lastRow="0" w:firstColumn="1" w:lastColumn="0" w:noHBand="0" w:noVBand="1"/>
      </w:tblPr>
      <w:tblGrid>
        <w:gridCol w:w="1477"/>
        <w:gridCol w:w="870"/>
        <w:gridCol w:w="1360"/>
        <w:gridCol w:w="8337"/>
        <w:gridCol w:w="1559"/>
        <w:gridCol w:w="3658"/>
        <w:gridCol w:w="3860"/>
      </w:tblGrid>
      <w:tr w:rsidR="00191E45" w:rsidRPr="00187708" w14:paraId="5DB28886" w14:textId="77777777" w:rsidTr="007A13C1">
        <w:trPr>
          <w:cnfStyle w:val="100000000000" w:firstRow="1" w:lastRow="0" w:firstColumn="0" w:lastColumn="0" w:oddVBand="0" w:evenVBand="0" w:oddHBand="0" w:evenHBand="0" w:firstRowFirstColumn="0" w:firstRowLastColumn="0" w:lastRowFirstColumn="0" w:lastRowLastColumn="0"/>
          <w:trHeight w:val="71"/>
          <w:tblHeader/>
        </w:trPr>
        <w:tc>
          <w:tcPr>
            <w:cnfStyle w:val="001000000000" w:firstRow="0" w:lastRow="0" w:firstColumn="1" w:lastColumn="0" w:oddVBand="0" w:evenVBand="0" w:oddHBand="0" w:evenHBand="0" w:firstRowFirstColumn="0" w:firstRowLastColumn="0" w:lastRowFirstColumn="0" w:lastRowLastColumn="0"/>
            <w:tcW w:w="1477" w:type="dxa"/>
            <w:tcBorders>
              <w:bottom w:val="single" w:sz="4" w:space="0" w:color="D9D9D9" w:themeColor="background1" w:themeShade="D9"/>
            </w:tcBorders>
            <w:shd w:val="clear" w:color="auto" w:fill="00B0F0"/>
            <w:hideMark/>
          </w:tcPr>
          <w:p w14:paraId="370118D3" w14:textId="77777777" w:rsidR="00191E45" w:rsidRPr="00187708" w:rsidRDefault="00191E45" w:rsidP="00191E45">
            <w:pPr>
              <w:jc w:val="center"/>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Cod</w:t>
            </w:r>
          </w:p>
        </w:tc>
        <w:tc>
          <w:tcPr>
            <w:tcW w:w="870" w:type="dxa"/>
            <w:tcBorders>
              <w:bottom w:val="single" w:sz="4" w:space="0" w:color="D9D9D9" w:themeColor="background1" w:themeShade="D9"/>
            </w:tcBorders>
            <w:shd w:val="clear" w:color="auto" w:fill="00B0F0"/>
            <w:hideMark/>
          </w:tcPr>
          <w:p w14:paraId="40223A15" w14:textId="77777777" w:rsidR="00191E45" w:rsidRPr="00187708" w:rsidRDefault="00191E45" w:rsidP="00191E4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Nivel</w:t>
            </w:r>
          </w:p>
        </w:tc>
        <w:tc>
          <w:tcPr>
            <w:tcW w:w="1360" w:type="dxa"/>
            <w:tcBorders>
              <w:bottom w:val="single" w:sz="4" w:space="0" w:color="D9D9D9" w:themeColor="background1" w:themeShade="D9"/>
            </w:tcBorders>
            <w:shd w:val="clear" w:color="auto" w:fill="00B0F0"/>
            <w:hideMark/>
          </w:tcPr>
          <w:p w14:paraId="7C1B12E3" w14:textId="77777777" w:rsidR="00191E45" w:rsidRPr="00187708" w:rsidRDefault="00191E45" w:rsidP="00191E4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Nr. PNGD</w:t>
            </w:r>
          </w:p>
        </w:tc>
        <w:tc>
          <w:tcPr>
            <w:tcW w:w="8337" w:type="dxa"/>
            <w:tcBorders>
              <w:bottom w:val="single" w:sz="4" w:space="0" w:color="D9D9D9" w:themeColor="background1" w:themeShade="D9"/>
            </w:tcBorders>
            <w:shd w:val="clear" w:color="auto" w:fill="00B0F0"/>
            <w:hideMark/>
          </w:tcPr>
          <w:p w14:paraId="35B097CF" w14:textId="77777777" w:rsidR="00191E45" w:rsidRPr="00187708" w:rsidRDefault="00191E45" w:rsidP="00191E4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Denumire obiectiv / acțiune</w:t>
            </w:r>
          </w:p>
        </w:tc>
        <w:tc>
          <w:tcPr>
            <w:tcW w:w="1559" w:type="dxa"/>
            <w:tcBorders>
              <w:bottom w:val="single" w:sz="4" w:space="0" w:color="D9D9D9" w:themeColor="background1" w:themeShade="D9"/>
            </w:tcBorders>
            <w:shd w:val="clear" w:color="auto" w:fill="00B0F0"/>
            <w:hideMark/>
          </w:tcPr>
          <w:p w14:paraId="52BCB817" w14:textId="77777777" w:rsidR="00191E45" w:rsidRPr="00187708" w:rsidRDefault="00191E45" w:rsidP="00191E4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Termen</w:t>
            </w:r>
          </w:p>
        </w:tc>
        <w:tc>
          <w:tcPr>
            <w:tcW w:w="3658" w:type="dxa"/>
            <w:tcBorders>
              <w:bottom w:val="single" w:sz="4" w:space="0" w:color="D9D9D9" w:themeColor="background1" w:themeShade="D9"/>
            </w:tcBorders>
            <w:shd w:val="clear" w:color="auto" w:fill="00B0F0"/>
            <w:hideMark/>
          </w:tcPr>
          <w:p w14:paraId="2CEF26AB" w14:textId="77777777" w:rsidR="00191E45" w:rsidRPr="00187708" w:rsidRDefault="00191E45" w:rsidP="00191E4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Responsabil principal / alți responsabili</w:t>
            </w:r>
          </w:p>
        </w:tc>
        <w:tc>
          <w:tcPr>
            <w:tcW w:w="3860" w:type="dxa"/>
            <w:tcBorders>
              <w:bottom w:val="single" w:sz="4" w:space="0" w:color="D9D9D9" w:themeColor="background1" w:themeShade="D9"/>
            </w:tcBorders>
            <w:shd w:val="clear" w:color="auto" w:fill="00B0F0"/>
            <w:hideMark/>
          </w:tcPr>
          <w:p w14:paraId="6DAB3F91" w14:textId="77777777" w:rsidR="00191E45" w:rsidRPr="00187708" w:rsidRDefault="00191E45" w:rsidP="00191E4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Sursa de finanțare</w:t>
            </w:r>
          </w:p>
        </w:tc>
      </w:tr>
      <w:tr w:rsidR="00191E45" w:rsidRPr="00187708" w14:paraId="29826C65" w14:textId="77777777" w:rsidTr="007A13C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252C576B" w14:textId="77777777" w:rsidR="00191E45" w:rsidRPr="00187708" w:rsidRDefault="00191E4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BAT-OS-01</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31227C70"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130CA2FE"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1</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66D596A1"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Creșterea gradului de colectare a deșeurilor de baterii portabile</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2B008CB6"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4F22DD03"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07858D17"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191E45" w:rsidRPr="00187708" w14:paraId="05C799CB"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0B852BA5"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w:t>
            </w:r>
          </w:p>
        </w:tc>
        <w:tc>
          <w:tcPr>
            <w:tcW w:w="870" w:type="dxa"/>
            <w:tcBorders>
              <w:top w:val="single" w:sz="4" w:space="0" w:color="D9D9D9" w:themeColor="background1" w:themeShade="D9"/>
              <w:bottom w:val="single" w:sz="4" w:space="0" w:color="D9D9D9" w:themeColor="background1" w:themeShade="D9"/>
            </w:tcBorders>
            <w:hideMark/>
          </w:tcPr>
          <w:p w14:paraId="0EE82153"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7A533275"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8337" w:type="dxa"/>
            <w:tcBorders>
              <w:top w:val="single" w:sz="4" w:space="0" w:color="D9D9D9" w:themeColor="background1" w:themeShade="D9"/>
              <w:bottom w:val="single" w:sz="4" w:space="0" w:color="D9D9D9" w:themeColor="background1" w:themeShade="D9"/>
            </w:tcBorders>
            <w:hideMark/>
          </w:tcPr>
          <w:p w14:paraId="64C3B36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Creșterea numărului de puncte de preluare organizate de către producători, aproape de utilizatorul final</w:t>
            </w:r>
          </w:p>
        </w:tc>
        <w:tc>
          <w:tcPr>
            <w:tcW w:w="1559" w:type="dxa"/>
            <w:tcBorders>
              <w:top w:val="single" w:sz="4" w:space="0" w:color="D9D9D9" w:themeColor="background1" w:themeShade="D9"/>
              <w:bottom w:val="single" w:sz="4" w:space="0" w:color="D9D9D9" w:themeColor="background1" w:themeShade="D9"/>
            </w:tcBorders>
            <w:hideMark/>
          </w:tcPr>
          <w:p w14:paraId="42C57A43"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hideMark/>
          </w:tcPr>
          <w:p w14:paraId="2CF0370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w:t>
            </w:r>
          </w:p>
        </w:tc>
        <w:tc>
          <w:tcPr>
            <w:tcW w:w="3860" w:type="dxa"/>
            <w:tcBorders>
              <w:top w:val="single" w:sz="4" w:space="0" w:color="D9D9D9" w:themeColor="background1" w:themeShade="D9"/>
              <w:bottom w:val="single" w:sz="4" w:space="0" w:color="D9D9D9" w:themeColor="background1" w:themeShade="D9"/>
            </w:tcBorders>
            <w:hideMark/>
          </w:tcPr>
          <w:p w14:paraId="167AF2F7"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baterii și acumulatori</w:t>
            </w:r>
          </w:p>
        </w:tc>
      </w:tr>
      <w:tr w:rsidR="00191E45" w:rsidRPr="00187708" w14:paraId="15092859" w14:textId="77777777" w:rsidTr="007A13C1">
        <w:trPr>
          <w:cnfStyle w:val="000000100000" w:firstRow="0" w:lastRow="0" w:firstColumn="0" w:lastColumn="0" w:oddVBand="0" w:evenVBand="0" w:oddHBand="1" w:evenHBand="0" w:firstRowFirstColumn="0" w:firstRowLastColumn="0" w:lastRowFirstColumn="0" w:lastRowLastColumn="0"/>
          <w:trHeight w:val="107"/>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5563ACBA"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BAT-A2</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6BE64D4F"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7D30C58F"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5317F483"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unei infrastructuri comune de colectare cu deșeurile de echipamente electrice și electronice</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590C1F47"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4118D0E4"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70129C75"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baterii și acumulatori</w:t>
            </w:r>
          </w:p>
        </w:tc>
      </w:tr>
      <w:tr w:rsidR="00191E45" w:rsidRPr="00187708" w14:paraId="141AB6FC"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1B5D8AEB"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BAT-A3</w:t>
            </w:r>
          </w:p>
        </w:tc>
        <w:tc>
          <w:tcPr>
            <w:tcW w:w="870" w:type="dxa"/>
            <w:tcBorders>
              <w:top w:val="single" w:sz="4" w:space="0" w:color="D9D9D9" w:themeColor="background1" w:themeShade="D9"/>
              <w:bottom w:val="single" w:sz="4" w:space="0" w:color="D9D9D9" w:themeColor="background1" w:themeShade="D9"/>
            </w:tcBorders>
            <w:hideMark/>
          </w:tcPr>
          <w:p w14:paraId="6EA70FC4"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1A14CD76"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1.3</w:t>
            </w:r>
          </w:p>
        </w:tc>
        <w:tc>
          <w:tcPr>
            <w:tcW w:w="8337" w:type="dxa"/>
            <w:tcBorders>
              <w:top w:val="single" w:sz="4" w:space="0" w:color="D9D9D9" w:themeColor="background1" w:themeShade="D9"/>
              <w:bottom w:val="single" w:sz="4" w:space="0" w:color="D9D9D9" w:themeColor="background1" w:themeShade="D9"/>
            </w:tcBorders>
            <w:hideMark/>
          </w:tcPr>
          <w:p w14:paraId="2B1AFA1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Instituirea de parteneriate funcționale cu APL și operatori locali</w:t>
            </w:r>
          </w:p>
        </w:tc>
        <w:tc>
          <w:tcPr>
            <w:tcW w:w="1559" w:type="dxa"/>
            <w:tcBorders>
              <w:top w:val="single" w:sz="4" w:space="0" w:color="D9D9D9" w:themeColor="background1" w:themeShade="D9"/>
              <w:bottom w:val="single" w:sz="4" w:space="0" w:color="D9D9D9" w:themeColor="background1" w:themeShade="D9"/>
            </w:tcBorders>
            <w:hideMark/>
          </w:tcPr>
          <w:p w14:paraId="44F81B9E"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hideMark/>
          </w:tcPr>
          <w:p w14:paraId="7D485423"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OIREP; APL; Operatori salubrizare</w:t>
            </w:r>
          </w:p>
        </w:tc>
        <w:tc>
          <w:tcPr>
            <w:tcW w:w="3860" w:type="dxa"/>
            <w:tcBorders>
              <w:top w:val="single" w:sz="4" w:space="0" w:color="D9D9D9" w:themeColor="background1" w:themeShade="D9"/>
              <w:bottom w:val="single" w:sz="4" w:space="0" w:color="D9D9D9" w:themeColor="background1" w:themeShade="D9"/>
            </w:tcBorders>
            <w:hideMark/>
          </w:tcPr>
          <w:p w14:paraId="5AD0B774"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baterii și acumulatori</w:t>
            </w:r>
          </w:p>
        </w:tc>
      </w:tr>
      <w:tr w:rsidR="00191E45" w:rsidRPr="00187708" w14:paraId="1F7EA048"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5FEA8CDB"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BAT-A4</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442A86F3"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2E87E681"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1.4</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2EA2AE9E"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Acreditarea de puncte de colectare voluntare în rețele educaționale, civice și comerciale, pe baza unui ghid MMAP care include criterii de siguranță, trasabilitate și vizibilitate publică</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3211AF60"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6B81D6C1"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OIREP; MEC</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6F18A4FE"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baterii și acumulatori</w:t>
            </w:r>
          </w:p>
        </w:tc>
      </w:tr>
      <w:tr w:rsidR="00191E45" w:rsidRPr="00187708" w14:paraId="02A44D24" w14:textId="77777777" w:rsidTr="007A13C1">
        <w:trPr>
          <w:trHeight w:val="381"/>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57D7B54F"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BAT-A5</w:t>
            </w:r>
          </w:p>
        </w:tc>
        <w:tc>
          <w:tcPr>
            <w:tcW w:w="870" w:type="dxa"/>
            <w:tcBorders>
              <w:top w:val="single" w:sz="4" w:space="0" w:color="D9D9D9" w:themeColor="background1" w:themeShade="D9"/>
              <w:bottom w:val="single" w:sz="4" w:space="0" w:color="D9D9D9" w:themeColor="background1" w:themeShade="D9"/>
            </w:tcBorders>
            <w:hideMark/>
          </w:tcPr>
          <w:p w14:paraId="095378A9"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6248A084"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1.5</w:t>
            </w:r>
          </w:p>
        </w:tc>
        <w:tc>
          <w:tcPr>
            <w:tcW w:w="8337" w:type="dxa"/>
            <w:tcBorders>
              <w:top w:val="single" w:sz="4" w:space="0" w:color="D9D9D9" w:themeColor="background1" w:themeShade="D9"/>
              <w:bottom w:val="single" w:sz="4" w:space="0" w:color="D9D9D9" w:themeColor="background1" w:themeShade="D9"/>
            </w:tcBorders>
            <w:hideMark/>
          </w:tcPr>
          <w:p w14:paraId="7DD7B04A" w14:textId="77777777" w:rsidR="000C5E04" w:rsidRPr="00187708" w:rsidRDefault="000C5E04" w:rsidP="000C5E04">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Creșterea gradului de informare, responsabilizare și conștientizare prin</w:t>
            </w:r>
          </w:p>
          <w:p w14:paraId="5692FCBE" w14:textId="77777777" w:rsidR="000C5E04" w:rsidRPr="00187708" w:rsidRDefault="000C5E04" w:rsidP="000C5E04">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-campanii naționale și regionale de informare periodică cu accent pe riscurile asociate bateriilor litiu-ion, modalități de colectare separată și utilizare în condiții de siguranță.</w:t>
            </w:r>
          </w:p>
          <w:p w14:paraId="1742DFD7" w14:textId="5FF6FA96" w:rsidR="00191E45" w:rsidRPr="00187708" w:rsidRDefault="000C5E04" w:rsidP="000C5E04">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utilizarea de către producători a unor mijloace digitale actualizate pentru informarea utilizatorilor finali și pentru raportarea datelor privind bateriile.</w:t>
            </w:r>
          </w:p>
        </w:tc>
        <w:tc>
          <w:tcPr>
            <w:tcW w:w="1559" w:type="dxa"/>
            <w:tcBorders>
              <w:top w:val="single" w:sz="4" w:space="0" w:color="D9D9D9" w:themeColor="background1" w:themeShade="D9"/>
              <w:bottom w:val="single" w:sz="4" w:space="0" w:color="D9D9D9" w:themeColor="background1" w:themeShade="D9"/>
            </w:tcBorders>
            <w:hideMark/>
          </w:tcPr>
          <w:p w14:paraId="7B92068E"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hideMark/>
          </w:tcPr>
          <w:p w14:paraId="2C12726B"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Producătorii; OIREP; Retaileri</w:t>
            </w:r>
          </w:p>
        </w:tc>
        <w:tc>
          <w:tcPr>
            <w:tcW w:w="3860" w:type="dxa"/>
            <w:tcBorders>
              <w:top w:val="single" w:sz="4" w:space="0" w:color="D9D9D9" w:themeColor="background1" w:themeShade="D9"/>
              <w:bottom w:val="single" w:sz="4" w:space="0" w:color="D9D9D9" w:themeColor="background1" w:themeShade="D9"/>
            </w:tcBorders>
            <w:hideMark/>
          </w:tcPr>
          <w:p w14:paraId="5ABC3E06"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AFM; Producătorii de BA; OIREP; Alte fonduri</w:t>
            </w:r>
          </w:p>
        </w:tc>
      </w:tr>
      <w:tr w:rsidR="00191E45" w:rsidRPr="00187708" w14:paraId="514EA2EA" w14:textId="77777777" w:rsidTr="007A13C1">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74301333"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BAT-A6</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735D836A"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65875C09"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1.6</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605803E6" w14:textId="77777777" w:rsidR="000011BB" w:rsidRPr="00187708" w:rsidRDefault="000011BB" w:rsidP="000011B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unei analize naționale privind:</w:t>
            </w:r>
          </w:p>
          <w:p w14:paraId="2B9A8312" w14:textId="77777777" w:rsidR="000011BB" w:rsidRPr="00187708" w:rsidRDefault="000011BB" w:rsidP="000011B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percepția publică, barierele logistice și comportamentale în colectarea bateriilor</w:t>
            </w:r>
          </w:p>
          <w:p w14:paraId="14E2C014" w14:textId="61A30E52" w:rsidR="00191E45" w:rsidRPr="00187708" w:rsidRDefault="000011BB" w:rsidP="000011BB">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fezabilitatea pentru introducerea de soluții de colectare alternativă: puncte mobile, puncte sezoniere în rural, preluare de la domiciliu pentru baterii deteriorate, etc.</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59EF8DF0"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562525C0"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Producătorii; OIREP; Retaileri</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6A26105D"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91E45" w:rsidRPr="00187708" w14:paraId="77BA90D9" w14:textId="77777777" w:rsidTr="007A13C1">
        <w:trPr>
          <w:trHeight w:val="153"/>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50CCD0C2" w14:textId="77777777" w:rsidR="00191E45" w:rsidRPr="00187708" w:rsidRDefault="00191E4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BAT-OS-02</w:t>
            </w:r>
          </w:p>
        </w:tc>
        <w:tc>
          <w:tcPr>
            <w:tcW w:w="870" w:type="dxa"/>
            <w:tcBorders>
              <w:top w:val="single" w:sz="4" w:space="0" w:color="D9D9D9" w:themeColor="background1" w:themeShade="D9"/>
              <w:bottom w:val="single" w:sz="4" w:space="0" w:color="D9D9D9" w:themeColor="background1" w:themeShade="D9"/>
            </w:tcBorders>
            <w:hideMark/>
          </w:tcPr>
          <w:p w14:paraId="5C7195F1"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tcBorders>
              <w:top w:val="single" w:sz="4" w:space="0" w:color="D9D9D9" w:themeColor="background1" w:themeShade="D9"/>
              <w:bottom w:val="single" w:sz="4" w:space="0" w:color="D9D9D9" w:themeColor="background1" w:themeShade="D9"/>
            </w:tcBorders>
            <w:hideMark/>
          </w:tcPr>
          <w:p w14:paraId="0C9214DF"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8337" w:type="dxa"/>
            <w:tcBorders>
              <w:top w:val="single" w:sz="4" w:space="0" w:color="D9D9D9" w:themeColor="background1" w:themeShade="D9"/>
              <w:bottom w:val="single" w:sz="4" w:space="0" w:color="D9D9D9" w:themeColor="background1" w:themeShade="D9"/>
            </w:tcBorders>
            <w:hideMark/>
          </w:tcPr>
          <w:p w14:paraId="5B376C14"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Crearea unui sistem funcțional pentru colectarea bateriilor provenite din mijloace de transport ușoare (biciclete electrice, trotinete, hoverboard-uri etc.)</w:t>
            </w:r>
          </w:p>
        </w:tc>
        <w:tc>
          <w:tcPr>
            <w:tcW w:w="1559" w:type="dxa"/>
            <w:tcBorders>
              <w:top w:val="single" w:sz="4" w:space="0" w:color="D9D9D9" w:themeColor="background1" w:themeShade="D9"/>
              <w:bottom w:val="single" w:sz="4" w:space="0" w:color="D9D9D9" w:themeColor="background1" w:themeShade="D9"/>
            </w:tcBorders>
            <w:hideMark/>
          </w:tcPr>
          <w:p w14:paraId="783A1686"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658" w:type="dxa"/>
            <w:tcBorders>
              <w:top w:val="single" w:sz="4" w:space="0" w:color="D9D9D9" w:themeColor="background1" w:themeShade="D9"/>
              <w:bottom w:val="single" w:sz="4" w:space="0" w:color="D9D9D9" w:themeColor="background1" w:themeShade="D9"/>
            </w:tcBorders>
            <w:hideMark/>
          </w:tcPr>
          <w:p w14:paraId="677F1C05"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860" w:type="dxa"/>
            <w:tcBorders>
              <w:top w:val="single" w:sz="4" w:space="0" w:color="D9D9D9" w:themeColor="background1" w:themeShade="D9"/>
              <w:bottom w:val="single" w:sz="4" w:space="0" w:color="D9D9D9" w:themeColor="background1" w:themeShade="D9"/>
            </w:tcBorders>
            <w:hideMark/>
          </w:tcPr>
          <w:p w14:paraId="1262EA13"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191E45" w:rsidRPr="00187708" w14:paraId="004A66C9"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4B53CCA4"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BAT-A7</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68DE9A80"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3EDA020F"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4C8DBFF5"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Crearea unui sistem funcțional pentru colectarea bateriilor provenite din mijloace de transport ușoare (biciclete electrice, trotinete, hoverboard-uri etc.)</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7509F0EB"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196C5C30"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APL; OIREP; Retaileri</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6D1957CE"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baterii și acumulatori; AFM</w:t>
            </w:r>
          </w:p>
        </w:tc>
      </w:tr>
      <w:tr w:rsidR="00191E45" w:rsidRPr="00187708" w14:paraId="73293471"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4155E4B1"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BAT-A8</w:t>
            </w:r>
          </w:p>
        </w:tc>
        <w:tc>
          <w:tcPr>
            <w:tcW w:w="870" w:type="dxa"/>
            <w:tcBorders>
              <w:top w:val="single" w:sz="4" w:space="0" w:color="D9D9D9" w:themeColor="background1" w:themeShade="D9"/>
              <w:bottom w:val="single" w:sz="4" w:space="0" w:color="D9D9D9" w:themeColor="background1" w:themeShade="D9"/>
            </w:tcBorders>
            <w:hideMark/>
          </w:tcPr>
          <w:p w14:paraId="17333292"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2227CBDB"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w:t>
            </w:r>
          </w:p>
        </w:tc>
        <w:tc>
          <w:tcPr>
            <w:tcW w:w="8337" w:type="dxa"/>
            <w:tcBorders>
              <w:top w:val="single" w:sz="4" w:space="0" w:color="D9D9D9" w:themeColor="background1" w:themeShade="D9"/>
              <w:bottom w:val="single" w:sz="4" w:space="0" w:color="D9D9D9" w:themeColor="background1" w:themeShade="D9"/>
            </w:tcBorders>
            <w:hideMark/>
          </w:tcPr>
          <w:p w14:paraId="6BC4489A"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Derularea de campanii tematice dedicate utilizatorilor de trotinete și biciclete electrice (ex. livratori, tineri urbani) privind riscurile bateriilor LMT și importanța predării lor în puncte sigure de colectare</w:t>
            </w:r>
          </w:p>
        </w:tc>
        <w:tc>
          <w:tcPr>
            <w:tcW w:w="1559" w:type="dxa"/>
            <w:tcBorders>
              <w:top w:val="single" w:sz="4" w:space="0" w:color="D9D9D9" w:themeColor="background1" w:themeShade="D9"/>
              <w:bottom w:val="single" w:sz="4" w:space="0" w:color="D9D9D9" w:themeColor="background1" w:themeShade="D9"/>
            </w:tcBorders>
            <w:hideMark/>
          </w:tcPr>
          <w:p w14:paraId="6422370D"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hideMark/>
          </w:tcPr>
          <w:p w14:paraId="0FA6D859"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OIREP; Retaileri</w:t>
            </w:r>
          </w:p>
        </w:tc>
        <w:tc>
          <w:tcPr>
            <w:tcW w:w="3860" w:type="dxa"/>
            <w:tcBorders>
              <w:top w:val="single" w:sz="4" w:space="0" w:color="D9D9D9" w:themeColor="background1" w:themeShade="D9"/>
              <w:bottom w:val="single" w:sz="4" w:space="0" w:color="D9D9D9" w:themeColor="background1" w:themeShade="D9"/>
            </w:tcBorders>
            <w:hideMark/>
          </w:tcPr>
          <w:p w14:paraId="0EC69405"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AFM; Producătorii de BA; OIREP; Alte fonduri</w:t>
            </w:r>
          </w:p>
        </w:tc>
      </w:tr>
      <w:tr w:rsidR="00191E45" w:rsidRPr="00187708" w14:paraId="51E6B646" w14:textId="77777777" w:rsidTr="007A13C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0ECDCED6" w14:textId="77777777" w:rsidR="00191E45" w:rsidRPr="00187708" w:rsidRDefault="00191E4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BAT-OS-03</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08849DEB"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62AB005C"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3</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5539A7E8"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Colectarea deșeurilor de baterii SLI, de baterii industriale și de baterii pentru vehicule electrice</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1FEB4AFF"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20A8D8B4"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088E307C"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 </w:t>
            </w:r>
          </w:p>
        </w:tc>
      </w:tr>
      <w:tr w:rsidR="00191E45" w:rsidRPr="00187708" w14:paraId="2188F2C4"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1AEB823C"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BAT-A9</w:t>
            </w:r>
          </w:p>
        </w:tc>
        <w:tc>
          <w:tcPr>
            <w:tcW w:w="870" w:type="dxa"/>
            <w:tcBorders>
              <w:top w:val="single" w:sz="4" w:space="0" w:color="D9D9D9" w:themeColor="background1" w:themeShade="D9"/>
              <w:bottom w:val="single" w:sz="4" w:space="0" w:color="D9D9D9" w:themeColor="background1" w:themeShade="D9"/>
            </w:tcBorders>
            <w:hideMark/>
          </w:tcPr>
          <w:p w14:paraId="57EFF35D"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2B582023"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w:t>
            </w:r>
          </w:p>
        </w:tc>
        <w:tc>
          <w:tcPr>
            <w:tcW w:w="8337" w:type="dxa"/>
            <w:tcBorders>
              <w:top w:val="single" w:sz="4" w:space="0" w:color="D9D9D9" w:themeColor="background1" w:themeShade="D9"/>
              <w:bottom w:val="single" w:sz="4" w:space="0" w:color="D9D9D9" w:themeColor="background1" w:themeShade="D9"/>
            </w:tcBorders>
            <w:hideMark/>
          </w:tcPr>
          <w:p w14:paraId="6ED5A106"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rețelei de puncte autorizate pentru colectarea bateriilor SLI, EV și industriale</w:t>
            </w:r>
          </w:p>
        </w:tc>
        <w:tc>
          <w:tcPr>
            <w:tcW w:w="1559" w:type="dxa"/>
            <w:tcBorders>
              <w:top w:val="single" w:sz="4" w:space="0" w:color="D9D9D9" w:themeColor="background1" w:themeShade="D9"/>
              <w:bottom w:val="single" w:sz="4" w:space="0" w:color="D9D9D9" w:themeColor="background1" w:themeShade="D9"/>
            </w:tcBorders>
            <w:hideMark/>
          </w:tcPr>
          <w:p w14:paraId="148F59DE"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hideMark/>
          </w:tcPr>
          <w:p w14:paraId="5A7768B2"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OIREP; Producătorii</w:t>
            </w:r>
          </w:p>
        </w:tc>
        <w:tc>
          <w:tcPr>
            <w:tcW w:w="3860" w:type="dxa"/>
            <w:tcBorders>
              <w:top w:val="single" w:sz="4" w:space="0" w:color="D9D9D9" w:themeColor="background1" w:themeShade="D9"/>
              <w:bottom w:val="single" w:sz="4" w:space="0" w:color="D9D9D9" w:themeColor="background1" w:themeShade="D9"/>
            </w:tcBorders>
            <w:hideMark/>
          </w:tcPr>
          <w:p w14:paraId="31F866B5"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baterii și acumulatori</w:t>
            </w:r>
          </w:p>
        </w:tc>
      </w:tr>
      <w:tr w:rsidR="00191E45" w:rsidRPr="00187708" w14:paraId="3A973F39"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1DD607D8"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BAT-A10</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36F7BD9D"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59320933"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3.2</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6F97C935"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și publicarea unui Ghid național pentru manipularea, depozitarea temporară și transportul bateriilor EV, industriale și SLI, cu scenarii de risc și responsabilități clare, inspirat de EERA Guidelines (2024)</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2D0EF4BC"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31CF9B27"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OIREP; ISU; EUCOBAT (consultare)</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047FEC41"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AFM; Alte surse de finanțare (ex. Horizon Europe – componenta Safety)</w:t>
            </w:r>
          </w:p>
        </w:tc>
      </w:tr>
      <w:tr w:rsidR="00191E45" w:rsidRPr="00187708" w14:paraId="5646132A"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57613DBB" w14:textId="77777777" w:rsidR="00191E45" w:rsidRPr="00187708" w:rsidRDefault="00191E4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BAT-OS-04</w:t>
            </w:r>
          </w:p>
        </w:tc>
        <w:tc>
          <w:tcPr>
            <w:tcW w:w="870" w:type="dxa"/>
            <w:tcBorders>
              <w:top w:val="single" w:sz="4" w:space="0" w:color="D9D9D9" w:themeColor="background1" w:themeShade="D9"/>
              <w:bottom w:val="single" w:sz="4" w:space="0" w:color="D9D9D9" w:themeColor="background1" w:themeShade="D9"/>
            </w:tcBorders>
            <w:hideMark/>
          </w:tcPr>
          <w:p w14:paraId="488A0879"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tcBorders>
              <w:top w:val="single" w:sz="4" w:space="0" w:color="D9D9D9" w:themeColor="background1" w:themeShade="D9"/>
              <w:bottom w:val="single" w:sz="4" w:space="0" w:color="D9D9D9" w:themeColor="background1" w:themeShade="D9"/>
            </w:tcBorders>
            <w:hideMark/>
          </w:tcPr>
          <w:p w14:paraId="7273E61E"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4</w:t>
            </w:r>
          </w:p>
        </w:tc>
        <w:tc>
          <w:tcPr>
            <w:tcW w:w="8337" w:type="dxa"/>
            <w:tcBorders>
              <w:top w:val="single" w:sz="4" w:space="0" w:color="D9D9D9" w:themeColor="background1" w:themeShade="D9"/>
              <w:bottom w:val="single" w:sz="4" w:space="0" w:color="D9D9D9" w:themeColor="background1" w:themeShade="D9"/>
            </w:tcBorders>
            <w:hideMark/>
          </w:tcPr>
          <w:p w14:paraId="634FF6C5"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Creșterea gradului de reciclare a deșeurilor de baterii și acumulatori</w:t>
            </w:r>
          </w:p>
        </w:tc>
        <w:tc>
          <w:tcPr>
            <w:tcW w:w="1559" w:type="dxa"/>
            <w:tcBorders>
              <w:top w:val="single" w:sz="4" w:space="0" w:color="D9D9D9" w:themeColor="background1" w:themeShade="D9"/>
              <w:bottom w:val="single" w:sz="4" w:space="0" w:color="D9D9D9" w:themeColor="background1" w:themeShade="D9"/>
            </w:tcBorders>
          </w:tcPr>
          <w:p w14:paraId="0DBAD6BC" w14:textId="55DCBED0"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658" w:type="dxa"/>
            <w:tcBorders>
              <w:top w:val="single" w:sz="4" w:space="0" w:color="D9D9D9" w:themeColor="background1" w:themeShade="D9"/>
              <w:bottom w:val="single" w:sz="4" w:space="0" w:color="D9D9D9" w:themeColor="background1" w:themeShade="D9"/>
            </w:tcBorders>
          </w:tcPr>
          <w:p w14:paraId="53CCA4BD" w14:textId="139BAA30"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860" w:type="dxa"/>
            <w:tcBorders>
              <w:top w:val="single" w:sz="4" w:space="0" w:color="D9D9D9" w:themeColor="background1" w:themeShade="D9"/>
              <w:bottom w:val="single" w:sz="4" w:space="0" w:color="D9D9D9" w:themeColor="background1" w:themeShade="D9"/>
            </w:tcBorders>
          </w:tcPr>
          <w:p w14:paraId="6CD8DA92" w14:textId="1A002BC3"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r>
      <w:tr w:rsidR="00191E45" w:rsidRPr="00187708" w14:paraId="074A79FD"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595A2379"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BAT-A11</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720FC467"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61EE8F63"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4.1</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17FFBF6E"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Extinderea și modernizarea capacităților de tratare a deșeurilor de baterii, cu accent pe tehnologii dedicate fracțiilor critice (ex. black mass) și bateriilor litiu-ion</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495F991B"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738178D9"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Operatori economici reciclatori</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49060715"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AFM; Investiții private</w:t>
            </w:r>
          </w:p>
        </w:tc>
      </w:tr>
      <w:tr w:rsidR="00191E45" w:rsidRPr="00187708" w14:paraId="24A39E5F"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4F368BB7"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BAT-A12</w:t>
            </w:r>
          </w:p>
        </w:tc>
        <w:tc>
          <w:tcPr>
            <w:tcW w:w="870" w:type="dxa"/>
            <w:tcBorders>
              <w:top w:val="single" w:sz="4" w:space="0" w:color="D9D9D9" w:themeColor="background1" w:themeShade="D9"/>
              <w:bottom w:val="single" w:sz="4" w:space="0" w:color="D9D9D9" w:themeColor="background1" w:themeShade="D9"/>
            </w:tcBorders>
            <w:hideMark/>
          </w:tcPr>
          <w:p w14:paraId="7A9ADD25"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2222C356"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4.2</w:t>
            </w:r>
          </w:p>
        </w:tc>
        <w:tc>
          <w:tcPr>
            <w:tcW w:w="8337" w:type="dxa"/>
            <w:tcBorders>
              <w:top w:val="single" w:sz="4" w:space="0" w:color="D9D9D9" w:themeColor="background1" w:themeShade="D9"/>
              <w:bottom w:val="single" w:sz="4" w:space="0" w:color="D9D9D9" w:themeColor="background1" w:themeShade="D9"/>
            </w:tcBorders>
            <w:hideMark/>
          </w:tcPr>
          <w:p w14:paraId="2AAC8D7D"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Includerea în programul de control a verificării respectării obligațiilor primului reciclator privind colectarea și raportarea informațiilor, atunci când operațiile de reciclare se desfășoară în mai mult de o instalație</w:t>
            </w:r>
          </w:p>
        </w:tc>
        <w:tc>
          <w:tcPr>
            <w:tcW w:w="1559" w:type="dxa"/>
            <w:tcBorders>
              <w:top w:val="single" w:sz="4" w:space="0" w:color="D9D9D9" w:themeColor="background1" w:themeShade="D9"/>
              <w:bottom w:val="single" w:sz="4" w:space="0" w:color="D9D9D9" w:themeColor="background1" w:themeShade="D9"/>
            </w:tcBorders>
            <w:hideMark/>
          </w:tcPr>
          <w:p w14:paraId="38BCC6AF"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hideMark/>
          </w:tcPr>
          <w:p w14:paraId="3D1EEBFC"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3860" w:type="dxa"/>
            <w:tcBorders>
              <w:top w:val="single" w:sz="4" w:space="0" w:color="D9D9D9" w:themeColor="background1" w:themeShade="D9"/>
              <w:bottom w:val="single" w:sz="4" w:space="0" w:color="D9D9D9" w:themeColor="background1" w:themeShade="D9"/>
            </w:tcBorders>
            <w:hideMark/>
          </w:tcPr>
          <w:p w14:paraId="664FF62A"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91E45" w:rsidRPr="00187708" w14:paraId="2E450D8F" w14:textId="77777777" w:rsidTr="007A13C1">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33FF78AE"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BAT-A13</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6AC580B4"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35E75CE5"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4.3</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07E39F6D"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Completarea HG 1464/2024 pentru aprobarea Strategiei Naționale în domeniul resurselor minerale neenergetice, astfel încât să includă și reciclarea ca parte a ciclului de viață al resurselor minerale neenergetice, iar facilitățile de care beneficiază actorii din industria extractivă să se aplice și reciclatorilor de CRM</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4267D118"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23CD5DE9"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MEDAT – Direcția de Resurse Minerale</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18988578"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91E45" w:rsidRPr="00187708" w14:paraId="1512935B" w14:textId="77777777" w:rsidTr="007A13C1">
        <w:trPr>
          <w:trHeight w:val="861"/>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2A25ECEF"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BAT-A14</w:t>
            </w:r>
          </w:p>
        </w:tc>
        <w:tc>
          <w:tcPr>
            <w:tcW w:w="870" w:type="dxa"/>
            <w:tcBorders>
              <w:top w:val="single" w:sz="4" w:space="0" w:color="D9D9D9" w:themeColor="background1" w:themeShade="D9"/>
              <w:bottom w:val="single" w:sz="4" w:space="0" w:color="D9D9D9" w:themeColor="background1" w:themeShade="D9"/>
            </w:tcBorders>
            <w:hideMark/>
          </w:tcPr>
          <w:p w14:paraId="0BFF5954"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5E12B073"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4.4</w:t>
            </w:r>
          </w:p>
        </w:tc>
        <w:tc>
          <w:tcPr>
            <w:tcW w:w="8337" w:type="dxa"/>
            <w:tcBorders>
              <w:top w:val="single" w:sz="4" w:space="0" w:color="D9D9D9" w:themeColor="background1" w:themeShade="D9"/>
              <w:bottom w:val="single" w:sz="4" w:space="0" w:color="D9D9D9" w:themeColor="background1" w:themeShade="D9"/>
            </w:tcBorders>
            <w:hideMark/>
          </w:tcPr>
          <w:p w14:paraId="0E0809D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unei analize și, după caz, a unui act normativ privind menținerea/revizuirea modalității de implementare de către statul român a obligației de supraveghere a implementării obligațiilor REP (art. 8a din Directiva (UE) 2018/851 – autoritate publică/organism independent de interesele private), cu modificarea art. 12 alin. (14) din OUG 92/2021, după caz</w:t>
            </w:r>
          </w:p>
        </w:tc>
        <w:tc>
          <w:tcPr>
            <w:tcW w:w="1559" w:type="dxa"/>
            <w:tcBorders>
              <w:top w:val="single" w:sz="4" w:space="0" w:color="D9D9D9" w:themeColor="background1" w:themeShade="D9"/>
              <w:bottom w:val="single" w:sz="4" w:space="0" w:color="D9D9D9" w:themeColor="background1" w:themeShade="D9"/>
            </w:tcBorders>
            <w:hideMark/>
          </w:tcPr>
          <w:p w14:paraId="656D48D3"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658" w:type="dxa"/>
            <w:tcBorders>
              <w:top w:val="single" w:sz="4" w:space="0" w:color="D9D9D9" w:themeColor="background1" w:themeShade="D9"/>
              <w:bottom w:val="single" w:sz="4" w:space="0" w:color="D9D9D9" w:themeColor="background1" w:themeShade="D9"/>
            </w:tcBorders>
            <w:hideMark/>
          </w:tcPr>
          <w:p w14:paraId="2C8FC5CF"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860" w:type="dxa"/>
            <w:tcBorders>
              <w:top w:val="single" w:sz="4" w:space="0" w:color="D9D9D9" w:themeColor="background1" w:themeShade="D9"/>
              <w:bottom w:val="single" w:sz="4" w:space="0" w:color="D9D9D9" w:themeColor="background1" w:themeShade="D9"/>
            </w:tcBorders>
            <w:hideMark/>
          </w:tcPr>
          <w:p w14:paraId="22A4530B"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91E45" w:rsidRPr="00187708" w14:paraId="444E43E6" w14:textId="77777777" w:rsidTr="007A13C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04ABD30B"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BAT-A15</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4ECBFD53"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02C23911"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4.5</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7013E178"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și implementarea unui mecanism național care să asigure identificarea, înregistrarea și conformarea operatorilor de e-commerce, inclusiv transfrontalieri, în sistemele EPR, precum și raportarea bateriilor și acumulatorilor introduși pe piața din România, inclusiv o metodologie de calcul a operațiunilor</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45BD9D73"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164E2211"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MEDAT; AFM; ANMAP; OIREP</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4E7D9F1F"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91E45" w:rsidRPr="00187708" w14:paraId="54C7D1EC" w14:textId="77777777" w:rsidTr="007A13C1">
        <w:trPr>
          <w:trHeight w:val="763"/>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098FAE04"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BAT-A16</w:t>
            </w:r>
          </w:p>
        </w:tc>
        <w:tc>
          <w:tcPr>
            <w:tcW w:w="870" w:type="dxa"/>
            <w:tcBorders>
              <w:top w:val="single" w:sz="4" w:space="0" w:color="D9D9D9" w:themeColor="background1" w:themeShade="D9"/>
              <w:bottom w:val="single" w:sz="4" w:space="0" w:color="D9D9D9" w:themeColor="background1" w:themeShade="D9"/>
            </w:tcBorders>
            <w:hideMark/>
          </w:tcPr>
          <w:p w14:paraId="681392A9"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51EE5AF9"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4.6</w:t>
            </w:r>
          </w:p>
        </w:tc>
        <w:tc>
          <w:tcPr>
            <w:tcW w:w="8337" w:type="dxa"/>
            <w:tcBorders>
              <w:top w:val="single" w:sz="4" w:space="0" w:color="D9D9D9" w:themeColor="background1" w:themeShade="D9"/>
              <w:bottom w:val="single" w:sz="4" w:space="0" w:color="D9D9D9" w:themeColor="background1" w:themeShade="D9"/>
            </w:tcBorders>
            <w:hideMark/>
          </w:tcPr>
          <w:p w14:paraId="73B498A5" w14:textId="77777777" w:rsidR="008D7A98" w:rsidRPr="00187708" w:rsidRDefault="008D7A98" w:rsidP="008D7A9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sistem digital unitar de raportare și trasabilitate pentru toate fluxurile de deșeuri reglementate (inclusiv deșeurile de baterii și acumulatori), gestionat de o singură entitate publică ANMAP, interconectat cu toate platformele de raportare existente care să permită:</w:t>
            </w:r>
          </w:p>
          <w:p w14:paraId="7250DAFD" w14:textId="77777777" w:rsidR="008D7A98" w:rsidRPr="00187708" w:rsidRDefault="008D7A98" w:rsidP="008D7A9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raportarea și validarea datelor pe fiecare flux de deșeuri;</w:t>
            </w:r>
          </w:p>
          <w:p w14:paraId="22EE1A9E" w14:textId="77777777" w:rsidR="008D7A98" w:rsidRPr="00187708" w:rsidRDefault="008D7A98" w:rsidP="008D7A9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urmărirea trasabilității deșeurilor de la colectare până la tratare/reciclare/valorificare/eliminare;</w:t>
            </w:r>
          </w:p>
          <w:p w14:paraId="237FD8DF" w14:textId="77777777" w:rsidR="008D7A98" w:rsidRPr="00187708" w:rsidRDefault="008D7A98" w:rsidP="008D7A9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corectarea și ajustarea datelor în urma controalelor specifice;</w:t>
            </w:r>
          </w:p>
          <w:p w14:paraId="4024ECC8" w14:textId="7AAFA2B3" w:rsidR="00191E45" w:rsidRPr="00187708" w:rsidRDefault="008D7A98" w:rsidP="008D7A9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generarea de rapoarte automate privind atingerea țintelor naționale și europene.</w:t>
            </w:r>
          </w:p>
        </w:tc>
        <w:tc>
          <w:tcPr>
            <w:tcW w:w="1559" w:type="dxa"/>
            <w:tcBorders>
              <w:top w:val="single" w:sz="4" w:space="0" w:color="D9D9D9" w:themeColor="background1" w:themeShade="D9"/>
              <w:bottom w:val="single" w:sz="4" w:space="0" w:color="D9D9D9" w:themeColor="background1" w:themeShade="D9"/>
            </w:tcBorders>
            <w:hideMark/>
          </w:tcPr>
          <w:p w14:paraId="639C84D4"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658" w:type="dxa"/>
            <w:tcBorders>
              <w:top w:val="single" w:sz="4" w:space="0" w:color="D9D9D9" w:themeColor="background1" w:themeShade="D9"/>
              <w:bottom w:val="single" w:sz="4" w:space="0" w:color="D9D9D9" w:themeColor="background1" w:themeShade="D9"/>
            </w:tcBorders>
            <w:hideMark/>
          </w:tcPr>
          <w:p w14:paraId="06A0A07F"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ANMAP</w:t>
            </w:r>
          </w:p>
        </w:tc>
        <w:tc>
          <w:tcPr>
            <w:tcW w:w="3860" w:type="dxa"/>
            <w:tcBorders>
              <w:top w:val="single" w:sz="4" w:space="0" w:color="D9D9D9" w:themeColor="background1" w:themeShade="D9"/>
              <w:bottom w:val="single" w:sz="4" w:space="0" w:color="D9D9D9" w:themeColor="background1" w:themeShade="D9"/>
            </w:tcBorders>
            <w:hideMark/>
          </w:tcPr>
          <w:p w14:paraId="5B39D5B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91E45" w:rsidRPr="00187708" w14:paraId="1D6EAEC8" w14:textId="77777777" w:rsidTr="007A13C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10CD36C9" w14:textId="77777777" w:rsidR="00191E45" w:rsidRPr="00187708" w:rsidRDefault="00191E4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BAT-OS-05</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2BBB6DA6"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506A4EB9"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5</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195AEBBF"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Creșterea gradului de valorificare materială a deșeurilor de baterii și acumulatori</w:t>
            </w:r>
          </w:p>
        </w:tc>
        <w:tc>
          <w:tcPr>
            <w:tcW w:w="1559" w:type="dxa"/>
            <w:tcBorders>
              <w:top w:val="single" w:sz="4" w:space="0" w:color="D9D9D9" w:themeColor="background1" w:themeShade="D9"/>
              <w:bottom w:val="single" w:sz="4" w:space="0" w:color="D9D9D9" w:themeColor="background1" w:themeShade="D9"/>
            </w:tcBorders>
            <w:shd w:val="clear" w:color="auto" w:fill="auto"/>
          </w:tcPr>
          <w:p w14:paraId="5012BE60" w14:textId="078CB1DF"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3658" w:type="dxa"/>
            <w:tcBorders>
              <w:top w:val="single" w:sz="4" w:space="0" w:color="D9D9D9" w:themeColor="background1" w:themeShade="D9"/>
              <w:bottom w:val="single" w:sz="4" w:space="0" w:color="D9D9D9" w:themeColor="background1" w:themeShade="D9"/>
            </w:tcBorders>
            <w:shd w:val="clear" w:color="auto" w:fill="auto"/>
          </w:tcPr>
          <w:p w14:paraId="7A1E475B" w14:textId="0D977C6A"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3860" w:type="dxa"/>
            <w:tcBorders>
              <w:top w:val="single" w:sz="4" w:space="0" w:color="D9D9D9" w:themeColor="background1" w:themeShade="D9"/>
              <w:bottom w:val="single" w:sz="4" w:space="0" w:color="D9D9D9" w:themeColor="background1" w:themeShade="D9"/>
            </w:tcBorders>
            <w:shd w:val="clear" w:color="auto" w:fill="auto"/>
          </w:tcPr>
          <w:p w14:paraId="76A47022" w14:textId="79C4CA72"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r>
      <w:tr w:rsidR="00191E45" w:rsidRPr="00187708" w14:paraId="5BBB29A9" w14:textId="77777777" w:rsidTr="007A13C1">
        <w:trPr>
          <w:trHeight w:val="292"/>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3A33EDD2"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BAT-A17</w:t>
            </w:r>
          </w:p>
        </w:tc>
        <w:tc>
          <w:tcPr>
            <w:tcW w:w="870" w:type="dxa"/>
            <w:tcBorders>
              <w:top w:val="single" w:sz="4" w:space="0" w:color="D9D9D9" w:themeColor="background1" w:themeShade="D9"/>
              <w:bottom w:val="single" w:sz="4" w:space="0" w:color="D9D9D9" w:themeColor="background1" w:themeShade="D9"/>
            </w:tcBorders>
            <w:hideMark/>
          </w:tcPr>
          <w:p w14:paraId="75376FD8"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6ACABA83"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w:t>
            </w:r>
          </w:p>
        </w:tc>
        <w:tc>
          <w:tcPr>
            <w:tcW w:w="8337" w:type="dxa"/>
            <w:tcBorders>
              <w:top w:val="single" w:sz="4" w:space="0" w:color="D9D9D9" w:themeColor="background1" w:themeShade="D9"/>
              <w:bottom w:val="single" w:sz="4" w:space="0" w:color="D9D9D9" w:themeColor="background1" w:themeShade="D9"/>
            </w:tcBorders>
            <w:hideMark/>
          </w:tcPr>
          <w:p w14:paraId="7E6215F8"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Extinderea capacităților existente pentru valorificare</w:t>
            </w:r>
          </w:p>
        </w:tc>
        <w:tc>
          <w:tcPr>
            <w:tcW w:w="1559" w:type="dxa"/>
            <w:tcBorders>
              <w:top w:val="single" w:sz="4" w:space="0" w:color="D9D9D9" w:themeColor="background1" w:themeShade="D9"/>
              <w:bottom w:val="single" w:sz="4" w:space="0" w:color="D9D9D9" w:themeColor="background1" w:themeShade="D9"/>
            </w:tcBorders>
            <w:hideMark/>
          </w:tcPr>
          <w:p w14:paraId="13F1B7F8"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3658" w:type="dxa"/>
            <w:tcBorders>
              <w:top w:val="single" w:sz="4" w:space="0" w:color="D9D9D9" w:themeColor="background1" w:themeShade="D9"/>
              <w:bottom w:val="single" w:sz="4" w:space="0" w:color="D9D9D9" w:themeColor="background1" w:themeShade="D9"/>
            </w:tcBorders>
            <w:hideMark/>
          </w:tcPr>
          <w:p w14:paraId="3B2B55B9"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Operatori economici</w:t>
            </w:r>
          </w:p>
        </w:tc>
        <w:tc>
          <w:tcPr>
            <w:tcW w:w="3860" w:type="dxa"/>
            <w:tcBorders>
              <w:top w:val="single" w:sz="4" w:space="0" w:color="D9D9D9" w:themeColor="background1" w:themeShade="D9"/>
              <w:bottom w:val="single" w:sz="4" w:space="0" w:color="D9D9D9" w:themeColor="background1" w:themeShade="D9"/>
            </w:tcBorders>
            <w:hideMark/>
          </w:tcPr>
          <w:p w14:paraId="08846FA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AFM; Investiții private</w:t>
            </w:r>
          </w:p>
        </w:tc>
      </w:tr>
      <w:tr w:rsidR="00191E45" w:rsidRPr="00187708" w14:paraId="6CDA4EB0" w14:textId="77777777" w:rsidTr="007A13C1">
        <w:trPr>
          <w:cnfStyle w:val="000000100000" w:firstRow="0" w:lastRow="0" w:firstColumn="0" w:lastColumn="0" w:oddVBand="0" w:evenVBand="0" w:oddHBand="1"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363A1EBF" w14:textId="77777777" w:rsidR="00191E45" w:rsidRPr="00187708" w:rsidRDefault="00191E4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BAT-OS-06</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6EBA63DE"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7F963DB8"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6</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41CAC8A2"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Completarea cadrului legal existent pentru gestionarea deșeurilor de baterii și acumulatori</w:t>
            </w:r>
          </w:p>
        </w:tc>
        <w:tc>
          <w:tcPr>
            <w:tcW w:w="1559" w:type="dxa"/>
            <w:tcBorders>
              <w:top w:val="single" w:sz="4" w:space="0" w:color="D9D9D9" w:themeColor="background1" w:themeShade="D9"/>
              <w:bottom w:val="single" w:sz="4" w:space="0" w:color="D9D9D9" w:themeColor="background1" w:themeShade="D9"/>
            </w:tcBorders>
            <w:shd w:val="clear" w:color="auto" w:fill="auto"/>
          </w:tcPr>
          <w:p w14:paraId="1B7FD462" w14:textId="685FB082"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3658" w:type="dxa"/>
            <w:tcBorders>
              <w:top w:val="single" w:sz="4" w:space="0" w:color="D9D9D9" w:themeColor="background1" w:themeShade="D9"/>
              <w:bottom w:val="single" w:sz="4" w:space="0" w:color="D9D9D9" w:themeColor="background1" w:themeShade="D9"/>
            </w:tcBorders>
            <w:shd w:val="clear" w:color="auto" w:fill="auto"/>
          </w:tcPr>
          <w:p w14:paraId="12036BCD" w14:textId="302A788E"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c>
          <w:tcPr>
            <w:tcW w:w="3860" w:type="dxa"/>
            <w:tcBorders>
              <w:top w:val="single" w:sz="4" w:space="0" w:color="D9D9D9" w:themeColor="background1" w:themeShade="D9"/>
              <w:bottom w:val="single" w:sz="4" w:space="0" w:color="D9D9D9" w:themeColor="background1" w:themeShade="D9"/>
            </w:tcBorders>
            <w:shd w:val="clear" w:color="auto" w:fill="auto"/>
          </w:tcPr>
          <w:p w14:paraId="284B53CB" w14:textId="3B9076CD"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FFFFFF"/>
                <w:sz w:val="16"/>
                <w:szCs w:val="16"/>
                <w:lang w:val="ro-RO"/>
              </w:rPr>
            </w:pPr>
          </w:p>
        </w:tc>
      </w:tr>
      <w:tr w:rsidR="00191E45" w:rsidRPr="00187708" w14:paraId="1EC485C9" w14:textId="77777777" w:rsidTr="007A13C1">
        <w:trPr>
          <w:trHeight w:val="1101"/>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hideMark/>
          </w:tcPr>
          <w:p w14:paraId="0E099BC5" w14:textId="77777777" w:rsidR="00191E45" w:rsidRPr="00187708" w:rsidRDefault="00191E4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BAT-A18</w:t>
            </w:r>
          </w:p>
        </w:tc>
        <w:tc>
          <w:tcPr>
            <w:tcW w:w="870" w:type="dxa"/>
            <w:tcBorders>
              <w:top w:val="single" w:sz="4" w:space="0" w:color="D9D9D9" w:themeColor="background1" w:themeShade="D9"/>
              <w:bottom w:val="single" w:sz="4" w:space="0" w:color="D9D9D9" w:themeColor="background1" w:themeShade="D9"/>
            </w:tcBorders>
            <w:hideMark/>
          </w:tcPr>
          <w:p w14:paraId="21A9825A"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hideMark/>
          </w:tcPr>
          <w:p w14:paraId="7EFA697E" w14:textId="77777777" w:rsidR="00191E45" w:rsidRPr="00187708" w:rsidRDefault="00191E45" w:rsidP="001A32CF">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6.1</w:t>
            </w:r>
          </w:p>
        </w:tc>
        <w:tc>
          <w:tcPr>
            <w:tcW w:w="8337" w:type="dxa"/>
            <w:tcBorders>
              <w:top w:val="single" w:sz="4" w:space="0" w:color="D9D9D9" w:themeColor="background1" w:themeShade="D9"/>
              <w:bottom w:val="single" w:sz="4" w:space="0" w:color="D9D9D9" w:themeColor="background1" w:themeShade="D9"/>
            </w:tcBorders>
            <w:hideMark/>
          </w:tcPr>
          <w:p w14:paraId="72E629DB" w14:textId="77777777" w:rsidR="00E90B0D"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Adoptarea de modificări legislative privind</w:t>
            </w:r>
          </w:p>
          <w:p w14:paraId="02E0ACB9" w14:textId="77777777" w:rsidR="00E90B0D"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xml:space="preserve">-  Reglementarea operațiunilor de reafectare (repurposing) și refabricare (remanufacturing) a bateriilor </w:t>
            </w:r>
          </w:p>
          <w:p w14:paraId="004EF9EC" w14:textId="77777777" w:rsidR="00E90B0D"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cadrului  legal și procedural național pentru transpunerea pașaportului digital al bateriei prevăzut la Art. 77 din Regulamentul (UE) 2023/1542</w:t>
            </w:r>
          </w:p>
          <w:p w14:paraId="70D67580" w14:textId="77777777" w:rsidR="00E90B0D"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xml:space="preserve">-Interzicerea bateriilor, încorporate sau nu în aparate, mijloace de transport ușoare sau alte vehicule, care conțin peste 0,0005% mercur (exprimat ca mercur metal) în greutate </w:t>
            </w:r>
          </w:p>
          <w:p w14:paraId="6E66AB20" w14:textId="77777777" w:rsidR="00E90B0D"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-Interzicerea bateriilor portabile, încorporate sau nu în aparate, în mijloace de transport ușoare sau în alte vehicule, cu un conținut mai mult de 0,002 % cadmiu (exprimat sub formă de cadmiu metal) în greutate</w:t>
            </w:r>
          </w:p>
          <w:p w14:paraId="73BFCF67" w14:textId="77777777" w:rsidR="00E90B0D"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-Interzicerea bateriilor portabile, încorporate sau nu în aparate, cu un conținut mai mult de 0,01 % plumb (exprimat în plumb metal) în greutate.</w:t>
            </w:r>
          </w:p>
          <w:p w14:paraId="20848819" w14:textId="77777777" w:rsidR="00E90B0D"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Impunerea obligației ca toate punctele de vânzare și service pentru mijloace de transport ușoare să accepte baterii LMT uzate în mod gratuit, indiferent dacă este efectuată o nouă achiziție, conform art. 61(1).</w:t>
            </w:r>
          </w:p>
          <w:p w14:paraId="67AE0CD1" w14:textId="1765ED4B" w:rsidR="00191E45" w:rsidRPr="00187708" w:rsidRDefault="00E90B0D" w:rsidP="00E90B0D">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-Stabilirea obligației de colectare necondiționată a bateriilor SLI, EV și industriale prin rețele de service, dealeri, operatori economici și centre de colectare municipale autorizate, indiferent de achiziție nouă. Integrarea în fluxul oficial de raportare prin OIREP</w:t>
            </w:r>
          </w:p>
        </w:tc>
        <w:tc>
          <w:tcPr>
            <w:tcW w:w="1559" w:type="dxa"/>
            <w:tcBorders>
              <w:top w:val="single" w:sz="4" w:space="0" w:color="D9D9D9" w:themeColor="background1" w:themeShade="D9"/>
              <w:bottom w:val="single" w:sz="4" w:space="0" w:color="D9D9D9" w:themeColor="background1" w:themeShade="D9"/>
            </w:tcBorders>
            <w:hideMark/>
          </w:tcPr>
          <w:p w14:paraId="1B2EAC7B"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2027</w:t>
            </w:r>
          </w:p>
        </w:tc>
        <w:tc>
          <w:tcPr>
            <w:tcW w:w="3658" w:type="dxa"/>
            <w:tcBorders>
              <w:top w:val="single" w:sz="4" w:space="0" w:color="D9D9D9" w:themeColor="background1" w:themeShade="D9"/>
              <w:bottom w:val="single" w:sz="4" w:space="0" w:color="D9D9D9" w:themeColor="background1" w:themeShade="D9"/>
            </w:tcBorders>
            <w:hideMark/>
          </w:tcPr>
          <w:p w14:paraId="689BBC8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860" w:type="dxa"/>
            <w:tcBorders>
              <w:top w:val="single" w:sz="4" w:space="0" w:color="D9D9D9" w:themeColor="background1" w:themeShade="D9"/>
              <w:bottom w:val="single" w:sz="4" w:space="0" w:color="D9D9D9" w:themeColor="background1" w:themeShade="D9"/>
            </w:tcBorders>
            <w:hideMark/>
          </w:tcPr>
          <w:p w14:paraId="399B8831" w14:textId="77777777" w:rsidR="00191E45" w:rsidRPr="00187708" w:rsidRDefault="00191E45" w:rsidP="001A32CF">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local</w:t>
            </w:r>
          </w:p>
        </w:tc>
      </w:tr>
      <w:tr w:rsidR="00191E45" w:rsidRPr="00187708" w14:paraId="3DC4848C"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7" w:type="dxa"/>
            <w:tcBorders>
              <w:top w:val="single" w:sz="4" w:space="0" w:color="D9D9D9" w:themeColor="background1" w:themeShade="D9"/>
              <w:bottom w:val="single" w:sz="4" w:space="0" w:color="D9D9D9" w:themeColor="background1" w:themeShade="D9"/>
            </w:tcBorders>
            <w:shd w:val="clear" w:color="auto" w:fill="auto"/>
            <w:hideMark/>
          </w:tcPr>
          <w:p w14:paraId="744D3C85" w14:textId="77777777" w:rsidR="00191E45" w:rsidRPr="00187708" w:rsidRDefault="00191E45" w:rsidP="001A32CF">
            <w:pPr>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BAT-A19</w:t>
            </w:r>
          </w:p>
        </w:tc>
        <w:tc>
          <w:tcPr>
            <w:tcW w:w="870" w:type="dxa"/>
            <w:tcBorders>
              <w:top w:val="single" w:sz="4" w:space="0" w:color="D9D9D9" w:themeColor="background1" w:themeShade="D9"/>
              <w:bottom w:val="single" w:sz="4" w:space="0" w:color="D9D9D9" w:themeColor="background1" w:themeShade="D9"/>
            </w:tcBorders>
            <w:shd w:val="clear" w:color="auto" w:fill="auto"/>
            <w:hideMark/>
          </w:tcPr>
          <w:p w14:paraId="5217A59D"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4" w:space="0" w:color="D9D9D9" w:themeColor="background1" w:themeShade="D9"/>
              <w:bottom w:val="single" w:sz="4" w:space="0" w:color="D9D9D9" w:themeColor="background1" w:themeShade="D9"/>
            </w:tcBorders>
            <w:shd w:val="clear" w:color="auto" w:fill="auto"/>
            <w:hideMark/>
          </w:tcPr>
          <w:p w14:paraId="70395611" w14:textId="77777777" w:rsidR="00191E45" w:rsidRPr="00187708" w:rsidRDefault="00191E45" w:rsidP="001A32CF">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6.2</w:t>
            </w:r>
          </w:p>
        </w:tc>
        <w:tc>
          <w:tcPr>
            <w:tcW w:w="8337" w:type="dxa"/>
            <w:tcBorders>
              <w:top w:val="single" w:sz="4" w:space="0" w:color="D9D9D9" w:themeColor="background1" w:themeShade="D9"/>
              <w:bottom w:val="single" w:sz="4" w:space="0" w:color="D9D9D9" w:themeColor="background1" w:themeShade="D9"/>
            </w:tcBorders>
            <w:shd w:val="clear" w:color="auto" w:fill="auto"/>
            <w:hideMark/>
          </w:tcPr>
          <w:p w14:paraId="62A7C8CE"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unor acte normative privind stabilirea criteriilor naționale de încetare a statutului de deșeu (inclusiv pentru gestionarea deșeurilor de baterii și acumulatori)</w:t>
            </w:r>
          </w:p>
        </w:tc>
        <w:tc>
          <w:tcPr>
            <w:tcW w:w="1559" w:type="dxa"/>
            <w:tcBorders>
              <w:top w:val="single" w:sz="4" w:space="0" w:color="D9D9D9" w:themeColor="background1" w:themeShade="D9"/>
              <w:bottom w:val="single" w:sz="4" w:space="0" w:color="D9D9D9" w:themeColor="background1" w:themeShade="D9"/>
            </w:tcBorders>
            <w:shd w:val="clear" w:color="auto" w:fill="auto"/>
            <w:hideMark/>
          </w:tcPr>
          <w:p w14:paraId="59CF5FC6"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3658" w:type="dxa"/>
            <w:tcBorders>
              <w:top w:val="single" w:sz="4" w:space="0" w:color="D9D9D9" w:themeColor="background1" w:themeShade="D9"/>
              <w:bottom w:val="single" w:sz="4" w:space="0" w:color="D9D9D9" w:themeColor="background1" w:themeShade="D9"/>
            </w:tcBorders>
            <w:shd w:val="clear" w:color="auto" w:fill="auto"/>
            <w:hideMark/>
          </w:tcPr>
          <w:p w14:paraId="039A2013"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MDLPA</w:t>
            </w:r>
          </w:p>
        </w:tc>
        <w:tc>
          <w:tcPr>
            <w:tcW w:w="3860" w:type="dxa"/>
            <w:tcBorders>
              <w:top w:val="single" w:sz="4" w:space="0" w:color="D9D9D9" w:themeColor="background1" w:themeShade="D9"/>
              <w:bottom w:val="single" w:sz="4" w:space="0" w:color="D9D9D9" w:themeColor="background1" w:themeShade="D9"/>
            </w:tcBorders>
            <w:shd w:val="clear" w:color="auto" w:fill="auto"/>
            <w:hideMark/>
          </w:tcPr>
          <w:p w14:paraId="4ACD3704" w14:textId="77777777" w:rsidR="00191E45" w:rsidRPr="00187708" w:rsidRDefault="00191E45" w:rsidP="001A32C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1BC3EF39" w14:textId="413C287E" w:rsidR="00BD078F" w:rsidRPr="00187708" w:rsidRDefault="00BD078F">
      <w:pPr>
        <w:rPr>
          <w:rFonts w:ascii="Nunito" w:eastAsiaTheme="majorEastAsia" w:hAnsi="Nunito" w:cstheme="majorBidi"/>
          <w:b/>
          <w:bCs/>
          <w:color w:val="00B0F0"/>
          <w:sz w:val="16"/>
          <w:szCs w:val="16"/>
          <w:lang w:val="ro-RO"/>
        </w:rPr>
      </w:pPr>
    </w:p>
    <w:p w14:paraId="504097B8" w14:textId="672D34C4" w:rsidR="00191E45" w:rsidRPr="00187708" w:rsidRDefault="009B7EA3" w:rsidP="00191E45">
      <w:pPr>
        <w:rPr>
          <w:rFonts w:ascii="Nunito" w:hAnsi="Nunito"/>
          <w:b/>
          <w:bCs/>
          <w:color w:val="009DF0" w:themeColor="text2"/>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7</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w:t>
      </w:r>
      <w:r w:rsidR="002730D2" w:rsidRPr="00187708">
        <w:rPr>
          <w:rFonts w:ascii="Nunito" w:hAnsi="Nunito"/>
          <w:b/>
          <w:bCs/>
          <w:color w:val="009DF0" w:themeColor="text2"/>
          <w:sz w:val="16"/>
          <w:szCs w:val="16"/>
          <w:lang w:val="ro-RO"/>
        </w:rPr>
        <w:t>gestionarea vehiculelor scoase din uz</w:t>
      </w:r>
    </w:p>
    <w:tbl>
      <w:tblPr>
        <w:tblStyle w:val="LightShading-Accent1"/>
        <w:tblW w:w="21121" w:type="dxa"/>
        <w:tblLook w:val="04A0" w:firstRow="1" w:lastRow="0" w:firstColumn="1" w:lastColumn="0" w:noHBand="0" w:noVBand="1"/>
      </w:tblPr>
      <w:tblGrid>
        <w:gridCol w:w="1503"/>
        <w:gridCol w:w="885"/>
        <w:gridCol w:w="1383"/>
        <w:gridCol w:w="8015"/>
        <w:gridCol w:w="1503"/>
        <w:gridCol w:w="4270"/>
        <w:gridCol w:w="3562"/>
      </w:tblGrid>
      <w:tr w:rsidR="00407D48" w:rsidRPr="00187708" w14:paraId="4CF3AFBE" w14:textId="77777777" w:rsidTr="007A13C1">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503" w:type="dxa"/>
            <w:tcBorders>
              <w:bottom w:val="nil"/>
            </w:tcBorders>
            <w:shd w:val="clear" w:color="auto" w:fill="00B0F0"/>
            <w:hideMark/>
          </w:tcPr>
          <w:p w14:paraId="01327045" w14:textId="77777777" w:rsidR="00407D48" w:rsidRPr="00187708" w:rsidRDefault="00407D48" w:rsidP="00407D48">
            <w:pPr>
              <w:jc w:val="center"/>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Cod</w:t>
            </w:r>
          </w:p>
        </w:tc>
        <w:tc>
          <w:tcPr>
            <w:tcW w:w="885" w:type="dxa"/>
            <w:tcBorders>
              <w:bottom w:val="nil"/>
            </w:tcBorders>
            <w:shd w:val="clear" w:color="auto" w:fill="00B0F0"/>
            <w:hideMark/>
          </w:tcPr>
          <w:p w14:paraId="0709B141" w14:textId="77777777" w:rsidR="00407D48" w:rsidRPr="00187708" w:rsidRDefault="00407D48" w:rsidP="00407D48">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Nivel</w:t>
            </w:r>
          </w:p>
        </w:tc>
        <w:tc>
          <w:tcPr>
            <w:tcW w:w="1383" w:type="dxa"/>
            <w:tcBorders>
              <w:bottom w:val="nil"/>
            </w:tcBorders>
            <w:shd w:val="clear" w:color="auto" w:fill="00B0F0"/>
            <w:hideMark/>
          </w:tcPr>
          <w:p w14:paraId="19E1C835" w14:textId="445698A2" w:rsidR="00407D48" w:rsidRPr="00187708" w:rsidRDefault="00407D48" w:rsidP="00407D48">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 xml:space="preserve">Nr. </w:t>
            </w:r>
            <w:r w:rsidR="001859C1" w:rsidRPr="00187708">
              <w:rPr>
                <w:rFonts w:ascii="Nunito" w:eastAsia="Times New Roman" w:hAnsi="Nunito" w:cs="Arial"/>
                <w:color w:val="FFFFFF" w:themeColor="background1"/>
                <w:sz w:val="16"/>
                <w:szCs w:val="16"/>
                <w:lang w:val="ro-RO"/>
              </w:rPr>
              <w:t xml:space="preserve">Crt </w:t>
            </w:r>
            <w:r w:rsidRPr="00187708">
              <w:rPr>
                <w:rFonts w:ascii="Nunito" w:eastAsia="Times New Roman" w:hAnsi="Nunito" w:cs="Arial"/>
                <w:color w:val="FFFFFF" w:themeColor="background1"/>
                <w:sz w:val="16"/>
                <w:szCs w:val="16"/>
                <w:lang w:val="ro-RO"/>
              </w:rPr>
              <w:t>PNGD</w:t>
            </w:r>
          </w:p>
        </w:tc>
        <w:tc>
          <w:tcPr>
            <w:tcW w:w="8015" w:type="dxa"/>
            <w:tcBorders>
              <w:bottom w:val="nil"/>
            </w:tcBorders>
            <w:shd w:val="clear" w:color="auto" w:fill="00B0F0"/>
            <w:hideMark/>
          </w:tcPr>
          <w:p w14:paraId="05CA6413" w14:textId="77777777" w:rsidR="00407D48" w:rsidRPr="00187708" w:rsidRDefault="00407D48" w:rsidP="00407D48">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Denumire obiectiv / acțiune</w:t>
            </w:r>
          </w:p>
        </w:tc>
        <w:tc>
          <w:tcPr>
            <w:tcW w:w="1503" w:type="dxa"/>
            <w:tcBorders>
              <w:bottom w:val="nil"/>
            </w:tcBorders>
            <w:shd w:val="clear" w:color="auto" w:fill="00B0F0"/>
            <w:hideMark/>
          </w:tcPr>
          <w:p w14:paraId="406DDB52" w14:textId="77777777" w:rsidR="00407D48" w:rsidRPr="00187708" w:rsidRDefault="00407D48" w:rsidP="00407D48">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Termen</w:t>
            </w:r>
          </w:p>
        </w:tc>
        <w:tc>
          <w:tcPr>
            <w:tcW w:w="4270" w:type="dxa"/>
            <w:tcBorders>
              <w:bottom w:val="nil"/>
            </w:tcBorders>
            <w:shd w:val="clear" w:color="auto" w:fill="00B0F0"/>
            <w:hideMark/>
          </w:tcPr>
          <w:p w14:paraId="5183B3A4" w14:textId="77777777" w:rsidR="00407D48" w:rsidRPr="00187708" w:rsidRDefault="00407D48" w:rsidP="00407D48">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Responsabil principal / alți responsabili</w:t>
            </w:r>
          </w:p>
        </w:tc>
        <w:tc>
          <w:tcPr>
            <w:tcW w:w="3562" w:type="dxa"/>
            <w:tcBorders>
              <w:bottom w:val="nil"/>
            </w:tcBorders>
            <w:shd w:val="clear" w:color="auto" w:fill="00B0F0"/>
            <w:hideMark/>
          </w:tcPr>
          <w:p w14:paraId="448F6A74" w14:textId="77777777" w:rsidR="00407D48" w:rsidRPr="00187708" w:rsidRDefault="00407D48" w:rsidP="00407D48">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Sursa de finanțare</w:t>
            </w:r>
          </w:p>
        </w:tc>
      </w:tr>
      <w:tr w:rsidR="00407D48" w:rsidRPr="00187708" w14:paraId="5B105BDF"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503" w:type="dxa"/>
            <w:tcBorders>
              <w:top w:val="nil"/>
              <w:bottom w:val="single" w:sz="8" w:space="0" w:color="BFBFBF" w:themeColor="background1" w:themeShade="BF"/>
            </w:tcBorders>
            <w:shd w:val="clear" w:color="auto" w:fill="auto"/>
            <w:hideMark/>
          </w:tcPr>
          <w:p w14:paraId="3BA9F06E" w14:textId="77777777" w:rsidR="00407D48" w:rsidRPr="00187708" w:rsidRDefault="00407D48"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VSU-OS-01</w:t>
            </w:r>
          </w:p>
        </w:tc>
        <w:tc>
          <w:tcPr>
            <w:tcW w:w="885" w:type="dxa"/>
            <w:tcBorders>
              <w:top w:val="nil"/>
              <w:bottom w:val="single" w:sz="8" w:space="0" w:color="BFBFBF" w:themeColor="background1" w:themeShade="BF"/>
            </w:tcBorders>
            <w:shd w:val="clear" w:color="auto" w:fill="auto"/>
            <w:hideMark/>
          </w:tcPr>
          <w:p w14:paraId="01796EBA"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3" w:type="dxa"/>
            <w:tcBorders>
              <w:top w:val="nil"/>
              <w:bottom w:val="single" w:sz="8" w:space="0" w:color="BFBFBF" w:themeColor="background1" w:themeShade="BF"/>
            </w:tcBorders>
            <w:shd w:val="clear" w:color="auto" w:fill="auto"/>
            <w:hideMark/>
          </w:tcPr>
          <w:p w14:paraId="2A9982FA"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1</w:t>
            </w:r>
          </w:p>
        </w:tc>
        <w:tc>
          <w:tcPr>
            <w:tcW w:w="8015" w:type="dxa"/>
            <w:tcBorders>
              <w:top w:val="nil"/>
              <w:bottom w:val="single" w:sz="8" w:space="0" w:color="BFBFBF" w:themeColor="background1" w:themeShade="BF"/>
            </w:tcBorders>
            <w:shd w:val="clear" w:color="auto" w:fill="auto"/>
            <w:hideMark/>
          </w:tcPr>
          <w:p w14:paraId="5E428D82"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Asigurarea unui grad ridicat de reutilizare, valorificare și reciclare a VSU</w:t>
            </w:r>
          </w:p>
        </w:tc>
        <w:tc>
          <w:tcPr>
            <w:tcW w:w="1503" w:type="dxa"/>
            <w:tcBorders>
              <w:top w:val="nil"/>
              <w:bottom w:val="single" w:sz="8" w:space="0" w:color="BFBFBF" w:themeColor="background1" w:themeShade="BF"/>
            </w:tcBorders>
            <w:shd w:val="clear" w:color="auto" w:fill="auto"/>
          </w:tcPr>
          <w:p w14:paraId="3A3B8DA7" w14:textId="7ADFE0EC"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4270" w:type="dxa"/>
            <w:tcBorders>
              <w:top w:val="nil"/>
              <w:bottom w:val="single" w:sz="8" w:space="0" w:color="BFBFBF" w:themeColor="background1" w:themeShade="BF"/>
            </w:tcBorders>
            <w:shd w:val="clear" w:color="auto" w:fill="auto"/>
          </w:tcPr>
          <w:p w14:paraId="19B62486" w14:textId="27A187B5"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562" w:type="dxa"/>
            <w:tcBorders>
              <w:top w:val="nil"/>
              <w:bottom w:val="single" w:sz="8" w:space="0" w:color="BFBFBF" w:themeColor="background1" w:themeShade="BF"/>
            </w:tcBorders>
            <w:shd w:val="clear" w:color="auto" w:fill="auto"/>
          </w:tcPr>
          <w:p w14:paraId="7BA3EEE2" w14:textId="4560A4DD"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r>
      <w:tr w:rsidR="00407D48" w:rsidRPr="00187708" w14:paraId="5836430F"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hideMark/>
          </w:tcPr>
          <w:p w14:paraId="1DA158F3"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VSU-A1</w:t>
            </w:r>
          </w:p>
        </w:tc>
        <w:tc>
          <w:tcPr>
            <w:tcW w:w="885" w:type="dxa"/>
            <w:tcBorders>
              <w:top w:val="single" w:sz="8" w:space="0" w:color="BFBFBF" w:themeColor="background1" w:themeShade="BF"/>
              <w:bottom w:val="single" w:sz="8" w:space="0" w:color="BFBFBF" w:themeColor="background1" w:themeShade="BF"/>
            </w:tcBorders>
            <w:hideMark/>
          </w:tcPr>
          <w:p w14:paraId="51DE1B12"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hideMark/>
          </w:tcPr>
          <w:p w14:paraId="50C1759A"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8015" w:type="dxa"/>
            <w:tcBorders>
              <w:top w:val="single" w:sz="8" w:space="0" w:color="BFBFBF" w:themeColor="background1" w:themeShade="BF"/>
              <w:bottom w:val="single" w:sz="8" w:space="0" w:color="BFBFBF" w:themeColor="background1" w:themeShade="BF"/>
            </w:tcBorders>
            <w:hideMark/>
          </w:tcPr>
          <w:p w14:paraId="28C97CA6"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infrastructurii de colectare minime prevăzute în lege (puncte de colectare ale VSU)</w:t>
            </w:r>
          </w:p>
        </w:tc>
        <w:tc>
          <w:tcPr>
            <w:tcW w:w="1503" w:type="dxa"/>
            <w:tcBorders>
              <w:top w:val="single" w:sz="8" w:space="0" w:color="BFBFBF" w:themeColor="background1" w:themeShade="BF"/>
              <w:bottom w:val="single" w:sz="8" w:space="0" w:color="BFBFBF" w:themeColor="background1" w:themeShade="BF"/>
            </w:tcBorders>
            <w:hideMark/>
          </w:tcPr>
          <w:p w14:paraId="54BFAEC4"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70" w:type="dxa"/>
            <w:tcBorders>
              <w:top w:val="single" w:sz="8" w:space="0" w:color="BFBFBF" w:themeColor="background1" w:themeShade="BF"/>
              <w:bottom w:val="single" w:sz="8" w:space="0" w:color="BFBFBF" w:themeColor="background1" w:themeShade="BF"/>
            </w:tcBorders>
            <w:hideMark/>
          </w:tcPr>
          <w:p w14:paraId="58A07376"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vehicule; Distribuitorii</w:t>
            </w:r>
          </w:p>
        </w:tc>
        <w:tc>
          <w:tcPr>
            <w:tcW w:w="3562" w:type="dxa"/>
            <w:tcBorders>
              <w:top w:val="single" w:sz="8" w:space="0" w:color="BFBFBF" w:themeColor="background1" w:themeShade="BF"/>
              <w:bottom w:val="single" w:sz="8" w:space="0" w:color="BFBFBF" w:themeColor="background1" w:themeShade="BF"/>
            </w:tcBorders>
            <w:hideMark/>
          </w:tcPr>
          <w:p w14:paraId="1E7A630A"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vehicule; Distribuitorii</w:t>
            </w:r>
          </w:p>
        </w:tc>
      </w:tr>
      <w:tr w:rsidR="00407D48" w:rsidRPr="00187708" w14:paraId="5CFE893F" w14:textId="77777777" w:rsidTr="007A13C1">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shd w:val="clear" w:color="auto" w:fill="auto"/>
            <w:hideMark/>
          </w:tcPr>
          <w:p w14:paraId="34B77AC7"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VSU-A2</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7DEE0672"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shd w:val="clear" w:color="auto" w:fill="auto"/>
            <w:hideMark/>
          </w:tcPr>
          <w:p w14:paraId="2F7A41AB"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8015" w:type="dxa"/>
            <w:tcBorders>
              <w:top w:val="single" w:sz="8" w:space="0" w:color="BFBFBF" w:themeColor="background1" w:themeShade="BF"/>
              <w:bottom w:val="single" w:sz="8" w:space="0" w:color="BFBFBF" w:themeColor="background1" w:themeShade="BF"/>
            </w:tcBorders>
            <w:shd w:val="clear" w:color="auto" w:fill="auto"/>
            <w:hideMark/>
          </w:tcPr>
          <w:p w14:paraId="00361983"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Verificarea existenței punctelor de colectare minime impuse prin lege (1 punct/județ; 1 punct în fiecare oraș cu peste 100.000 de locuitori; 6 puncte în Municipiul București, câte unul în fiecare sector)</w:t>
            </w:r>
          </w:p>
        </w:tc>
        <w:tc>
          <w:tcPr>
            <w:tcW w:w="1503" w:type="dxa"/>
            <w:tcBorders>
              <w:top w:val="single" w:sz="8" w:space="0" w:color="BFBFBF" w:themeColor="background1" w:themeShade="BF"/>
              <w:bottom w:val="single" w:sz="8" w:space="0" w:color="BFBFBF" w:themeColor="background1" w:themeShade="BF"/>
            </w:tcBorders>
            <w:shd w:val="clear" w:color="auto" w:fill="auto"/>
            <w:hideMark/>
          </w:tcPr>
          <w:p w14:paraId="367D68A5"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70" w:type="dxa"/>
            <w:tcBorders>
              <w:top w:val="single" w:sz="8" w:space="0" w:color="BFBFBF" w:themeColor="background1" w:themeShade="BF"/>
              <w:bottom w:val="single" w:sz="8" w:space="0" w:color="BFBFBF" w:themeColor="background1" w:themeShade="BF"/>
            </w:tcBorders>
            <w:shd w:val="clear" w:color="auto" w:fill="auto"/>
            <w:hideMark/>
          </w:tcPr>
          <w:p w14:paraId="0424424F"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3562" w:type="dxa"/>
            <w:tcBorders>
              <w:top w:val="single" w:sz="8" w:space="0" w:color="BFBFBF" w:themeColor="background1" w:themeShade="BF"/>
              <w:bottom w:val="single" w:sz="8" w:space="0" w:color="BFBFBF" w:themeColor="background1" w:themeShade="BF"/>
            </w:tcBorders>
            <w:shd w:val="clear" w:color="auto" w:fill="auto"/>
            <w:hideMark/>
          </w:tcPr>
          <w:p w14:paraId="7E1093AF"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407D48" w:rsidRPr="00187708" w14:paraId="2FC6514C" w14:textId="77777777" w:rsidTr="007A13C1">
        <w:trPr>
          <w:trHeight w:val="70"/>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hideMark/>
          </w:tcPr>
          <w:p w14:paraId="2BE42CA6"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VSU-A3</w:t>
            </w:r>
          </w:p>
        </w:tc>
        <w:tc>
          <w:tcPr>
            <w:tcW w:w="885" w:type="dxa"/>
            <w:tcBorders>
              <w:top w:val="single" w:sz="8" w:space="0" w:color="BFBFBF" w:themeColor="background1" w:themeShade="BF"/>
              <w:bottom w:val="single" w:sz="8" w:space="0" w:color="BFBFBF" w:themeColor="background1" w:themeShade="BF"/>
            </w:tcBorders>
            <w:hideMark/>
          </w:tcPr>
          <w:p w14:paraId="6B91B252"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hideMark/>
          </w:tcPr>
          <w:p w14:paraId="4F72E1B5"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1.3</w:t>
            </w:r>
          </w:p>
        </w:tc>
        <w:tc>
          <w:tcPr>
            <w:tcW w:w="8015" w:type="dxa"/>
            <w:tcBorders>
              <w:top w:val="single" w:sz="8" w:space="0" w:color="BFBFBF" w:themeColor="background1" w:themeShade="BF"/>
              <w:bottom w:val="single" w:sz="8" w:space="0" w:color="BFBFBF" w:themeColor="background1" w:themeShade="BF"/>
            </w:tcBorders>
            <w:hideMark/>
          </w:tcPr>
          <w:p w14:paraId="0549C894"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aplicării standardelor de codificare pentru componente și materiale, pentru a facilita identificarea celor adecvate pentru reutilizare și valorificare</w:t>
            </w:r>
          </w:p>
        </w:tc>
        <w:tc>
          <w:tcPr>
            <w:tcW w:w="1503" w:type="dxa"/>
            <w:tcBorders>
              <w:top w:val="single" w:sz="8" w:space="0" w:color="BFBFBF" w:themeColor="background1" w:themeShade="BF"/>
              <w:bottom w:val="single" w:sz="8" w:space="0" w:color="BFBFBF" w:themeColor="background1" w:themeShade="BF"/>
            </w:tcBorders>
            <w:hideMark/>
          </w:tcPr>
          <w:p w14:paraId="7AA097D9"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70" w:type="dxa"/>
            <w:tcBorders>
              <w:top w:val="single" w:sz="8" w:space="0" w:color="BFBFBF" w:themeColor="background1" w:themeShade="BF"/>
              <w:bottom w:val="single" w:sz="8" w:space="0" w:color="BFBFBF" w:themeColor="background1" w:themeShade="BF"/>
            </w:tcBorders>
            <w:hideMark/>
          </w:tcPr>
          <w:p w14:paraId="7DEE67F9"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vehicule; Fabricanții de componente/materiale</w:t>
            </w:r>
          </w:p>
        </w:tc>
        <w:tc>
          <w:tcPr>
            <w:tcW w:w="3562" w:type="dxa"/>
            <w:tcBorders>
              <w:top w:val="single" w:sz="8" w:space="0" w:color="BFBFBF" w:themeColor="background1" w:themeShade="BF"/>
              <w:bottom w:val="single" w:sz="8" w:space="0" w:color="BFBFBF" w:themeColor="background1" w:themeShade="BF"/>
            </w:tcBorders>
            <w:hideMark/>
          </w:tcPr>
          <w:p w14:paraId="3E17BD4F"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w:t>
            </w:r>
          </w:p>
        </w:tc>
      </w:tr>
      <w:tr w:rsidR="00407D48" w:rsidRPr="00187708" w14:paraId="3464C674" w14:textId="77777777" w:rsidTr="007A13C1">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shd w:val="clear" w:color="auto" w:fill="auto"/>
            <w:hideMark/>
          </w:tcPr>
          <w:p w14:paraId="6629A307"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VSU-A4</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66603C40"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shd w:val="clear" w:color="auto" w:fill="auto"/>
            <w:hideMark/>
          </w:tcPr>
          <w:p w14:paraId="14F454FE"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1.4</w:t>
            </w:r>
          </w:p>
        </w:tc>
        <w:tc>
          <w:tcPr>
            <w:tcW w:w="8015" w:type="dxa"/>
            <w:tcBorders>
              <w:top w:val="single" w:sz="8" w:space="0" w:color="BFBFBF" w:themeColor="background1" w:themeShade="BF"/>
              <w:bottom w:val="single" w:sz="8" w:space="0" w:color="BFBFBF" w:themeColor="background1" w:themeShade="BF"/>
            </w:tcBorders>
            <w:shd w:val="clear" w:color="auto" w:fill="auto"/>
            <w:hideMark/>
          </w:tcPr>
          <w:p w14:paraId="7C6D63C5"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Verificarea producătorilor și fabricanților de componente auto privind folosirea standardelor de codificare pentru componente și materiale, pentru a facilita identificarea celor adecvate pentru reutilizare și valorificare</w:t>
            </w:r>
          </w:p>
        </w:tc>
        <w:tc>
          <w:tcPr>
            <w:tcW w:w="1503" w:type="dxa"/>
            <w:tcBorders>
              <w:top w:val="single" w:sz="8" w:space="0" w:color="BFBFBF" w:themeColor="background1" w:themeShade="BF"/>
              <w:bottom w:val="single" w:sz="8" w:space="0" w:color="BFBFBF" w:themeColor="background1" w:themeShade="BF"/>
            </w:tcBorders>
            <w:shd w:val="clear" w:color="auto" w:fill="auto"/>
            <w:hideMark/>
          </w:tcPr>
          <w:p w14:paraId="0B99720F"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70" w:type="dxa"/>
            <w:tcBorders>
              <w:top w:val="single" w:sz="8" w:space="0" w:color="BFBFBF" w:themeColor="background1" w:themeShade="BF"/>
              <w:bottom w:val="single" w:sz="8" w:space="0" w:color="BFBFBF" w:themeColor="background1" w:themeShade="BF"/>
            </w:tcBorders>
            <w:shd w:val="clear" w:color="auto" w:fill="auto"/>
            <w:hideMark/>
          </w:tcPr>
          <w:p w14:paraId="18B955BC"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3562" w:type="dxa"/>
            <w:tcBorders>
              <w:top w:val="single" w:sz="8" w:space="0" w:color="BFBFBF" w:themeColor="background1" w:themeShade="BF"/>
              <w:bottom w:val="single" w:sz="8" w:space="0" w:color="BFBFBF" w:themeColor="background1" w:themeShade="BF"/>
            </w:tcBorders>
            <w:shd w:val="clear" w:color="auto" w:fill="auto"/>
            <w:hideMark/>
          </w:tcPr>
          <w:p w14:paraId="191ACE30"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407D48" w:rsidRPr="00187708" w14:paraId="5855FE74" w14:textId="77777777" w:rsidTr="007A13C1">
        <w:trPr>
          <w:trHeight w:val="500"/>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hideMark/>
          </w:tcPr>
          <w:p w14:paraId="191E20C4"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VSU-A5</w:t>
            </w:r>
          </w:p>
        </w:tc>
        <w:tc>
          <w:tcPr>
            <w:tcW w:w="885" w:type="dxa"/>
            <w:tcBorders>
              <w:top w:val="single" w:sz="8" w:space="0" w:color="BFBFBF" w:themeColor="background1" w:themeShade="BF"/>
              <w:bottom w:val="single" w:sz="8" w:space="0" w:color="BFBFBF" w:themeColor="background1" w:themeShade="BF"/>
            </w:tcBorders>
            <w:hideMark/>
          </w:tcPr>
          <w:p w14:paraId="33DBC3C3"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hideMark/>
          </w:tcPr>
          <w:p w14:paraId="10F1F166"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1.5</w:t>
            </w:r>
          </w:p>
        </w:tc>
        <w:tc>
          <w:tcPr>
            <w:tcW w:w="8015" w:type="dxa"/>
            <w:tcBorders>
              <w:top w:val="single" w:sz="8" w:space="0" w:color="BFBFBF" w:themeColor="background1" w:themeShade="BF"/>
              <w:bottom w:val="single" w:sz="8" w:space="0" w:color="BFBFBF" w:themeColor="background1" w:themeShade="BF"/>
            </w:tcBorders>
            <w:hideMark/>
          </w:tcPr>
          <w:p w14:paraId="2CC69C90"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Promovarea și informarea adecvată privind activitățile de dezmembrare, depozitare și testare a componentelor reutilizabile</w:t>
            </w:r>
          </w:p>
        </w:tc>
        <w:tc>
          <w:tcPr>
            <w:tcW w:w="1503" w:type="dxa"/>
            <w:tcBorders>
              <w:top w:val="single" w:sz="8" w:space="0" w:color="BFBFBF" w:themeColor="background1" w:themeShade="BF"/>
              <w:bottom w:val="single" w:sz="8" w:space="0" w:color="BFBFBF" w:themeColor="background1" w:themeShade="BF"/>
            </w:tcBorders>
            <w:hideMark/>
          </w:tcPr>
          <w:p w14:paraId="5A71173A"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70" w:type="dxa"/>
            <w:tcBorders>
              <w:top w:val="single" w:sz="8" w:space="0" w:color="BFBFBF" w:themeColor="background1" w:themeShade="BF"/>
              <w:bottom w:val="single" w:sz="8" w:space="0" w:color="BFBFBF" w:themeColor="background1" w:themeShade="BF"/>
            </w:tcBorders>
            <w:hideMark/>
          </w:tcPr>
          <w:p w14:paraId="3F9500E2"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de vehicule; Operatori economici implicați în VSU</w:t>
            </w:r>
          </w:p>
        </w:tc>
        <w:tc>
          <w:tcPr>
            <w:tcW w:w="3562" w:type="dxa"/>
            <w:tcBorders>
              <w:top w:val="single" w:sz="8" w:space="0" w:color="BFBFBF" w:themeColor="background1" w:themeShade="BF"/>
              <w:bottom w:val="single" w:sz="8" w:space="0" w:color="BFBFBF" w:themeColor="background1" w:themeShade="BF"/>
            </w:tcBorders>
            <w:hideMark/>
          </w:tcPr>
          <w:p w14:paraId="524FBEC2"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w:t>
            </w:r>
          </w:p>
        </w:tc>
      </w:tr>
      <w:tr w:rsidR="00407D48" w:rsidRPr="00187708" w14:paraId="40E52F98" w14:textId="77777777" w:rsidTr="007A13C1">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shd w:val="clear" w:color="auto" w:fill="auto"/>
            <w:hideMark/>
          </w:tcPr>
          <w:p w14:paraId="760F8A25"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VSU-A6</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4D339DC2"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shd w:val="clear" w:color="auto" w:fill="auto"/>
            <w:hideMark/>
          </w:tcPr>
          <w:p w14:paraId="5038001B"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1.6</w:t>
            </w:r>
          </w:p>
        </w:tc>
        <w:tc>
          <w:tcPr>
            <w:tcW w:w="8015" w:type="dxa"/>
            <w:tcBorders>
              <w:top w:val="single" w:sz="8" w:space="0" w:color="BFBFBF" w:themeColor="background1" w:themeShade="BF"/>
              <w:bottom w:val="single" w:sz="8" w:space="0" w:color="BFBFBF" w:themeColor="background1" w:themeShade="BF"/>
            </w:tcBorders>
            <w:shd w:val="clear" w:color="auto" w:fill="auto"/>
            <w:hideMark/>
          </w:tcPr>
          <w:p w14:paraId="0F68E37A"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Verificarea îndeplinirii cerințelor tehnice minime prevăzute în Anexa 2 la Legea 212/2015 sau în autorizațiile de mediu</w:t>
            </w:r>
          </w:p>
        </w:tc>
        <w:tc>
          <w:tcPr>
            <w:tcW w:w="1503" w:type="dxa"/>
            <w:tcBorders>
              <w:top w:val="single" w:sz="8" w:space="0" w:color="BFBFBF" w:themeColor="background1" w:themeShade="BF"/>
              <w:bottom w:val="single" w:sz="8" w:space="0" w:color="BFBFBF" w:themeColor="background1" w:themeShade="BF"/>
            </w:tcBorders>
            <w:shd w:val="clear" w:color="auto" w:fill="auto"/>
            <w:hideMark/>
          </w:tcPr>
          <w:p w14:paraId="45EB86BA"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70" w:type="dxa"/>
            <w:tcBorders>
              <w:top w:val="single" w:sz="8" w:space="0" w:color="BFBFBF" w:themeColor="background1" w:themeShade="BF"/>
              <w:bottom w:val="single" w:sz="8" w:space="0" w:color="BFBFBF" w:themeColor="background1" w:themeShade="BF"/>
            </w:tcBorders>
            <w:shd w:val="clear" w:color="auto" w:fill="auto"/>
            <w:hideMark/>
          </w:tcPr>
          <w:p w14:paraId="779C6B61"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3562" w:type="dxa"/>
            <w:tcBorders>
              <w:top w:val="single" w:sz="8" w:space="0" w:color="BFBFBF" w:themeColor="background1" w:themeShade="BF"/>
              <w:bottom w:val="single" w:sz="8" w:space="0" w:color="BFBFBF" w:themeColor="background1" w:themeShade="BF"/>
            </w:tcBorders>
            <w:shd w:val="clear" w:color="auto" w:fill="auto"/>
            <w:hideMark/>
          </w:tcPr>
          <w:p w14:paraId="46D051F6"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407D48" w:rsidRPr="00187708" w14:paraId="0D48B308" w14:textId="77777777" w:rsidTr="007A13C1">
        <w:trPr>
          <w:trHeight w:val="143"/>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hideMark/>
          </w:tcPr>
          <w:p w14:paraId="335FC345"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VSU-A7</w:t>
            </w:r>
          </w:p>
        </w:tc>
        <w:tc>
          <w:tcPr>
            <w:tcW w:w="885" w:type="dxa"/>
            <w:tcBorders>
              <w:top w:val="single" w:sz="8" w:space="0" w:color="BFBFBF" w:themeColor="background1" w:themeShade="BF"/>
              <w:bottom w:val="single" w:sz="8" w:space="0" w:color="BFBFBF" w:themeColor="background1" w:themeShade="BF"/>
            </w:tcBorders>
            <w:hideMark/>
          </w:tcPr>
          <w:p w14:paraId="7BD2FADD"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hideMark/>
          </w:tcPr>
          <w:p w14:paraId="67EEF774"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1.7</w:t>
            </w:r>
          </w:p>
        </w:tc>
        <w:tc>
          <w:tcPr>
            <w:tcW w:w="8015" w:type="dxa"/>
            <w:tcBorders>
              <w:top w:val="single" w:sz="8" w:space="0" w:color="BFBFBF" w:themeColor="background1" w:themeShade="BF"/>
              <w:bottom w:val="single" w:sz="8" w:space="0" w:color="BFBFBF" w:themeColor="background1" w:themeShade="BF"/>
            </w:tcBorders>
            <w:hideMark/>
          </w:tcPr>
          <w:p w14:paraId="5598110E"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Acordarea de stimulente financiare pentru înființarea de centre de dezmembrări automatizate de înaltă tehnologie pentru recuperare materiale și piese</w:t>
            </w:r>
          </w:p>
        </w:tc>
        <w:tc>
          <w:tcPr>
            <w:tcW w:w="1503" w:type="dxa"/>
            <w:tcBorders>
              <w:top w:val="single" w:sz="8" w:space="0" w:color="BFBFBF" w:themeColor="background1" w:themeShade="BF"/>
              <w:bottom w:val="single" w:sz="8" w:space="0" w:color="BFBFBF" w:themeColor="background1" w:themeShade="BF"/>
            </w:tcBorders>
            <w:hideMark/>
          </w:tcPr>
          <w:p w14:paraId="45D31FDA"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70" w:type="dxa"/>
            <w:tcBorders>
              <w:top w:val="single" w:sz="8" w:space="0" w:color="BFBFBF" w:themeColor="background1" w:themeShade="BF"/>
              <w:bottom w:val="single" w:sz="8" w:space="0" w:color="BFBFBF" w:themeColor="background1" w:themeShade="BF"/>
            </w:tcBorders>
            <w:hideMark/>
          </w:tcPr>
          <w:p w14:paraId="4F79B8E6"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MEDAT; MFP</w:t>
            </w:r>
          </w:p>
        </w:tc>
        <w:tc>
          <w:tcPr>
            <w:tcW w:w="3562" w:type="dxa"/>
            <w:tcBorders>
              <w:top w:val="single" w:sz="8" w:space="0" w:color="BFBFBF" w:themeColor="background1" w:themeShade="BF"/>
              <w:bottom w:val="single" w:sz="8" w:space="0" w:color="BFBFBF" w:themeColor="background1" w:themeShade="BF"/>
            </w:tcBorders>
            <w:hideMark/>
          </w:tcPr>
          <w:p w14:paraId="0BB72D12"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407D48" w:rsidRPr="00187708" w14:paraId="5796F67D" w14:textId="77777777" w:rsidTr="007A13C1">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shd w:val="clear" w:color="auto" w:fill="auto"/>
            <w:hideMark/>
          </w:tcPr>
          <w:p w14:paraId="3908E2D1"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VSU-A8</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24F24C83"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shd w:val="clear" w:color="auto" w:fill="auto"/>
            <w:hideMark/>
          </w:tcPr>
          <w:p w14:paraId="7E6DF63B"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1.8</w:t>
            </w:r>
          </w:p>
        </w:tc>
        <w:tc>
          <w:tcPr>
            <w:tcW w:w="8015" w:type="dxa"/>
            <w:tcBorders>
              <w:top w:val="single" w:sz="8" w:space="0" w:color="BFBFBF" w:themeColor="background1" w:themeShade="BF"/>
              <w:bottom w:val="single" w:sz="8" w:space="0" w:color="BFBFBF" w:themeColor="background1" w:themeShade="BF"/>
            </w:tcBorders>
            <w:shd w:val="clear" w:color="auto" w:fill="auto"/>
            <w:hideMark/>
          </w:tcPr>
          <w:p w14:paraId="5B8C41EC"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sistem digital unitar de raportare și trasabilitate pentru toate fluxurile de deșeuri reglementate (inclusiv VSU), gestionat de ANMAP și interconectat cu platformele existente (raportare/validare pe flux; trasabilitate de la colectare la tratare/reciclare/valorificare/eliminare; corectarea datelor după controale; rapoarte automate privind atingerea țintelor naționale și europene)</w:t>
            </w:r>
          </w:p>
        </w:tc>
        <w:tc>
          <w:tcPr>
            <w:tcW w:w="1503" w:type="dxa"/>
            <w:tcBorders>
              <w:top w:val="single" w:sz="8" w:space="0" w:color="BFBFBF" w:themeColor="background1" w:themeShade="BF"/>
              <w:bottom w:val="single" w:sz="8" w:space="0" w:color="BFBFBF" w:themeColor="background1" w:themeShade="BF"/>
            </w:tcBorders>
            <w:shd w:val="clear" w:color="auto" w:fill="auto"/>
            <w:hideMark/>
          </w:tcPr>
          <w:p w14:paraId="2EC9EAC1"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70" w:type="dxa"/>
            <w:tcBorders>
              <w:top w:val="single" w:sz="8" w:space="0" w:color="BFBFBF" w:themeColor="background1" w:themeShade="BF"/>
              <w:bottom w:val="single" w:sz="8" w:space="0" w:color="BFBFBF" w:themeColor="background1" w:themeShade="BF"/>
            </w:tcBorders>
            <w:shd w:val="clear" w:color="auto" w:fill="auto"/>
            <w:hideMark/>
          </w:tcPr>
          <w:p w14:paraId="133FB6CC"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RAR; AFM; ANMAP</w:t>
            </w:r>
          </w:p>
        </w:tc>
        <w:tc>
          <w:tcPr>
            <w:tcW w:w="3562" w:type="dxa"/>
            <w:tcBorders>
              <w:top w:val="single" w:sz="8" w:space="0" w:color="BFBFBF" w:themeColor="background1" w:themeShade="BF"/>
              <w:bottom w:val="single" w:sz="8" w:space="0" w:color="BFBFBF" w:themeColor="background1" w:themeShade="BF"/>
            </w:tcBorders>
            <w:shd w:val="clear" w:color="auto" w:fill="auto"/>
            <w:hideMark/>
          </w:tcPr>
          <w:p w14:paraId="0E546AEE"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407D48" w:rsidRPr="00187708" w14:paraId="672B22E0" w14:textId="77777777" w:rsidTr="007A13C1">
        <w:trPr>
          <w:trHeight w:val="364"/>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hideMark/>
          </w:tcPr>
          <w:p w14:paraId="557B04EE" w14:textId="77777777" w:rsidR="00407D48" w:rsidRPr="00187708" w:rsidRDefault="00407D48"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VSU-OS-02</w:t>
            </w:r>
          </w:p>
        </w:tc>
        <w:tc>
          <w:tcPr>
            <w:tcW w:w="885" w:type="dxa"/>
            <w:tcBorders>
              <w:top w:val="single" w:sz="8" w:space="0" w:color="BFBFBF" w:themeColor="background1" w:themeShade="BF"/>
              <w:bottom w:val="single" w:sz="8" w:space="0" w:color="BFBFBF" w:themeColor="background1" w:themeShade="BF"/>
            </w:tcBorders>
            <w:hideMark/>
          </w:tcPr>
          <w:p w14:paraId="6B791166"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83" w:type="dxa"/>
            <w:tcBorders>
              <w:top w:val="single" w:sz="8" w:space="0" w:color="BFBFBF" w:themeColor="background1" w:themeShade="BF"/>
              <w:bottom w:val="single" w:sz="8" w:space="0" w:color="BFBFBF" w:themeColor="background1" w:themeShade="BF"/>
            </w:tcBorders>
            <w:hideMark/>
          </w:tcPr>
          <w:p w14:paraId="1E9D6853"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8015" w:type="dxa"/>
            <w:tcBorders>
              <w:top w:val="single" w:sz="8" w:space="0" w:color="BFBFBF" w:themeColor="background1" w:themeShade="BF"/>
              <w:bottom w:val="single" w:sz="8" w:space="0" w:color="BFBFBF" w:themeColor="background1" w:themeShade="BF"/>
            </w:tcBorders>
            <w:hideMark/>
          </w:tcPr>
          <w:p w14:paraId="17B7EBC8"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Completarea/modificarea legislației existente în scopul eficientizării prevederilor pentru atingerea țintelor și asigurarea trasabilității</w:t>
            </w:r>
          </w:p>
        </w:tc>
        <w:tc>
          <w:tcPr>
            <w:tcW w:w="1503" w:type="dxa"/>
            <w:tcBorders>
              <w:top w:val="single" w:sz="8" w:space="0" w:color="BFBFBF" w:themeColor="background1" w:themeShade="BF"/>
              <w:bottom w:val="single" w:sz="8" w:space="0" w:color="BFBFBF" w:themeColor="background1" w:themeShade="BF"/>
            </w:tcBorders>
          </w:tcPr>
          <w:p w14:paraId="05DD10E8" w14:textId="18EC896C"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4270" w:type="dxa"/>
            <w:tcBorders>
              <w:top w:val="single" w:sz="8" w:space="0" w:color="BFBFBF" w:themeColor="background1" w:themeShade="BF"/>
              <w:bottom w:val="single" w:sz="8" w:space="0" w:color="BFBFBF" w:themeColor="background1" w:themeShade="BF"/>
            </w:tcBorders>
          </w:tcPr>
          <w:p w14:paraId="0CDE3F12" w14:textId="1F5B9EEC"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562" w:type="dxa"/>
            <w:tcBorders>
              <w:top w:val="single" w:sz="8" w:space="0" w:color="BFBFBF" w:themeColor="background1" w:themeShade="BF"/>
              <w:bottom w:val="single" w:sz="8" w:space="0" w:color="BFBFBF" w:themeColor="background1" w:themeShade="BF"/>
            </w:tcBorders>
          </w:tcPr>
          <w:p w14:paraId="45263E26" w14:textId="2BC428BD"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r>
      <w:tr w:rsidR="00407D48" w:rsidRPr="00187708" w14:paraId="703DCDAC" w14:textId="77777777" w:rsidTr="007A13C1">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shd w:val="clear" w:color="auto" w:fill="auto"/>
            <w:hideMark/>
          </w:tcPr>
          <w:p w14:paraId="7CE5DADD"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VSU-A9</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190A5B48"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shd w:val="clear" w:color="auto" w:fill="auto"/>
            <w:hideMark/>
          </w:tcPr>
          <w:p w14:paraId="3D5C8A89" w14:textId="77777777" w:rsidR="00407D48" w:rsidRPr="00187708" w:rsidRDefault="00407D48" w:rsidP="00407D48">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8015" w:type="dxa"/>
            <w:tcBorders>
              <w:top w:val="single" w:sz="8" w:space="0" w:color="BFBFBF" w:themeColor="background1" w:themeShade="BF"/>
              <w:bottom w:val="single" w:sz="8" w:space="0" w:color="BFBFBF" w:themeColor="background1" w:themeShade="BF"/>
            </w:tcBorders>
            <w:shd w:val="clear" w:color="auto" w:fill="auto"/>
            <w:hideMark/>
          </w:tcPr>
          <w:p w14:paraId="223B7826"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Crearea unui cadru legislativ pentru dezvoltarea REP</w:t>
            </w:r>
          </w:p>
        </w:tc>
        <w:tc>
          <w:tcPr>
            <w:tcW w:w="1503" w:type="dxa"/>
            <w:tcBorders>
              <w:top w:val="single" w:sz="8" w:space="0" w:color="BFBFBF" w:themeColor="background1" w:themeShade="BF"/>
              <w:bottom w:val="single" w:sz="8" w:space="0" w:color="BFBFBF" w:themeColor="background1" w:themeShade="BF"/>
            </w:tcBorders>
            <w:shd w:val="clear" w:color="auto" w:fill="auto"/>
            <w:hideMark/>
          </w:tcPr>
          <w:p w14:paraId="5E7CFD21"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70" w:type="dxa"/>
            <w:tcBorders>
              <w:top w:val="single" w:sz="8" w:space="0" w:color="BFBFBF" w:themeColor="background1" w:themeShade="BF"/>
              <w:bottom w:val="single" w:sz="8" w:space="0" w:color="BFBFBF" w:themeColor="background1" w:themeShade="BF"/>
            </w:tcBorders>
            <w:shd w:val="clear" w:color="auto" w:fill="auto"/>
            <w:hideMark/>
          </w:tcPr>
          <w:p w14:paraId="7C07C515"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562" w:type="dxa"/>
            <w:tcBorders>
              <w:top w:val="single" w:sz="8" w:space="0" w:color="BFBFBF" w:themeColor="background1" w:themeShade="BF"/>
              <w:bottom w:val="single" w:sz="8" w:space="0" w:color="BFBFBF" w:themeColor="background1" w:themeShade="BF"/>
            </w:tcBorders>
            <w:shd w:val="clear" w:color="auto" w:fill="auto"/>
            <w:hideMark/>
          </w:tcPr>
          <w:p w14:paraId="5120BE9F" w14:textId="77777777" w:rsidR="00407D48" w:rsidRPr="00187708" w:rsidRDefault="00407D48" w:rsidP="00407D4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407D48" w:rsidRPr="00187708" w14:paraId="4FEC892B" w14:textId="77777777" w:rsidTr="007A13C1">
        <w:trPr>
          <w:trHeight w:val="500"/>
        </w:trPr>
        <w:tc>
          <w:tcPr>
            <w:cnfStyle w:val="001000000000" w:firstRow="0" w:lastRow="0" w:firstColumn="1" w:lastColumn="0" w:oddVBand="0" w:evenVBand="0" w:oddHBand="0" w:evenHBand="0" w:firstRowFirstColumn="0" w:firstRowLastColumn="0" w:lastRowFirstColumn="0" w:lastRowLastColumn="0"/>
            <w:tcW w:w="1503" w:type="dxa"/>
            <w:tcBorders>
              <w:top w:val="single" w:sz="8" w:space="0" w:color="BFBFBF" w:themeColor="background1" w:themeShade="BF"/>
              <w:bottom w:val="single" w:sz="8" w:space="0" w:color="BFBFBF" w:themeColor="background1" w:themeShade="BF"/>
            </w:tcBorders>
            <w:hideMark/>
          </w:tcPr>
          <w:p w14:paraId="0E083F9D" w14:textId="77777777" w:rsidR="00407D48" w:rsidRPr="00187708" w:rsidRDefault="00407D48"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VSU-A10</w:t>
            </w:r>
          </w:p>
        </w:tc>
        <w:tc>
          <w:tcPr>
            <w:tcW w:w="885" w:type="dxa"/>
            <w:tcBorders>
              <w:top w:val="single" w:sz="8" w:space="0" w:color="BFBFBF" w:themeColor="background1" w:themeShade="BF"/>
              <w:bottom w:val="single" w:sz="8" w:space="0" w:color="BFBFBF" w:themeColor="background1" w:themeShade="BF"/>
            </w:tcBorders>
            <w:hideMark/>
          </w:tcPr>
          <w:p w14:paraId="6D7D34E3"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83" w:type="dxa"/>
            <w:tcBorders>
              <w:top w:val="single" w:sz="8" w:space="0" w:color="BFBFBF" w:themeColor="background1" w:themeShade="BF"/>
              <w:bottom w:val="single" w:sz="8" w:space="0" w:color="BFBFBF" w:themeColor="background1" w:themeShade="BF"/>
            </w:tcBorders>
            <w:hideMark/>
          </w:tcPr>
          <w:p w14:paraId="7762D3E9" w14:textId="77777777" w:rsidR="00407D48" w:rsidRPr="00187708" w:rsidRDefault="00407D48" w:rsidP="00407D48">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w:t>
            </w:r>
          </w:p>
        </w:tc>
        <w:tc>
          <w:tcPr>
            <w:tcW w:w="8015" w:type="dxa"/>
            <w:tcBorders>
              <w:top w:val="single" w:sz="8" w:space="0" w:color="BFBFBF" w:themeColor="background1" w:themeShade="BF"/>
              <w:bottom w:val="single" w:sz="8" w:space="0" w:color="BFBFBF" w:themeColor="background1" w:themeShade="BF"/>
            </w:tcBorders>
            <w:hideMark/>
          </w:tcPr>
          <w:p w14:paraId="25687DC5"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Revizuirea Legii 421/2002, cu modificările și completările ulterioare, pentru înăsprirea sancțiunilor aplicate în cazul abandonării vehiculelor</w:t>
            </w:r>
          </w:p>
        </w:tc>
        <w:tc>
          <w:tcPr>
            <w:tcW w:w="1503" w:type="dxa"/>
            <w:tcBorders>
              <w:top w:val="single" w:sz="8" w:space="0" w:color="BFBFBF" w:themeColor="background1" w:themeShade="BF"/>
              <w:bottom w:val="single" w:sz="8" w:space="0" w:color="BFBFBF" w:themeColor="background1" w:themeShade="BF"/>
            </w:tcBorders>
            <w:hideMark/>
          </w:tcPr>
          <w:p w14:paraId="34ADA63D"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70" w:type="dxa"/>
            <w:tcBorders>
              <w:top w:val="single" w:sz="8" w:space="0" w:color="BFBFBF" w:themeColor="background1" w:themeShade="BF"/>
              <w:bottom w:val="single" w:sz="8" w:space="0" w:color="BFBFBF" w:themeColor="background1" w:themeShade="BF"/>
            </w:tcBorders>
            <w:hideMark/>
          </w:tcPr>
          <w:p w14:paraId="04CF4A6E"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MDLPA</w:t>
            </w:r>
          </w:p>
        </w:tc>
        <w:tc>
          <w:tcPr>
            <w:tcW w:w="3562" w:type="dxa"/>
            <w:tcBorders>
              <w:top w:val="single" w:sz="8" w:space="0" w:color="BFBFBF" w:themeColor="background1" w:themeShade="BF"/>
              <w:bottom w:val="single" w:sz="8" w:space="0" w:color="BFBFBF" w:themeColor="background1" w:themeShade="BF"/>
            </w:tcBorders>
            <w:hideMark/>
          </w:tcPr>
          <w:p w14:paraId="1F671064" w14:textId="77777777" w:rsidR="00407D48" w:rsidRPr="00187708" w:rsidRDefault="00407D48" w:rsidP="00407D48">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bl>
    <w:p w14:paraId="110964AD" w14:textId="77777777" w:rsidR="006E3213" w:rsidRPr="00187708" w:rsidRDefault="006E3213" w:rsidP="006E3213">
      <w:pPr>
        <w:rPr>
          <w:rFonts w:ascii="Nunito" w:eastAsiaTheme="majorEastAsia" w:hAnsi="Nunito" w:cstheme="majorBidi"/>
          <w:b/>
          <w:bCs/>
          <w:color w:val="00B0F0"/>
          <w:sz w:val="16"/>
          <w:szCs w:val="16"/>
          <w:lang w:val="ro-RO"/>
        </w:rPr>
      </w:pPr>
    </w:p>
    <w:p w14:paraId="3887C072" w14:textId="5209BF5E" w:rsidR="006E3213" w:rsidRPr="00187708" w:rsidRDefault="006E3213" w:rsidP="00191E45">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8</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 uleiurilor uzate</w:t>
      </w:r>
    </w:p>
    <w:tbl>
      <w:tblPr>
        <w:tblStyle w:val="LightShading-Accent1"/>
        <w:tblpPr w:leftFromText="180" w:rightFromText="180" w:vertAnchor="text" w:horzAnchor="margin" w:tblpY="86"/>
        <w:tblW w:w="21154" w:type="dxa"/>
        <w:tblBorders>
          <w:insideH w:val="single" w:sz="8" w:space="0" w:color="BFBFBF" w:themeColor="background1" w:themeShade="BF"/>
        </w:tblBorders>
        <w:tblLook w:val="04A0" w:firstRow="1" w:lastRow="0" w:firstColumn="1" w:lastColumn="0" w:noHBand="0" w:noVBand="1"/>
      </w:tblPr>
      <w:tblGrid>
        <w:gridCol w:w="1477"/>
        <w:gridCol w:w="867"/>
        <w:gridCol w:w="1360"/>
        <w:gridCol w:w="8002"/>
        <w:gridCol w:w="1551"/>
        <w:gridCol w:w="4230"/>
        <w:gridCol w:w="3667"/>
      </w:tblGrid>
      <w:tr w:rsidR="00EE54F5" w:rsidRPr="00187708" w14:paraId="3080D7B6" w14:textId="77777777" w:rsidTr="007A13C1">
        <w:trPr>
          <w:cnfStyle w:val="100000000000" w:firstRow="1" w:lastRow="0" w:firstColumn="0" w:lastColumn="0" w:oddVBand="0" w:evenVBand="0" w:oddHBand="0" w:evenHBand="0" w:firstRowFirstColumn="0" w:firstRowLastColumn="0" w:lastRowFirstColumn="0" w:lastRowLastColumn="0"/>
          <w:trHeight w:val="159"/>
          <w:tblHeader/>
        </w:trPr>
        <w:tc>
          <w:tcPr>
            <w:cnfStyle w:val="001000000000" w:firstRow="0" w:lastRow="0" w:firstColumn="1" w:lastColumn="0" w:oddVBand="0" w:evenVBand="0" w:oddHBand="0" w:evenHBand="0" w:firstRowFirstColumn="0" w:firstRowLastColumn="0" w:lastRowFirstColumn="0" w:lastRowLastColumn="0"/>
            <w:tcW w:w="1477" w:type="dxa"/>
            <w:tcBorders>
              <w:top w:val="none" w:sz="0" w:space="0" w:color="auto"/>
              <w:left w:val="none" w:sz="0" w:space="0" w:color="auto"/>
              <w:bottom w:val="none" w:sz="0" w:space="0" w:color="auto"/>
              <w:right w:val="none" w:sz="0" w:space="0" w:color="auto"/>
            </w:tcBorders>
            <w:shd w:val="clear" w:color="auto" w:fill="00B0F0"/>
            <w:hideMark/>
          </w:tcPr>
          <w:p w14:paraId="2310D6EE" w14:textId="77777777" w:rsidR="00EE54F5" w:rsidRPr="00187708" w:rsidRDefault="00EE54F5" w:rsidP="00EE54F5">
            <w:pPr>
              <w:jc w:val="center"/>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Cod</w:t>
            </w:r>
          </w:p>
        </w:tc>
        <w:tc>
          <w:tcPr>
            <w:tcW w:w="867" w:type="dxa"/>
            <w:tcBorders>
              <w:top w:val="none" w:sz="0" w:space="0" w:color="auto"/>
              <w:left w:val="none" w:sz="0" w:space="0" w:color="auto"/>
              <w:bottom w:val="none" w:sz="0" w:space="0" w:color="auto"/>
              <w:right w:val="none" w:sz="0" w:space="0" w:color="auto"/>
            </w:tcBorders>
            <w:shd w:val="clear" w:color="auto" w:fill="00B0F0"/>
            <w:hideMark/>
          </w:tcPr>
          <w:p w14:paraId="581229DF" w14:textId="77777777" w:rsidR="00EE54F5" w:rsidRPr="00187708" w:rsidRDefault="00EE54F5" w:rsidP="00EE54F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Nivel</w:t>
            </w:r>
          </w:p>
        </w:tc>
        <w:tc>
          <w:tcPr>
            <w:tcW w:w="1360" w:type="dxa"/>
            <w:tcBorders>
              <w:top w:val="none" w:sz="0" w:space="0" w:color="auto"/>
              <w:left w:val="none" w:sz="0" w:space="0" w:color="auto"/>
              <w:bottom w:val="none" w:sz="0" w:space="0" w:color="auto"/>
              <w:right w:val="none" w:sz="0" w:space="0" w:color="auto"/>
            </w:tcBorders>
            <w:shd w:val="clear" w:color="auto" w:fill="00B0F0"/>
            <w:hideMark/>
          </w:tcPr>
          <w:p w14:paraId="4BDD3FCE" w14:textId="475F9E78" w:rsidR="00EE54F5" w:rsidRPr="00187708" w:rsidRDefault="00EE54F5" w:rsidP="00EE54F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Nr.</w:t>
            </w:r>
            <w:r w:rsidR="001859C1" w:rsidRPr="00187708">
              <w:rPr>
                <w:rFonts w:ascii="Nunito" w:eastAsia="Times New Roman" w:hAnsi="Nunito" w:cs="Arial"/>
                <w:color w:val="FFFFFF"/>
                <w:sz w:val="16"/>
                <w:szCs w:val="16"/>
                <w:lang w:val="ro-RO"/>
              </w:rPr>
              <w:t xml:space="preserve"> Crt </w:t>
            </w:r>
            <w:r w:rsidRPr="00187708">
              <w:rPr>
                <w:rFonts w:ascii="Nunito" w:eastAsia="Times New Roman" w:hAnsi="Nunito" w:cs="Arial"/>
                <w:color w:val="FFFFFF"/>
                <w:sz w:val="16"/>
                <w:szCs w:val="16"/>
                <w:lang w:val="ro-RO"/>
              </w:rPr>
              <w:t xml:space="preserve"> PNGD</w:t>
            </w:r>
          </w:p>
        </w:tc>
        <w:tc>
          <w:tcPr>
            <w:tcW w:w="8002" w:type="dxa"/>
            <w:tcBorders>
              <w:top w:val="none" w:sz="0" w:space="0" w:color="auto"/>
              <w:left w:val="none" w:sz="0" w:space="0" w:color="auto"/>
              <w:bottom w:val="none" w:sz="0" w:space="0" w:color="auto"/>
              <w:right w:val="none" w:sz="0" w:space="0" w:color="auto"/>
            </w:tcBorders>
            <w:shd w:val="clear" w:color="auto" w:fill="00B0F0"/>
            <w:hideMark/>
          </w:tcPr>
          <w:p w14:paraId="01E59BFB" w14:textId="77777777" w:rsidR="00EE54F5" w:rsidRPr="00187708" w:rsidRDefault="00EE54F5" w:rsidP="00EE54F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Denumire obiectiv / acțiune</w:t>
            </w:r>
          </w:p>
        </w:tc>
        <w:tc>
          <w:tcPr>
            <w:tcW w:w="1551" w:type="dxa"/>
            <w:tcBorders>
              <w:top w:val="none" w:sz="0" w:space="0" w:color="auto"/>
              <w:left w:val="none" w:sz="0" w:space="0" w:color="auto"/>
              <w:bottom w:val="none" w:sz="0" w:space="0" w:color="auto"/>
              <w:right w:val="none" w:sz="0" w:space="0" w:color="auto"/>
            </w:tcBorders>
            <w:shd w:val="clear" w:color="auto" w:fill="00B0F0"/>
            <w:hideMark/>
          </w:tcPr>
          <w:p w14:paraId="609D8D00" w14:textId="77777777" w:rsidR="00EE54F5" w:rsidRPr="00187708" w:rsidRDefault="00EE54F5" w:rsidP="00EE54F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Termen</w:t>
            </w:r>
          </w:p>
        </w:tc>
        <w:tc>
          <w:tcPr>
            <w:tcW w:w="4230" w:type="dxa"/>
            <w:tcBorders>
              <w:top w:val="none" w:sz="0" w:space="0" w:color="auto"/>
              <w:left w:val="none" w:sz="0" w:space="0" w:color="auto"/>
              <w:bottom w:val="none" w:sz="0" w:space="0" w:color="auto"/>
              <w:right w:val="none" w:sz="0" w:space="0" w:color="auto"/>
            </w:tcBorders>
            <w:shd w:val="clear" w:color="auto" w:fill="00B0F0"/>
            <w:hideMark/>
          </w:tcPr>
          <w:p w14:paraId="17372846" w14:textId="77777777" w:rsidR="00EE54F5" w:rsidRPr="00187708" w:rsidRDefault="00EE54F5" w:rsidP="00EE54F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Responsabil principal / alți responsabili</w:t>
            </w:r>
          </w:p>
        </w:tc>
        <w:tc>
          <w:tcPr>
            <w:tcW w:w="3667" w:type="dxa"/>
            <w:tcBorders>
              <w:top w:val="none" w:sz="0" w:space="0" w:color="auto"/>
              <w:left w:val="none" w:sz="0" w:space="0" w:color="auto"/>
              <w:bottom w:val="none" w:sz="0" w:space="0" w:color="auto"/>
              <w:right w:val="none" w:sz="0" w:space="0" w:color="auto"/>
            </w:tcBorders>
            <w:shd w:val="clear" w:color="auto" w:fill="00B0F0"/>
            <w:hideMark/>
          </w:tcPr>
          <w:p w14:paraId="3A10C5CB" w14:textId="77777777" w:rsidR="00EE54F5" w:rsidRPr="00187708" w:rsidRDefault="00EE54F5" w:rsidP="00EE54F5">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Sursa de finanțare</w:t>
            </w:r>
          </w:p>
        </w:tc>
      </w:tr>
      <w:tr w:rsidR="00EE54F5" w:rsidRPr="00187708" w14:paraId="55B7BFBA" w14:textId="77777777" w:rsidTr="007A13C1">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477" w:type="dxa"/>
            <w:tcBorders>
              <w:left w:val="none" w:sz="0" w:space="0" w:color="auto"/>
              <w:right w:val="none" w:sz="0" w:space="0" w:color="auto"/>
            </w:tcBorders>
            <w:shd w:val="clear" w:color="auto" w:fill="auto"/>
            <w:hideMark/>
          </w:tcPr>
          <w:p w14:paraId="59E02839" w14:textId="77777777" w:rsidR="00EE54F5" w:rsidRPr="00187708" w:rsidRDefault="00EE54F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ULU-OS-01</w:t>
            </w:r>
          </w:p>
        </w:tc>
        <w:tc>
          <w:tcPr>
            <w:tcW w:w="867" w:type="dxa"/>
            <w:tcBorders>
              <w:left w:val="none" w:sz="0" w:space="0" w:color="auto"/>
              <w:right w:val="none" w:sz="0" w:space="0" w:color="auto"/>
            </w:tcBorders>
            <w:shd w:val="clear" w:color="auto" w:fill="auto"/>
            <w:hideMark/>
          </w:tcPr>
          <w:p w14:paraId="0773FB03"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tcBorders>
              <w:left w:val="none" w:sz="0" w:space="0" w:color="auto"/>
              <w:right w:val="none" w:sz="0" w:space="0" w:color="auto"/>
            </w:tcBorders>
            <w:shd w:val="clear" w:color="auto" w:fill="auto"/>
            <w:hideMark/>
          </w:tcPr>
          <w:p w14:paraId="07714F93"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1</w:t>
            </w:r>
          </w:p>
        </w:tc>
        <w:tc>
          <w:tcPr>
            <w:tcW w:w="8002" w:type="dxa"/>
            <w:tcBorders>
              <w:left w:val="none" w:sz="0" w:space="0" w:color="auto"/>
              <w:right w:val="none" w:sz="0" w:space="0" w:color="auto"/>
            </w:tcBorders>
            <w:shd w:val="clear" w:color="auto" w:fill="auto"/>
            <w:hideMark/>
          </w:tcPr>
          <w:p w14:paraId="210677B2"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Gestionarea uleiurilor uzate cu respectarea ierarhiei de gestionare a deșeurilor</w:t>
            </w:r>
          </w:p>
        </w:tc>
        <w:tc>
          <w:tcPr>
            <w:tcW w:w="1551" w:type="dxa"/>
            <w:tcBorders>
              <w:left w:val="none" w:sz="0" w:space="0" w:color="auto"/>
              <w:right w:val="none" w:sz="0" w:space="0" w:color="auto"/>
            </w:tcBorders>
            <w:shd w:val="clear" w:color="auto" w:fill="auto"/>
          </w:tcPr>
          <w:p w14:paraId="102AB179" w14:textId="607E41E3"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4230" w:type="dxa"/>
            <w:tcBorders>
              <w:left w:val="none" w:sz="0" w:space="0" w:color="auto"/>
              <w:right w:val="none" w:sz="0" w:space="0" w:color="auto"/>
            </w:tcBorders>
            <w:shd w:val="clear" w:color="auto" w:fill="auto"/>
          </w:tcPr>
          <w:p w14:paraId="50E71F36" w14:textId="235A766F"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667" w:type="dxa"/>
            <w:tcBorders>
              <w:left w:val="none" w:sz="0" w:space="0" w:color="auto"/>
              <w:right w:val="none" w:sz="0" w:space="0" w:color="auto"/>
            </w:tcBorders>
            <w:shd w:val="clear" w:color="auto" w:fill="auto"/>
          </w:tcPr>
          <w:p w14:paraId="4DA5338E" w14:textId="4F0F53A3"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r>
      <w:tr w:rsidR="00EE54F5" w:rsidRPr="00187708" w14:paraId="3054FBAC" w14:textId="77777777" w:rsidTr="007A13C1">
        <w:trPr>
          <w:trHeight w:val="115"/>
        </w:trPr>
        <w:tc>
          <w:tcPr>
            <w:cnfStyle w:val="001000000000" w:firstRow="0" w:lastRow="0" w:firstColumn="1" w:lastColumn="0" w:oddVBand="0" w:evenVBand="0" w:oddHBand="0" w:evenHBand="0" w:firstRowFirstColumn="0" w:firstRowLastColumn="0" w:lastRowFirstColumn="0" w:lastRowLastColumn="0"/>
            <w:tcW w:w="1477" w:type="dxa"/>
            <w:hideMark/>
          </w:tcPr>
          <w:p w14:paraId="0543270E" w14:textId="77777777" w:rsidR="00EE54F5" w:rsidRPr="00187708" w:rsidRDefault="00EE54F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ULU-A1</w:t>
            </w:r>
          </w:p>
        </w:tc>
        <w:tc>
          <w:tcPr>
            <w:tcW w:w="867" w:type="dxa"/>
            <w:hideMark/>
          </w:tcPr>
          <w:p w14:paraId="7C3DE773"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hideMark/>
          </w:tcPr>
          <w:p w14:paraId="6DE51CC9"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8002" w:type="dxa"/>
            <w:hideMark/>
          </w:tcPr>
          <w:p w14:paraId="098E4E86"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colectării separate a uleiurilor uzate prin realizarea unei rețele de colectare cu cel puțin trei puncte principale de colectare în fiecare județ (ateliere auto, stații de carburanți etc.)</w:t>
            </w:r>
          </w:p>
        </w:tc>
        <w:tc>
          <w:tcPr>
            <w:tcW w:w="1551" w:type="dxa"/>
            <w:hideMark/>
          </w:tcPr>
          <w:p w14:paraId="336715C4"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2028</w:t>
            </w:r>
          </w:p>
        </w:tc>
        <w:tc>
          <w:tcPr>
            <w:tcW w:w="4230" w:type="dxa"/>
            <w:hideMark/>
          </w:tcPr>
          <w:p w14:paraId="14BAC4B1"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și importatorii de uleiuri și lubrifianți</w:t>
            </w:r>
          </w:p>
        </w:tc>
        <w:tc>
          <w:tcPr>
            <w:tcW w:w="3667" w:type="dxa"/>
            <w:hideMark/>
          </w:tcPr>
          <w:p w14:paraId="5C186E86"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w:t>
            </w:r>
          </w:p>
        </w:tc>
      </w:tr>
      <w:tr w:rsidR="00EE54F5" w:rsidRPr="00187708" w14:paraId="69A2D356" w14:textId="77777777" w:rsidTr="007A13C1">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1477" w:type="dxa"/>
            <w:tcBorders>
              <w:left w:val="none" w:sz="0" w:space="0" w:color="auto"/>
              <w:right w:val="none" w:sz="0" w:space="0" w:color="auto"/>
            </w:tcBorders>
            <w:shd w:val="clear" w:color="auto" w:fill="auto"/>
            <w:hideMark/>
          </w:tcPr>
          <w:p w14:paraId="4747CC07" w14:textId="77777777" w:rsidR="00EE54F5" w:rsidRPr="00187708" w:rsidRDefault="00EE54F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ULU-A2</w:t>
            </w:r>
          </w:p>
        </w:tc>
        <w:tc>
          <w:tcPr>
            <w:tcW w:w="867" w:type="dxa"/>
            <w:tcBorders>
              <w:left w:val="none" w:sz="0" w:space="0" w:color="auto"/>
              <w:right w:val="none" w:sz="0" w:space="0" w:color="auto"/>
            </w:tcBorders>
            <w:shd w:val="clear" w:color="auto" w:fill="auto"/>
            <w:hideMark/>
          </w:tcPr>
          <w:p w14:paraId="286AFA84"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left w:val="none" w:sz="0" w:space="0" w:color="auto"/>
              <w:right w:val="none" w:sz="0" w:space="0" w:color="auto"/>
            </w:tcBorders>
            <w:shd w:val="clear" w:color="auto" w:fill="auto"/>
            <w:hideMark/>
          </w:tcPr>
          <w:p w14:paraId="2B1968DB"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8002" w:type="dxa"/>
            <w:tcBorders>
              <w:left w:val="none" w:sz="0" w:space="0" w:color="auto"/>
              <w:right w:val="none" w:sz="0" w:space="0" w:color="auto"/>
            </w:tcBorders>
            <w:shd w:val="clear" w:color="auto" w:fill="auto"/>
            <w:hideMark/>
          </w:tcPr>
          <w:p w14:paraId="08D8574E"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de tehnologii pentru regenerarea uleiurilor uzate</w:t>
            </w:r>
          </w:p>
        </w:tc>
        <w:tc>
          <w:tcPr>
            <w:tcW w:w="1551" w:type="dxa"/>
            <w:tcBorders>
              <w:left w:val="none" w:sz="0" w:space="0" w:color="auto"/>
              <w:right w:val="none" w:sz="0" w:space="0" w:color="auto"/>
            </w:tcBorders>
            <w:shd w:val="clear" w:color="auto" w:fill="auto"/>
            <w:hideMark/>
          </w:tcPr>
          <w:p w14:paraId="6E99F239"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30" w:type="dxa"/>
            <w:tcBorders>
              <w:left w:val="none" w:sz="0" w:space="0" w:color="auto"/>
              <w:right w:val="none" w:sz="0" w:space="0" w:color="auto"/>
            </w:tcBorders>
            <w:shd w:val="clear" w:color="auto" w:fill="auto"/>
            <w:hideMark/>
          </w:tcPr>
          <w:p w14:paraId="22EE58F7"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MEC</w:t>
            </w:r>
          </w:p>
        </w:tc>
        <w:tc>
          <w:tcPr>
            <w:tcW w:w="3667" w:type="dxa"/>
            <w:tcBorders>
              <w:left w:val="none" w:sz="0" w:space="0" w:color="auto"/>
              <w:right w:val="none" w:sz="0" w:space="0" w:color="auto"/>
            </w:tcBorders>
            <w:shd w:val="clear" w:color="auto" w:fill="auto"/>
            <w:hideMark/>
          </w:tcPr>
          <w:p w14:paraId="2CD7B0B5"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EE54F5" w:rsidRPr="00187708" w14:paraId="714B701D" w14:textId="77777777" w:rsidTr="007A13C1">
        <w:trPr>
          <w:trHeight w:val="132"/>
        </w:trPr>
        <w:tc>
          <w:tcPr>
            <w:cnfStyle w:val="001000000000" w:firstRow="0" w:lastRow="0" w:firstColumn="1" w:lastColumn="0" w:oddVBand="0" w:evenVBand="0" w:oddHBand="0" w:evenHBand="0" w:firstRowFirstColumn="0" w:firstRowLastColumn="0" w:lastRowFirstColumn="0" w:lastRowLastColumn="0"/>
            <w:tcW w:w="1477" w:type="dxa"/>
            <w:hideMark/>
          </w:tcPr>
          <w:p w14:paraId="2692844D" w14:textId="77777777" w:rsidR="00EE54F5" w:rsidRPr="00187708" w:rsidRDefault="00EE54F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ULU-A3</w:t>
            </w:r>
          </w:p>
        </w:tc>
        <w:tc>
          <w:tcPr>
            <w:tcW w:w="867" w:type="dxa"/>
            <w:hideMark/>
          </w:tcPr>
          <w:p w14:paraId="5DEA53B0"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hideMark/>
          </w:tcPr>
          <w:p w14:paraId="01997F5A"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1.3</w:t>
            </w:r>
          </w:p>
        </w:tc>
        <w:tc>
          <w:tcPr>
            <w:tcW w:w="8002" w:type="dxa"/>
            <w:hideMark/>
          </w:tcPr>
          <w:p w14:paraId="78B74F32"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Investiții în dezvoltarea de facilități pentru reciclarea uleiurilor uzate prin filtrare sau pentru eliminarea lor în condiții de siguranță</w:t>
            </w:r>
          </w:p>
        </w:tc>
        <w:tc>
          <w:tcPr>
            <w:tcW w:w="1551" w:type="dxa"/>
            <w:hideMark/>
          </w:tcPr>
          <w:p w14:paraId="2B663783"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30" w:type="dxa"/>
            <w:hideMark/>
          </w:tcPr>
          <w:p w14:paraId="0B6C75D5"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Producătorii și importatorii de uleiuri și lubrifianți; Investitori privați</w:t>
            </w:r>
          </w:p>
        </w:tc>
        <w:tc>
          <w:tcPr>
            <w:tcW w:w="3667" w:type="dxa"/>
            <w:hideMark/>
          </w:tcPr>
          <w:p w14:paraId="5AF12CAB"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w:t>
            </w:r>
          </w:p>
        </w:tc>
      </w:tr>
      <w:tr w:rsidR="00EE54F5" w:rsidRPr="00187708" w14:paraId="02A5C2D1" w14:textId="77777777" w:rsidTr="007A13C1">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1477" w:type="dxa"/>
            <w:tcBorders>
              <w:left w:val="none" w:sz="0" w:space="0" w:color="auto"/>
              <w:right w:val="none" w:sz="0" w:space="0" w:color="auto"/>
            </w:tcBorders>
            <w:shd w:val="clear" w:color="auto" w:fill="auto"/>
            <w:hideMark/>
          </w:tcPr>
          <w:p w14:paraId="7618FA20" w14:textId="77777777" w:rsidR="00EE54F5" w:rsidRPr="00187708" w:rsidRDefault="00EE54F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ULU-A4</w:t>
            </w:r>
          </w:p>
        </w:tc>
        <w:tc>
          <w:tcPr>
            <w:tcW w:w="867" w:type="dxa"/>
            <w:tcBorders>
              <w:left w:val="none" w:sz="0" w:space="0" w:color="auto"/>
              <w:right w:val="none" w:sz="0" w:space="0" w:color="auto"/>
            </w:tcBorders>
            <w:shd w:val="clear" w:color="auto" w:fill="auto"/>
            <w:hideMark/>
          </w:tcPr>
          <w:p w14:paraId="3740858D"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left w:val="none" w:sz="0" w:space="0" w:color="auto"/>
              <w:right w:val="none" w:sz="0" w:space="0" w:color="auto"/>
            </w:tcBorders>
            <w:shd w:val="clear" w:color="auto" w:fill="auto"/>
            <w:hideMark/>
          </w:tcPr>
          <w:p w14:paraId="415049AA"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1.4</w:t>
            </w:r>
          </w:p>
        </w:tc>
        <w:tc>
          <w:tcPr>
            <w:tcW w:w="8002" w:type="dxa"/>
            <w:tcBorders>
              <w:left w:val="none" w:sz="0" w:space="0" w:color="auto"/>
              <w:right w:val="none" w:sz="0" w:space="0" w:color="auto"/>
            </w:tcBorders>
            <w:shd w:val="clear" w:color="auto" w:fill="auto"/>
            <w:hideMark/>
          </w:tcPr>
          <w:p w14:paraId="4026D7A0"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Informarea publicului asupra necesității colectării și a beneficiilor valorificării/eliminării adecvate a uleiurilor uzate, precum și asupra sistemului de colectare</w:t>
            </w:r>
          </w:p>
        </w:tc>
        <w:tc>
          <w:tcPr>
            <w:tcW w:w="1551" w:type="dxa"/>
            <w:tcBorders>
              <w:left w:val="none" w:sz="0" w:space="0" w:color="auto"/>
              <w:right w:val="none" w:sz="0" w:space="0" w:color="auto"/>
            </w:tcBorders>
            <w:shd w:val="clear" w:color="auto" w:fill="auto"/>
            <w:hideMark/>
          </w:tcPr>
          <w:p w14:paraId="2D2AD8F0"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30" w:type="dxa"/>
            <w:tcBorders>
              <w:left w:val="none" w:sz="0" w:space="0" w:color="auto"/>
              <w:right w:val="none" w:sz="0" w:space="0" w:color="auto"/>
            </w:tcBorders>
            <w:shd w:val="clear" w:color="auto" w:fill="auto"/>
            <w:hideMark/>
          </w:tcPr>
          <w:p w14:paraId="5FD1316C"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Producătorii și importatorii de uleiuri și lubrifianți</w:t>
            </w:r>
          </w:p>
        </w:tc>
        <w:tc>
          <w:tcPr>
            <w:tcW w:w="3667" w:type="dxa"/>
            <w:tcBorders>
              <w:left w:val="none" w:sz="0" w:space="0" w:color="auto"/>
              <w:right w:val="none" w:sz="0" w:space="0" w:color="auto"/>
            </w:tcBorders>
            <w:shd w:val="clear" w:color="auto" w:fill="auto"/>
            <w:hideMark/>
          </w:tcPr>
          <w:p w14:paraId="7761EBF3"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Fonduri proprii</w:t>
            </w:r>
          </w:p>
        </w:tc>
      </w:tr>
      <w:tr w:rsidR="00EE54F5" w:rsidRPr="00187708" w14:paraId="5ED34519" w14:textId="77777777" w:rsidTr="007A13C1">
        <w:trPr>
          <w:trHeight w:val="159"/>
        </w:trPr>
        <w:tc>
          <w:tcPr>
            <w:cnfStyle w:val="001000000000" w:firstRow="0" w:lastRow="0" w:firstColumn="1" w:lastColumn="0" w:oddVBand="0" w:evenVBand="0" w:oddHBand="0" w:evenHBand="0" w:firstRowFirstColumn="0" w:firstRowLastColumn="0" w:lastRowFirstColumn="0" w:lastRowLastColumn="0"/>
            <w:tcW w:w="1477" w:type="dxa"/>
            <w:hideMark/>
          </w:tcPr>
          <w:p w14:paraId="2C2F7104" w14:textId="77777777" w:rsidR="00EE54F5" w:rsidRPr="00187708" w:rsidRDefault="00EE54F5"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ULU-OS-02</w:t>
            </w:r>
          </w:p>
        </w:tc>
        <w:tc>
          <w:tcPr>
            <w:tcW w:w="867" w:type="dxa"/>
            <w:hideMark/>
          </w:tcPr>
          <w:p w14:paraId="330F7CED"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60" w:type="dxa"/>
            <w:hideMark/>
          </w:tcPr>
          <w:p w14:paraId="74384BBD"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8002" w:type="dxa"/>
            <w:hideMark/>
          </w:tcPr>
          <w:p w14:paraId="2EBE81FB"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Actualizarea cadrului legislativ privind gestionarea uleiurilor uzate</w:t>
            </w:r>
          </w:p>
        </w:tc>
        <w:tc>
          <w:tcPr>
            <w:tcW w:w="1551" w:type="dxa"/>
          </w:tcPr>
          <w:p w14:paraId="5D8D3873" w14:textId="67D25546"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4230" w:type="dxa"/>
          </w:tcPr>
          <w:p w14:paraId="0DBB6B72" w14:textId="66B278D4"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667" w:type="dxa"/>
          </w:tcPr>
          <w:p w14:paraId="6A15BBD2" w14:textId="255BD53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p>
        </w:tc>
      </w:tr>
      <w:tr w:rsidR="00EE54F5" w:rsidRPr="00187708" w14:paraId="7E94E533" w14:textId="77777777" w:rsidTr="007A13C1">
        <w:trPr>
          <w:cnfStyle w:val="000000100000" w:firstRow="0" w:lastRow="0" w:firstColumn="0" w:lastColumn="0" w:oddVBand="0" w:evenVBand="0" w:oddHBand="1" w:evenHBand="0" w:firstRowFirstColumn="0" w:firstRowLastColumn="0" w:lastRowFirstColumn="0" w:lastRowLastColumn="0"/>
          <w:trHeight w:val="2277"/>
        </w:trPr>
        <w:tc>
          <w:tcPr>
            <w:cnfStyle w:val="001000000000" w:firstRow="0" w:lastRow="0" w:firstColumn="1" w:lastColumn="0" w:oddVBand="0" w:evenVBand="0" w:oddHBand="0" w:evenHBand="0" w:firstRowFirstColumn="0" w:firstRowLastColumn="0" w:lastRowFirstColumn="0" w:lastRowLastColumn="0"/>
            <w:tcW w:w="1477" w:type="dxa"/>
            <w:tcBorders>
              <w:left w:val="none" w:sz="0" w:space="0" w:color="auto"/>
              <w:right w:val="none" w:sz="0" w:space="0" w:color="auto"/>
            </w:tcBorders>
            <w:shd w:val="clear" w:color="auto" w:fill="auto"/>
            <w:hideMark/>
          </w:tcPr>
          <w:p w14:paraId="6A0EB9CE" w14:textId="77777777" w:rsidR="00EE54F5" w:rsidRPr="00187708" w:rsidRDefault="00EE54F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ULU-A5</w:t>
            </w:r>
          </w:p>
        </w:tc>
        <w:tc>
          <w:tcPr>
            <w:tcW w:w="867" w:type="dxa"/>
            <w:tcBorders>
              <w:left w:val="none" w:sz="0" w:space="0" w:color="auto"/>
              <w:right w:val="none" w:sz="0" w:space="0" w:color="auto"/>
            </w:tcBorders>
            <w:shd w:val="clear" w:color="auto" w:fill="auto"/>
            <w:hideMark/>
          </w:tcPr>
          <w:p w14:paraId="51FAF8FD"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left w:val="none" w:sz="0" w:space="0" w:color="auto"/>
              <w:right w:val="none" w:sz="0" w:space="0" w:color="auto"/>
            </w:tcBorders>
            <w:shd w:val="clear" w:color="auto" w:fill="auto"/>
            <w:hideMark/>
          </w:tcPr>
          <w:p w14:paraId="242EE3FE"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8002" w:type="dxa"/>
            <w:tcBorders>
              <w:left w:val="none" w:sz="0" w:space="0" w:color="auto"/>
              <w:right w:val="none" w:sz="0" w:space="0" w:color="auto"/>
            </w:tcBorders>
            <w:shd w:val="clear" w:color="auto" w:fill="auto"/>
            <w:hideMark/>
          </w:tcPr>
          <w:p w14:paraId="35ED5832"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unui cadru legal care să cuprindă: organizarea sistemului de colectare (cu definirea responsabililor și eventual REP); gratuitatea și informarea privind punctele/centrele de colectare pentru proprietarii uleiurilor uzate; sancțiuni, penalități și reguli care să dezvolte răspunderea producătorilor; obiective de gestionare a uleiurilor uzate pentru factorii responsabili (individual sau prin terți); criteriile pentru ca o activitate/instalație să fie considerată regenerare (parametri tehnici, calitatea uleiurilor destinate tratării și a celor rezultate etc.)</w:t>
            </w:r>
          </w:p>
        </w:tc>
        <w:tc>
          <w:tcPr>
            <w:tcW w:w="1551" w:type="dxa"/>
            <w:tcBorders>
              <w:left w:val="none" w:sz="0" w:space="0" w:color="auto"/>
              <w:right w:val="none" w:sz="0" w:space="0" w:color="auto"/>
            </w:tcBorders>
            <w:shd w:val="clear" w:color="auto" w:fill="auto"/>
            <w:hideMark/>
          </w:tcPr>
          <w:p w14:paraId="6D5D5698"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30" w:type="dxa"/>
            <w:tcBorders>
              <w:left w:val="none" w:sz="0" w:space="0" w:color="auto"/>
              <w:right w:val="none" w:sz="0" w:space="0" w:color="auto"/>
            </w:tcBorders>
            <w:shd w:val="clear" w:color="auto" w:fill="auto"/>
            <w:hideMark/>
          </w:tcPr>
          <w:p w14:paraId="30CFFCA8"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Producătorii și importatorii de uleiuri și lubrifianți</w:t>
            </w:r>
          </w:p>
        </w:tc>
        <w:tc>
          <w:tcPr>
            <w:tcW w:w="3667" w:type="dxa"/>
            <w:tcBorders>
              <w:left w:val="none" w:sz="0" w:space="0" w:color="auto"/>
              <w:right w:val="none" w:sz="0" w:space="0" w:color="auto"/>
            </w:tcBorders>
            <w:shd w:val="clear" w:color="auto" w:fill="auto"/>
            <w:hideMark/>
          </w:tcPr>
          <w:p w14:paraId="361C8130"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EE54F5" w:rsidRPr="00187708" w14:paraId="1B8FB386" w14:textId="77777777" w:rsidTr="007A13C1">
        <w:trPr>
          <w:trHeight w:val="652"/>
        </w:trPr>
        <w:tc>
          <w:tcPr>
            <w:cnfStyle w:val="001000000000" w:firstRow="0" w:lastRow="0" w:firstColumn="1" w:lastColumn="0" w:oddVBand="0" w:evenVBand="0" w:oddHBand="0" w:evenHBand="0" w:firstRowFirstColumn="0" w:firstRowLastColumn="0" w:lastRowFirstColumn="0" w:lastRowLastColumn="0"/>
            <w:tcW w:w="1477" w:type="dxa"/>
            <w:tcBorders>
              <w:bottom w:val="single" w:sz="8" w:space="0" w:color="BFBFBF" w:themeColor="background1" w:themeShade="BF"/>
            </w:tcBorders>
            <w:hideMark/>
          </w:tcPr>
          <w:p w14:paraId="3129E2C5" w14:textId="77777777" w:rsidR="00EE54F5" w:rsidRPr="00187708" w:rsidRDefault="00EE54F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ULU-A6</w:t>
            </w:r>
          </w:p>
        </w:tc>
        <w:tc>
          <w:tcPr>
            <w:tcW w:w="867" w:type="dxa"/>
            <w:tcBorders>
              <w:bottom w:val="single" w:sz="8" w:space="0" w:color="BFBFBF" w:themeColor="background1" w:themeShade="BF"/>
            </w:tcBorders>
            <w:hideMark/>
          </w:tcPr>
          <w:p w14:paraId="2EED622E"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bottom w:val="single" w:sz="8" w:space="0" w:color="BFBFBF" w:themeColor="background1" w:themeShade="BF"/>
            </w:tcBorders>
            <w:hideMark/>
          </w:tcPr>
          <w:p w14:paraId="63DC448B" w14:textId="77777777" w:rsidR="00EE54F5" w:rsidRPr="00187708" w:rsidRDefault="00EE54F5" w:rsidP="00EE54F5">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w:t>
            </w:r>
          </w:p>
        </w:tc>
        <w:tc>
          <w:tcPr>
            <w:tcW w:w="8002" w:type="dxa"/>
            <w:tcBorders>
              <w:bottom w:val="single" w:sz="8" w:space="0" w:color="BFBFBF" w:themeColor="background1" w:themeShade="BF"/>
            </w:tcBorders>
            <w:hideMark/>
          </w:tcPr>
          <w:p w14:paraId="143E6D6D"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sistem digital unitar de raportare și trasabilitate pentru toate fluxurile de deșeuri reglementate (inclusiv uleiuri uzate), gestionat de ANMAP și interconectat cu platformele existente (raportare/validare pe flux; trasabilitate de la colectare la tratare/reciclare/valorificare/eliminare; corectarea datelor după controale; rapoarte automate privind atingerea țintelor naționale și europene)</w:t>
            </w:r>
          </w:p>
        </w:tc>
        <w:tc>
          <w:tcPr>
            <w:tcW w:w="1551" w:type="dxa"/>
            <w:tcBorders>
              <w:bottom w:val="single" w:sz="8" w:space="0" w:color="BFBFBF" w:themeColor="background1" w:themeShade="BF"/>
            </w:tcBorders>
            <w:hideMark/>
          </w:tcPr>
          <w:p w14:paraId="39F8BBC6"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30" w:type="dxa"/>
            <w:tcBorders>
              <w:bottom w:val="single" w:sz="8" w:space="0" w:color="BFBFBF" w:themeColor="background1" w:themeShade="BF"/>
            </w:tcBorders>
            <w:hideMark/>
          </w:tcPr>
          <w:p w14:paraId="16487838"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ANMAP</w:t>
            </w:r>
          </w:p>
        </w:tc>
        <w:tc>
          <w:tcPr>
            <w:tcW w:w="3667" w:type="dxa"/>
            <w:tcBorders>
              <w:bottom w:val="single" w:sz="8" w:space="0" w:color="BFBFBF" w:themeColor="background1" w:themeShade="BF"/>
            </w:tcBorders>
            <w:hideMark/>
          </w:tcPr>
          <w:p w14:paraId="7538B549" w14:textId="77777777" w:rsidR="00EE54F5" w:rsidRPr="00187708" w:rsidRDefault="00EE54F5" w:rsidP="00EE54F5">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EE54F5" w:rsidRPr="00187708" w14:paraId="4486C98C" w14:textId="77777777" w:rsidTr="007A13C1">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1477" w:type="dxa"/>
            <w:tcBorders>
              <w:top w:val="single" w:sz="8" w:space="0" w:color="BFBFBF" w:themeColor="background1" w:themeShade="BF"/>
              <w:left w:val="none" w:sz="0" w:space="0" w:color="auto"/>
              <w:bottom w:val="single" w:sz="8" w:space="0" w:color="BFBFBF" w:themeColor="background1" w:themeShade="BF"/>
              <w:right w:val="none" w:sz="0" w:space="0" w:color="auto"/>
            </w:tcBorders>
            <w:shd w:val="clear" w:color="auto" w:fill="auto"/>
            <w:hideMark/>
          </w:tcPr>
          <w:p w14:paraId="72E6D4D9" w14:textId="77777777" w:rsidR="00EE54F5" w:rsidRPr="00187708" w:rsidRDefault="00EE54F5"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ULU-A7</w:t>
            </w:r>
          </w:p>
        </w:tc>
        <w:tc>
          <w:tcPr>
            <w:tcW w:w="867" w:type="dxa"/>
            <w:tcBorders>
              <w:top w:val="single" w:sz="8" w:space="0" w:color="BFBFBF" w:themeColor="background1" w:themeShade="BF"/>
              <w:left w:val="none" w:sz="0" w:space="0" w:color="auto"/>
              <w:bottom w:val="single" w:sz="8" w:space="0" w:color="BFBFBF" w:themeColor="background1" w:themeShade="BF"/>
              <w:right w:val="none" w:sz="0" w:space="0" w:color="auto"/>
            </w:tcBorders>
            <w:shd w:val="clear" w:color="auto" w:fill="auto"/>
            <w:hideMark/>
          </w:tcPr>
          <w:p w14:paraId="1C807960"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60" w:type="dxa"/>
            <w:tcBorders>
              <w:top w:val="single" w:sz="8" w:space="0" w:color="BFBFBF" w:themeColor="background1" w:themeShade="BF"/>
              <w:left w:val="none" w:sz="0" w:space="0" w:color="auto"/>
              <w:bottom w:val="single" w:sz="8" w:space="0" w:color="BFBFBF" w:themeColor="background1" w:themeShade="BF"/>
              <w:right w:val="none" w:sz="0" w:space="0" w:color="auto"/>
            </w:tcBorders>
            <w:shd w:val="clear" w:color="auto" w:fill="auto"/>
            <w:hideMark/>
          </w:tcPr>
          <w:p w14:paraId="07BD2B20" w14:textId="77777777" w:rsidR="00EE54F5" w:rsidRPr="00187708" w:rsidRDefault="00EE54F5" w:rsidP="00EE54F5">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w:t>
            </w:r>
          </w:p>
        </w:tc>
        <w:tc>
          <w:tcPr>
            <w:tcW w:w="8002" w:type="dxa"/>
            <w:tcBorders>
              <w:top w:val="single" w:sz="8" w:space="0" w:color="BFBFBF" w:themeColor="background1" w:themeShade="BF"/>
              <w:left w:val="none" w:sz="0" w:space="0" w:color="auto"/>
              <w:bottom w:val="single" w:sz="8" w:space="0" w:color="BFBFBF" w:themeColor="background1" w:themeShade="BF"/>
              <w:right w:val="none" w:sz="0" w:space="0" w:color="auto"/>
            </w:tcBorders>
            <w:shd w:val="clear" w:color="auto" w:fill="auto"/>
            <w:hideMark/>
          </w:tcPr>
          <w:p w14:paraId="7F2C1688"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unor acte normative privind stabilirea criteriilor naționale de încetare a statutului de deșeu (inclusiv pentru uleiuri uzate)</w:t>
            </w:r>
          </w:p>
        </w:tc>
        <w:tc>
          <w:tcPr>
            <w:tcW w:w="1551" w:type="dxa"/>
            <w:tcBorders>
              <w:top w:val="single" w:sz="8" w:space="0" w:color="BFBFBF" w:themeColor="background1" w:themeShade="BF"/>
              <w:left w:val="none" w:sz="0" w:space="0" w:color="auto"/>
              <w:bottom w:val="single" w:sz="8" w:space="0" w:color="BFBFBF" w:themeColor="background1" w:themeShade="BF"/>
              <w:right w:val="none" w:sz="0" w:space="0" w:color="auto"/>
            </w:tcBorders>
            <w:shd w:val="clear" w:color="auto" w:fill="auto"/>
            <w:hideMark/>
          </w:tcPr>
          <w:p w14:paraId="59694A2E"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30" w:type="dxa"/>
            <w:tcBorders>
              <w:top w:val="single" w:sz="8" w:space="0" w:color="BFBFBF" w:themeColor="background1" w:themeShade="BF"/>
              <w:left w:val="none" w:sz="0" w:space="0" w:color="auto"/>
              <w:bottom w:val="single" w:sz="8" w:space="0" w:color="BFBFBF" w:themeColor="background1" w:themeShade="BF"/>
              <w:right w:val="none" w:sz="0" w:space="0" w:color="auto"/>
            </w:tcBorders>
            <w:shd w:val="clear" w:color="auto" w:fill="auto"/>
            <w:hideMark/>
          </w:tcPr>
          <w:p w14:paraId="374F9A68"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MDLPA</w:t>
            </w:r>
          </w:p>
        </w:tc>
        <w:tc>
          <w:tcPr>
            <w:tcW w:w="3667" w:type="dxa"/>
            <w:tcBorders>
              <w:top w:val="single" w:sz="8" w:space="0" w:color="BFBFBF" w:themeColor="background1" w:themeShade="BF"/>
              <w:left w:val="none" w:sz="0" w:space="0" w:color="auto"/>
              <w:bottom w:val="single" w:sz="8" w:space="0" w:color="BFBFBF" w:themeColor="background1" w:themeShade="BF"/>
              <w:right w:val="none" w:sz="0" w:space="0" w:color="auto"/>
            </w:tcBorders>
            <w:shd w:val="clear" w:color="auto" w:fill="auto"/>
            <w:hideMark/>
          </w:tcPr>
          <w:p w14:paraId="03E35D81" w14:textId="77777777" w:rsidR="00EE54F5" w:rsidRPr="00187708" w:rsidRDefault="00EE54F5" w:rsidP="00EE54F5">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54AB3984" w14:textId="77777777" w:rsidR="00D815B1" w:rsidRPr="00187708" w:rsidRDefault="00D815B1" w:rsidP="00D815B1">
      <w:pPr>
        <w:rPr>
          <w:rFonts w:ascii="Nunito" w:eastAsiaTheme="majorEastAsia" w:hAnsi="Nunito" w:cstheme="majorBidi"/>
          <w:sz w:val="16"/>
          <w:szCs w:val="16"/>
          <w:lang w:val="ro-RO"/>
        </w:rPr>
      </w:pPr>
    </w:p>
    <w:p w14:paraId="1ECD5BB1" w14:textId="2BA2E3C3" w:rsidR="00D815B1" w:rsidRPr="00187708" w:rsidRDefault="00673834" w:rsidP="00D815B1">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9</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 </w:t>
      </w:r>
      <w:r w:rsidR="00422632" w:rsidRPr="00187708">
        <w:rPr>
          <w:rFonts w:ascii="Nunito" w:hAnsi="Nunito"/>
          <w:b/>
          <w:bCs/>
          <w:color w:val="009DF0" w:themeColor="text2"/>
          <w:sz w:val="16"/>
          <w:szCs w:val="16"/>
          <w:lang w:val="ro-RO"/>
        </w:rPr>
        <w:t xml:space="preserve">avelope </w:t>
      </w:r>
      <w:r w:rsidRPr="00187708">
        <w:rPr>
          <w:rFonts w:ascii="Nunito" w:hAnsi="Nunito"/>
          <w:b/>
          <w:bCs/>
          <w:color w:val="009DF0" w:themeColor="text2"/>
          <w:sz w:val="16"/>
          <w:szCs w:val="16"/>
          <w:lang w:val="ro-RO"/>
        </w:rPr>
        <w:t>uzate</w:t>
      </w:r>
    </w:p>
    <w:tbl>
      <w:tblPr>
        <w:tblStyle w:val="ListTable1Light-Accent1"/>
        <w:tblW w:w="21120" w:type="dxa"/>
        <w:tblLook w:val="04A0" w:firstRow="1" w:lastRow="0" w:firstColumn="1" w:lastColumn="0" w:noHBand="0" w:noVBand="1"/>
      </w:tblPr>
      <w:tblGrid>
        <w:gridCol w:w="1507"/>
        <w:gridCol w:w="885"/>
        <w:gridCol w:w="1387"/>
        <w:gridCol w:w="8037"/>
        <w:gridCol w:w="1507"/>
        <w:gridCol w:w="4281"/>
        <w:gridCol w:w="3516"/>
      </w:tblGrid>
      <w:tr w:rsidR="008D430F" w:rsidRPr="00187708" w14:paraId="7330468D" w14:textId="77777777" w:rsidTr="0003273D">
        <w:trPr>
          <w:cnfStyle w:val="100000000000" w:firstRow="1" w:lastRow="0" w:firstColumn="0" w:lastColumn="0" w:oddVBand="0" w:evenVBand="0" w:oddHBand="0"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1507" w:type="dxa"/>
            <w:shd w:val="clear" w:color="auto" w:fill="00B0F0"/>
            <w:hideMark/>
          </w:tcPr>
          <w:p w14:paraId="2B9B90F6" w14:textId="77777777" w:rsidR="008D430F" w:rsidRPr="00187708" w:rsidRDefault="008D430F">
            <w:pPr>
              <w:jc w:val="center"/>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Cod</w:t>
            </w:r>
          </w:p>
        </w:tc>
        <w:tc>
          <w:tcPr>
            <w:tcW w:w="885" w:type="dxa"/>
            <w:shd w:val="clear" w:color="auto" w:fill="00B0F0"/>
            <w:hideMark/>
          </w:tcPr>
          <w:p w14:paraId="0A15045D" w14:textId="77777777" w:rsidR="008D430F" w:rsidRPr="00187708" w:rsidRDefault="008D430F">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Nivel</w:t>
            </w:r>
          </w:p>
        </w:tc>
        <w:tc>
          <w:tcPr>
            <w:tcW w:w="1387" w:type="dxa"/>
            <w:shd w:val="clear" w:color="auto" w:fill="00B0F0"/>
            <w:hideMark/>
          </w:tcPr>
          <w:p w14:paraId="635512D7" w14:textId="1A42B04A" w:rsidR="008D430F" w:rsidRPr="00187708" w:rsidRDefault="008D430F">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Nr</w:t>
            </w:r>
            <w:r w:rsidR="001859C1" w:rsidRPr="00187708">
              <w:rPr>
                <w:rFonts w:ascii="Nunito" w:hAnsi="Nunito" w:cs="Arial"/>
                <w:color w:val="FFFFFF" w:themeColor="background1"/>
                <w:sz w:val="16"/>
                <w:szCs w:val="16"/>
                <w:lang w:val="ro-RO"/>
              </w:rPr>
              <w:t xml:space="preserve"> </w:t>
            </w:r>
            <w:r w:rsidR="004105B8" w:rsidRPr="00187708">
              <w:rPr>
                <w:rFonts w:ascii="Nunito" w:hAnsi="Nunito" w:cs="Arial"/>
                <w:color w:val="FFFFFF" w:themeColor="background1"/>
                <w:sz w:val="16"/>
                <w:szCs w:val="16"/>
                <w:lang w:val="ro-RO"/>
              </w:rPr>
              <w:t>C</w:t>
            </w:r>
            <w:r w:rsidR="001859C1" w:rsidRPr="00187708">
              <w:rPr>
                <w:rFonts w:ascii="Nunito" w:hAnsi="Nunito" w:cs="Arial"/>
                <w:color w:val="FFFFFF" w:themeColor="background1"/>
                <w:sz w:val="16"/>
                <w:szCs w:val="16"/>
                <w:lang w:val="ro-RO"/>
              </w:rPr>
              <w:t xml:space="preserve">rt </w:t>
            </w:r>
            <w:r w:rsidRPr="00187708">
              <w:rPr>
                <w:rFonts w:ascii="Nunito" w:hAnsi="Nunito" w:cs="Arial"/>
                <w:color w:val="FFFFFF" w:themeColor="background1"/>
                <w:sz w:val="16"/>
                <w:szCs w:val="16"/>
                <w:lang w:val="ro-RO"/>
              </w:rPr>
              <w:t xml:space="preserve"> PNGD</w:t>
            </w:r>
          </w:p>
        </w:tc>
        <w:tc>
          <w:tcPr>
            <w:tcW w:w="8037" w:type="dxa"/>
            <w:shd w:val="clear" w:color="auto" w:fill="00B0F0"/>
            <w:hideMark/>
          </w:tcPr>
          <w:p w14:paraId="51C09EA4" w14:textId="77777777" w:rsidR="008D430F" w:rsidRPr="00187708" w:rsidRDefault="008D430F">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Denumire obiectiv / acțiune</w:t>
            </w:r>
          </w:p>
        </w:tc>
        <w:tc>
          <w:tcPr>
            <w:tcW w:w="1507" w:type="dxa"/>
            <w:shd w:val="clear" w:color="auto" w:fill="00B0F0"/>
            <w:hideMark/>
          </w:tcPr>
          <w:p w14:paraId="6592DFEE" w14:textId="77777777" w:rsidR="008D430F" w:rsidRPr="00187708" w:rsidRDefault="008D430F">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Termen</w:t>
            </w:r>
          </w:p>
        </w:tc>
        <w:tc>
          <w:tcPr>
            <w:tcW w:w="4281" w:type="dxa"/>
            <w:shd w:val="clear" w:color="auto" w:fill="00B0F0"/>
            <w:hideMark/>
          </w:tcPr>
          <w:p w14:paraId="4EA58BF2" w14:textId="77777777" w:rsidR="008D430F" w:rsidRPr="00187708" w:rsidRDefault="008D430F">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Responsabil principal / alți responsabili</w:t>
            </w:r>
          </w:p>
        </w:tc>
        <w:tc>
          <w:tcPr>
            <w:tcW w:w="3516" w:type="dxa"/>
            <w:shd w:val="clear" w:color="auto" w:fill="00B0F0"/>
            <w:hideMark/>
          </w:tcPr>
          <w:p w14:paraId="3FF69EA0" w14:textId="77777777" w:rsidR="008D430F" w:rsidRPr="00187708" w:rsidRDefault="008D430F">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Sursa de finanțare</w:t>
            </w:r>
          </w:p>
        </w:tc>
      </w:tr>
      <w:tr w:rsidR="008D430F" w:rsidRPr="00187708" w14:paraId="1346EF1C" w14:textId="77777777" w:rsidTr="0003273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507" w:type="dxa"/>
            <w:tcBorders>
              <w:top w:val="single" w:sz="4" w:space="0" w:color="1C78F4" w:themeColor="accent1" w:themeTint="99"/>
              <w:bottom w:val="single" w:sz="8" w:space="0" w:color="BFBFBF" w:themeColor="background1" w:themeShade="BF"/>
            </w:tcBorders>
            <w:shd w:val="clear" w:color="auto" w:fill="auto"/>
            <w:hideMark/>
          </w:tcPr>
          <w:p w14:paraId="1E0F74AE" w14:textId="77777777" w:rsidR="008D430F" w:rsidRPr="00187708" w:rsidRDefault="008D430F" w:rsidP="00B80B00">
            <w:pPr>
              <w:rPr>
                <w:rFonts w:ascii="Nunito" w:hAnsi="Nunito" w:cs="Arial"/>
                <w:sz w:val="16"/>
                <w:szCs w:val="16"/>
                <w:lang w:val="ro-RO"/>
              </w:rPr>
            </w:pPr>
            <w:r w:rsidRPr="00187708">
              <w:rPr>
                <w:rFonts w:ascii="Nunito" w:hAnsi="Nunito" w:cs="Arial"/>
                <w:sz w:val="16"/>
                <w:szCs w:val="16"/>
                <w:lang w:val="ro-RO"/>
              </w:rPr>
              <w:t>ANV-OS-01</w:t>
            </w:r>
          </w:p>
        </w:tc>
        <w:tc>
          <w:tcPr>
            <w:tcW w:w="885" w:type="dxa"/>
            <w:tcBorders>
              <w:top w:val="single" w:sz="4" w:space="0" w:color="1C78F4" w:themeColor="accent1" w:themeTint="99"/>
              <w:bottom w:val="single" w:sz="8" w:space="0" w:color="BFBFBF" w:themeColor="background1" w:themeShade="BF"/>
            </w:tcBorders>
            <w:shd w:val="clear" w:color="auto" w:fill="auto"/>
            <w:hideMark/>
          </w:tcPr>
          <w:p w14:paraId="51FBE897"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OS</w:t>
            </w:r>
          </w:p>
        </w:tc>
        <w:tc>
          <w:tcPr>
            <w:tcW w:w="1387" w:type="dxa"/>
            <w:tcBorders>
              <w:top w:val="single" w:sz="4" w:space="0" w:color="1C78F4" w:themeColor="accent1" w:themeTint="99"/>
              <w:bottom w:val="single" w:sz="8" w:space="0" w:color="BFBFBF" w:themeColor="background1" w:themeShade="BF"/>
            </w:tcBorders>
            <w:shd w:val="clear" w:color="auto" w:fill="auto"/>
            <w:hideMark/>
          </w:tcPr>
          <w:p w14:paraId="4816B73B"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Obiectiv 1</w:t>
            </w:r>
          </w:p>
        </w:tc>
        <w:tc>
          <w:tcPr>
            <w:tcW w:w="8037" w:type="dxa"/>
            <w:tcBorders>
              <w:top w:val="single" w:sz="4" w:space="0" w:color="1C78F4" w:themeColor="accent1" w:themeTint="99"/>
              <w:bottom w:val="single" w:sz="8" w:space="0" w:color="BFBFBF" w:themeColor="background1" w:themeShade="BF"/>
            </w:tcBorders>
            <w:shd w:val="clear" w:color="auto" w:fill="auto"/>
            <w:hideMark/>
          </w:tcPr>
          <w:p w14:paraId="2A802C20"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Asigurarea gradului de colectare a anvelopelor uzate</w:t>
            </w:r>
          </w:p>
        </w:tc>
        <w:tc>
          <w:tcPr>
            <w:tcW w:w="1507" w:type="dxa"/>
            <w:tcBorders>
              <w:top w:val="single" w:sz="4" w:space="0" w:color="1C78F4" w:themeColor="accent1" w:themeTint="99"/>
              <w:bottom w:val="single" w:sz="8" w:space="0" w:color="BFBFBF" w:themeColor="background1" w:themeShade="BF"/>
            </w:tcBorders>
            <w:shd w:val="clear" w:color="auto" w:fill="auto"/>
          </w:tcPr>
          <w:p w14:paraId="12298B5D" w14:textId="32EE6E42"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p>
        </w:tc>
        <w:tc>
          <w:tcPr>
            <w:tcW w:w="4281" w:type="dxa"/>
            <w:tcBorders>
              <w:top w:val="single" w:sz="4" w:space="0" w:color="1C78F4" w:themeColor="accent1" w:themeTint="99"/>
              <w:bottom w:val="single" w:sz="8" w:space="0" w:color="BFBFBF" w:themeColor="background1" w:themeShade="BF"/>
            </w:tcBorders>
            <w:shd w:val="clear" w:color="auto" w:fill="auto"/>
          </w:tcPr>
          <w:p w14:paraId="5ED42A0D" w14:textId="5F9359F1"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p>
        </w:tc>
        <w:tc>
          <w:tcPr>
            <w:tcW w:w="3516" w:type="dxa"/>
            <w:tcBorders>
              <w:top w:val="single" w:sz="4" w:space="0" w:color="1C78F4" w:themeColor="accent1" w:themeTint="99"/>
              <w:bottom w:val="single" w:sz="8" w:space="0" w:color="BFBFBF" w:themeColor="background1" w:themeShade="BF"/>
            </w:tcBorders>
            <w:shd w:val="clear" w:color="auto" w:fill="auto"/>
          </w:tcPr>
          <w:p w14:paraId="0C5E2891" w14:textId="7EBE24B6"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p>
        </w:tc>
      </w:tr>
      <w:tr w:rsidR="008D430F" w:rsidRPr="00187708" w14:paraId="47D1F9E7" w14:textId="77777777" w:rsidTr="0003273D">
        <w:trPr>
          <w:trHeight w:val="117"/>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hideMark/>
          </w:tcPr>
          <w:p w14:paraId="234FD400" w14:textId="77777777" w:rsidR="008D430F" w:rsidRPr="00187708" w:rsidRDefault="008D430F" w:rsidP="00B80B00">
            <w:pPr>
              <w:rPr>
                <w:rFonts w:ascii="Nunito" w:hAnsi="Nunito" w:cs="Arial"/>
                <w:b w:val="0"/>
                <w:bCs w:val="0"/>
                <w:color w:val="000000"/>
                <w:sz w:val="16"/>
                <w:szCs w:val="16"/>
                <w:lang w:val="ro-RO"/>
              </w:rPr>
            </w:pPr>
            <w:r w:rsidRPr="00187708">
              <w:rPr>
                <w:rFonts w:ascii="Nunito" w:hAnsi="Nunito" w:cs="Arial"/>
                <w:color w:val="000000"/>
                <w:sz w:val="16"/>
                <w:szCs w:val="16"/>
                <w:lang w:val="ro-RO"/>
              </w:rPr>
              <w:t>ANV-A1</w:t>
            </w:r>
          </w:p>
        </w:tc>
        <w:tc>
          <w:tcPr>
            <w:tcW w:w="885" w:type="dxa"/>
            <w:tcBorders>
              <w:top w:val="single" w:sz="8" w:space="0" w:color="BFBFBF" w:themeColor="background1" w:themeShade="BF"/>
              <w:bottom w:val="single" w:sz="8" w:space="0" w:color="BFBFBF" w:themeColor="background1" w:themeShade="BF"/>
            </w:tcBorders>
            <w:hideMark/>
          </w:tcPr>
          <w:p w14:paraId="4884BAC6"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87" w:type="dxa"/>
            <w:tcBorders>
              <w:top w:val="single" w:sz="8" w:space="0" w:color="BFBFBF" w:themeColor="background1" w:themeShade="BF"/>
              <w:bottom w:val="single" w:sz="8" w:space="0" w:color="BFBFBF" w:themeColor="background1" w:themeShade="BF"/>
            </w:tcBorders>
            <w:hideMark/>
          </w:tcPr>
          <w:p w14:paraId="26FE0F4E"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1.1</w:t>
            </w:r>
          </w:p>
        </w:tc>
        <w:tc>
          <w:tcPr>
            <w:tcW w:w="8037" w:type="dxa"/>
            <w:tcBorders>
              <w:top w:val="single" w:sz="8" w:space="0" w:color="BFBFBF" w:themeColor="background1" w:themeShade="BF"/>
              <w:bottom w:val="single" w:sz="8" w:space="0" w:color="BFBFBF" w:themeColor="background1" w:themeShade="BF"/>
            </w:tcBorders>
            <w:hideMark/>
          </w:tcPr>
          <w:p w14:paraId="7B9DE0D9"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Stabilirea și operarea unor puncte de colectare accesibile pe întreg teritoriul național, pentru a asigura colectarea integrală a anvelopelor uzate introduse pe piață</w:t>
            </w:r>
          </w:p>
        </w:tc>
        <w:tc>
          <w:tcPr>
            <w:tcW w:w="1507" w:type="dxa"/>
            <w:tcBorders>
              <w:top w:val="single" w:sz="8" w:space="0" w:color="BFBFBF" w:themeColor="background1" w:themeShade="BF"/>
              <w:bottom w:val="single" w:sz="8" w:space="0" w:color="BFBFBF" w:themeColor="background1" w:themeShade="BF"/>
            </w:tcBorders>
            <w:hideMark/>
          </w:tcPr>
          <w:p w14:paraId="72C7E9E7"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81" w:type="dxa"/>
            <w:tcBorders>
              <w:top w:val="single" w:sz="8" w:space="0" w:color="BFBFBF" w:themeColor="background1" w:themeShade="BF"/>
              <w:bottom w:val="single" w:sz="8" w:space="0" w:color="BFBFBF" w:themeColor="background1" w:themeShade="BF"/>
            </w:tcBorders>
            <w:hideMark/>
          </w:tcPr>
          <w:p w14:paraId="7A653388"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Producătorii de anvelope</w:t>
            </w:r>
          </w:p>
        </w:tc>
        <w:tc>
          <w:tcPr>
            <w:tcW w:w="3516" w:type="dxa"/>
            <w:tcBorders>
              <w:top w:val="single" w:sz="8" w:space="0" w:color="BFBFBF" w:themeColor="background1" w:themeShade="BF"/>
              <w:bottom w:val="single" w:sz="8" w:space="0" w:color="BFBFBF" w:themeColor="background1" w:themeShade="BF"/>
            </w:tcBorders>
            <w:hideMark/>
          </w:tcPr>
          <w:p w14:paraId="1776E8E9"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Fonduri proprii</w:t>
            </w:r>
          </w:p>
        </w:tc>
      </w:tr>
      <w:tr w:rsidR="008D430F" w:rsidRPr="00187708" w14:paraId="14CD806C" w14:textId="77777777" w:rsidTr="0003273D">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shd w:val="clear" w:color="auto" w:fill="auto"/>
            <w:hideMark/>
          </w:tcPr>
          <w:p w14:paraId="5D6CE2CA" w14:textId="77777777" w:rsidR="008D430F" w:rsidRPr="00187708" w:rsidRDefault="008D430F" w:rsidP="00B80B00">
            <w:pPr>
              <w:rPr>
                <w:rFonts w:ascii="Nunito" w:hAnsi="Nunito" w:cs="Arial"/>
                <w:color w:val="000000"/>
                <w:sz w:val="16"/>
                <w:szCs w:val="16"/>
                <w:lang w:val="ro-RO"/>
              </w:rPr>
            </w:pPr>
            <w:r w:rsidRPr="00187708">
              <w:rPr>
                <w:rFonts w:ascii="Nunito" w:hAnsi="Nunito" w:cs="Arial"/>
                <w:color w:val="000000"/>
                <w:sz w:val="16"/>
                <w:szCs w:val="16"/>
                <w:lang w:val="ro-RO"/>
              </w:rPr>
              <w:t>ANV-A2</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3545515A"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87" w:type="dxa"/>
            <w:tcBorders>
              <w:top w:val="single" w:sz="8" w:space="0" w:color="BFBFBF" w:themeColor="background1" w:themeShade="BF"/>
              <w:bottom w:val="single" w:sz="8" w:space="0" w:color="BFBFBF" w:themeColor="background1" w:themeShade="BF"/>
            </w:tcBorders>
            <w:shd w:val="clear" w:color="auto" w:fill="auto"/>
            <w:hideMark/>
          </w:tcPr>
          <w:p w14:paraId="3F4EA7BC"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1.2</w:t>
            </w:r>
          </w:p>
        </w:tc>
        <w:tc>
          <w:tcPr>
            <w:tcW w:w="8037" w:type="dxa"/>
            <w:tcBorders>
              <w:top w:val="single" w:sz="8" w:space="0" w:color="BFBFBF" w:themeColor="background1" w:themeShade="BF"/>
              <w:bottom w:val="single" w:sz="8" w:space="0" w:color="BFBFBF" w:themeColor="background1" w:themeShade="BF"/>
            </w:tcBorders>
            <w:shd w:val="clear" w:color="auto" w:fill="auto"/>
            <w:hideMark/>
          </w:tcPr>
          <w:p w14:paraId="088A5351" w14:textId="77777777" w:rsidR="004B3802"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 xml:space="preserve">Dezvoltarea unui sistem digital unitar de raportare și trasabilitate pentru anvelopele uzate, gestionat de ANMAP și interconectat cu platformele existente </w:t>
            </w:r>
            <w:r w:rsidR="004B3802" w:rsidRPr="00187708">
              <w:rPr>
                <w:rFonts w:ascii="Nunito" w:hAnsi="Nunito" w:cs="Arial"/>
                <w:color w:val="000000"/>
                <w:sz w:val="16"/>
                <w:szCs w:val="16"/>
                <w:lang w:val="ro-RO"/>
              </w:rPr>
              <w:t>care să permită;</w:t>
            </w:r>
          </w:p>
          <w:p w14:paraId="07DCEF13" w14:textId="77777777" w:rsidR="004B3802" w:rsidRPr="00187708" w:rsidRDefault="004B3802" w:rsidP="004B3802">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 raportarea și validarea datelor pe fiecare flux de deșeuri;</w:t>
            </w:r>
          </w:p>
          <w:p w14:paraId="41CC5809" w14:textId="77777777" w:rsidR="004B3802" w:rsidRPr="00187708" w:rsidRDefault="004B3802" w:rsidP="004B3802">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 urmărirea trasabilității deșeurilor de la colectare până la tratare/reciclare/valorificare/eliminare;</w:t>
            </w:r>
          </w:p>
          <w:p w14:paraId="575A2A95" w14:textId="77777777" w:rsidR="004B3802" w:rsidRPr="00187708" w:rsidRDefault="004B3802" w:rsidP="004B3802">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 corectarea și ajustarea datelor în urma controalelor specifice;</w:t>
            </w:r>
          </w:p>
          <w:p w14:paraId="4785C06C" w14:textId="392083C0" w:rsidR="008D430F" w:rsidRPr="00187708" w:rsidRDefault="004B3802" w:rsidP="004B3802">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 generarea de rapoarte automate privind atingerea țintelor naționale și europene</w:t>
            </w:r>
          </w:p>
        </w:tc>
        <w:tc>
          <w:tcPr>
            <w:tcW w:w="1507" w:type="dxa"/>
            <w:tcBorders>
              <w:top w:val="single" w:sz="8" w:space="0" w:color="BFBFBF" w:themeColor="background1" w:themeShade="BF"/>
              <w:bottom w:val="single" w:sz="8" w:space="0" w:color="BFBFBF" w:themeColor="background1" w:themeShade="BF"/>
            </w:tcBorders>
            <w:shd w:val="clear" w:color="auto" w:fill="auto"/>
            <w:hideMark/>
          </w:tcPr>
          <w:p w14:paraId="7133C300"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81" w:type="dxa"/>
            <w:tcBorders>
              <w:top w:val="single" w:sz="8" w:space="0" w:color="BFBFBF" w:themeColor="background1" w:themeShade="BF"/>
              <w:bottom w:val="single" w:sz="8" w:space="0" w:color="BFBFBF" w:themeColor="background1" w:themeShade="BF"/>
            </w:tcBorders>
            <w:shd w:val="clear" w:color="auto" w:fill="auto"/>
            <w:hideMark/>
          </w:tcPr>
          <w:p w14:paraId="69CCDA0C"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AFM; ANMAP</w:t>
            </w:r>
          </w:p>
        </w:tc>
        <w:tc>
          <w:tcPr>
            <w:tcW w:w="3516" w:type="dxa"/>
            <w:tcBorders>
              <w:top w:val="single" w:sz="8" w:space="0" w:color="BFBFBF" w:themeColor="background1" w:themeShade="BF"/>
              <w:bottom w:val="single" w:sz="8" w:space="0" w:color="BFBFBF" w:themeColor="background1" w:themeShade="BF"/>
            </w:tcBorders>
            <w:shd w:val="clear" w:color="auto" w:fill="auto"/>
            <w:hideMark/>
          </w:tcPr>
          <w:p w14:paraId="72D5F2B8"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8D430F" w:rsidRPr="00187708" w14:paraId="1A48EDE0" w14:textId="77777777" w:rsidTr="0003273D">
        <w:trPr>
          <w:trHeight w:val="65"/>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hideMark/>
          </w:tcPr>
          <w:p w14:paraId="2AC46137" w14:textId="77777777" w:rsidR="008D430F" w:rsidRPr="00187708" w:rsidRDefault="008D430F" w:rsidP="00B80B00">
            <w:pPr>
              <w:rPr>
                <w:rFonts w:ascii="Nunito" w:hAnsi="Nunito" w:cs="Arial"/>
                <w:sz w:val="16"/>
                <w:szCs w:val="16"/>
                <w:lang w:val="ro-RO"/>
              </w:rPr>
            </w:pPr>
            <w:r w:rsidRPr="00187708">
              <w:rPr>
                <w:rFonts w:ascii="Nunito" w:hAnsi="Nunito" w:cs="Arial"/>
                <w:sz w:val="16"/>
                <w:szCs w:val="16"/>
                <w:lang w:val="ro-RO"/>
              </w:rPr>
              <w:t>ANV-OS-02</w:t>
            </w:r>
          </w:p>
        </w:tc>
        <w:tc>
          <w:tcPr>
            <w:tcW w:w="885" w:type="dxa"/>
            <w:tcBorders>
              <w:top w:val="single" w:sz="8" w:space="0" w:color="BFBFBF" w:themeColor="background1" w:themeShade="BF"/>
              <w:bottom w:val="single" w:sz="8" w:space="0" w:color="BFBFBF" w:themeColor="background1" w:themeShade="BF"/>
            </w:tcBorders>
            <w:hideMark/>
          </w:tcPr>
          <w:p w14:paraId="4AD23460"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OS</w:t>
            </w:r>
          </w:p>
        </w:tc>
        <w:tc>
          <w:tcPr>
            <w:tcW w:w="1387" w:type="dxa"/>
            <w:tcBorders>
              <w:top w:val="single" w:sz="8" w:space="0" w:color="BFBFBF" w:themeColor="background1" w:themeShade="BF"/>
              <w:bottom w:val="single" w:sz="8" w:space="0" w:color="BFBFBF" w:themeColor="background1" w:themeShade="BF"/>
            </w:tcBorders>
            <w:hideMark/>
          </w:tcPr>
          <w:p w14:paraId="7D3025F5"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Obiectiv 2</w:t>
            </w:r>
          </w:p>
        </w:tc>
        <w:tc>
          <w:tcPr>
            <w:tcW w:w="8037" w:type="dxa"/>
            <w:tcBorders>
              <w:top w:val="single" w:sz="8" w:space="0" w:color="BFBFBF" w:themeColor="background1" w:themeShade="BF"/>
              <w:bottom w:val="single" w:sz="8" w:space="0" w:color="BFBFBF" w:themeColor="background1" w:themeShade="BF"/>
            </w:tcBorders>
            <w:hideMark/>
          </w:tcPr>
          <w:p w14:paraId="3B2D151A"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Valorificarea materială a anvelopelor uzate</w:t>
            </w:r>
          </w:p>
        </w:tc>
        <w:tc>
          <w:tcPr>
            <w:tcW w:w="1507" w:type="dxa"/>
            <w:tcBorders>
              <w:top w:val="single" w:sz="8" w:space="0" w:color="BFBFBF" w:themeColor="background1" w:themeShade="BF"/>
              <w:bottom w:val="single" w:sz="8" w:space="0" w:color="BFBFBF" w:themeColor="background1" w:themeShade="BF"/>
            </w:tcBorders>
          </w:tcPr>
          <w:p w14:paraId="4B8F4BE7" w14:textId="79AC7534"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p>
        </w:tc>
        <w:tc>
          <w:tcPr>
            <w:tcW w:w="4281" w:type="dxa"/>
            <w:tcBorders>
              <w:top w:val="single" w:sz="8" w:space="0" w:color="BFBFBF" w:themeColor="background1" w:themeShade="BF"/>
              <w:bottom w:val="single" w:sz="8" w:space="0" w:color="BFBFBF" w:themeColor="background1" w:themeShade="BF"/>
            </w:tcBorders>
          </w:tcPr>
          <w:p w14:paraId="535FC55E" w14:textId="684351F8"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p>
        </w:tc>
        <w:tc>
          <w:tcPr>
            <w:tcW w:w="3516" w:type="dxa"/>
            <w:tcBorders>
              <w:top w:val="single" w:sz="8" w:space="0" w:color="BFBFBF" w:themeColor="background1" w:themeShade="BF"/>
              <w:bottom w:val="single" w:sz="8" w:space="0" w:color="BFBFBF" w:themeColor="background1" w:themeShade="BF"/>
            </w:tcBorders>
          </w:tcPr>
          <w:p w14:paraId="1C2388EF" w14:textId="0008AF8D"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p>
        </w:tc>
      </w:tr>
      <w:tr w:rsidR="008D430F" w:rsidRPr="00187708" w14:paraId="0E1158D4" w14:textId="77777777" w:rsidTr="0003273D">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shd w:val="clear" w:color="auto" w:fill="auto"/>
            <w:hideMark/>
          </w:tcPr>
          <w:p w14:paraId="7ADA74ED" w14:textId="77777777" w:rsidR="008D430F" w:rsidRPr="00187708" w:rsidRDefault="008D430F" w:rsidP="00B80B00">
            <w:pPr>
              <w:rPr>
                <w:rFonts w:ascii="Nunito" w:hAnsi="Nunito" w:cs="Arial"/>
                <w:b w:val="0"/>
                <w:bCs w:val="0"/>
                <w:color w:val="000000"/>
                <w:sz w:val="16"/>
                <w:szCs w:val="16"/>
                <w:lang w:val="ro-RO"/>
              </w:rPr>
            </w:pPr>
            <w:r w:rsidRPr="00187708">
              <w:rPr>
                <w:rFonts w:ascii="Nunito" w:hAnsi="Nunito" w:cs="Arial"/>
                <w:color w:val="000000"/>
                <w:sz w:val="16"/>
                <w:szCs w:val="16"/>
                <w:lang w:val="ro-RO"/>
              </w:rPr>
              <w:t>ANV-A3</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29C49E09"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87" w:type="dxa"/>
            <w:tcBorders>
              <w:top w:val="single" w:sz="8" w:space="0" w:color="BFBFBF" w:themeColor="background1" w:themeShade="BF"/>
              <w:bottom w:val="single" w:sz="8" w:space="0" w:color="BFBFBF" w:themeColor="background1" w:themeShade="BF"/>
            </w:tcBorders>
            <w:shd w:val="clear" w:color="auto" w:fill="auto"/>
            <w:hideMark/>
          </w:tcPr>
          <w:p w14:paraId="76EF9582"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2.1</w:t>
            </w:r>
          </w:p>
        </w:tc>
        <w:tc>
          <w:tcPr>
            <w:tcW w:w="8037" w:type="dxa"/>
            <w:tcBorders>
              <w:top w:val="single" w:sz="8" w:space="0" w:color="BFBFBF" w:themeColor="background1" w:themeShade="BF"/>
              <w:bottom w:val="single" w:sz="8" w:space="0" w:color="BFBFBF" w:themeColor="background1" w:themeShade="BF"/>
            </w:tcBorders>
            <w:shd w:val="clear" w:color="auto" w:fill="auto"/>
            <w:hideMark/>
          </w:tcPr>
          <w:p w14:paraId="60479F0D"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Încurajarea investițiilor pentru valorificarea materială a anvelopelor uzate, în special în domeniul construcțiilor rutiere (utilizarea pudretei de cauciuc în mixturile asfaltice și la diferite tipuri de pavele decorative)</w:t>
            </w:r>
          </w:p>
        </w:tc>
        <w:tc>
          <w:tcPr>
            <w:tcW w:w="1507" w:type="dxa"/>
            <w:tcBorders>
              <w:top w:val="single" w:sz="8" w:space="0" w:color="BFBFBF" w:themeColor="background1" w:themeShade="BF"/>
              <w:bottom w:val="single" w:sz="8" w:space="0" w:color="BFBFBF" w:themeColor="background1" w:themeShade="BF"/>
            </w:tcBorders>
            <w:shd w:val="clear" w:color="auto" w:fill="auto"/>
            <w:hideMark/>
          </w:tcPr>
          <w:p w14:paraId="36AD9542"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81" w:type="dxa"/>
            <w:tcBorders>
              <w:top w:val="single" w:sz="8" w:space="0" w:color="BFBFBF" w:themeColor="background1" w:themeShade="BF"/>
              <w:bottom w:val="single" w:sz="8" w:space="0" w:color="BFBFBF" w:themeColor="background1" w:themeShade="BF"/>
            </w:tcBorders>
            <w:shd w:val="clear" w:color="auto" w:fill="auto"/>
            <w:hideMark/>
          </w:tcPr>
          <w:p w14:paraId="3C43CF28"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MEDAT; MTI; Producători; OIREP</w:t>
            </w:r>
          </w:p>
        </w:tc>
        <w:tc>
          <w:tcPr>
            <w:tcW w:w="3516" w:type="dxa"/>
            <w:tcBorders>
              <w:top w:val="single" w:sz="8" w:space="0" w:color="BFBFBF" w:themeColor="background1" w:themeShade="BF"/>
              <w:bottom w:val="single" w:sz="8" w:space="0" w:color="BFBFBF" w:themeColor="background1" w:themeShade="BF"/>
            </w:tcBorders>
            <w:shd w:val="clear" w:color="auto" w:fill="auto"/>
            <w:hideMark/>
          </w:tcPr>
          <w:p w14:paraId="106F04A1"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 Fonduri proprii</w:t>
            </w:r>
          </w:p>
        </w:tc>
      </w:tr>
      <w:tr w:rsidR="008D430F" w:rsidRPr="00187708" w14:paraId="3326675A" w14:textId="77777777" w:rsidTr="0003273D">
        <w:trPr>
          <w:trHeight w:val="80"/>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hideMark/>
          </w:tcPr>
          <w:p w14:paraId="4A89634E" w14:textId="77777777" w:rsidR="008D430F" w:rsidRPr="00187708" w:rsidRDefault="008D430F" w:rsidP="00B80B00">
            <w:pPr>
              <w:rPr>
                <w:rFonts w:ascii="Nunito" w:hAnsi="Nunito" w:cs="Arial"/>
                <w:color w:val="000000"/>
                <w:sz w:val="16"/>
                <w:szCs w:val="16"/>
                <w:lang w:val="ro-RO"/>
              </w:rPr>
            </w:pPr>
            <w:r w:rsidRPr="00187708">
              <w:rPr>
                <w:rFonts w:ascii="Nunito" w:hAnsi="Nunito" w:cs="Arial"/>
                <w:color w:val="000000"/>
                <w:sz w:val="16"/>
                <w:szCs w:val="16"/>
                <w:lang w:val="ro-RO"/>
              </w:rPr>
              <w:t>ANV-A4</w:t>
            </w:r>
          </w:p>
        </w:tc>
        <w:tc>
          <w:tcPr>
            <w:tcW w:w="885" w:type="dxa"/>
            <w:tcBorders>
              <w:top w:val="single" w:sz="8" w:space="0" w:color="BFBFBF" w:themeColor="background1" w:themeShade="BF"/>
              <w:bottom w:val="single" w:sz="8" w:space="0" w:color="BFBFBF" w:themeColor="background1" w:themeShade="BF"/>
            </w:tcBorders>
            <w:hideMark/>
          </w:tcPr>
          <w:p w14:paraId="13B37A36"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87" w:type="dxa"/>
            <w:tcBorders>
              <w:top w:val="single" w:sz="8" w:space="0" w:color="BFBFBF" w:themeColor="background1" w:themeShade="BF"/>
              <w:bottom w:val="single" w:sz="8" w:space="0" w:color="BFBFBF" w:themeColor="background1" w:themeShade="BF"/>
            </w:tcBorders>
            <w:hideMark/>
          </w:tcPr>
          <w:p w14:paraId="6764190B"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2.2</w:t>
            </w:r>
          </w:p>
        </w:tc>
        <w:tc>
          <w:tcPr>
            <w:tcW w:w="8037" w:type="dxa"/>
            <w:tcBorders>
              <w:top w:val="single" w:sz="8" w:space="0" w:color="BFBFBF" w:themeColor="background1" w:themeShade="BF"/>
              <w:bottom w:val="single" w:sz="8" w:space="0" w:color="BFBFBF" w:themeColor="background1" w:themeShade="BF"/>
            </w:tcBorders>
            <w:hideMark/>
          </w:tcPr>
          <w:p w14:paraId="0621BA61"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Încurajarea investițiilor în centre de reșapare, reciclare și valorificare a deșeurilor de anvelope</w:t>
            </w:r>
          </w:p>
        </w:tc>
        <w:tc>
          <w:tcPr>
            <w:tcW w:w="1507" w:type="dxa"/>
            <w:tcBorders>
              <w:top w:val="single" w:sz="8" w:space="0" w:color="BFBFBF" w:themeColor="background1" w:themeShade="BF"/>
              <w:bottom w:val="single" w:sz="8" w:space="0" w:color="BFBFBF" w:themeColor="background1" w:themeShade="BF"/>
            </w:tcBorders>
            <w:hideMark/>
          </w:tcPr>
          <w:p w14:paraId="56F7C69F"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81" w:type="dxa"/>
            <w:tcBorders>
              <w:top w:val="single" w:sz="8" w:space="0" w:color="BFBFBF" w:themeColor="background1" w:themeShade="BF"/>
              <w:bottom w:val="single" w:sz="8" w:space="0" w:color="BFBFBF" w:themeColor="background1" w:themeShade="BF"/>
            </w:tcBorders>
            <w:hideMark/>
          </w:tcPr>
          <w:p w14:paraId="7A8BA21E"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AFM; Producători; OIREP</w:t>
            </w:r>
          </w:p>
        </w:tc>
        <w:tc>
          <w:tcPr>
            <w:tcW w:w="3516" w:type="dxa"/>
            <w:tcBorders>
              <w:top w:val="single" w:sz="8" w:space="0" w:color="BFBFBF" w:themeColor="background1" w:themeShade="BF"/>
              <w:bottom w:val="single" w:sz="8" w:space="0" w:color="BFBFBF" w:themeColor="background1" w:themeShade="BF"/>
            </w:tcBorders>
            <w:hideMark/>
          </w:tcPr>
          <w:p w14:paraId="59D7495D"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 Fonduri proprii</w:t>
            </w:r>
          </w:p>
        </w:tc>
      </w:tr>
      <w:tr w:rsidR="008D430F" w:rsidRPr="00187708" w14:paraId="08D97056" w14:textId="77777777" w:rsidTr="0003273D">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shd w:val="clear" w:color="auto" w:fill="auto"/>
            <w:hideMark/>
          </w:tcPr>
          <w:p w14:paraId="6357B71E" w14:textId="77777777" w:rsidR="008D430F" w:rsidRPr="00187708" w:rsidRDefault="008D430F" w:rsidP="00B80B00">
            <w:pPr>
              <w:rPr>
                <w:rFonts w:ascii="Nunito" w:hAnsi="Nunito" w:cs="Arial"/>
                <w:color w:val="000000"/>
                <w:sz w:val="16"/>
                <w:szCs w:val="16"/>
                <w:lang w:val="ro-RO"/>
              </w:rPr>
            </w:pPr>
            <w:r w:rsidRPr="00187708">
              <w:rPr>
                <w:rFonts w:ascii="Nunito" w:hAnsi="Nunito" w:cs="Arial"/>
                <w:color w:val="000000"/>
                <w:sz w:val="16"/>
                <w:szCs w:val="16"/>
                <w:lang w:val="ro-RO"/>
              </w:rPr>
              <w:t>ANV-A5</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3718E86B"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87" w:type="dxa"/>
            <w:tcBorders>
              <w:top w:val="single" w:sz="8" w:space="0" w:color="BFBFBF" w:themeColor="background1" w:themeShade="BF"/>
              <w:bottom w:val="single" w:sz="8" w:space="0" w:color="BFBFBF" w:themeColor="background1" w:themeShade="BF"/>
            </w:tcBorders>
            <w:shd w:val="clear" w:color="auto" w:fill="auto"/>
            <w:hideMark/>
          </w:tcPr>
          <w:p w14:paraId="519927A3"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2.3</w:t>
            </w:r>
          </w:p>
        </w:tc>
        <w:tc>
          <w:tcPr>
            <w:tcW w:w="8037" w:type="dxa"/>
            <w:tcBorders>
              <w:top w:val="single" w:sz="8" w:space="0" w:color="BFBFBF" w:themeColor="background1" w:themeShade="BF"/>
              <w:bottom w:val="single" w:sz="8" w:space="0" w:color="BFBFBF" w:themeColor="background1" w:themeShade="BF"/>
            </w:tcBorders>
            <w:shd w:val="clear" w:color="auto" w:fill="auto"/>
            <w:hideMark/>
          </w:tcPr>
          <w:p w14:paraId="7B927F17"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Sortarea anvelopelor uzate care pot fi reșapate și regravate în vederea procesării</w:t>
            </w:r>
          </w:p>
        </w:tc>
        <w:tc>
          <w:tcPr>
            <w:tcW w:w="1507" w:type="dxa"/>
            <w:tcBorders>
              <w:top w:val="single" w:sz="8" w:space="0" w:color="BFBFBF" w:themeColor="background1" w:themeShade="BF"/>
              <w:bottom w:val="single" w:sz="8" w:space="0" w:color="BFBFBF" w:themeColor="background1" w:themeShade="BF"/>
            </w:tcBorders>
            <w:shd w:val="clear" w:color="auto" w:fill="auto"/>
            <w:hideMark/>
          </w:tcPr>
          <w:p w14:paraId="3E227E41"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81" w:type="dxa"/>
            <w:tcBorders>
              <w:top w:val="single" w:sz="8" w:space="0" w:color="BFBFBF" w:themeColor="background1" w:themeShade="BF"/>
              <w:bottom w:val="single" w:sz="8" w:space="0" w:color="BFBFBF" w:themeColor="background1" w:themeShade="BF"/>
            </w:tcBorders>
            <w:shd w:val="clear" w:color="auto" w:fill="auto"/>
            <w:hideMark/>
          </w:tcPr>
          <w:p w14:paraId="4C5268D7"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Producători; Operatori economici</w:t>
            </w:r>
          </w:p>
        </w:tc>
        <w:tc>
          <w:tcPr>
            <w:tcW w:w="3516" w:type="dxa"/>
            <w:tcBorders>
              <w:top w:val="single" w:sz="8" w:space="0" w:color="BFBFBF" w:themeColor="background1" w:themeShade="BF"/>
              <w:bottom w:val="single" w:sz="8" w:space="0" w:color="BFBFBF" w:themeColor="background1" w:themeShade="BF"/>
            </w:tcBorders>
            <w:shd w:val="clear" w:color="auto" w:fill="auto"/>
            <w:hideMark/>
          </w:tcPr>
          <w:p w14:paraId="108CE928"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Fonduri proprii</w:t>
            </w:r>
          </w:p>
        </w:tc>
      </w:tr>
      <w:tr w:rsidR="008D430F" w:rsidRPr="00187708" w14:paraId="0BC9E4A1" w14:textId="77777777" w:rsidTr="00024CF7">
        <w:trPr>
          <w:trHeight w:val="80"/>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hideMark/>
          </w:tcPr>
          <w:p w14:paraId="18B74DB0" w14:textId="77777777" w:rsidR="008D430F" w:rsidRPr="00187708" w:rsidRDefault="008D430F" w:rsidP="00B80B00">
            <w:pPr>
              <w:rPr>
                <w:rFonts w:ascii="Nunito" w:hAnsi="Nunito" w:cs="Arial"/>
                <w:color w:val="000000"/>
                <w:sz w:val="16"/>
                <w:szCs w:val="16"/>
                <w:lang w:val="ro-RO"/>
              </w:rPr>
            </w:pPr>
            <w:r w:rsidRPr="00187708">
              <w:rPr>
                <w:rFonts w:ascii="Nunito" w:hAnsi="Nunito" w:cs="Arial"/>
                <w:color w:val="000000"/>
                <w:sz w:val="16"/>
                <w:szCs w:val="16"/>
                <w:lang w:val="ro-RO"/>
              </w:rPr>
              <w:t>ANV-A6</w:t>
            </w:r>
          </w:p>
        </w:tc>
        <w:tc>
          <w:tcPr>
            <w:tcW w:w="885" w:type="dxa"/>
            <w:tcBorders>
              <w:top w:val="single" w:sz="8" w:space="0" w:color="BFBFBF" w:themeColor="background1" w:themeShade="BF"/>
              <w:bottom w:val="single" w:sz="8" w:space="0" w:color="BFBFBF" w:themeColor="background1" w:themeShade="BF"/>
            </w:tcBorders>
            <w:hideMark/>
          </w:tcPr>
          <w:p w14:paraId="4B2C267D"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87" w:type="dxa"/>
            <w:tcBorders>
              <w:top w:val="single" w:sz="8" w:space="0" w:color="BFBFBF" w:themeColor="background1" w:themeShade="BF"/>
              <w:bottom w:val="single" w:sz="8" w:space="0" w:color="BFBFBF" w:themeColor="background1" w:themeShade="BF"/>
            </w:tcBorders>
            <w:hideMark/>
          </w:tcPr>
          <w:p w14:paraId="77CD632C" w14:textId="77777777" w:rsidR="008D430F" w:rsidRPr="00187708" w:rsidRDefault="008D430F">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2.4</w:t>
            </w:r>
          </w:p>
        </w:tc>
        <w:tc>
          <w:tcPr>
            <w:tcW w:w="8037" w:type="dxa"/>
            <w:tcBorders>
              <w:top w:val="single" w:sz="8" w:space="0" w:color="BFBFBF" w:themeColor="background1" w:themeShade="BF"/>
              <w:bottom w:val="single" w:sz="8" w:space="0" w:color="BFBFBF" w:themeColor="background1" w:themeShade="BF"/>
            </w:tcBorders>
            <w:hideMark/>
          </w:tcPr>
          <w:p w14:paraId="1D62800E"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Recunoașterea valorificării materiale prin co-procesarea anvelopelor uzate în fabricile de ciment</w:t>
            </w:r>
          </w:p>
        </w:tc>
        <w:tc>
          <w:tcPr>
            <w:tcW w:w="1507" w:type="dxa"/>
            <w:tcBorders>
              <w:top w:val="single" w:sz="8" w:space="0" w:color="BFBFBF" w:themeColor="background1" w:themeShade="BF"/>
              <w:bottom w:val="single" w:sz="8" w:space="0" w:color="BFBFBF" w:themeColor="background1" w:themeShade="BF"/>
            </w:tcBorders>
            <w:hideMark/>
          </w:tcPr>
          <w:p w14:paraId="66D7504E"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81" w:type="dxa"/>
            <w:tcBorders>
              <w:top w:val="single" w:sz="8" w:space="0" w:color="BFBFBF" w:themeColor="background1" w:themeShade="BF"/>
              <w:bottom w:val="single" w:sz="8" w:space="0" w:color="BFBFBF" w:themeColor="background1" w:themeShade="BF"/>
            </w:tcBorders>
            <w:hideMark/>
          </w:tcPr>
          <w:p w14:paraId="6D30BB84"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w:t>
            </w:r>
          </w:p>
        </w:tc>
        <w:tc>
          <w:tcPr>
            <w:tcW w:w="3516" w:type="dxa"/>
            <w:tcBorders>
              <w:top w:val="single" w:sz="8" w:space="0" w:color="BFBFBF" w:themeColor="background1" w:themeShade="BF"/>
              <w:bottom w:val="single" w:sz="8" w:space="0" w:color="BFBFBF" w:themeColor="background1" w:themeShade="BF"/>
            </w:tcBorders>
            <w:hideMark/>
          </w:tcPr>
          <w:p w14:paraId="0196A879" w14:textId="77777777" w:rsidR="008D430F" w:rsidRPr="00187708" w:rsidRDefault="008D430F">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8D430F" w:rsidRPr="00187708" w14:paraId="2B6634FD" w14:textId="77777777" w:rsidTr="00024CF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507" w:type="dxa"/>
            <w:tcBorders>
              <w:top w:val="single" w:sz="8" w:space="0" w:color="BFBFBF" w:themeColor="background1" w:themeShade="BF"/>
              <w:bottom w:val="single" w:sz="8" w:space="0" w:color="BFBFBF" w:themeColor="background1" w:themeShade="BF"/>
            </w:tcBorders>
            <w:shd w:val="clear" w:color="auto" w:fill="auto"/>
            <w:hideMark/>
          </w:tcPr>
          <w:p w14:paraId="5B54B095" w14:textId="77777777" w:rsidR="008D430F" w:rsidRPr="00187708" w:rsidRDefault="008D430F" w:rsidP="00B80B00">
            <w:pPr>
              <w:rPr>
                <w:rFonts w:ascii="Nunito" w:hAnsi="Nunito" w:cs="Arial"/>
                <w:color w:val="000000"/>
                <w:sz w:val="16"/>
                <w:szCs w:val="16"/>
                <w:lang w:val="ro-RO"/>
              </w:rPr>
            </w:pPr>
            <w:r w:rsidRPr="00187708">
              <w:rPr>
                <w:rFonts w:ascii="Nunito" w:hAnsi="Nunito" w:cs="Arial"/>
                <w:color w:val="000000"/>
                <w:sz w:val="16"/>
                <w:szCs w:val="16"/>
                <w:lang w:val="ro-RO"/>
              </w:rPr>
              <w:t>ANV-A7</w:t>
            </w:r>
          </w:p>
        </w:tc>
        <w:tc>
          <w:tcPr>
            <w:tcW w:w="885" w:type="dxa"/>
            <w:tcBorders>
              <w:top w:val="single" w:sz="8" w:space="0" w:color="BFBFBF" w:themeColor="background1" w:themeShade="BF"/>
              <w:bottom w:val="single" w:sz="8" w:space="0" w:color="BFBFBF" w:themeColor="background1" w:themeShade="BF"/>
            </w:tcBorders>
            <w:shd w:val="clear" w:color="auto" w:fill="auto"/>
            <w:hideMark/>
          </w:tcPr>
          <w:p w14:paraId="5B071D08"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87" w:type="dxa"/>
            <w:tcBorders>
              <w:top w:val="single" w:sz="8" w:space="0" w:color="BFBFBF" w:themeColor="background1" w:themeShade="BF"/>
              <w:bottom w:val="single" w:sz="8" w:space="0" w:color="BFBFBF" w:themeColor="background1" w:themeShade="BF"/>
            </w:tcBorders>
            <w:shd w:val="clear" w:color="auto" w:fill="auto"/>
            <w:hideMark/>
          </w:tcPr>
          <w:p w14:paraId="3AF1966C" w14:textId="77777777" w:rsidR="008D430F" w:rsidRPr="00187708" w:rsidRDefault="008D430F">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2.5</w:t>
            </w:r>
          </w:p>
        </w:tc>
        <w:tc>
          <w:tcPr>
            <w:tcW w:w="8037" w:type="dxa"/>
            <w:tcBorders>
              <w:top w:val="single" w:sz="8" w:space="0" w:color="BFBFBF" w:themeColor="background1" w:themeShade="BF"/>
              <w:bottom w:val="single" w:sz="8" w:space="0" w:color="BFBFBF" w:themeColor="background1" w:themeShade="BF"/>
            </w:tcBorders>
            <w:shd w:val="clear" w:color="auto" w:fill="auto"/>
            <w:hideMark/>
          </w:tcPr>
          <w:p w14:paraId="612470E5"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Elaborarea unor acte normative privind stabilirea criteriilor naționale de încetare a statutului de deșeu (inclusiv anvelope)</w:t>
            </w:r>
          </w:p>
        </w:tc>
        <w:tc>
          <w:tcPr>
            <w:tcW w:w="1507" w:type="dxa"/>
            <w:tcBorders>
              <w:top w:val="single" w:sz="8" w:space="0" w:color="BFBFBF" w:themeColor="background1" w:themeShade="BF"/>
              <w:bottom w:val="single" w:sz="8" w:space="0" w:color="BFBFBF" w:themeColor="background1" w:themeShade="BF"/>
            </w:tcBorders>
            <w:shd w:val="clear" w:color="auto" w:fill="auto"/>
            <w:hideMark/>
          </w:tcPr>
          <w:p w14:paraId="4E0BDBDB"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81" w:type="dxa"/>
            <w:tcBorders>
              <w:top w:val="single" w:sz="8" w:space="0" w:color="BFBFBF" w:themeColor="background1" w:themeShade="BF"/>
              <w:bottom w:val="single" w:sz="8" w:space="0" w:color="BFBFBF" w:themeColor="background1" w:themeShade="BF"/>
            </w:tcBorders>
            <w:shd w:val="clear" w:color="auto" w:fill="auto"/>
            <w:hideMark/>
          </w:tcPr>
          <w:p w14:paraId="37FE3228"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MDLPA</w:t>
            </w:r>
          </w:p>
        </w:tc>
        <w:tc>
          <w:tcPr>
            <w:tcW w:w="3516" w:type="dxa"/>
            <w:tcBorders>
              <w:top w:val="single" w:sz="8" w:space="0" w:color="BFBFBF" w:themeColor="background1" w:themeShade="BF"/>
              <w:bottom w:val="single" w:sz="8" w:space="0" w:color="BFBFBF" w:themeColor="background1" w:themeShade="BF"/>
            </w:tcBorders>
            <w:shd w:val="clear" w:color="auto" w:fill="auto"/>
            <w:hideMark/>
          </w:tcPr>
          <w:p w14:paraId="2DD6FAF4" w14:textId="77777777" w:rsidR="008D430F" w:rsidRPr="00187708" w:rsidRDefault="008D430F">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bl>
    <w:p w14:paraId="2EDD2B0C" w14:textId="7E717D4B" w:rsidR="00866D05" w:rsidRPr="00187708" w:rsidRDefault="00866D05">
      <w:pPr>
        <w:rPr>
          <w:rFonts w:ascii="Nunito" w:eastAsiaTheme="majorEastAsia" w:hAnsi="Nunito" w:cstheme="majorBidi"/>
          <w:sz w:val="16"/>
          <w:szCs w:val="16"/>
          <w:lang w:val="ro-RO"/>
        </w:rPr>
      </w:pPr>
    </w:p>
    <w:p w14:paraId="442BB5D0" w14:textId="76989F80" w:rsidR="00866D05" w:rsidRPr="00187708" w:rsidRDefault="0072718F" w:rsidP="0072718F">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10</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w:t>
      </w:r>
      <w:r w:rsidR="005D7120" w:rsidRPr="00187708">
        <w:rPr>
          <w:rFonts w:ascii="Nunito" w:hAnsi="Nunito"/>
          <w:b/>
          <w:bCs/>
          <w:color w:val="009DF0" w:themeColor="text2"/>
          <w:sz w:val="16"/>
          <w:szCs w:val="16"/>
          <w:lang w:val="ro-RO"/>
        </w:rPr>
        <w:t>lui</w:t>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de</w:t>
      </w:r>
      <w:r w:rsidRPr="00187708">
        <w:rPr>
          <w:rFonts w:ascii="Nunito" w:hAnsi="Nunito"/>
          <w:b/>
          <w:bCs/>
          <w:color w:val="009DF0" w:themeColor="text2"/>
          <w:sz w:val="16"/>
          <w:szCs w:val="16"/>
          <w:lang w:val="ro-RO"/>
        </w:rPr>
        <w:t xml:space="preserve"> acțiune pentru gestionarea </w:t>
      </w:r>
      <w:r w:rsidR="000E47E7" w:rsidRPr="00187708">
        <w:rPr>
          <w:rFonts w:ascii="Nunito" w:hAnsi="Nunito"/>
          <w:b/>
          <w:bCs/>
          <w:color w:val="009DF0" w:themeColor="text2"/>
          <w:sz w:val="16"/>
          <w:szCs w:val="16"/>
          <w:lang w:val="ro-RO"/>
        </w:rPr>
        <w:t>deșeurile din construcții și desființări</w:t>
      </w:r>
    </w:p>
    <w:tbl>
      <w:tblPr>
        <w:tblStyle w:val="ListTable1Light-Accent1"/>
        <w:tblW w:w="21121" w:type="dxa"/>
        <w:tblLook w:val="04A0" w:firstRow="1" w:lastRow="0" w:firstColumn="1" w:lastColumn="0" w:noHBand="0" w:noVBand="1"/>
      </w:tblPr>
      <w:tblGrid>
        <w:gridCol w:w="1484"/>
        <w:gridCol w:w="871"/>
        <w:gridCol w:w="1366"/>
        <w:gridCol w:w="7917"/>
        <w:gridCol w:w="1687"/>
        <w:gridCol w:w="4252"/>
        <w:gridCol w:w="3544"/>
      </w:tblGrid>
      <w:tr w:rsidR="00E00C46" w:rsidRPr="00187708" w14:paraId="3A0D5FC5" w14:textId="77777777" w:rsidTr="00187708">
        <w:trPr>
          <w:cnfStyle w:val="100000000000" w:firstRow="1" w:lastRow="0" w:firstColumn="0" w:lastColumn="0" w:oddVBand="0" w:evenVBand="0" w:oddHBand="0" w:evenHBand="0" w:firstRowFirstColumn="0" w:firstRowLastColumn="0" w:lastRowFirstColumn="0" w:lastRowLastColumn="0"/>
          <w:trHeight w:val="42"/>
          <w:tblHeader/>
        </w:trPr>
        <w:tc>
          <w:tcPr>
            <w:cnfStyle w:val="001000000000" w:firstRow="0" w:lastRow="0" w:firstColumn="1" w:lastColumn="0" w:oddVBand="0" w:evenVBand="0" w:oddHBand="0" w:evenHBand="0" w:firstRowFirstColumn="0" w:firstRowLastColumn="0" w:lastRowFirstColumn="0" w:lastRowLastColumn="0"/>
            <w:tcW w:w="1484" w:type="dxa"/>
            <w:tcBorders>
              <w:bottom w:val="single" w:sz="8" w:space="0" w:color="D9D9D9" w:themeColor="background1" w:themeShade="D9"/>
            </w:tcBorders>
            <w:shd w:val="clear" w:color="auto" w:fill="00B0F0"/>
            <w:hideMark/>
          </w:tcPr>
          <w:p w14:paraId="52F7D335" w14:textId="77777777" w:rsidR="00E00C46" w:rsidRPr="00187708" w:rsidRDefault="00E00C46">
            <w:pPr>
              <w:jc w:val="center"/>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Cod</w:t>
            </w:r>
          </w:p>
        </w:tc>
        <w:tc>
          <w:tcPr>
            <w:tcW w:w="871" w:type="dxa"/>
            <w:tcBorders>
              <w:bottom w:val="single" w:sz="8" w:space="0" w:color="D9D9D9" w:themeColor="background1" w:themeShade="D9"/>
            </w:tcBorders>
            <w:shd w:val="clear" w:color="auto" w:fill="00B0F0"/>
            <w:hideMark/>
          </w:tcPr>
          <w:p w14:paraId="086E6BE1" w14:textId="77777777" w:rsidR="00E00C46" w:rsidRPr="00187708" w:rsidRDefault="00E00C46">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Nivel</w:t>
            </w:r>
          </w:p>
        </w:tc>
        <w:tc>
          <w:tcPr>
            <w:tcW w:w="1366" w:type="dxa"/>
            <w:tcBorders>
              <w:bottom w:val="single" w:sz="8" w:space="0" w:color="D9D9D9" w:themeColor="background1" w:themeShade="D9"/>
            </w:tcBorders>
            <w:shd w:val="clear" w:color="auto" w:fill="00B0F0"/>
            <w:hideMark/>
          </w:tcPr>
          <w:p w14:paraId="0F2D3F21" w14:textId="7842DEF2" w:rsidR="00E00C46" w:rsidRPr="00187708" w:rsidRDefault="002916EA">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 xml:space="preserve">Nr </w:t>
            </w:r>
            <w:r w:rsidR="00C61CC3" w:rsidRPr="00187708">
              <w:rPr>
                <w:rFonts w:ascii="Nunito" w:hAnsi="Nunito" w:cs="Arial"/>
                <w:color w:val="FFFFFF" w:themeColor="background1"/>
                <w:sz w:val="16"/>
                <w:szCs w:val="16"/>
                <w:lang w:val="ro-RO"/>
              </w:rPr>
              <w:t>C</w:t>
            </w:r>
            <w:r w:rsidRPr="00187708">
              <w:rPr>
                <w:rFonts w:ascii="Nunito" w:hAnsi="Nunito" w:cs="Arial"/>
                <w:color w:val="FFFFFF" w:themeColor="background1"/>
                <w:sz w:val="16"/>
                <w:szCs w:val="16"/>
                <w:lang w:val="ro-RO"/>
              </w:rPr>
              <w:t>rt</w:t>
            </w:r>
            <w:r w:rsidR="00E00C46" w:rsidRPr="00187708">
              <w:rPr>
                <w:rFonts w:ascii="Nunito" w:hAnsi="Nunito" w:cs="Arial"/>
                <w:color w:val="FFFFFF" w:themeColor="background1"/>
                <w:sz w:val="16"/>
                <w:szCs w:val="16"/>
                <w:lang w:val="ro-RO"/>
              </w:rPr>
              <w:t xml:space="preserve"> PNGD</w:t>
            </w:r>
          </w:p>
        </w:tc>
        <w:tc>
          <w:tcPr>
            <w:tcW w:w="7917" w:type="dxa"/>
            <w:tcBorders>
              <w:bottom w:val="single" w:sz="8" w:space="0" w:color="D9D9D9" w:themeColor="background1" w:themeShade="D9"/>
            </w:tcBorders>
            <w:shd w:val="clear" w:color="auto" w:fill="00B0F0"/>
            <w:hideMark/>
          </w:tcPr>
          <w:p w14:paraId="55DB84CB" w14:textId="77777777" w:rsidR="00E00C46" w:rsidRPr="00187708" w:rsidRDefault="00E00C46">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Denumire obiectiv / acțiune</w:t>
            </w:r>
          </w:p>
        </w:tc>
        <w:tc>
          <w:tcPr>
            <w:tcW w:w="1687" w:type="dxa"/>
            <w:tcBorders>
              <w:bottom w:val="single" w:sz="8" w:space="0" w:color="D9D9D9" w:themeColor="background1" w:themeShade="D9"/>
            </w:tcBorders>
            <w:shd w:val="clear" w:color="auto" w:fill="00B0F0"/>
            <w:hideMark/>
          </w:tcPr>
          <w:p w14:paraId="6182353D" w14:textId="77777777" w:rsidR="00E00C46" w:rsidRPr="00187708" w:rsidRDefault="00E00C46">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Termen</w:t>
            </w:r>
          </w:p>
        </w:tc>
        <w:tc>
          <w:tcPr>
            <w:tcW w:w="4252" w:type="dxa"/>
            <w:tcBorders>
              <w:bottom w:val="single" w:sz="8" w:space="0" w:color="D9D9D9" w:themeColor="background1" w:themeShade="D9"/>
            </w:tcBorders>
            <w:shd w:val="clear" w:color="auto" w:fill="00B0F0"/>
            <w:hideMark/>
          </w:tcPr>
          <w:p w14:paraId="5B4148AA" w14:textId="77777777" w:rsidR="00E00C46" w:rsidRPr="00187708" w:rsidRDefault="00E00C46">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Responsabil principal / alți responsabili</w:t>
            </w:r>
          </w:p>
        </w:tc>
        <w:tc>
          <w:tcPr>
            <w:tcW w:w="3544" w:type="dxa"/>
            <w:tcBorders>
              <w:bottom w:val="single" w:sz="8" w:space="0" w:color="D9D9D9" w:themeColor="background1" w:themeShade="D9"/>
            </w:tcBorders>
            <w:shd w:val="clear" w:color="auto" w:fill="00B0F0"/>
            <w:hideMark/>
          </w:tcPr>
          <w:p w14:paraId="728D83FC" w14:textId="77777777" w:rsidR="00E00C46" w:rsidRPr="00187708" w:rsidRDefault="00E00C46">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Sursa de finanțare</w:t>
            </w:r>
          </w:p>
        </w:tc>
      </w:tr>
      <w:tr w:rsidR="00DB5276" w:rsidRPr="00187708" w14:paraId="78325579" w14:textId="77777777" w:rsidTr="00187708">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E1FE0E9" w14:textId="77777777" w:rsidR="00DB5276" w:rsidRPr="00187708" w:rsidRDefault="00DB5276" w:rsidP="00B80B00">
            <w:pPr>
              <w:rPr>
                <w:rFonts w:ascii="Nunito" w:hAnsi="Nunito" w:cs="Arial"/>
                <w:sz w:val="16"/>
                <w:szCs w:val="16"/>
                <w:lang w:val="ro-RO"/>
              </w:rPr>
            </w:pPr>
            <w:r w:rsidRPr="00187708">
              <w:rPr>
                <w:rFonts w:ascii="Nunito" w:hAnsi="Nunito" w:cs="Arial"/>
                <w:sz w:val="16"/>
                <w:szCs w:val="16"/>
                <w:lang w:val="ro-RO"/>
              </w:rPr>
              <w:t>DCD-OS-01</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804040B" w14:textId="77777777" w:rsidR="00DB5276" w:rsidRPr="00187708" w:rsidRDefault="00DB527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OS</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D1BD2B7" w14:textId="77777777" w:rsidR="00DB5276" w:rsidRPr="00187708" w:rsidRDefault="00DB527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Obiectiv 1</w:t>
            </w:r>
          </w:p>
        </w:tc>
        <w:tc>
          <w:tcPr>
            <w:tcW w:w="17400" w:type="dxa"/>
            <w:gridSpan w:val="4"/>
            <w:tcBorders>
              <w:top w:val="single" w:sz="8" w:space="0" w:color="D9D9D9" w:themeColor="background1" w:themeShade="D9"/>
              <w:bottom w:val="single" w:sz="8" w:space="0" w:color="D9D9D9" w:themeColor="background1" w:themeShade="D9"/>
            </w:tcBorders>
            <w:shd w:val="clear" w:color="auto" w:fill="FFFFFF" w:themeFill="background1"/>
            <w:hideMark/>
          </w:tcPr>
          <w:p w14:paraId="774DA14F" w14:textId="39217615" w:rsidR="00DB5276" w:rsidRPr="00187708" w:rsidRDefault="00DB5276" w:rsidP="00DB5276">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Creșterea gradului de reutilizare, reciclare și alte operațiuni de valorificare materială (inclusiv operațiuni de rambleiere care utilizează deșeuri pentru a înlocui alte materiale) a deșeurilor din construcții și desființări, inclusiv a fracțiilor mai puțin valorificabile (gips, plăci ceramice, gresie, faianță)</w:t>
            </w:r>
          </w:p>
        </w:tc>
      </w:tr>
      <w:tr w:rsidR="00E00C46" w:rsidRPr="00187708" w14:paraId="1B7F0A9D" w14:textId="77777777" w:rsidTr="00187708">
        <w:trPr>
          <w:trHeight w:val="8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E05F3E0" w14:textId="77777777" w:rsidR="00E00C46" w:rsidRPr="00187708" w:rsidRDefault="00E00C46" w:rsidP="00B80B00">
            <w:pPr>
              <w:rPr>
                <w:rFonts w:ascii="Nunito" w:hAnsi="Nunito" w:cs="Arial"/>
                <w:b w:val="0"/>
                <w:bCs w:val="0"/>
                <w:color w:val="000000"/>
                <w:sz w:val="16"/>
                <w:szCs w:val="16"/>
                <w:lang w:val="ro-RO"/>
              </w:rPr>
            </w:pPr>
            <w:r w:rsidRPr="00187708">
              <w:rPr>
                <w:rFonts w:ascii="Nunito" w:hAnsi="Nunito" w:cs="Arial"/>
                <w:color w:val="000000"/>
                <w:sz w:val="16"/>
                <w:szCs w:val="16"/>
                <w:lang w:val="ro-RO"/>
              </w:rPr>
              <w:t>DCD-A1</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569A807"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15FCB3E"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1.1</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304D3EE"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Implementarea sistemelor de colectare separată a DCD</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B431319"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740846B"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Investitori privați; Firme de construcții; UAT</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124CAA6"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Fonduri proprii</w:t>
            </w:r>
          </w:p>
        </w:tc>
      </w:tr>
      <w:tr w:rsidR="00E00C46" w:rsidRPr="00187708" w14:paraId="4013E5E9" w14:textId="77777777" w:rsidTr="0018770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3C6E75F"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DCD-A2</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0A72C83"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86360F4"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1.2</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78B2F6E"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Crearea de centre pentru reutilizarea DCD</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1A7710A"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FA883EB"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UAT; Investitori privați</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ED9AECE"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local; Investiții private</w:t>
            </w:r>
          </w:p>
        </w:tc>
      </w:tr>
      <w:tr w:rsidR="00E00C46" w:rsidRPr="00187708" w14:paraId="5D3E7148" w14:textId="77777777" w:rsidTr="00187708">
        <w:trPr>
          <w:trHeight w:val="8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667E3A6"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DCD-A3</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A95467F"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BBE6541"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1.3</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23F56C3"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Modernizarea și extinderea instalațiilor de tratare DCD (inclusiv gips, ceramică), inclusiv prin operaționalizarea CAV integrate finanțate prin PNRR</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2F06342"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B1CD4D0"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UAT; Investitori privați</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C1CF060"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Fonduri europene; Fonduri proprii; Alte fonduri</w:t>
            </w:r>
          </w:p>
        </w:tc>
      </w:tr>
      <w:tr w:rsidR="00E00C46" w:rsidRPr="00187708" w14:paraId="00C94D30" w14:textId="77777777" w:rsidTr="0018770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F8CD244"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DCD-A4</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86B3EE4"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5586F8B"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1.4</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CBC029D"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Intensificarea controalelor pentru depozitarea ilegală și abandonarea DCD</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3BCEFB8"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2451F8A"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GNM; UAT – Poliția locală</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0D7C5BA"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 Buget local</w:t>
            </w:r>
          </w:p>
        </w:tc>
      </w:tr>
      <w:tr w:rsidR="00E00C46" w:rsidRPr="00187708" w14:paraId="23775BAB" w14:textId="77777777" w:rsidTr="00187708">
        <w:trPr>
          <w:trHeight w:val="109"/>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5A2CB08"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DCD-A5</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153CC46"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6D05A9E"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1.5</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2313A4A"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Efectuarea de controale pe șantiere pentru verificarea existenței contractelor privind colectarea separată și tratarea/eliminarea DCD și implementarea corespunzătoare a acestora (avize de însoțire a mărfii până la instalațiile aferente)</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595E906"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319513C"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GNM; UAT – Poliția locală</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D4E64A1"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 Buget local</w:t>
            </w:r>
          </w:p>
        </w:tc>
      </w:tr>
      <w:tr w:rsidR="00E00C46" w:rsidRPr="00187708" w14:paraId="3DF5AF44" w14:textId="77777777" w:rsidTr="0018770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504672B"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DCD-A6</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4F6B15E"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6FF2756"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1.6</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594CCF6"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Implementarea unui sistem național de monitorizare și raportare a depozitelor ilegale de DCD</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887AE1E"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82F89F1"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GNM</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2CBC29B"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E00C46" w:rsidRPr="00187708" w14:paraId="3845ABB4" w14:textId="77777777" w:rsidTr="00187708">
        <w:trPr>
          <w:trHeight w:val="13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551A051"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DCD-A7</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7800A61"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61B2BF8"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1.7</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B727EF7"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Dezvoltarea unui sistem digital unitar de raportare și trasabilitate pentru toate fluxurile de deșeuri reglementate (inclusiv DCD), gestionat de ANMAP și interconectat cu platformele existente (raportare/validare pe flux; trasabilitate de la colectare la tratare/reciclare/valorificare/eliminare; corectarea datelor după controale; rapoarte automate privind atingerea țintelor naționale și europene)</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27DBA92"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C6B6202"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ANMAP; AFM</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E9BC0F0"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E00C46" w:rsidRPr="00187708" w14:paraId="74D71EC6" w14:textId="77777777" w:rsidTr="0018770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3D8DD3F"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DCD-A8</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1ACB752"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A017AD0"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1.8</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5D155FB"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Introducerea criteriilor verzi în achizițiile publice pentru materiale reciclate</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ADC3E8D"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E585BD3"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MTI; MDLPA; UAT; ANAP; Entități contractante</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EC774C2"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Bugetul de stat</w:t>
            </w:r>
          </w:p>
        </w:tc>
      </w:tr>
      <w:tr w:rsidR="00E00C46" w:rsidRPr="00187708" w14:paraId="7BBDA167" w14:textId="77777777" w:rsidTr="00187708">
        <w:trPr>
          <w:trHeight w:val="65"/>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BC48C22"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DCD-OS-02</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E40FE72"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OS</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E6E2C43"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Obiectiv 2</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3A4DFCE"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Asigurarea capacităților de eliminare pentru DCD care nu pot fi valorificate</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tcPr>
          <w:p w14:paraId="272AB708" w14:textId="1E2E952E"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tcPr>
          <w:p w14:paraId="2CBC758A" w14:textId="497B6716"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tcPr>
          <w:p w14:paraId="54F5FB7C" w14:textId="6177BC30"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b/>
                <w:bCs/>
                <w:sz w:val="16"/>
                <w:szCs w:val="16"/>
                <w:lang w:val="ro-RO"/>
              </w:rPr>
            </w:pPr>
          </w:p>
        </w:tc>
      </w:tr>
      <w:tr w:rsidR="00E00C46" w:rsidRPr="00187708" w14:paraId="129368B6" w14:textId="77777777" w:rsidTr="00187708">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4E5F90F"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DCD-A9</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5908C0A"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559426F"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2.1</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C567E42"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Realizarea unui studiu la nivel național privind determinarea capacității necesare de eliminare a DCD care nu pot fi valorificate</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D366CF6"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BFF020A"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MDLPA</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0FE3064"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Bugetul de stat</w:t>
            </w:r>
          </w:p>
        </w:tc>
      </w:tr>
      <w:tr w:rsidR="00E00C46" w:rsidRPr="00187708" w14:paraId="5FBBD5C9" w14:textId="77777777" w:rsidTr="00187708">
        <w:trPr>
          <w:trHeight w:val="8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C24D5AD"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DCD-A10</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C26133B"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BBC9FEB"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2.2</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E4FB9FC"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Construirea capacităților de eliminare a deșeurilor inerte conform studiului</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39EDA8E"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2030</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033438A"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Investitori privați</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9B2E9AF"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Investiții private; AFM; Alte surse de finanțare</w:t>
            </w:r>
          </w:p>
        </w:tc>
      </w:tr>
      <w:tr w:rsidR="00E00C46" w:rsidRPr="00187708" w14:paraId="12E27C81" w14:textId="77777777" w:rsidTr="0018770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405598F" w14:textId="77777777" w:rsidR="00E00C46" w:rsidRPr="00187708" w:rsidRDefault="00E00C46" w:rsidP="00B80B00">
            <w:pPr>
              <w:rPr>
                <w:rFonts w:ascii="Nunito" w:hAnsi="Nunito" w:cs="Arial"/>
                <w:sz w:val="16"/>
                <w:szCs w:val="16"/>
                <w:lang w:val="ro-RO"/>
              </w:rPr>
            </w:pPr>
            <w:r w:rsidRPr="00187708">
              <w:rPr>
                <w:rFonts w:ascii="Nunito" w:hAnsi="Nunito" w:cs="Arial"/>
                <w:sz w:val="16"/>
                <w:szCs w:val="16"/>
                <w:lang w:val="ro-RO"/>
              </w:rPr>
              <w:t>DCD-OS-03</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C499F1D"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OS</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F69DF0C"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Obiectiv 3</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B9E9C16"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Revizuirea și actualizarea cadrului legislativ național privind gestionarea deșeurilor din construcții și desființări (DCD)</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tcPr>
          <w:p w14:paraId="7ED6D1D4" w14:textId="6915A398"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tcPr>
          <w:p w14:paraId="123CAA0E" w14:textId="1D3082C6"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tcPr>
          <w:p w14:paraId="3C548E43" w14:textId="7C1DC58C"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p>
        </w:tc>
      </w:tr>
      <w:tr w:rsidR="00E00C46" w:rsidRPr="00187708" w14:paraId="64CE3F16" w14:textId="77777777" w:rsidTr="00187708">
        <w:trPr>
          <w:trHeight w:val="2266"/>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5CF2460" w14:textId="77777777" w:rsidR="00E00C46" w:rsidRPr="00187708" w:rsidRDefault="00E00C46" w:rsidP="00B80B00">
            <w:pPr>
              <w:rPr>
                <w:rFonts w:ascii="Nunito" w:hAnsi="Nunito" w:cs="Arial"/>
                <w:b w:val="0"/>
                <w:bCs w:val="0"/>
                <w:color w:val="000000"/>
                <w:sz w:val="16"/>
                <w:szCs w:val="16"/>
                <w:lang w:val="ro-RO"/>
              </w:rPr>
            </w:pPr>
            <w:r w:rsidRPr="00187708">
              <w:rPr>
                <w:rFonts w:ascii="Nunito" w:hAnsi="Nunito" w:cs="Arial"/>
                <w:color w:val="000000"/>
                <w:sz w:val="16"/>
                <w:szCs w:val="16"/>
                <w:lang w:val="ro-RO"/>
              </w:rPr>
              <w:lastRenderedPageBreak/>
              <w:t>DCD-A11</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6B3439A"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63544C8"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3.1</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49CA4B2"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Elaborarea, consultarea și adoptarea unui pachet legislativ specific privind DCD, care să includă cel puțin: norme tehnice și criterii naționale de încetare a statutului de deșeu (inclusiv calitatea materialului rezultat din tratare); norme clare de încetare a statutului de deșeu pentru agregatele reciclate și materialele utilizate ca umplutură; condiții și criterii pentru reciclarea, reutilizarea și recertificarea materialelor recuperate; stimularea folosirii unui procent de material reciclat în construcții; clasificarea clară a fluxurilor de DCD (inclusiv fracțiile neconvenționale); separarea/sortarea obligatorie la sursă; interzicerea la depozitele municipale a DCD valorificabil; sancțiuni mai drastice pentru depozitarea ilegală; reglementarea utilizării BIM (Building Information Modelling); obligații de raportare digitală (trasabilitate); indicatori de performanță noi integrați în contractele publice de construcții; o contribuție financiară pentru economia circulară care să stimuleze sortarea, tratarea și valorificarea DCD; un mecanism de descurajare a nerespectării normelor; sporirea capacității instituționale și tehnice de monitorizare și sancționare a depozitării ilegale</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866F3B1"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09F9B87"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MDLPA; MTI</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61E55CB"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 </w:t>
            </w:r>
          </w:p>
        </w:tc>
      </w:tr>
      <w:tr w:rsidR="00E00C46" w:rsidRPr="00187708" w14:paraId="770F20A6" w14:textId="77777777" w:rsidTr="00187708">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7570FE0"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DCD-A12</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208D8E5"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8759ED5"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3.2</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35B42D3"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Modificarea Legii 50/1991 privind autorizarea executării lucrărilor de construcții, în sensul introducerii obligației de întocmire a planului de gestionare a deșeurilor din activități de construire și/sau desființare (prevăzut în OUG 92/2021), condiționat de emiterea AC/AD</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5F1F4C47"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2028</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EBE1F67"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MDLPA; MMAP; MTI</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EC78390"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Bugetul de stat</w:t>
            </w:r>
          </w:p>
        </w:tc>
      </w:tr>
      <w:tr w:rsidR="00E00C46" w:rsidRPr="00187708" w14:paraId="7CC673C1" w14:textId="77777777" w:rsidTr="00187708">
        <w:trPr>
          <w:trHeight w:val="65"/>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A646B88"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DCD-A13</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197DF130"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F9A7B6F" w14:textId="77777777" w:rsidR="00E00C46" w:rsidRPr="00187708" w:rsidRDefault="00E00C46">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3.3</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347DFF42"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Completarea cadrului legal pentru asigurarea urmăririi planului de gestionare a deșeurilor de către responsabilii de mediu</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0B647B7"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BEA0EEC"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MDLPA; MTI</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D4B4C99" w14:textId="77777777" w:rsidR="00E00C46" w:rsidRPr="00187708" w:rsidRDefault="00E00C46">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Bugetul de stat</w:t>
            </w:r>
          </w:p>
        </w:tc>
      </w:tr>
      <w:tr w:rsidR="00E00C46" w:rsidRPr="00187708" w14:paraId="32EF84C9" w14:textId="77777777" w:rsidTr="0018770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48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4539BC9" w14:textId="77777777" w:rsidR="00E00C46" w:rsidRPr="00187708" w:rsidRDefault="00E00C46" w:rsidP="00B80B00">
            <w:pPr>
              <w:rPr>
                <w:rFonts w:ascii="Nunito" w:hAnsi="Nunito" w:cs="Arial"/>
                <w:color w:val="000000"/>
                <w:sz w:val="16"/>
                <w:szCs w:val="16"/>
                <w:lang w:val="ro-RO"/>
              </w:rPr>
            </w:pPr>
            <w:r w:rsidRPr="00187708">
              <w:rPr>
                <w:rFonts w:ascii="Nunito" w:hAnsi="Nunito" w:cs="Arial"/>
                <w:color w:val="000000"/>
                <w:sz w:val="16"/>
                <w:szCs w:val="16"/>
                <w:lang w:val="ro-RO"/>
              </w:rPr>
              <w:t>DCD-A14</w:t>
            </w:r>
          </w:p>
        </w:tc>
        <w:tc>
          <w:tcPr>
            <w:tcW w:w="871"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768C64C7"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66"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30322AE" w14:textId="77777777" w:rsidR="00E00C46" w:rsidRPr="00187708" w:rsidRDefault="00E00C46">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3.4</w:t>
            </w:r>
          </w:p>
        </w:tc>
        <w:tc>
          <w:tcPr>
            <w:tcW w:w="791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2A560E68"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Elaborarea normelor și reglementărilor pentru auditul pre-demolare</w:t>
            </w:r>
          </w:p>
        </w:tc>
        <w:tc>
          <w:tcPr>
            <w:tcW w:w="1687"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4273712B"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252"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61C950BE"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MTI; MDLPA; MC</w:t>
            </w:r>
          </w:p>
        </w:tc>
        <w:tc>
          <w:tcPr>
            <w:tcW w:w="3544" w:type="dxa"/>
            <w:tcBorders>
              <w:top w:val="single" w:sz="8" w:space="0" w:color="D9D9D9" w:themeColor="background1" w:themeShade="D9"/>
              <w:bottom w:val="single" w:sz="8" w:space="0" w:color="D9D9D9" w:themeColor="background1" w:themeShade="D9"/>
            </w:tcBorders>
            <w:shd w:val="clear" w:color="auto" w:fill="FFFFFF" w:themeFill="background1"/>
            <w:hideMark/>
          </w:tcPr>
          <w:p w14:paraId="032B65DD" w14:textId="77777777" w:rsidR="00E00C46" w:rsidRPr="00187708" w:rsidRDefault="00E00C46">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Bugetul de stat</w:t>
            </w:r>
          </w:p>
        </w:tc>
      </w:tr>
    </w:tbl>
    <w:p w14:paraId="32AE6C5C" w14:textId="1F9B7D88" w:rsidR="00E00C46" w:rsidRPr="00187708" w:rsidRDefault="00E00C46">
      <w:pPr>
        <w:rPr>
          <w:rFonts w:ascii="Nunito" w:eastAsiaTheme="majorEastAsia" w:hAnsi="Nunito" w:cstheme="majorBidi"/>
          <w:sz w:val="16"/>
          <w:szCs w:val="16"/>
          <w:lang w:val="ro-RO"/>
        </w:rPr>
      </w:pPr>
    </w:p>
    <w:p w14:paraId="1D4FAAC0" w14:textId="77777777" w:rsidR="00D00FA0" w:rsidRPr="00187708" w:rsidRDefault="00D00FA0" w:rsidP="00D00FA0">
      <w:pPr>
        <w:rPr>
          <w:rFonts w:ascii="Nunito" w:eastAsiaTheme="majorEastAsia" w:hAnsi="Nunito" w:cstheme="majorBidi"/>
          <w:sz w:val="16"/>
          <w:szCs w:val="16"/>
          <w:lang w:val="ro-RO"/>
        </w:rPr>
      </w:pPr>
    </w:p>
    <w:p w14:paraId="3FBF8ACE" w14:textId="3DBF8BD1" w:rsidR="007E41CF" w:rsidRPr="00187708" w:rsidRDefault="00D00FA0" w:rsidP="00D00FA0">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11</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w:t>
      </w:r>
      <w:r w:rsidR="00F57543" w:rsidRPr="00187708">
        <w:rPr>
          <w:rFonts w:ascii="Nunito" w:hAnsi="Nunito"/>
          <w:b/>
          <w:bCs/>
          <w:color w:val="009DF0" w:themeColor="text2"/>
          <w:sz w:val="16"/>
          <w:szCs w:val="16"/>
          <w:lang w:val="ro-RO"/>
        </w:rPr>
        <w:t>deșeurile de nămoluri rezultate de la epurarea apelor uzate orășenești</w:t>
      </w:r>
    </w:p>
    <w:tbl>
      <w:tblPr>
        <w:tblStyle w:val="ListTable1Light-Accent1"/>
        <w:tblW w:w="21121" w:type="dxa"/>
        <w:tblBorders>
          <w:top w:val="single" w:sz="8" w:space="0" w:color="D9D9D9" w:themeColor="background1" w:themeShade="D9"/>
          <w:bottom w:val="single" w:sz="8" w:space="0" w:color="D9D9D9" w:themeColor="background1" w:themeShade="D9"/>
          <w:insideH w:val="single" w:sz="8" w:space="0" w:color="D9D9D9" w:themeColor="background1" w:themeShade="D9"/>
        </w:tblBorders>
        <w:tblLook w:val="04A0" w:firstRow="1" w:lastRow="0" w:firstColumn="1" w:lastColumn="0" w:noHBand="0" w:noVBand="1"/>
      </w:tblPr>
      <w:tblGrid>
        <w:gridCol w:w="1474"/>
        <w:gridCol w:w="866"/>
        <w:gridCol w:w="1357"/>
        <w:gridCol w:w="7866"/>
        <w:gridCol w:w="1762"/>
        <w:gridCol w:w="4252"/>
        <w:gridCol w:w="3544"/>
      </w:tblGrid>
      <w:tr w:rsidR="007C7969" w:rsidRPr="00187708" w14:paraId="68863E37" w14:textId="77777777" w:rsidTr="0018770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474" w:type="dxa"/>
            <w:tcBorders>
              <w:bottom w:val="none" w:sz="0" w:space="0" w:color="auto"/>
            </w:tcBorders>
            <w:shd w:val="clear" w:color="auto" w:fill="00B0F0"/>
            <w:hideMark/>
          </w:tcPr>
          <w:p w14:paraId="107AAD7B" w14:textId="77777777" w:rsidR="007C7969" w:rsidRPr="00187708" w:rsidRDefault="007C7969" w:rsidP="007C7969">
            <w:pPr>
              <w:jc w:val="center"/>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Cod</w:t>
            </w:r>
          </w:p>
        </w:tc>
        <w:tc>
          <w:tcPr>
            <w:tcW w:w="866" w:type="dxa"/>
            <w:tcBorders>
              <w:bottom w:val="none" w:sz="0" w:space="0" w:color="auto"/>
            </w:tcBorders>
            <w:shd w:val="clear" w:color="auto" w:fill="00B0F0"/>
            <w:hideMark/>
          </w:tcPr>
          <w:p w14:paraId="4D5DEEDF" w14:textId="77777777" w:rsidR="007C7969" w:rsidRPr="00187708" w:rsidRDefault="007C7969" w:rsidP="007C7969">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Nivel</w:t>
            </w:r>
          </w:p>
        </w:tc>
        <w:tc>
          <w:tcPr>
            <w:tcW w:w="1357" w:type="dxa"/>
            <w:tcBorders>
              <w:bottom w:val="none" w:sz="0" w:space="0" w:color="auto"/>
            </w:tcBorders>
            <w:shd w:val="clear" w:color="auto" w:fill="00B0F0"/>
            <w:hideMark/>
          </w:tcPr>
          <w:p w14:paraId="27A1BAC7" w14:textId="1E9AB148" w:rsidR="007C7969" w:rsidRPr="00187708" w:rsidRDefault="007C7969" w:rsidP="007C7969">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 xml:space="preserve">Nr. </w:t>
            </w:r>
            <w:r w:rsidRPr="00187708">
              <w:rPr>
                <w:rFonts w:ascii="Nunito" w:eastAsia="Times New Roman" w:hAnsi="Nunito" w:cs="Arial"/>
                <w:b w:val="0"/>
                <w:bCs w:val="0"/>
                <w:color w:val="FFFFFF"/>
                <w:sz w:val="16"/>
                <w:szCs w:val="16"/>
                <w:lang w:val="ro-RO"/>
              </w:rPr>
              <w:t xml:space="preserve">Crt </w:t>
            </w:r>
            <w:r w:rsidRPr="00187708">
              <w:rPr>
                <w:rFonts w:ascii="Nunito" w:eastAsia="Times New Roman" w:hAnsi="Nunito" w:cs="Arial"/>
                <w:color w:val="FFFFFF"/>
                <w:sz w:val="16"/>
                <w:szCs w:val="16"/>
                <w:lang w:val="ro-RO"/>
              </w:rPr>
              <w:t>PNGD</w:t>
            </w:r>
          </w:p>
        </w:tc>
        <w:tc>
          <w:tcPr>
            <w:tcW w:w="7866" w:type="dxa"/>
            <w:tcBorders>
              <w:bottom w:val="none" w:sz="0" w:space="0" w:color="auto"/>
            </w:tcBorders>
            <w:shd w:val="clear" w:color="auto" w:fill="00B0F0"/>
            <w:hideMark/>
          </w:tcPr>
          <w:p w14:paraId="02872F00" w14:textId="77777777" w:rsidR="007C7969" w:rsidRPr="00187708" w:rsidRDefault="007C7969" w:rsidP="007C7969">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Denumire obiectiv / acțiune</w:t>
            </w:r>
          </w:p>
        </w:tc>
        <w:tc>
          <w:tcPr>
            <w:tcW w:w="1762" w:type="dxa"/>
            <w:tcBorders>
              <w:bottom w:val="none" w:sz="0" w:space="0" w:color="auto"/>
            </w:tcBorders>
            <w:shd w:val="clear" w:color="auto" w:fill="00B0F0"/>
            <w:hideMark/>
          </w:tcPr>
          <w:p w14:paraId="1722CA26" w14:textId="77777777" w:rsidR="007C7969" w:rsidRPr="00187708" w:rsidRDefault="007C7969" w:rsidP="007C7969">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Termen</w:t>
            </w:r>
          </w:p>
        </w:tc>
        <w:tc>
          <w:tcPr>
            <w:tcW w:w="4252" w:type="dxa"/>
            <w:tcBorders>
              <w:bottom w:val="none" w:sz="0" w:space="0" w:color="auto"/>
            </w:tcBorders>
            <w:shd w:val="clear" w:color="auto" w:fill="00B0F0"/>
            <w:hideMark/>
          </w:tcPr>
          <w:p w14:paraId="2CB1E1A9" w14:textId="77777777" w:rsidR="007C7969" w:rsidRPr="00187708" w:rsidRDefault="007C7969" w:rsidP="007C7969">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Responsabili</w:t>
            </w:r>
          </w:p>
        </w:tc>
        <w:tc>
          <w:tcPr>
            <w:tcW w:w="3544" w:type="dxa"/>
            <w:tcBorders>
              <w:bottom w:val="none" w:sz="0" w:space="0" w:color="auto"/>
            </w:tcBorders>
            <w:shd w:val="clear" w:color="auto" w:fill="00B0F0"/>
            <w:hideMark/>
          </w:tcPr>
          <w:p w14:paraId="3F2AD04F" w14:textId="77777777" w:rsidR="007C7969" w:rsidRPr="00187708" w:rsidRDefault="007C7969" w:rsidP="007C7969">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Sursa de finanțare</w:t>
            </w:r>
          </w:p>
        </w:tc>
      </w:tr>
      <w:tr w:rsidR="004105B8" w:rsidRPr="00187708" w14:paraId="597C130D" w14:textId="77777777" w:rsidTr="0018770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hideMark/>
          </w:tcPr>
          <w:p w14:paraId="010DA3D1" w14:textId="77777777" w:rsidR="004105B8" w:rsidRPr="00187708" w:rsidRDefault="004105B8" w:rsidP="00B80B00">
            <w:pPr>
              <w:rPr>
                <w:rFonts w:ascii="Nunito" w:hAnsi="Nunito" w:cs="Arial"/>
                <w:color w:val="000000"/>
                <w:sz w:val="16"/>
                <w:szCs w:val="16"/>
                <w:lang w:val="ro-RO"/>
              </w:rPr>
            </w:pPr>
            <w:r w:rsidRPr="00187708">
              <w:rPr>
                <w:rFonts w:ascii="Nunito" w:hAnsi="Nunito" w:cs="Arial"/>
                <w:color w:val="000000"/>
                <w:sz w:val="16"/>
                <w:szCs w:val="16"/>
                <w:lang w:val="ro-RO"/>
              </w:rPr>
              <w:t>NAM-OS-01</w:t>
            </w:r>
          </w:p>
        </w:tc>
        <w:tc>
          <w:tcPr>
            <w:tcW w:w="866" w:type="dxa"/>
            <w:shd w:val="clear" w:color="auto" w:fill="auto"/>
            <w:hideMark/>
          </w:tcPr>
          <w:p w14:paraId="0352489E"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57" w:type="dxa"/>
            <w:shd w:val="clear" w:color="auto" w:fill="auto"/>
            <w:hideMark/>
          </w:tcPr>
          <w:p w14:paraId="06B89804"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1</w:t>
            </w:r>
          </w:p>
        </w:tc>
        <w:tc>
          <w:tcPr>
            <w:tcW w:w="17424" w:type="dxa"/>
            <w:gridSpan w:val="4"/>
            <w:shd w:val="clear" w:color="auto" w:fill="auto"/>
            <w:hideMark/>
          </w:tcPr>
          <w:p w14:paraId="2C9489ED" w14:textId="03FFF9E6" w:rsidR="004105B8" w:rsidRPr="00187708" w:rsidRDefault="004105B8" w:rsidP="004105B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Planificarea gestionării nămolurilor rezultate de la stațiile de epurare orășenești</w:t>
            </w:r>
          </w:p>
        </w:tc>
      </w:tr>
      <w:tr w:rsidR="007C7969" w:rsidRPr="00187708" w14:paraId="57A5C401" w14:textId="77777777" w:rsidTr="00187708">
        <w:trPr>
          <w:trHeight w:val="70"/>
        </w:trPr>
        <w:tc>
          <w:tcPr>
            <w:cnfStyle w:val="001000000000" w:firstRow="0" w:lastRow="0" w:firstColumn="1" w:lastColumn="0" w:oddVBand="0" w:evenVBand="0" w:oddHBand="0" w:evenHBand="0" w:firstRowFirstColumn="0" w:firstRowLastColumn="0" w:lastRowFirstColumn="0" w:lastRowLastColumn="0"/>
            <w:tcW w:w="1474" w:type="dxa"/>
            <w:hideMark/>
          </w:tcPr>
          <w:p w14:paraId="07F3BE48" w14:textId="77777777" w:rsidR="007C7969" w:rsidRPr="00187708" w:rsidRDefault="007C7969" w:rsidP="00B80B00">
            <w:pPr>
              <w:rPr>
                <w:rFonts w:ascii="Nunito" w:hAnsi="Nunito" w:cs="Arial"/>
                <w:color w:val="000000"/>
                <w:sz w:val="16"/>
                <w:szCs w:val="16"/>
                <w:lang w:val="ro-RO"/>
              </w:rPr>
            </w:pPr>
            <w:r w:rsidRPr="00187708">
              <w:rPr>
                <w:rFonts w:ascii="Nunito" w:hAnsi="Nunito" w:cs="Arial"/>
                <w:color w:val="000000"/>
                <w:sz w:val="16"/>
                <w:szCs w:val="16"/>
                <w:lang w:val="ro-RO"/>
              </w:rPr>
              <w:t>NAM-A1</w:t>
            </w:r>
          </w:p>
        </w:tc>
        <w:tc>
          <w:tcPr>
            <w:tcW w:w="866" w:type="dxa"/>
            <w:hideMark/>
          </w:tcPr>
          <w:p w14:paraId="2CD77A7E"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57" w:type="dxa"/>
            <w:hideMark/>
          </w:tcPr>
          <w:p w14:paraId="6182FF4D"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7866" w:type="dxa"/>
            <w:hideMark/>
          </w:tcPr>
          <w:p w14:paraId="79890A68"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și aprobarea Strategiei Naționale privind Gestionarea Nămolurilor de Epurare</w:t>
            </w:r>
          </w:p>
        </w:tc>
        <w:tc>
          <w:tcPr>
            <w:tcW w:w="1762" w:type="dxa"/>
            <w:hideMark/>
          </w:tcPr>
          <w:p w14:paraId="19612508"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52" w:type="dxa"/>
            <w:hideMark/>
          </w:tcPr>
          <w:p w14:paraId="3ED65117"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ANAR</w:t>
            </w:r>
          </w:p>
        </w:tc>
        <w:tc>
          <w:tcPr>
            <w:tcW w:w="3544" w:type="dxa"/>
            <w:hideMark/>
          </w:tcPr>
          <w:p w14:paraId="3EF1A723"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4105B8" w:rsidRPr="00187708" w14:paraId="2E2243B8" w14:textId="77777777" w:rsidTr="0018770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hideMark/>
          </w:tcPr>
          <w:p w14:paraId="0D5D2F7C" w14:textId="77777777" w:rsidR="004105B8" w:rsidRPr="00187708" w:rsidRDefault="004105B8" w:rsidP="00B80B00">
            <w:pPr>
              <w:rPr>
                <w:rFonts w:ascii="Nunito" w:hAnsi="Nunito" w:cs="Arial"/>
                <w:color w:val="000000"/>
                <w:sz w:val="16"/>
                <w:szCs w:val="16"/>
                <w:lang w:val="ro-RO"/>
              </w:rPr>
            </w:pPr>
            <w:r w:rsidRPr="00187708">
              <w:rPr>
                <w:rFonts w:ascii="Nunito" w:hAnsi="Nunito" w:cs="Arial"/>
                <w:color w:val="000000"/>
                <w:sz w:val="16"/>
                <w:szCs w:val="16"/>
                <w:lang w:val="ro-RO"/>
              </w:rPr>
              <w:t>NAM-OS-02</w:t>
            </w:r>
          </w:p>
        </w:tc>
        <w:tc>
          <w:tcPr>
            <w:tcW w:w="866" w:type="dxa"/>
            <w:shd w:val="clear" w:color="auto" w:fill="auto"/>
            <w:hideMark/>
          </w:tcPr>
          <w:p w14:paraId="4AF368B6"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57" w:type="dxa"/>
            <w:shd w:val="clear" w:color="auto" w:fill="auto"/>
            <w:hideMark/>
          </w:tcPr>
          <w:p w14:paraId="7704DE96"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17424" w:type="dxa"/>
            <w:gridSpan w:val="4"/>
            <w:shd w:val="clear" w:color="auto" w:fill="auto"/>
            <w:hideMark/>
          </w:tcPr>
          <w:p w14:paraId="6786817B" w14:textId="0E22946B" w:rsidR="004105B8" w:rsidRPr="00187708" w:rsidRDefault="004105B8" w:rsidP="004105B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Gestionarea durabilă a nămolurilor rezultate de la stațiile de epurare orășenești</w:t>
            </w:r>
          </w:p>
        </w:tc>
      </w:tr>
      <w:tr w:rsidR="007C7969" w:rsidRPr="00187708" w14:paraId="442ED960" w14:textId="77777777" w:rsidTr="00187708">
        <w:trPr>
          <w:trHeight w:val="485"/>
        </w:trPr>
        <w:tc>
          <w:tcPr>
            <w:cnfStyle w:val="001000000000" w:firstRow="0" w:lastRow="0" w:firstColumn="1" w:lastColumn="0" w:oddVBand="0" w:evenVBand="0" w:oddHBand="0" w:evenHBand="0" w:firstRowFirstColumn="0" w:firstRowLastColumn="0" w:lastRowFirstColumn="0" w:lastRowLastColumn="0"/>
            <w:tcW w:w="1474" w:type="dxa"/>
            <w:hideMark/>
          </w:tcPr>
          <w:p w14:paraId="738CC33B" w14:textId="77777777" w:rsidR="007C7969" w:rsidRPr="00187708" w:rsidRDefault="007C7969" w:rsidP="00B80B00">
            <w:pPr>
              <w:rPr>
                <w:rFonts w:ascii="Nunito" w:hAnsi="Nunito" w:cs="Arial"/>
                <w:color w:val="000000"/>
                <w:sz w:val="16"/>
                <w:szCs w:val="16"/>
                <w:lang w:val="ro-RO"/>
              </w:rPr>
            </w:pPr>
            <w:r w:rsidRPr="00187708">
              <w:rPr>
                <w:rFonts w:ascii="Nunito" w:hAnsi="Nunito" w:cs="Arial"/>
                <w:color w:val="000000"/>
                <w:sz w:val="16"/>
                <w:szCs w:val="16"/>
                <w:lang w:val="ro-RO"/>
              </w:rPr>
              <w:t>NAM-A2</w:t>
            </w:r>
          </w:p>
        </w:tc>
        <w:tc>
          <w:tcPr>
            <w:tcW w:w="866" w:type="dxa"/>
            <w:hideMark/>
          </w:tcPr>
          <w:p w14:paraId="7A2AA305"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57" w:type="dxa"/>
            <w:hideMark/>
          </w:tcPr>
          <w:p w14:paraId="50BCE8EE"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7866" w:type="dxa"/>
            <w:hideMark/>
          </w:tcPr>
          <w:p w14:paraId="7A40E4E0"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de capacități pentru recuperarea nutrienților (fosfor, azot) din nămolurile de epurare</w:t>
            </w:r>
          </w:p>
        </w:tc>
        <w:tc>
          <w:tcPr>
            <w:tcW w:w="1762" w:type="dxa"/>
            <w:hideMark/>
          </w:tcPr>
          <w:p w14:paraId="26994D3A"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4252" w:type="dxa"/>
            <w:hideMark/>
          </w:tcPr>
          <w:p w14:paraId="62347A9E"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Operatorii de apă; MMAP; MADR</w:t>
            </w:r>
          </w:p>
        </w:tc>
        <w:tc>
          <w:tcPr>
            <w:tcW w:w="3544" w:type="dxa"/>
            <w:hideMark/>
          </w:tcPr>
          <w:p w14:paraId="1250E35B"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 Buget de stat</w:t>
            </w:r>
          </w:p>
        </w:tc>
      </w:tr>
      <w:tr w:rsidR="004105B8" w:rsidRPr="00187708" w14:paraId="5660A1E4" w14:textId="77777777" w:rsidTr="0018770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hideMark/>
          </w:tcPr>
          <w:p w14:paraId="5455FE02" w14:textId="77777777" w:rsidR="004105B8" w:rsidRPr="00187708" w:rsidRDefault="004105B8" w:rsidP="00B80B00">
            <w:pPr>
              <w:rPr>
                <w:rFonts w:ascii="Nunito" w:hAnsi="Nunito" w:cs="Arial"/>
                <w:color w:val="000000"/>
                <w:sz w:val="16"/>
                <w:szCs w:val="16"/>
                <w:lang w:val="ro-RO"/>
              </w:rPr>
            </w:pPr>
            <w:r w:rsidRPr="00187708">
              <w:rPr>
                <w:rFonts w:ascii="Nunito" w:hAnsi="Nunito" w:cs="Arial"/>
                <w:color w:val="000000"/>
                <w:sz w:val="16"/>
                <w:szCs w:val="16"/>
                <w:lang w:val="ro-RO"/>
              </w:rPr>
              <w:t>NAM-OS-03</w:t>
            </w:r>
          </w:p>
        </w:tc>
        <w:tc>
          <w:tcPr>
            <w:tcW w:w="866" w:type="dxa"/>
            <w:shd w:val="clear" w:color="auto" w:fill="auto"/>
            <w:hideMark/>
          </w:tcPr>
          <w:p w14:paraId="01FE6D2B"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57" w:type="dxa"/>
            <w:shd w:val="clear" w:color="auto" w:fill="auto"/>
            <w:hideMark/>
          </w:tcPr>
          <w:p w14:paraId="18AEC751"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3</w:t>
            </w:r>
          </w:p>
        </w:tc>
        <w:tc>
          <w:tcPr>
            <w:tcW w:w="17424" w:type="dxa"/>
            <w:gridSpan w:val="4"/>
            <w:shd w:val="clear" w:color="auto" w:fill="auto"/>
            <w:hideMark/>
          </w:tcPr>
          <w:p w14:paraId="2AD206EE" w14:textId="5FA4989F" w:rsidR="004105B8" w:rsidRPr="00187708" w:rsidRDefault="004105B8" w:rsidP="004105B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Creșterea cantităților de nămol valorificate conform reglementărilor în vigoare</w:t>
            </w:r>
          </w:p>
        </w:tc>
      </w:tr>
      <w:tr w:rsidR="007C7969" w:rsidRPr="00187708" w14:paraId="4F984920" w14:textId="77777777" w:rsidTr="00187708">
        <w:trPr>
          <w:trHeight w:val="485"/>
        </w:trPr>
        <w:tc>
          <w:tcPr>
            <w:cnfStyle w:val="001000000000" w:firstRow="0" w:lastRow="0" w:firstColumn="1" w:lastColumn="0" w:oddVBand="0" w:evenVBand="0" w:oddHBand="0" w:evenHBand="0" w:firstRowFirstColumn="0" w:firstRowLastColumn="0" w:lastRowFirstColumn="0" w:lastRowLastColumn="0"/>
            <w:tcW w:w="1474" w:type="dxa"/>
            <w:hideMark/>
          </w:tcPr>
          <w:p w14:paraId="542F81F7" w14:textId="77777777" w:rsidR="007C7969" w:rsidRPr="00187708" w:rsidRDefault="007C7969" w:rsidP="00B80B00">
            <w:pPr>
              <w:rPr>
                <w:rFonts w:ascii="Nunito" w:hAnsi="Nunito" w:cs="Arial"/>
                <w:color w:val="000000"/>
                <w:sz w:val="16"/>
                <w:szCs w:val="16"/>
                <w:lang w:val="ro-RO"/>
              </w:rPr>
            </w:pPr>
            <w:r w:rsidRPr="00187708">
              <w:rPr>
                <w:rFonts w:ascii="Nunito" w:hAnsi="Nunito" w:cs="Arial"/>
                <w:color w:val="000000"/>
                <w:sz w:val="16"/>
                <w:szCs w:val="16"/>
                <w:lang w:val="ro-RO"/>
              </w:rPr>
              <w:t>NAM-A3</w:t>
            </w:r>
          </w:p>
        </w:tc>
        <w:tc>
          <w:tcPr>
            <w:tcW w:w="866" w:type="dxa"/>
            <w:hideMark/>
          </w:tcPr>
          <w:p w14:paraId="3D99CE47"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57" w:type="dxa"/>
            <w:hideMark/>
          </w:tcPr>
          <w:p w14:paraId="508B42B3"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w:t>
            </w:r>
          </w:p>
        </w:tc>
        <w:tc>
          <w:tcPr>
            <w:tcW w:w="7866" w:type="dxa"/>
            <w:hideMark/>
          </w:tcPr>
          <w:p w14:paraId="098A9CC1"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Desfășurarea de campanii permanente de informare a factorilor interesați privind gestionarea și valorificarea eficientă a nămolurilor</w:t>
            </w:r>
          </w:p>
        </w:tc>
        <w:tc>
          <w:tcPr>
            <w:tcW w:w="1762" w:type="dxa"/>
            <w:hideMark/>
          </w:tcPr>
          <w:p w14:paraId="25AC55C8"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252" w:type="dxa"/>
            <w:hideMark/>
          </w:tcPr>
          <w:p w14:paraId="5F639FF0"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Operatorii de apă; MMAP; MADR</w:t>
            </w:r>
          </w:p>
        </w:tc>
        <w:tc>
          <w:tcPr>
            <w:tcW w:w="3544" w:type="dxa"/>
            <w:hideMark/>
          </w:tcPr>
          <w:p w14:paraId="0BFBA291"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 Buget de stat</w:t>
            </w:r>
          </w:p>
        </w:tc>
      </w:tr>
      <w:tr w:rsidR="004105B8" w:rsidRPr="00187708" w14:paraId="0B989B3C" w14:textId="77777777" w:rsidTr="0018770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hideMark/>
          </w:tcPr>
          <w:p w14:paraId="203A3029" w14:textId="77777777" w:rsidR="004105B8" w:rsidRPr="00187708" w:rsidRDefault="004105B8" w:rsidP="00B80B00">
            <w:pPr>
              <w:rPr>
                <w:rFonts w:ascii="Nunito" w:hAnsi="Nunito" w:cs="Arial"/>
                <w:color w:val="000000"/>
                <w:sz w:val="16"/>
                <w:szCs w:val="16"/>
                <w:lang w:val="ro-RO"/>
              </w:rPr>
            </w:pPr>
            <w:r w:rsidRPr="00187708">
              <w:rPr>
                <w:rFonts w:ascii="Nunito" w:hAnsi="Nunito" w:cs="Arial"/>
                <w:color w:val="000000"/>
                <w:sz w:val="16"/>
                <w:szCs w:val="16"/>
                <w:lang w:val="ro-RO"/>
              </w:rPr>
              <w:t>NAM-OS-04</w:t>
            </w:r>
          </w:p>
        </w:tc>
        <w:tc>
          <w:tcPr>
            <w:tcW w:w="866" w:type="dxa"/>
            <w:shd w:val="clear" w:color="auto" w:fill="auto"/>
            <w:hideMark/>
          </w:tcPr>
          <w:p w14:paraId="73565F12"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57" w:type="dxa"/>
            <w:shd w:val="clear" w:color="auto" w:fill="auto"/>
            <w:hideMark/>
          </w:tcPr>
          <w:p w14:paraId="538A2EFF" w14:textId="77777777" w:rsidR="004105B8" w:rsidRPr="00187708" w:rsidRDefault="004105B8"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4</w:t>
            </w:r>
          </w:p>
        </w:tc>
        <w:tc>
          <w:tcPr>
            <w:tcW w:w="17424" w:type="dxa"/>
            <w:gridSpan w:val="4"/>
            <w:shd w:val="clear" w:color="auto" w:fill="auto"/>
            <w:hideMark/>
          </w:tcPr>
          <w:p w14:paraId="054A39D0" w14:textId="487FFE1A" w:rsidR="004105B8" w:rsidRPr="00187708" w:rsidRDefault="004105B8" w:rsidP="004105B8">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Dezvoltarea cadrului legal privind gestionarea deșeurilor de nămoluri rezultate de la epurarea apelor uzate orășenești</w:t>
            </w:r>
          </w:p>
        </w:tc>
      </w:tr>
      <w:tr w:rsidR="007C7969" w:rsidRPr="00187708" w14:paraId="7CE52819" w14:textId="77777777" w:rsidTr="00187708">
        <w:trPr>
          <w:trHeight w:val="70"/>
        </w:trPr>
        <w:tc>
          <w:tcPr>
            <w:cnfStyle w:val="001000000000" w:firstRow="0" w:lastRow="0" w:firstColumn="1" w:lastColumn="0" w:oddVBand="0" w:evenVBand="0" w:oddHBand="0" w:evenHBand="0" w:firstRowFirstColumn="0" w:firstRowLastColumn="0" w:lastRowFirstColumn="0" w:lastRowLastColumn="0"/>
            <w:tcW w:w="1474" w:type="dxa"/>
            <w:hideMark/>
          </w:tcPr>
          <w:p w14:paraId="788808E3" w14:textId="77777777" w:rsidR="007C7969" w:rsidRPr="00187708" w:rsidRDefault="007C7969" w:rsidP="00B80B00">
            <w:pPr>
              <w:rPr>
                <w:rFonts w:ascii="Nunito" w:hAnsi="Nunito" w:cs="Arial"/>
                <w:color w:val="000000"/>
                <w:sz w:val="16"/>
                <w:szCs w:val="16"/>
                <w:lang w:val="ro-RO"/>
              </w:rPr>
            </w:pPr>
            <w:r w:rsidRPr="00187708">
              <w:rPr>
                <w:rFonts w:ascii="Nunito" w:hAnsi="Nunito" w:cs="Arial"/>
                <w:color w:val="000000"/>
                <w:sz w:val="16"/>
                <w:szCs w:val="16"/>
                <w:lang w:val="ro-RO"/>
              </w:rPr>
              <w:t>NAM-A4</w:t>
            </w:r>
          </w:p>
        </w:tc>
        <w:tc>
          <w:tcPr>
            <w:tcW w:w="866" w:type="dxa"/>
            <w:hideMark/>
          </w:tcPr>
          <w:p w14:paraId="15C9E03B"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57" w:type="dxa"/>
            <w:hideMark/>
          </w:tcPr>
          <w:p w14:paraId="7CAC0355" w14:textId="77777777" w:rsidR="007C7969" w:rsidRPr="00187708" w:rsidRDefault="007C7969" w:rsidP="007C7969">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4.1</w:t>
            </w:r>
          </w:p>
        </w:tc>
        <w:tc>
          <w:tcPr>
            <w:tcW w:w="7866" w:type="dxa"/>
            <w:hideMark/>
          </w:tcPr>
          <w:p w14:paraId="6E08D427"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de legislație privind recuperarea anumitor resurse din nămolul de epurare, în special fosfor (P) și azot (N), inclusiv din cenușa rezultată din incinerarea nămolurilor</w:t>
            </w:r>
          </w:p>
        </w:tc>
        <w:tc>
          <w:tcPr>
            <w:tcW w:w="1762" w:type="dxa"/>
            <w:hideMark/>
          </w:tcPr>
          <w:p w14:paraId="63BFDB2B"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52" w:type="dxa"/>
            <w:hideMark/>
          </w:tcPr>
          <w:p w14:paraId="5247FC54"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w:t>
            </w:r>
          </w:p>
        </w:tc>
        <w:tc>
          <w:tcPr>
            <w:tcW w:w="3544" w:type="dxa"/>
            <w:hideMark/>
          </w:tcPr>
          <w:p w14:paraId="2EA7F816" w14:textId="77777777" w:rsidR="007C7969" w:rsidRPr="00187708" w:rsidRDefault="007C7969" w:rsidP="007C7969">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7C7969" w:rsidRPr="00187708" w14:paraId="4DDFBACF" w14:textId="77777777" w:rsidTr="00187708">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74" w:type="dxa"/>
            <w:shd w:val="clear" w:color="auto" w:fill="auto"/>
            <w:hideMark/>
          </w:tcPr>
          <w:p w14:paraId="7E404B8D" w14:textId="77777777" w:rsidR="007C7969" w:rsidRPr="00187708" w:rsidRDefault="007C7969" w:rsidP="00B80B00">
            <w:pPr>
              <w:rPr>
                <w:rFonts w:ascii="Nunito" w:hAnsi="Nunito" w:cs="Arial"/>
                <w:color w:val="000000"/>
                <w:sz w:val="16"/>
                <w:szCs w:val="16"/>
                <w:lang w:val="ro-RO"/>
              </w:rPr>
            </w:pPr>
            <w:r w:rsidRPr="00187708">
              <w:rPr>
                <w:rFonts w:ascii="Nunito" w:hAnsi="Nunito" w:cs="Arial"/>
                <w:color w:val="000000"/>
                <w:sz w:val="16"/>
                <w:szCs w:val="16"/>
                <w:lang w:val="ro-RO"/>
              </w:rPr>
              <w:t>NAM-A5</w:t>
            </w:r>
          </w:p>
        </w:tc>
        <w:tc>
          <w:tcPr>
            <w:tcW w:w="866" w:type="dxa"/>
            <w:shd w:val="clear" w:color="auto" w:fill="auto"/>
            <w:hideMark/>
          </w:tcPr>
          <w:p w14:paraId="039F65D3" w14:textId="77777777" w:rsidR="007C7969" w:rsidRPr="00187708" w:rsidRDefault="007C7969"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57" w:type="dxa"/>
            <w:shd w:val="clear" w:color="auto" w:fill="auto"/>
            <w:hideMark/>
          </w:tcPr>
          <w:p w14:paraId="1511FE09" w14:textId="77777777" w:rsidR="007C7969" w:rsidRPr="00187708" w:rsidRDefault="007C7969" w:rsidP="007C7969">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4.2</w:t>
            </w:r>
          </w:p>
        </w:tc>
        <w:tc>
          <w:tcPr>
            <w:tcW w:w="7866" w:type="dxa"/>
            <w:shd w:val="clear" w:color="auto" w:fill="auto"/>
            <w:hideMark/>
          </w:tcPr>
          <w:p w14:paraId="6E4B6374" w14:textId="77777777" w:rsidR="007C7969" w:rsidRPr="00187708" w:rsidRDefault="007C7969" w:rsidP="007C7969">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Actualizarea legislației privind gestionarea și valorificarea nămolurilor de epurare conform reglementărilor europene în vigoare și cerințelor/condițiilor de la nivel național</w:t>
            </w:r>
          </w:p>
        </w:tc>
        <w:tc>
          <w:tcPr>
            <w:tcW w:w="1762" w:type="dxa"/>
            <w:shd w:val="clear" w:color="auto" w:fill="auto"/>
            <w:hideMark/>
          </w:tcPr>
          <w:p w14:paraId="5D333E38" w14:textId="77777777" w:rsidR="007C7969" w:rsidRPr="00187708" w:rsidRDefault="007C7969" w:rsidP="007C7969">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252" w:type="dxa"/>
            <w:shd w:val="clear" w:color="auto" w:fill="auto"/>
            <w:hideMark/>
          </w:tcPr>
          <w:p w14:paraId="11E6C589" w14:textId="77777777" w:rsidR="007C7969" w:rsidRPr="00187708" w:rsidRDefault="007C7969" w:rsidP="007C7969">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w:t>
            </w:r>
          </w:p>
        </w:tc>
        <w:tc>
          <w:tcPr>
            <w:tcW w:w="3544" w:type="dxa"/>
            <w:shd w:val="clear" w:color="auto" w:fill="auto"/>
            <w:hideMark/>
          </w:tcPr>
          <w:p w14:paraId="5D34CE6B" w14:textId="77777777" w:rsidR="007C7969" w:rsidRPr="00187708" w:rsidRDefault="007C7969" w:rsidP="007C7969">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406B02CB" w14:textId="77777777" w:rsidR="007E41CF" w:rsidRPr="00187708" w:rsidRDefault="007E41CF">
      <w:pPr>
        <w:rPr>
          <w:rFonts w:ascii="Nunito" w:eastAsiaTheme="majorEastAsia" w:hAnsi="Nunito" w:cstheme="majorBidi"/>
          <w:sz w:val="16"/>
          <w:szCs w:val="16"/>
          <w:lang w:val="ro-RO"/>
        </w:rPr>
      </w:pPr>
    </w:p>
    <w:p w14:paraId="07CFB46E" w14:textId="77777777" w:rsidR="002A78B6" w:rsidRPr="00187708" w:rsidRDefault="002A78B6" w:rsidP="002A78B6">
      <w:pPr>
        <w:rPr>
          <w:rFonts w:ascii="Nunito" w:eastAsiaTheme="majorEastAsia" w:hAnsi="Nunito" w:cstheme="majorBidi"/>
          <w:sz w:val="16"/>
          <w:szCs w:val="16"/>
          <w:lang w:val="ro-RO"/>
        </w:rPr>
      </w:pPr>
    </w:p>
    <w:p w14:paraId="007DA575" w14:textId="35A855FB" w:rsidR="00F74E8E" w:rsidRPr="00187708" w:rsidRDefault="002A78B6" w:rsidP="00F74E8E">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12</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w:t>
      </w:r>
      <w:r w:rsidR="00F74E8E" w:rsidRPr="00187708">
        <w:rPr>
          <w:rFonts w:ascii="Nunito" w:hAnsi="Nunito"/>
          <w:b/>
          <w:bCs/>
          <w:color w:val="009DF0" w:themeColor="text2"/>
          <w:sz w:val="16"/>
          <w:szCs w:val="16"/>
          <w:lang w:val="ro-RO"/>
        </w:rPr>
        <w:t>gestionarea deșeurilor cu conținut de PCB</w:t>
      </w:r>
    </w:p>
    <w:tbl>
      <w:tblPr>
        <w:tblStyle w:val="ListTable1Light-Accent1"/>
        <w:tblW w:w="21121" w:type="dxa"/>
        <w:tblLook w:val="04A0" w:firstRow="1" w:lastRow="0" w:firstColumn="1" w:lastColumn="0" w:noHBand="0" w:noVBand="1"/>
      </w:tblPr>
      <w:tblGrid>
        <w:gridCol w:w="1467"/>
        <w:gridCol w:w="861"/>
        <w:gridCol w:w="1351"/>
        <w:gridCol w:w="7826"/>
        <w:gridCol w:w="1820"/>
        <w:gridCol w:w="4252"/>
        <w:gridCol w:w="3544"/>
      </w:tblGrid>
      <w:tr w:rsidR="00C529A4" w:rsidRPr="00187708" w14:paraId="4C4C35CC" w14:textId="77777777" w:rsidTr="00187708">
        <w:trPr>
          <w:cnfStyle w:val="100000000000" w:firstRow="1" w:lastRow="0" w:firstColumn="0" w:lastColumn="0" w:oddVBand="0" w:evenVBand="0" w:oddHBand="0"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1467" w:type="dxa"/>
            <w:tcBorders>
              <w:bottom w:val="single" w:sz="8" w:space="0" w:color="D9D9D9" w:themeColor="background1" w:themeShade="D9"/>
            </w:tcBorders>
            <w:shd w:val="clear" w:color="auto" w:fill="00B0F0"/>
            <w:hideMark/>
          </w:tcPr>
          <w:p w14:paraId="2086ECEE" w14:textId="77777777" w:rsidR="00C529A4" w:rsidRPr="00187708" w:rsidRDefault="00C529A4">
            <w:pPr>
              <w:jc w:val="center"/>
              <w:rPr>
                <w:rFonts w:ascii="Nunito" w:hAnsi="Nunito" w:cs="Arial"/>
                <w:color w:val="FFFFFF"/>
                <w:sz w:val="16"/>
                <w:szCs w:val="16"/>
                <w:lang w:val="ro-RO"/>
              </w:rPr>
            </w:pPr>
            <w:r w:rsidRPr="00187708">
              <w:rPr>
                <w:rFonts w:ascii="Nunito" w:hAnsi="Nunito" w:cs="Arial"/>
                <w:color w:val="FFFFFF"/>
                <w:sz w:val="16"/>
                <w:szCs w:val="16"/>
                <w:lang w:val="ro-RO"/>
              </w:rPr>
              <w:t>Cod</w:t>
            </w:r>
          </w:p>
        </w:tc>
        <w:tc>
          <w:tcPr>
            <w:tcW w:w="861" w:type="dxa"/>
            <w:tcBorders>
              <w:bottom w:val="single" w:sz="8" w:space="0" w:color="D9D9D9" w:themeColor="background1" w:themeShade="D9"/>
            </w:tcBorders>
            <w:shd w:val="clear" w:color="auto" w:fill="00B0F0"/>
            <w:hideMark/>
          </w:tcPr>
          <w:p w14:paraId="733C209A" w14:textId="77777777" w:rsidR="00C529A4" w:rsidRPr="00187708" w:rsidRDefault="00C529A4">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sz w:val="16"/>
                <w:szCs w:val="16"/>
                <w:lang w:val="ro-RO"/>
              </w:rPr>
            </w:pPr>
            <w:r w:rsidRPr="00187708">
              <w:rPr>
                <w:rFonts w:ascii="Nunito" w:hAnsi="Nunito" w:cs="Arial"/>
                <w:color w:val="FFFFFF"/>
                <w:sz w:val="16"/>
                <w:szCs w:val="16"/>
                <w:lang w:val="ro-RO"/>
              </w:rPr>
              <w:t>Nivel</w:t>
            </w:r>
          </w:p>
        </w:tc>
        <w:tc>
          <w:tcPr>
            <w:tcW w:w="1351" w:type="dxa"/>
            <w:tcBorders>
              <w:bottom w:val="single" w:sz="8" w:space="0" w:color="D9D9D9" w:themeColor="background1" w:themeShade="D9"/>
            </w:tcBorders>
            <w:shd w:val="clear" w:color="auto" w:fill="00B0F0"/>
            <w:hideMark/>
          </w:tcPr>
          <w:p w14:paraId="64BBB259" w14:textId="784C45D9" w:rsidR="00C529A4" w:rsidRPr="00187708" w:rsidRDefault="002916EA">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sz w:val="16"/>
                <w:szCs w:val="16"/>
                <w:lang w:val="ro-RO"/>
              </w:rPr>
            </w:pPr>
            <w:r w:rsidRPr="00187708">
              <w:rPr>
                <w:rFonts w:ascii="Nunito" w:hAnsi="Nunito" w:cs="Arial"/>
                <w:color w:val="FFFFFF"/>
                <w:sz w:val="16"/>
                <w:szCs w:val="16"/>
                <w:lang w:val="ro-RO"/>
              </w:rPr>
              <w:t xml:space="preserve">Nr </w:t>
            </w:r>
            <w:r w:rsidR="00C61CC3" w:rsidRPr="00187708">
              <w:rPr>
                <w:rFonts w:ascii="Nunito" w:hAnsi="Nunito" w:cs="Arial"/>
                <w:color w:val="FFFFFF"/>
                <w:sz w:val="16"/>
                <w:szCs w:val="16"/>
                <w:lang w:val="ro-RO"/>
              </w:rPr>
              <w:t>C</w:t>
            </w:r>
            <w:r w:rsidRPr="00187708">
              <w:rPr>
                <w:rFonts w:ascii="Nunito" w:hAnsi="Nunito" w:cs="Arial"/>
                <w:color w:val="FFFFFF"/>
                <w:sz w:val="16"/>
                <w:szCs w:val="16"/>
                <w:lang w:val="ro-RO"/>
              </w:rPr>
              <w:t>rt</w:t>
            </w:r>
            <w:r w:rsidR="00C529A4" w:rsidRPr="00187708">
              <w:rPr>
                <w:rFonts w:ascii="Nunito" w:hAnsi="Nunito" w:cs="Arial"/>
                <w:color w:val="FFFFFF"/>
                <w:sz w:val="16"/>
                <w:szCs w:val="16"/>
                <w:lang w:val="ro-RO"/>
              </w:rPr>
              <w:t xml:space="preserve"> PNGD</w:t>
            </w:r>
          </w:p>
        </w:tc>
        <w:tc>
          <w:tcPr>
            <w:tcW w:w="7826" w:type="dxa"/>
            <w:tcBorders>
              <w:bottom w:val="single" w:sz="8" w:space="0" w:color="D9D9D9" w:themeColor="background1" w:themeShade="D9"/>
            </w:tcBorders>
            <w:shd w:val="clear" w:color="auto" w:fill="00B0F0"/>
            <w:hideMark/>
          </w:tcPr>
          <w:p w14:paraId="0FB5EAA9" w14:textId="77777777" w:rsidR="00C529A4" w:rsidRPr="00187708" w:rsidRDefault="00C529A4">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sz w:val="16"/>
                <w:szCs w:val="16"/>
                <w:lang w:val="ro-RO"/>
              </w:rPr>
            </w:pPr>
            <w:r w:rsidRPr="00187708">
              <w:rPr>
                <w:rFonts w:ascii="Nunito" w:hAnsi="Nunito" w:cs="Arial"/>
                <w:color w:val="FFFFFF"/>
                <w:sz w:val="16"/>
                <w:szCs w:val="16"/>
                <w:lang w:val="ro-RO"/>
              </w:rPr>
              <w:t>Denumire obiectiv / acțiune</w:t>
            </w:r>
          </w:p>
        </w:tc>
        <w:tc>
          <w:tcPr>
            <w:tcW w:w="1820" w:type="dxa"/>
            <w:tcBorders>
              <w:bottom w:val="single" w:sz="8" w:space="0" w:color="D9D9D9" w:themeColor="background1" w:themeShade="D9"/>
            </w:tcBorders>
            <w:shd w:val="clear" w:color="auto" w:fill="00B0F0"/>
            <w:hideMark/>
          </w:tcPr>
          <w:p w14:paraId="50F7FF34" w14:textId="77777777" w:rsidR="00C529A4" w:rsidRPr="00187708" w:rsidRDefault="00C529A4">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sz w:val="16"/>
                <w:szCs w:val="16"/>
                <w:lang w:val="ro-RO"/>
              </w:rPr>
            </w:pPr>
            <w:r w:rsidRPr="00187708">
              <w:rPr>
                <w:rFonts w:ascii="Nunito" w:hAnsi="Nunito" w:cs="Arial"/>
                <w:color w:val="FFFFFF"/>
                <w:sz w:val="16"/>
                <w:szCs w:val="16"/>
                <w:lang w:val="ro-RO"/>
              </w:rPr>
              <w:t>Termen</w:t>
            </w:r>
          </w:p>
        </w:tc>
        <w:tc>
          <w:tcPr>
            <w:tcW w:w="4252" w:type="dxa"/>
            <w:tcBorders>
              <w:bottom w:val="single" w:sz="8" w:space="0" w:color="D9D9D9" w:themeColor="background1" w:themeShade="D9"/>
            </w:tcBorders>
            <w:shd w:val="clear" w:color="auto" w:fill="00B0F0"/>
            <w:hideMark/>
          </w:tcPr>
          <w:p w14:paraId="5506555E" w14:textId="77777777" w:rsidR="00C529A4" w:rsidRPr="00187708" w:rsidRDefault="00C529A4">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sz w:val="16"/>
                <w:szCs w:val="16"/>
                <w:lang w:val="ro-RO"/>
              </w:rPr>
            </w:pPr>
            <w:r w:rsidRPr="00187708">
              <w:rPr>
                <w:rFonts w:ascii="Nunito" w:hAnsi="Nunito" w:cs="Arial"/>
                <w:color w:val="FFFFFF"/>
                <w:sz w:val="16"/>
                <w:szCs w:val="16"/>
                <w:lang w:val="ro-RO"/>
              </w:rPr>
              <w:t>Responsabil principal / alți responsabili</w:t>
            </w:r>
          </w:p>
        </w:tc>
        <w:tc>
          <w:tcPr>
            <w:tcW w:w="3544" w:type="dxa"/>
            <w:tcBorders>
              <w:bottom w:val="single" w:sz="8" w:space="0" w:color="D9D9D9" w:themeColor="background1" w:themeShade="D9"/>
            </w:tcBorders>
            <w:shd w:val="clear" w:color="auto" w:fill="00B0F0"/>
            <w:hideMark/>
          </w:tcPr>
          <w:p w14:paraId="6F05CB11" w14:textId="77777777" w:rsidR="00C529A4" w:rsidRPr="00187708" w:rsidRDefault="00C529A4">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sz w:val="16"/>
                <w:szCs w:val="16"/>
                <w:lang w:val="ro-RO"/>
              </w:rPr>
            </w:pPr>
            <w:r w:rsidRPr="00187708">
              <w:rPr>
                <w:rFonts w:ascii="Nunito" w:hAnsi="Nunito" w:cs="Arial"/>
                <w:color w:val="FFFFFF"/>
                <w:sz w:val="16"/>
                <w:szCs w:val="16"/>
                <w:lang w:val="ro-RO"/>
              </w:rPr>
              <w:t>Sursa de finanțare</w:t>
            </w:r>
          </w:p>
        </w:tc>
      </w:tr>
      <w:tr w:rsidR="001A0997" w:rsidRPr="00187708" w14:paraId="1FEBEB52" w14:textId="77777777" w:rsidTr="00187708">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shd w:val="clear" w:color="auto" w:fill="auto"/>
            <w:hideMark/>
          </w:tcPr>
          <w:p w14:paraId="22B8BF3C" w14:textId="77777777" w:rsidR="001A0997" w:rsidRPr="00187708" w:rsidRDefault="001A0997" w:rsidP="00B80B00">
            <w:pPr>
              <w:rPr>
                <w:rFonts w:ascii="Nunito" w:hAnsi="Nunito" w:cs="Arial"/>
                <w:color w:val="000000"/>
                <w:sz w:val="16"/>
                <w:szCs w:val="16"/>
                <w:lang w:val="ro-RO"/>
              </w:rPr>
            </w:pPr>
            <w:r w:rsidRPr="00187708">
              <w:rPr>
                <w:rFonts w:ascii="Nunito" w:hAnsi="Nunito" w:cs="Arial"/>
                <w:color w:val="000000"/>
                <w:sz w:val="16"/>
                <w:szCs w:val="16"/>
                <w:lang w:val="ro-RO"/>
              </w:rPr>
              <w:t>PCB-OS-01</w:t>
            </w:r>
          </w:p>
        </w:tc>
        <w:tc>
          <w:tcPr>
            <w:tcW w:w="861" w:type="dxa"/>
            <w:tcBorders>
              <w:top w:val="single" w:sz="8" w:space="0" w:color="D9D9D9" w:themeColor="background1" w:themeShade="D9"/>
              <w:bottom w:val="single" w:sz="8" w:space="0" w:color="D9D9D9" w:themeColor="background1" w:themeShade="D9"/>
            </w:tcBorders>
            <w:shd w:val="clear" w:color="auto" w:fill="auto"/>
            <w:hideMark/>
          </w:tcPr>
          <w:p w14:paraId="248D1865" w14:textId="77777777" w:rsidR="001A0997" w:rsidRPr="00187708" w:rsidRDefault="001A0997">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OS</w:t>
            </w:r>
          </w:p>
        </w:tc>
        <w:tc>
          <w:tcPr>
            <w:tcW w:w="1351" w:type="dxa"/>
            <w:tcBorders>
              <w:top w:val="single" w:sz="8" w:space="0" w:color="D9D9D9" w:themeColor="background1" w:themeShade="D9"/>
              <w:bottom w:val="single" w:sz="8" w:space="0" w:color="D9D9D9" w:themeColor="background1" w:themeShade="D9"/>
            </w:tcBorders>
            <w:shd w:val="clear" w:color="auto" w:fill="auto"/>
            <w:hideMark/>
          </w:tcPr>
          <w:p w14:paraId="53EDABFD" w14:textId="77777777" w:rsidR="001A0997" w:rsidRPr="00187708" w:rsidRDefault="001A0997">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Obiectiv 1</w:t>
            </w:r>
          </w:p>
        </w:tc>
        <w:tc>
          <w:tcPr>
            <w:tcW w:w="17442" w:type="dxa"/>
            <w:gridSpan w:val="4"/>
            <w:tcBorders>
              <w:top w:val="single" w:sz="8" w:space="0" w:color="D9D9D9" w:themeColor="background1" w:themeShade="D9"/>
              <w:bottom w:val="single" w:sz="8" w:space="0" w:color="D9D9D9" w:themeColor="background1" w:themeShade="D9"/>
            </w:tcBorders>
            <w:shd w:val="clear" w:color="auto" w:fill="auto"/>
            <w:hideMark/>
          </w:tcPr>
          <w:p w14:paraId="6A6781D0" w14:textId="381E7875" w:rsidR="001A0997" w:rsidRPr="00187708" w:rsidRDefault="001A0997" w:rsidP="001A0997">
            <w:pPr>
              <w:cnfStyle w:val="000000100000" w:firstRow="0" w:lastRow="0" w:firstColumn="0" w:lastColumn="0" w:oddVBand="0" w:evenVBand="0" w:oddHBand="1"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Scoaterea din circulație a echipamentelor cu conținut de PCB</w:t>
            </w:r>
          </w:p>
        </w:tc>
      </w:tr>
      <w:tr w:rsidR="00C529A4" w:rsidRPr="00187708" w14:paraId="0A68E126" w14:textId="77777777" w:rsidTr="00187708">
        <w:trPr>
          <w:trHeight w:val="65"/>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hideMark/>
          </w:tcPr>
          <w:p w14:paraId="38AF6BB3" w14:textId="77777777" w:rsidR="00C529A4" w:rsidRPr="00187708" w:rsidRDefault="00C529A4" w:rsidP="00B80B00">
            <w:pPr>
              <w:rPr>
                <w:rFonts w:ascii="Nunito" w:hAnsi="Nunito" w:cs="Arial"/>
                <w:color w:val="000000"/>
                <w:sz w:val="16"/>
                <w:szCs w:val="16"/>
                <w:lang w:val="ro-RO"/>
              </w:rPr>
            </w:pPr>
            <w:r w:rsidRPr="00187708">
              <w:rPr>
                <w:rFonts w:ascii="Nunito" w:hAnsi="Nunito" w:cs="Arial"/>
                <w:color w:val="000000"/>
                <w:sz w:val="16"/>
                <w:szCs w:val="16"/>
                <w:lang w:val="ro-RO"/>
              </w:rPr>
              <w:t>PCB-A1</w:t>
            </w:r>
          </w:p>
        </w:tc>
        <w:tc>
          <w:tcPr>
            <w:tcW w:w="861" w:type="dxa"/>
            <w:tcBorders>
              <w:top w:val="single" w:sz="8" w:space="0" w:color="D9D9D9" w:themeColor="background1" w:themeShade="D9"/>
              <w:bottom w:val="single" w:sz="8" w:space="0" w:color="D9D9D9" w:themeColor="background1" w:themeShade="D9"/>
            </w:tcBorders>
            <w:hideMark/>
          </w:tcPr>
          <w:p w14:paraId="3CC393BC"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51" w:type="dxa"/>
            <w:tcBorders>
              <w:top w:val="single" w:sz="8" w:space="0" w:color="D9D9D9" w:themeColor="background1" w:themeShade="D9"/>
              <w:bottom w:val="single" w:sz="8" w:space="0" w:color="D9D9D9" w:themeColor="background1" w:themeShade="D9"/>
            </w:tcBorders>
            <w:hideMark/>
          </w:tcPr>
          <w:p w14:paraId="360767BE"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1.1</w:t>
            </w:r>
          </w:p>
        </w:tc>
        <w:tc>
          <w:tcPr>
            <w:tcW w:w="7826" w:type="dxa"/>
            <w:tcBorders>
              <w:top w:val="single" w:sz="8" w:space="0" w:color="D9D9D9" w:themeColor="background1" w:themeShade="D9"/>
              <w:bottom w:val="single" w:sz="8" w:space="0" w:color="D9D9D9" w:themeColor="background1" w:themeShade="D9"/>
            </w:tcBorders>
            <w:hideMark/>
          </w:tcPr>
          <w:p w14:paraId="5523B2B2"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Actualizarea inventarierii la nivel național a echipamentelor care conțin PCB</w:t>
            </w:r>
          </w:p>
        </w:tc>
        <w:tc>
          <w:tcPr>
            <w:tcW w:w="1820" w:type="dxa"/>
            <w:tcBorders>
              <w:top w:val="single" w:sz="8" w:space="0" w:color="D9D9D9" w:themeColor="background1" w:themeShade="D9"/>
              <w:bottom w:val="single" w:sz="8" w:space="0" w:color="D9D9D9" w:themeColor="background1" w:themeShade="D9"/>
            </w:tcBorders>
            <w:hideMark/>
          </w:tcPr>
          <w:p w14:paraId="558B4C3A"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2025</w:t>
            </w:r>
          </w:p>
        </w:tc>
        <w:tc>
          <w:tcPr>
            <w:tcW w:w="4252" w:type="dxa"/>
            <w:tcBorders>
              <w:top w:val="single" w:sz="8" w:space="0" w:color="D9D9D9" w:themeColor="background1" w:themeShade="D9"/>
              <w:bottom w:val="single" w:sz="8" w:space="0" w:color="D9D9D9" w:themeColor="background1" w:themeShade="D9"/>
            </w:tcBorders>
            <w:hideMark/>
          </w:tcPr>
          <w:p w14:paraId="5BF826AF"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ANMAP</w:t>
            </w:r>
          </w:p>
        </w:tc>
        <w:tc>
          <w:tcPr>
            <w:tcW w:w="3544" w:type="dxa"/>
            <w:tcBorders>
              <w:top w:val="single" w:sz="8" w:space="0" w:color="D9D9D9" w:themeColor="background1" w:themeShade="D9"/>
              <w:bottom w:val="single" w:sz="8" w:space="0" w:color="D9D9D9" w:themeColor="background1" w:themeShade="D9"/>
            </w:tcBorders>
            <w:hideMark/>
          </w:tcPr>
          <w:p w14:paraId="59F0EAB4"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C529A4" w:rsidRPr="00187708" w14:paraId="3E2DA9A8" w14:textId="77777777" w:rsidTr="00187708">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shd w:val="clear" w:color="auto" w:fill="auto"/>
            <w:hideMark/>
          </w:tcPr>
          <w:p w14:paraId="7492158A" w14:textId="77777777" w:rsidR="00C529A4" w:rsidRPr="00187708" w:rsidRDefault="00C529A4" w:rsidP="00B80B00">
            <w:pPr>
              <w:rPr>
                <w:rFonts w:ascii="Nunito" w:hAnsi="Nunito" w:cs="Arial"/>
                <w:color w:val="000000"/>
                <w:sz w:val="16"/>
                <w:szCs w:val="16"/>
                <w:lang w:val="ro-RO"/>
              </w:rPr>
            </w:pPr>
            <w:r w:rsidRPr="00187708">
              <w:rPr>
                <w:rFonts w:ascii="Nunito" w:hAnsi="Nunito" w:cs="Arial"/>
                <w:color w:val="000000"/>
                <w:sz w:val="16"/>
                <w:szCs w:val="16"/>
                <w:lang w:val="ro-RO"/>
              </w:rPr>
              <w:t>PCB-A2</w:t>
            </w:r>
          </w:p>
        </w:tc>
        <w:tc>
          <w:tcPr>
            <w:tcW w:w="861" w:type="dxa"/>
            <w:tcBorders>
              <w:top w:val="single" w:sz="8" w:space="0" w:color="D9D9D9" w:themeColor="background1" w:themeShade="D9"/>
              <w:bottom w:val="single" w:sz="8" w:space="0" w:color="D9D9D9" w:themeColor="background1" w:themeShade="D9"/>
            </w:tcBorders>
            <w:shd w:val="clear" w:color="auto" w:fill="auto"/>
            <w:hideMark/>
          </w:tcPr>
          <w:p w14:paraId="23514BD1" w14:textId="77777777" w:rsidR="00C529A4" w:rsidRPr="00187708" w:rsidRDefault="00C529A4">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51" w:type="dxa"/>
            <w:tcBorders>
              <w:top w:val="single" w:sz="8" w:space="0" w:color="D9D9D9" w:themeColor="background1" w:themeShade="D9"/>
              <w:bottom w:val="single" w:sz="8" w:space="0" w:color="D9D9D9" w:themeColor="background1" w:themeShade="D9"/>
            </w:tcBorders>
            <w:shd w:val="clear" w:color="auto" w:fill="auto"/>
            <w:hideMark/>
          </w:tcPr>
          <w:p w14:paraId="00D64DFF" w14:textId="77777777" w:rsidR="00C529A4" w:rsidRPr="00187708" w:rsidRDefault="00C529A4">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1.2</w:t>
            </w:r>
          </w:p>
        </w:tc>
        <w:tc>
          <w:tcPr>
            <w:tcW w:w="7826" w:type="dxa"/>
            <w:tcBorders>
              <w:top w:val="single" w:sz="8" w:space="0" w:color="D9D9D9" w:themeColor="background1" w:themeShade="D9"/>
              <w:bottom w:val="single" w:sz="8" w:space="0" w:color="D9D9D9" w:themeColor="background1" w:themeShade="D9"/>
            </w:tcBorders>
            <w:shd w:val="clear" w:color="auto" w:fill="auto"/>
            <w:hideMark/>
          </w:tcPr>
          <w:p w14:paraId="387AE489"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Realizarea de inspecții tematice anuale pentru verificarea la nivel național a respectării de către deținători a obligației de scoatere din uz a echipamentelor care conțin PCB</w:t>
            </w:r>
          </w:p>
        </w:tc>
        <w:tc>
          <w:tcPr>
            <w:tcW w:w="1820" w:type="dxa"/>
            <w:tcBorders>
              <w:top w:val="single" w:sz="8" w:space="0" w:color="D9D9D9" w:themeColor="background1" w:themeShade="D9"/>
              <w:bottom w:val="single" w:sz="8" w:space="0" w:color="D9D9D9" w:themeColor="background1" w:themeShade="D9"/>
            </w:tcBorders>
            <w:shd w:val="clear" w:color="auto" w:fill="auto"/>
            <w:hideMark/>
          </w:tcPr>
          <w:p w14:paraId="5D9E3EC0"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52" w:type="dxa"/>
            <w:tcBorders>
              <w:top w:val="single" w:sz="8" w:space="0" w:color="D9D9D9" w:themeColor="background1" w:themeShade="D9"/>
              <w:bottom w:val="single" w:sz="8" w:space="0" w:color="D9D9D9" w:themeColor="background1" w:themeShade="D9"/>
            </w:tcBorders>
            <w:shd w:val="clear" w:color="auto" w:fill="auto"/>
            <w:hideMark/>
          </w:tcPr>
          <w:p w14:paraId="1ADA2F08"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GNM</w:t>
            </w:r>
          </w:p>
        </w:tc>
        <w:tc>
          <w:tcPr>
            <w:tcW w:w="3544" w:type="dxa"/>
            <w:tcBorders>
              <w:top w:val="single" w:sz="8" w:space="0" w:color="D9D9D9" w:themeColor="background1" w:themeShade="D9"/>
              <w:bottom w:val="single" w:sz="8" w:space="0" w:color="D9D9D9" w:themeColor="background1" w:themeShade="D9"/>
            </w:tcBorders>
            <w:shd w:val="clear" w:color="auto" w:fill="auto"/>
            <w:hideMark/>
          </w:tcPr>
          <w:p w14:paraId="3F4B133C"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local</w:t>
            </w:r>
          </w:p>
        </w:tc>
      </w:tr>
      <w:tr w:rsidR="00C529A4" w:rsidRPr="00187708" w14:paraId="36658658" w14:textId="77777777" w:rsidTr="00187708">
        <w:trPr>
          <w:trHeight w:val="65"/>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hideMark/>
          </w:tcPr>
          <w:p w14:paraId="78D26918" w14:textId="77777777" w:rsidR="00C529A4" w:rsidRPr="00187708" w:rsidRDefault="00C529A4" w:rsidP="00B80B00">
            <w:pPr>
              <w:rPr>
                <w:rFonts w:ascii="Nunito" w:hAnsi="Nunito" w:cs="Arial"/>
                <w:color w:val="000000"/>
                <w:sz w:val="16"/>
                <w:szCs w:val="16"/>
                <w:lang w:val="ro-RO"/>
              </w:rPr>
            </w:pPr>
            <w:r w:rsidRPr="00187708">
              <w:rPr>
                <w:rFonts w:ascii="Nunito" w:hAnsi="Nunito" w:cs="Arial"/>
                <w:color w:val="000000"/>
                <w:sz w:val="16"/>
                <w:szCs w:val="16"/>
                <w:lang w:val="ro-RO"/>
              </w:rPr>
              <w:t>PCB-OS-02</w:t>
            </w:r>
          </w:p>
        </w:tc>
        <w:tc>
          <w:tcPr>
            <w:tcW w:w="861" w:type="dxa"/>
            <w:tcBorders>
              <w:top w:val="single" w:sz="8" w:space="0" w:color="D9D9D9" w:themeColor="background1" w:themeShade="D9"/>
              <w:bottom w:val="single" w:sz="8" w:space="0" w:color="D9D9D9" w:themeColor="background1" w:themeShade="D9"/>
            </w:tcBorders>
            <w:hideMark/>
          </w:tcPr>
          <w:p w14:paraId="3B16C078"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OS</w:t>
            </w:r>
          </w:p>
        </w:tc>
        <w:tc>
          <w:tcPr>
            <w:tcW w:w="1351" w:type="dxa"/>
            <w:tcBorders>
              <w:top w:val="single" w:sz="8" w:space="0" w:color="D9D9D9" w:themeColor="background1" w:themeShade="D9"/>
              <w:bottom w:val="single" w:sz="8" w:space="0" w:color="D9D9D9" w:themeColor="background1" w:themeShade="D9"/>
            </w:tcBorders>
            <w:hideMark/>
          </w:tcPr>
          <w:p w14:paraId="72E29415"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Obiectiv 2</w:t>
            </w:r>
          </w:p>
        </w:tc>
        <w:tc>
          <w:tcPr>
            <w:tcW w:w="7826" w:type="dxa"/>
            <w:tcBorders>
              <w:top w:val="single" w:sz="8" w:space="0" w:color="D9D9D9" w:themeColor="background1" w:themeShade="D9"/>
              <w:bottom w:val="single" w:sz="8" w:space="0" w:color="D9D9D9" w:themeColor="background1" w:themeShade="D9"/>
            </w:tcBorders>
            <w:hideMark/>
          </w:tcPr>
          <w:p w14:paraId="7957D752"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Eliminarea echipamentelor cu conținut de PCB</w:t>
            </w:r>
          </w:p>
        </w:tc>
        <w:tc>
          <w:tcPr>
            <w:tcW w:w="1820" w:type="dxa"/>
            <w:tcBorders>
              <w:top w:val="single" w:sz="8" w:space="0" w:color="D9D9D9" w:themeColor="background1" w:themeShade="D9"/>
              <w:bottom w:val="single" w:sz="8" w:space="0" w:color="D9D9D9" w:themeColor="background1" w:themeShade="D9"/>
            </w:tcBorders>
            <w:hideMark/>
          </w:tcPr>
          <w:p w14:paraId="39EC61FF"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 </w:t>
            </w:r>
          </w:p>
        </w:tc>
        <w:tc>
          <w:tcPr>
            <w:tcW w:w="4252" w:type="dxa"/>
            <w:tcBorders>
              <w:top w:val="single" w:sz="8" w:space="0" w:color="D9D9D9" w:themeColor="background1" w:themeShade="D9"/>
              <w:bottom w:val="single" w:sz="8" w:space="0" w:color="D9D9D9" w:themeColor="background1" w:themeShade="D9"/>
            </w:tcBorders>
            <w:hideMark/>
          </w:tcPr>
          <w:p w14:paraId="3C783B32"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 </w:t>
            </w:r>
          </w:p>
        </w:tc>
        <w:tc>
          <w:tcPr>
            <w:tcW w:w="3544" w:type="dxa"/>
            <w:tcBorders>
              <w:top w:val="single" w:sz="8" w:space="0" w:color="D9D9D9" w:themeColor="background1" w:themeShade="D9"/>
              <w:bottom w:val="single" w:sz="8" w:space="0" w:color="D9D9D9" w:themeColor="background1" w:themeShade="D9"/>
            </w:tcBorders>
            <w:hideMark/>
          </w:tcPr>
          <w:p w14:paraId="6B83B28C"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b/>
                <w:bCs/>
                <w:color w:val="000000" w:themeColor="text1"/>
                <w:sz w:val="16"/>
                <w:szCs w:val="16"/>
                <w:lang w:val="ro-RO"/>
              </w:rPr>
            </w:pPr>
            <w:r w:rsidRPr="00187708">
              <w:rPr>
                <w:rFonts w:ascii="Nunito" w:hAnsi="Nunito" w:cs="Arial"/>
                <w:b/>
                <w:bCs/>
                <w:color w:val="000000" w:themeColor="text1"/>
                <w:sz w:val="16"/>
                <w:szCs w:val="16"/>
                <w:lang w:val="ro-RO"/>
              </w:rPr>
              <w:t> </w:t>
            </w:r>
          </w:p>
        </w:tc>
      </w:tr>
      <w:tr w:rsidR="00C529A4" w:rsidRPr="00187708" w14:paraId="63426273" w14:textId="77777777" w:rsidTr="00187708">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shd w:val="clear" w:color="auto" w:fill="auto"/>
            <w:hideMark/>
          </w:tcPr>
          <w:p w14:paraId="6FDF9D95" w14:textId="77777777" w:rsidR="00C529A4" w:rsidRPr="00187708" w:rsidRDefault="00C529A4" w:rsidP="00B80B00">
            <w:pPr>
              <w:rPr>
                <w:rFonts w:ascii="Nunito" w:hAnsi="Nunito" w:cs="Arial"/>
                <w:color w:val="000000"/>
                <w:sz w:val="16"/>
                <w:szCs w:val="16"/>
                <w:lang w:val="ro-RO"/>
              </w:rPr>
            </w:pPr>
            <w:r w:rsidRPr="00187708">
              <w:rPr>
                <w:rFonts w:ascii="Nunito" w:hAnsi="Nunito" w:cs="Arial"/>
                <w:color w:val="000000"/>
                <w:sz w:val="16"/>
                <w:szCs w:val="16"/>
                <w:lang w:val="ro-RO"/>
              </w:rPr>
              <w:t>PCB-A3</w:t>
            </w:r>
          </w:p>
        </w:tc>
        <w:tc>
          <w:tcPr>
            <w:tcW w:w="861" w:type="dxa"/>
            <w:tcBorders>
              <w:top w:val="single" w:sz="8" w:space="0" w:color="D9D9D9" w:themeColor="background1" w:themeShade="D9"/>
              <w:bottom w:val="single" w:sz="8" w:space="0" w:color="D9D9D9" w:themeColor="background1" w:themeShade="D9"/>
            </w:tcBorders>
            <w:shd w:val="clear" w:color="auto" w:fill="auto"/>
            <w:hideMark/>
          </w:tcPr>
          <w:p w14:paraId="70AD3F22" w14:textId="77777777" w:rsidR="00C529A4" w:rsidRPr="00187708" w:rsidRDefault="00C529A4">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51" w:type="dxa"/>
            <w:tcBorders>
              <w:top w:val="single" w:sz="8" w:space="0" w:color="D9D9D9" w:themeColor="background1" w:themeShade="D9"/>
              <w:bottom w:val="single" w:sz="8" w:space="0" w:color="D9D9D9" w:themeColor="background1" w:themeShade="D9"/>
            </w:tcBorders>
            <w:shd w:val="clear" w:color="auto" w:fill="auto"/>
            <w:hideMark/>
          </w:tcPr>
          <w:p w14:paraId="415BEBAB" w14:textId="77777777" w:rsidR="00C529A4" w:rsidRPr="00187708" w:rsidRDefault="00C529A4">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2.1</w:t>
            </w:r>
          </w:p>
        </w:tc>
        <w:tc>
          <w:tcPr>
            <w:tcW w:w="7826" w:type="dxa"/>
            <w:tcBorders>
              <w:top w:val="single" w:sz="8" w:space="0" w:color="D9D9D9" w:themeColor="background1" w:themeShade="D9"/>
              <w:bottom w:val="single" w:sz="8" w:space="0" w:color="D9D9D9" w:themeColor="background1" w:themeShade="D9"/>
            </w:tcBorders>
            <w:shd w:val="clear" w:color="auto" w:fill="auto"/>
            <w:hideMark/>
          </w:tcPr>
          <w:p w14:paraId="7E6CE3BF"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Instruirea deținătorilor și operatorilor economici privind obligațiile și metodele de eliminare</w:t>
            </w:r>
          </w:p>
        </w:tc>
        <w:tc>
          <w:tcPr>
            <w:tcW w:w="1820" w:type="dxa"/>
            <w:tcBorders>
              <w:top w:val="single" w:sz="8" w:space="0" w:color="D9D9D9" w:themeColor="background1" w:themeShade="D9"/>
              <w:bottom w:val="single" w:sz="8" w:space="0" w:color="D9D9D9" w:themeColor="background1" w:themeShade="D9"/>
            </w:tcBorders>
            <w:shd w:val="clear" w:color="auto" w:fill="auto"/>
            <w:hideMark/>
          </w:tcPr>
          <w:p w14:paraId="326A146B"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2028</w:t>
            </w:r>
          </w:p>
        </w:tc>
        <w:tc>
          <w:tcPr>
            <w:tcW w:w="4252" w:type="dxa"/>
            <w:tcBorders>
              <w:top w:val="single" w:sz="8" w:space="0" w:color="D9D9D9" w:themeColor="background1" w:themeShade="D9"/>
              <w:bottom w:val="single" w:sz="8" w:space="0" w:color="D9D9D9" w:themeColor="background1" w:themeShade="D9"/>
            </w:tcBorders>
            <w:shd w:val="clear" w:color="auto" w:fill="auto"/>
            <w:hideMark/>
          </w:tcPr>
          <w:p w14:paraId="2A9E146E"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w:t>
            </w:r>
          </w:p>
        </w:tc>
        <w:tc>
          <w:tcPr>
            <w:tcW w:w="3544" w:type="dxa"/>
            <w:tcBorders>
              <w:top w:val="single" w:sz="8" w:space="0" w:color="D9D9D9" w:themeColor="background1" w:themeShade="D9"/>
              <w:bottom w:val="single" w:sz="8" w:space="0" w:color="D9D9D9" w:themeColor="background1" w:themeShade="D9"/>
            </w:tcBorders>
            <w:shd w:val="clear" w:color="auto" w:fill="auto"/>
            <w:hideMark/>
          </w:tcPr>
          <w:p w14:paraId="0D828559"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C529A4" w:rsidRPr="00187708" w14:paraId="3FED16ED" w14:textId="77777777" w:rsidTr="00187708">
        <w:trPr>
          <w:trHeight w:val="477"/>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hideMark/>
          </w:tcPr>
          <w:p w14:paraId="04C7BBAF" w14:textId="77777777" w:rsidR="00C529A4" w:rsidRPr="00187708" w:rsidRDefault="00C529A4" w:rsidP="00B80B00">
            <w:pPr>
              <w:rPr>
                <w:rFonts w:ascii="Nunito" w:hAnsi="Nunito" w:cs="Arial"/>
                <w:color w:val="000000"/>
                <w:sz w:val="16"/>
                <w:szCs w:val="16"/>
                <w:lang w:val="ro-RO"/>
              </w:rPr>
            </w:pPr>
            <w:r w:rsidRPr="00187708">
              <w:rPr>
                <w:rFonts w:ascii="Nunito" w:hAnsi="Nunito" w:cs="Arial"/>
                <w:color w:val="000000"/>
                <w:sz w:val="16"/>
                <w:szCs w:val="16"/>
                <w:lang w:val="ro-RO"/>
              </w:rPr>
              <w:t>PCB-A4</w:t>
            </w:r>
          </w:p>
        </w:tc>
        <w:tc>
          <w:tcPr>
            <w:tcW w:w="861" w:type="dxa"/>
            <w:tcBorders>
              <w:top w:val="single" w:sz="8" w:space="0" w:color="D9D9D9" w:themeColor="background1" w:themeShade="D9"/>
              <w:bottom w:val="single" w:sz="8" w:space="0" w:color="D9D9D9" w:themeColor="background1" w:themeShade="D9"/>
            </w:tcBorders>
            <w:hideMark/>
          </w:tcPr>
          <w:p w14:paraId="7D77DD3F"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51" w:type="dxa"/>
            <w:tcBorders>
              <w:top w:val="single" w:sz="8" w:space="0" w:color="D9D9D9" w:themeColor="background1" w:themeShade="D9"/>
              <w:bottom w:val="single" w:sz="8" w:space="0" w:color="D9D9D9" w:themeColor="background1" w:themeShade="D9"/>
            </w:tcBorders>
            <w:hideMark/>
          </w:tcPr>
          <w:p w14:paraId="7A6FAE52"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2.2</w:t>
            </w:r>
          </w:p>
        </w:tc>
        <w:tc>
          <w:tcPr>
            <w:tcW w:w="7826" w:type="dxa"/>
            <w:tcBorders>
              <w:top w:val="single" w:sz="8" w:space="0" w:color="D9D9D9" w:themeColor="background1" w:themeShade="D9"/>
              <w:bottom w:val="single" w:sz="8" w:space="0" w:color="D9D9D9" w:themeColor="background1" w:themeShade="D9"/>
            </w:tcBorders>
            <w:hideMark/>
          </w:tcPr>
          <w:p w14:paraId="297F8A7C"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Elaborarea unui plan de acțiune și a unui grafic pentru decontaminarea și/sau eliminarea echipamentelor cu conținut de PCB cu un volum mai mare de 5 dm³, care să aibă în vedere inclusiv măsuri pentru eliminarea echipamentelor aflate la operatori economici în insolvență, faliment etc.</w:t>
            </w:r>
          </w:p>
        </w:tc>
        <w:tc>
          <w:tcPr>
            <w:tcW w:w="1820" w:type="dxa"/>
            <w:tcBorders>
              <w:top w:val="single" w:sz="8" w:space="0" w:color="D9D9D9" w:themeColor="background1" w:themeShade="D9"/>
              <w:bottom w:val="single" w:sz="8" w:space="0" w:color="D9D9D9" w:themeColor="background1" w:themeShade="D9"/>
            </w:tcBorders>
            <w:hideMark/>
          </w:tcPr>
          <w:p w14:paraId="1CF072EB"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252" w:type="dxa"/>
            <w:tcBorders>
              <w:top w:val="single" w:sz="8" w:space="0" w:color="D9D9D9" w:themeColor="background1" w:themeShade="D9"/>
              <w:bottom w:val="single" w:sz="8" w:space="0" w:color="D9D9D9" w:themeColor="background1" w:themeShade="D9"/>
            </w:tcBorders>
            <w:hideMark/>
          </w:tcPr>
          <w:p w14:paraId="4F7559DE"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w:t>
            </w:r>
          </w:p>
        </w:tc>
        <w:tc>
          <w:tcPr>
            <w:tcW w:w="3544" w:type="dxa"/>
            <w:tcBorders>
              <w:top w:val="single" w:sz="8" w:space="0" w:color="D9D9D9" w:themeColor="background1" w:themeShade="D9"/>
              <w:bottom w:val="single" w:sz="8" w:space="0" w:color="D9D9D9" w:themeColor="background1" w:themeShade="D9"/>
            </w:tcBorders>
            <w:hideMark/>
          </w:tcPr>
          <w:p w14:paraId="640571D6"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C529A4" w:rsidRPr="00187708" w14:paraId="03DBC826" w14:textId="77777777" w:rsidTr="00187708">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shd w:val="clear" w:color="auto" w:fill="auto"/>
            <w:hideMark/>
          </w:tcPr>
          <w:p w14:paraId="0595696D" w14:textId="77777777" w:rsidR="00C529A4" w:rsidRPr="00187708" w:rsidRDefault="00C529A4" w:rsidP="00B80B00">
            <w:pPr>
              <w:rPr>
                <w:rFonts w:ascii="Nunito" w:hAnsi="Nunito" w:cs="Arial"/>
                <w:color w:val="000000"/>
                <w:sz w:val="16"/>
                <w:szCs w:val="16"/>
                <w:lang w:val="ro-RO"/>
              </w:rPr>
            </w:pPr>
            <w:r w:rsidRPr="00187708">
              <w:rPr>
                <w:rFonts w:ascii="Nunito" w:hAnsi="Nunito" w:cs="Arial"/>
                <w:color w:val="000000"/>
                <w:sz w:val="16"/>
                <w:szCs w:val="16"/>
                <w:lang w:val="ro-RO"/>
              </w:rPr>
              <w:t>PCB-A5</w:t>
            </w:r>
          </w:p>
        </w:tc>
        <w:tc>
          <w:tcPr>
            <w:tcW w:w="861" w:type="dxa"/>
            <w:tcBorders>
              <w:top w:val="single" w:sz="8" w:space="0" w:color="D9D9D9" w:themeColor="background1" w:themeShade="D9"/>
              <w:bottom w:val="single" w:sz="8" w:space="0" w:color="D9D9D9" w:themeColor="background1" w:themeShade="D9"/>
            </w:tcBorders>
            <w:shd w:val="clear" w:color="auto" w:fill="auto"/>
            <w:hideMark/>
          </w:tcPr>
          <w:p w14:paraId="4FFA4094" w14:textId="77777777" w:rsidR="00C529A4" w:rsidRPr="00187708" w:rsidRDefault="00C529A4">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51" w:type="dxa"/>
            <w:tcBorders>
              <w:top w:val="single" w:sz="8" w:space="0" w:color="D9D9D9" w:themeColor="background1" w:themeShade="D9"/>
              <w:bottom w:val="single" w:sz="8" w:space="0" w:color="D9D9D9" w:themeColor="background1" w:themeShade="D9"/>
            </w:tcBorders>
            <w:shd w:val="clear" w:color="auto" w:fill="auto"/>
            <w:hideMark/>
          </w:tcPr>
          <w:p w14:paraId="4E8C60A1" w14:textId="77777777" w:rsidR="00C529A4" w:rsidRPr="00187708" w:rsidRDefault="00C529A4">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2.3</w:t>
            </w:r>
          </w:p>
        </w:tc>
        <w:tc>
          <w:tcPr>
            <w:tcW w:w="7826" w:type="dxa"/>
            <w:tcBorders>
              <w:top w:val="single" w:sz="8" w:space="0" w:color="D9D9D9" w:themeColor="background1" w:themeShade="D9"/>
              <w:bottom w:val="single" w:sz="8" w:space="0" w:color="D9D9D9" w:themeColor="background1" w:themeShade="D9"/>
            </w:tcBorders>
            <w:shd w:val="clear" w:color="auto" w:fill="auto"/>
            <w:hideMark/>
          </w:tcPr>
          <w:p w14:paraId="7A63EBC8"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Eliminarea echipamentelor aflate în funcționare cu conținut de PCB în volum mai mare de 5 dm³ și concentrație mai mare de 50 ppm (0,005%)</w:t>
            </w:r>
          </w:p>
        </w:tc>
        <w:tc>
          <w:tcPr>
            <w:tcW w:w="1820" w:type="dxa"/>
            <w:tcBorders>
              <w:top w:val="single" w:sz="8" w:space="0" w:color="D9D9D9" w:themeColor="background1" w:themeShade="D9"/>
              <w:bottom w:val="single" w:sz="8" w:space="0" w:color="D9D9D9" w:themeColor="background1" w:themeShade="D9"/>
            </w:tcBorders>
            <w:shd w:val="clear" w:color="auto" w:fill="auto"/>
            <w:hideMark/>
          </w:tcPr>
          <w:p w14:paraId="66595C0D"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2028</w:t>
            </w:r>
          </w:p>
        </w:tc>
        <w:tc>
          <w:tcPr>
            <w:tcW w:w="4252" w:type="dxa"/>
            <w:tcBorders>
              <w:top w:val="single" w:sz="8" w:space="0" w:color="D9D9D9" w:themeColor="background1" w:themeShade="D9"/>
              <w:bottom w:val="single" w:sz="8" w:space="0" w:color="D9D9D9" w:themeColor="background1" w:themeShade="D9"/>
            </w:tcBorders>
            <w:shd w:val="clear" w:color="auto" w:fill="auto"/>
            <w:hideMark/>
          </w:tcPr>
          <w:p w14:paraId="0D2D5D6E"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Operatorii deținători de echipamente cu conținut de PCB</w:t>
            </w:r>
          </w:p>
        </w:tc>
        <w:tc>
          <w:tcPr>
            <w:tcW w:w="3544" w:type="dxa"/>
            <w:tcBorders>
              <w:top w:val="single" w:sz="8" w:space="0" w:color="D9D9D9" w:themeColor="background1" w:themeShade="D9"/>
              <w:bottom w:val="single" w:sz="8" w:space="0" w:color="D9D9D9" w:themeColor="background1" w:themeShade="D9"/>
            </w:tcBorders>
            <w:shd w:val="clear" w:color="auto" w:fill="auto"/>
            <w:hideMark/>
          </w:tcPr>
          <w:p w14:paraId="2065FE5C" w14:textId="77777777" w:rsidR="00C529A4" w:rsidRPr="00187708" w:rsidRDefault="00C529A4">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Fonduri proprii</w:t>
            </w:r>
          </w:p>
        </w:tc>
      </w:tr>
      <w:tr w:rsidR="00C529A4" w:rsidRPr="00187708" w14:paraId="105B8D20" w14:textId="77777777" w:rsidTr="00187708">
        <w:trPr>
          <w:trHeight w:val="586"/>
        </w:trPr>
        <w:tc>
          <w:tcPr>
            <w:cnfStyle w:val="001000000000" w:firstRow="0" w:lastRow="0" w:firstColumn="1" w:lastColumn="0" w:oddVBand="0" w:evenVBand="0" w:oddHBand="0" w:evenHBand="0" w:firstRowFirstColumn="0" w:firstRowLastColumn="0" w:lastRowFirstColumn="0" w:lastRowLastColumn="0"/>
            <w:tcW w:w="1467" w:type="dxa"/>
            <w:tcBorders>
              <w:top w:val="single" w:sz="8" w:space="0" w:color="D9D9D9" w:themeColor="background1" w:themeShade="D9"/>
              <w:bottom w:val="single" w:sz="8" w:space="0" w:color="D9D9D9" w:themeColor="background1" w:themeShade="D9"/>
            </w:tcBorders>
            <w:hideMark/>
          </w:tcPr>
          <w:p w14:paraId="2199FA2D" w14:textId="77777777" w:rsidR="00C529A4" w:rsidRPr="00187708" w:rsidRDefault="00C529A4" w:rsidP="00B80B00">
            <w:pPr>
              <w:rPr>
                <w:rFonts w:ascii="Nunito" w:hAnsi="Nunito" w:cs="Arial"/>
                <w:color w:val="000000"/>
                <w:sz w:val="16"/>
                <w:szCs w:val="16"/>
                <w:lang w:val="ro-RO"/>
              </w:rPr>
            </w:pPr>
            <w:r w:rsidRPr="00187708">
              <w:rPr>
                <w:rFonts w:ascii="Nunito" w:hAnsi="Nunito" w:cs="Arial"/>
                <w:color w:val="000000"/>
                <w:sz w:val="16"/>
                <w:szCs w:val="16"/>
                <w:lang w:val="ro-RO"/>
              </w:rPr>
              <w:t>PCB-A6</w:t>
            </w:r>
          </w:p>
        </w:tc>
        <w:tc>
          <w:tcPr>
            <w:tcW w:w="861" w:type="dxa"/>
            <w:tcBorders>
              <w:top w:val="single" w:sz="8" w:space="0" w:color="D9D9D9" w:themeColor="background1" w:themeShade="D9"/>
              <w:bottom w:val="single" w:sz="8" w:space="0" w:color="D9D9D9" w:themeColor="background1" w:themeShade="D9"/>
            </w:tcBorders>
            <w:hideMark/>
          </w:tcPr>
          <w:p w14:paraId="2B1F55CF"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51" w:type="dxa"/>
            <w:tcBorders>
              <w:top w:val="single" w:sz="8" w:space="0" w:color="D9D9D9" w:themeColor="background1" w:themeShade="D9"/>
              <w:bottom w:val="single" w:sz="8" w:space="0" w:color="D9D9D9" w:themeColor="background1" w:themeShade="D9"/>
            </w:tcBorders>
            <w:hideMark/>
          </w:tcPr>
          <w:p w14:paraId="6C2BA849" w14:textId="77777777" w:rsidR="00C529A4" w:rsidRPr="00187708" w:rsidRDefault="00C529A4">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2.4</w:t>
            </w:r>
          </w:p>
        </w:tc>
        <w:tc>
          <w:tcPr>
            <w:tcW w:w="7826" w:type="dxa"/>
            <w:tcBorders>
              <w:top w:val="single" w:sz="8" w:space="0" w:color="D9D9D9" w:themeColor="background1" w:themeShade="D9"/>
              <w:bottom w:val="single" w:sz="8" w:space="0" w:color="D9D9D9" w:themeColor="background1" w:themeShade="D9"/>
            </w:tcBorders>
            <w:hideMark/>
          </w:tcPr>
          <w:p w14:paraId="61E3DA4D"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Realizarea de inspecții tematice anuale cu focus pe operatorii economici din transport, energie și industrie grea (principalii deținători de echipamente), pentru verificarea la nivel național a raportării și etichetării echipamentelor care conțin PCB și a respectării planului de eliminare</w:t>
            </w:r>
          </w:p>
        </w:tc>
        <w:tc>
          <w:tcPr>
            <w:tcW w:w="1820" w:type="dxa"/>
            <w:tcBorders>
              <w:top w:val="single" w:sz="8" w:space="0" w:color="D9D9D9" w:themeColor="background1" w:themeShade="D9"/>
              <w:bottom w:val="single" w:sz="8" w:space="0" w:color="D9D9D9" w:themeColor="background1" w:themeShade="D9"/>
            </w:tcBorders>
            <w:hideMark/>
          </w:tcPr>
          <w:p w14:paraId="7D3A9775"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2028</w:t>
            </w:r>
          </w:p>
        </w:tc>
        <w:tc>
          <w:tcPr>
            <w:tcW w:w="4252" w:type="dxa"/>
            <w:tcBorders>
              <w:top w:val="single" w:sz="8" w:space="0" w:color="D9D9D9" w:themeColor="background1" w:themeShade="D9"/>
              <w:bottom w:val="single" w:sz="8" w:space="0" w:color="D9D9D9" w:themeColor="background1" w:themeShade="D9"/>
            </w:tcBorders>
            <w:hideMark/>
          </w:tcPr>
          <w:p w14:paraId="4BD15B64"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GNM</w:t>
            </w:r>
          </w:p>
        </w:tc>
        <w:tc>
          <w:tcPr>
            <w:tcW w:w="3544" w:type="dxa"/>
            <w:tcBorders>
              <w:top w:val="single" w:sz="8" w:space="0" w:color="D9D9D9" w:themeColor="background1" w:themeShade="D9"/>
              <w:bottom w:val="single" w:sz="8" w:space="0" w:color="D9D9D9" w:themeColor="background1" w:themeShade="D9"/>
            </w:tcBorders>
            <w:hideMark/>
          </w:tcPr>
          <w:p w14:paraId="39ABD6C8" w14:textId="77777777" w:rsidR="00C529A4" w:rsidRPr="00187708" w:rsidRDefault="00C529A4">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local</w:t>
            </w:r>
          </w:p>
        </w:tc>
      </w:tr>
    </w:tbl>
    <w:p w14:paraId="5892CD07" w14:textId="77777777" w:rsidR="008D5184" w:rsidRPr="00187708" w:rsidRDefault="00C529A4">
      <w:pPr>
        <w:rPr>
          <w:rFonts w:ascii="Nunito" w:eastAsiaTheme="majorEastAsia" w:hAnsi="Nunito" w:cstheme="majorBidi"/>
          <w:sz w:val="16"/>
          <w:szCs w:val="16"/>
          <w:lang w:val="ro-RO"/>
        </w:rPr>
      </w:pPr>
      <w:r w:rsidRPr="00187708">
        <w:rPr>
          <w:rFonts w:ascii="Nunito" w:eastAsiaTheme="majorEastAsia" w:hAnsi="Nunito" w:cstheme="majorBidi"/>
          <w:sz w:val="16"/>
          <w:szCs w:val="16"/>
          <w:lang w:val="ro-RO"/>
        </w:rPr>
        <w:t xml:space="preserve"> </w:t>
      </w:r>
    </w:p>
    <w:p w14:paraId="328C6CBA" w14:textId="77777777" w:rsidR="00CC17CB" w:rsidRPr="00187708" w:rsidRDefault="00CC17CB">
      <w:pPr>
        <w:rPr>
          <w:rFonts w:ascii="Nunito" w:eastAsiaTheme="majorEastAsia" w:hAnsi="Nunito" w:cstheme="majorBidi"/>
          <w:sz w:val="16"/>
          <w:szCs w:val="16"/>
          <w:lang w:val="ro-RO"/>
        </w:rPr>
      </w:pPr>
    </w:p>
    <w:p w14:paraId="7D5F56B7" w14:textId="18876008" w:rsidR="001802CD" w:rsidRPr="00187708" w:rsidRDefault="001802CD">
      <w:pPr>
        <w:rPr>
          <w:rFonts w:ascii="Nunito" w:eastAsiaTheme="majorEastAsia" w:hAnsi="Nunito" w:cstheme="majorBidi"/>
          <w:sz w:val="16"/>
          <w:szCs w:val="16"/>
          <w:lang w:val="ro-RO"/>
        </w:rPr>
      </w:pPr>
      <w:r w:rsidRPr="00187708">
        <w:rPr>
          <w:rFonts w:ascii="Nunito" w:eastAsiaTheme="majorEastAsia" w:hAnsi="Nunito" w:cstheme="majorBidi"/>
          <w:sz w:val="16"/>
          <w:szCs w:val="16"/>
          <w:lang w:val="ro-RO"/>
        </w:rPr>
        <w:br w:type="page"/>
      </w:r>
    </w:p>
    <w:p w14:paraId="1C7BC962" w14:textId="77777777" w:rsidR="00BF3654" w:rsidRPr="00187708" w:rsidRDefault="00BF3654">
      <w:pPr>
        <w:rPr>
          <w:rFonts w:ascii="Nunito" w:eastAsiaTheme="majorEastAsia" w:hAnsi="Nunito" w:cstheme="majorBidi"/>
          <w:sz w:val="16"/>
          <w:szCs w:val="16"/>
          <w:lang w:val="ro-RO"/>
        </w:rPr>
      </w:pPr>
    </w:p>
    <w:p w14:paraId="4E94317C" w14:textId="77777777" w:rsidR="00ED51CA" w:rsidRPr="00187708" w:rsidRDefault="00ED51CA" w:rsidP="00ED51CA">
      <w:pPr>
        <w:rPr>
          <w:rFonts w:ascii="Nunito" w:eastAsiaTheme="majorEastAsia" w:hAnsi="Nunito" w:cstheme="majorBidi"/>
          <w:sz w:val="16"/>
          <w:szCs w:val="16"/>
          <w:lang w:val="ro-RO"/>
        </w:rPr>
      </w:pPr>
    </w:p>
    <w:p w14:paraId="263B33CC" w14:textId="0FBBEC5A" w:rsidR="00ED51CA" w:rsidRPr="00187708" w:rsidRDefault="00ED51CA" w:rsidP="00ED51CA">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13</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 </w:t>
      </w:r>
      <w:r w:rsidR="003E4B1B" w:rsidRPr="00187708">
        <w:rPr>
          <w:rFonts w:ascii="Nunito" w:hAnsi="Nunito"/>
          <w:b/>
          <w:bCs/>
          <w:color w:val="009DF0" w:themeColor="text2"/>
          <w:sz w:val="16"/>
          <w:szCs w:val="16"/>
          <w:lang w:val="ro-RO"/>
        </w:rPr>
        <w:t>gestionarea deșeurilor cu conținut de azbest</w:t>
      </w:r>
    </w:p>
    <w:tbl>
      <w:tblPr>
        <w:tblStyle w:val="ListTable1Light-Accent1"/>
        <w:tblW w:w="20430" w:type="dxa"/>
        <w:tblLook w:val="04A0" w:firstRow="1" w:lastRow="0" w:firstColumn="1" w:lastColumn="0" w:noHBand="0" w:noVBand="1"/>
      </w:tblPr>
      <w:tblGrid>
        <w:gridCol w:w="1456"/>
        <w:gridCol w:w="858"/>
        <w:gridCol w:w="1342"/>
        <w:gridCol w:w="7774"/>
        <w:gridCol w:w="1457"/>
        <w:gridCol w:w="4142"/>
        <w:gridCol w:w="3401"/>
      </w:tblGrid>
      <w:tr w:rsidR="00BF3654" w:rsidRPr="00187708" w14:paraId="7D20A225" w14:textId="77777777" w:rsidTr="003E4B1B">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56" w:type="dxa"/>
            <w:tcBorders>
              <w:bottom w:val="single" w:sz="8" w:space="0" w:color="D9D9D9" w:themeColor="background1" w:themeShade="D9"/>
            </w:tcBorders>
            <w:shd w:val="clear" w:color="auto" w:fill="00B0F0"/>
            <w:hideMark/>
          </w:tcPr>
          <w:p w14:paraId="4290C022" w14:textId="77777777" w:rsidR="00BF3654" w:rsidRPr="00187708" w:rsidRDefault="00BF3654" w:rsidP="00BF3654">
            <w:pPr>
              <w:jc w:val="center"/>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Cod</w:t>
            </w:r>
          </w:p>
        </w:tc>
        <w:tc>
          <w:tcPr>
            <w:tcW w:w="858" w:type="dxa"/>
            <w:tcBorders>
              <w:bottom w:val="single" w:sz="8" w:space="0" w:color="D9D9D9" w:themeColor="background1" w:themeShade="D9"/>
            </w:tcBorders>
            <w:shd w:val="clear" w:color="auto" w:fill="00B0F0"/>
            <w:hideMark/>
          </w:tcPr>
          <w:p w14:paraId="4627B5C9" w14:textId="77777777" w:rsidR="00BF3654" w:rsidRPr="00187708" w:rsidRDefault="00BF3654" w:rsidP="00BF3654">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Nivel</w:t>
            </w:r>
          </w:p>
        </w:tc>
        <w:tc>
          <w:tcPr>
            <w:tcW w:w="1342" w:type="dxa"/>
            <w:tcBorders>
              <w:bottom w:val="single" w:sz="8" w:space="0" w:color="D9D9D9" w:themeColor="background1" w:themeShade="D9"/>
            </w:tcBorders>
            <w:shd w:val="clear" w:color="auto" w:fill="00B0F0"/>
            <w:hideMark/>
          </w:tcPr>
          <w:p w14:paraId="7C75CD43" w14:textId="3877913D" w:rsidR="00BF3654" w:rsidRPr="00187708" w:rsidRDefault="002916EA" w:rsidP="00BF3654">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b w:val="0"/>
                <w:bCs w:val="0"/>
                <w:color w:val="FFFFFF" w:themeColor="background1"/>
                <w:sz w:val="16"/>
                <w:szCs w:val="16"/>
                <w:lang w:val="ro-RO"/>
              </w:rPr>
              <w:t xml:space="preserve">Nr crt </w:t>
            </w:r>
            <w:r w:rsidR="00BF3654" w:rsidRPr="00187708">
              <w:rPr>
                <w:rFonts w:ascii="Nunito" w:eastAsia="Times New Roman" w:hAnsi="Nunito" w:cs="Arial"/>
                <w:color w:val="FFFFFF" w:themeColor="background1"/>
                <w:sz w:val="16"/>
                <w:szCs w:val="16"/>
                <w:lang w:val="ro-RO"/>
              </w:rPr>
              <w:t>PNGD</w:t>
            </w:r>
          </w:p>
        </w:tc>
        <w:tc>
          <w:tcPr>
            <w:tcW w:w="7774" w:type="dxa"/>
            <w:tcBorders>
              <w:bottom w:val="single" w:sz="8" w:space="0" w:color="D9D9D9" w:themeColor="background1" w:themeShade="D9"/>
            </w:tcBorders>
            <w:shd w:val="clear" w:color="auto" w:fill="00B0F0"/>
            <w:hideMark/>
          </w:tcPr>
          <w:p w14:paraId="4E507D19" w14:textId="77777777" w:rsidR="00BF3654" w:rsidRPr="00187708" w:rsidRDefault="00BF3654" w:rsidP="00BF3654">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Denumire obiectiv / acțiune</w:t>
            </w:r>
          </w:p>
        </w:tc>
        <w:tc>
          <w:tcPr>
            <w:tcW w:w="1457" w:type="dxa"/>
            <w:tcBorders>
              <w:bottom w:val="single" w:sz="8" w:space="0" w:color="D9D9D9" w:themeColor="background1" w:themeShade="D9"/>
            </w:tcBorders>
            <w:shd w:val="clear" w:color="auto" w:fill="00B0F0"/>
            <w:hideMark/>
          </w:tcPr>
          <w:p w14:paraId="00DC085E" w14:textId="77777777" w:rsidR="00BF3654" w:rsidRPr="00187708" w:rsidRDefault="00BF3654" w:rsidP="00BF3654">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Termen</w:t>
            </w:r>
          </w:p>
        </w:tc>
        <w:tc>
          <w:tcPr>
            <w:tcW w:w="4142" w:type="dxa"/>
            <w:tcBorders>
              <w:bottom w:val="single" w:sz="8" w:space="0" w:color="D9D9D9" w:themeColor="background1" w:themeShade="D9"/>
            </w:tcBorders>
            <w:shd w:val="clear" w:color="auto" w:fill="00B0F0"/>
            <w:hideMark/>
          </w:tcPr>
          <w:p w14:paraId="1439C14A" w14:textId="77777777" w:rsidR="00BF3654" w:rsidRPr="00187708" w:rsidRDefault="00BF3654" w:rsidP="00BF3654">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Responsabil principal / alți responsabili</w:t>
            </w:r>
          </w:p>
        </w:tc>
        <w:tc>
          <w:tcPr>
            <w:tcW w:w="3401" w:type="dxa"/>
            <w:tcBorders>
              <w:bottom w:val="single" w:sz="8" w:space="0" w:color="D9D9D9" w:themeColor="background1" w:themeShade="D9"/>
            </w:tcBorders>
            <w:shd w:val="clear" w:color="auto" w:fill="00B0F0"/>
            <w:hideMark/>
          </w:tcPr>
          <w:p w14:paraId="06B8DDC6" w14:textId="77777777" w:rsidR="00BF3654" w:rsidRPr="00187708" w:rsidRDefault="00BF3654" w:rsidP="00BF3654">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Sursa de finanțare</w:t>
            </w:r>
          </w:p>
        </w:tc>
      </w:tr>
      <w:tr w:rsidR="001A0997" w:rsidRPr="00187708" w14:paraId="182699F2" w14:textId="77777777" w:rsidTr="003E4B1B">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56" w:type="dxa"/>
            <w:tcBorders>
              <w:top w:val="single" w:sz="8" w:space="0" w:color="D9D9D9" w:themeColor="background1" w:themeShade="D9"/>
              <w:bottom w:val="single" w:sz="8" w:space="0" w:color="D9D9D9" w:themeColor="background1" w:themeShade="D9"/>
            </w:tcBorders>
            <w:shd w:val="clear" w:color="auto" w:fill="auto"/>
            <w:hideMark/>
          </w:tcPr>
          <w:p w14:paraId="67F96A40" w14:textId="77777777" w:rsidR="001A0997" w:rsidRPr="00187708" w:rsidRDefault="001A0997"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AZB-OS-01</w:t>
            </w:r>
          </w:p>
        </w:tc>
        <w:tc>
          <w:tcPr>
            <w:tcW w:w="858" w:type="dxa"/>
            <w:tcBorders>
              <w:top w:val="single" w:sz="8" w:space="0" w:color="D9D9D9" w:themeColor="background1" w:themeShade="D9"/>
              <w:bottom w:val="single" w:sz="8" w:space="0" w:color="D9D9D9" w:themeColor="background1" w:themeShade="D9"/>
            </w:tcBorders>
            <w:shd w:val="clear" w:color="auto" w:fill="auto"/>
            <w:hideMark/>
          </w:tcPr>
          <w:p w14:paraId="666E04C5" w14:textId="77777777" w:rsidR="001A0997" w:rsidRPr="00187708" w:rsidRDefault="001A0997" w:rsidP="00BF3654">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42" w:type="dxa"/>
            <w:tcBorders>
              <w:top w:val="single" w:sz="8" w:space="0" w:color="D9D9D9" w:themeColor="background1" w:themeShade="D9"/>
              <w:bottom w:val="single" w:sz="8" w:space="0" w:color="D9D9D9" w:themeColor="background1" w:themeShade="D9"/>
            </w:tcBorders>
            <w:shd w:val="clear" w:color="auto" w:fill="auto"/>
            <w:hideMark/>
          </w:tcPr>
          <w:p w14:paraId="25B9EC82" w14:textId="77777777" w:rsidR="001A0997" w:rsidRPr="00187708" w:rsidRDefault="001A0997" w:rsidP="00BF3654">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1</w:t>
            </w:r>
          </w:p>
        </w:tc>
        <w:tc>
          <w:tcPr>
            <w:tcW w:w="16774" w:type="dxa"/>
            <w:gridSpan w:val="4"/>
            <w:tcBorders>
              <w:top w:val="single" w:sz="8" w:space="0" w:color="D9D9D9" w:themeColor="background1" w:themeShade="D9"/>
              <w:bottom w:val="single" w:sz="8" w:space="0" w:color="D9D9D9" w:themeColor="background1" w:themeShade="D9"/>
            </w:tcBorders>
            <w:shd w:val="clear" w:color="auto" w:fill="auto"/>
            <w:hideMark/>
          </w:tcPr>
          <w:p w14:paraId="3E929338" w14:textId="0E1FE03B" w:rsidR="001A0997" w:rsidRPr="00187708" w:rsidRDefault="001A0997" w:rsidP="001A0997">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Gestionarea durabilă a materialelor și deșeurilor de azbest</w:t>
            </w:r>
          </w:p>
        </w:tc>
      </w:tr>
      <w:tr w:rsidR="00BF3654" w:rsidRPr="00187708" w14:paraId="14ECF984" w14:textId="77777777" w:rsidTr="003E4B1B">
        <w:trPr>
          <w:trHeight w:val="387"/>
        </w:trPr>
        <w:tc>
          <w:tcPr>
            <w:cnfStyle w:val="001000000000" w:firstRow="0" w:lastRow="0" w:firstColumn="1" w:lastColumn="0" w:oddVBand="0" w:evenVBand="0" w:oddHBand="0" w:evenHBand="0" w:firstRowFirstColumn="0" w:firstRowLastColumn="0" w:lastRowFirstColumn="0" w:lastRowLastColumn="0"/>
            <w:tcW w:w="1456" w:type="dxa"/>
            <w:tcBorders>
              <w:top w:val="single" w:sz="8" w:space="0" w:color="D9D9D9" w:themeColor="background1" w:themeShade="D9"/>
              <w:bottom w:val="single" w:sz="8" w:space="0" w:color="D9D9D9" w:themeColor="background1" w:themeShade="D9"/>
            </w:tcBorders>
            <w:hideMark/>
          </w:tcPr>
          <w:p w14:paraId="1BECA126" w14:textId="77777777" w:rsidR="00BF3654" w:rsidRPr="00187708" w:rsidRDefault="00BF3654"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AZB-A1</w:t>
            </w:r>
          </w:p>
        </w:tc>
        <w:tc>
          <w:tcPr>
            <w:tcW w:w="858" w:type="dxa"/>
            <w:tcBorders>
              <w:top w:val="single" w:sz="8" w:space="0" w:color="D9D9D9" w:themeColor="background1" w:themeShade="D9"/>
              <w:bottom w:val="single" w:sz="8" w:space="0" w:color="D9D9D9" w:themeColor="background1" w:themeShade="D9"/>
            </w:tcBorders>
            <w:hideMark/>
          </w:tcPr>
          <w:p w14:paraId="5FEEE62D" w14:textId="77777777" w:rsidR="00BF3654" w:rsidRPr="00187708" w:rsidRDefault="00BF3654" w:rsidP="00BF3654">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42" w:type="dxa"/>
            <w:tcBorders>
              <w:top w:val="single" w:sz="8" w:space="0" w:color="D9D9D9" w:themeColor="background1" w:themeShade="D9"/>
              <w:bottom w:val="single" w:sz="8" w:space="0" w:color="D9D9D9" w:themeColor="background1" w:themeShade="D9"/>
            </w:tcBorders>
            <w:hideMark/>
          </w:tcPr>
          <w:p w14:paraId="6B012F1A" w14:textId="77777777" w:rsidR="00BF3654" w:rsidRPr="00187708" w:rsidRDefault="00BF3654" w:rsidP="00BF3654">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7774" w:type="dxa"/>
            <w:tcBorders>
              <w:top w:val="single" w:sz="8" w:space="0" w:color="D9D9D9" w:themeColor="background1" w:themeShade="D9"/>
              <w:bottom w:val="single" w:sz="8" w:space="0" w:color="D9D9D9" w:themeColor="background1" w:themeShade="D9"/>
            </w:tcBorders>
            <w:hideMark/>
          </w:tcPr>
          <w:p w14:paraId="2778E1B9" w14:textId="77777777" w:rsidR="00BF3654" w:rsidRPr="00187708" w:rsidRDefault="00BF3654" w:rsidP="00BF3654">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program național pentru identificarea, colectarea separată, transportul și eliminarea controlată a materialelor și deșeurilor cu azbest, pentru protecția sănătății publice și a lucrătorilor</w:t>
            </w:r>
          </w:p>
        </w:tc>
        <w:tc>
          <w:tcPr>
            <w:tcW w:w="1457" w:type="dxa"/>
            <w:tcBorders>
              <w:top w:val="single" w:sz="8" w:space="0" w:color="D9D9D9" w:themeColor="background1" w:themeShade="D9"/>
              <w:bottom w:val="single" w:sz="8" w:space="0" w:color="D9D9D9" w:themeColor="background1" w:themeShade="D9"/>
            </w:tcBorders>
            <w:hideMark/>
          </w:tcPr>
          <w:p w14:paraId="637831A0" w14:textId="77777777" w:rsidR="00BF3654" w:rsidRPr="00187708" w:rsidRDefault="00BF3654" w:rsidP="00BF3654">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42" w:type="dxa"/>
            <w:tcBorders>
              <w:top w:val="single" w:sz="8" w:space="0" w:color="D9D9D9" w:themeColor="background1" w:themeShade="D9"/>
              <w:bottom w:val="single" w:sz="8" w:space="0" w:color="D9D9D9" w:themeColor="background1" w:themeShade="D9"/>
            </w:tcBorders>
            <w:hideMark/>
          </w:tcPr>
          <w:p w14:paraId="1514A28A" w14:textId="77777777" w:rsidR="00BF3654" w:rsidRPr="00187708" w:rsidRDefault="00BF3654" w:rsidP="00BF3654">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Firme de construcții</w:t>
            </w:r>
          </w:p>
        </w:tc>
        <w:tc>
          <w:tcPr>
            <w:tcW w:w="3401" w:type="dxa"/>
            <w:tcBorders>
              <w:top w:val="single" w:sz="8" w:space="0" w:color="D9D9D9" w:themeColor="background1" w:themeShade="D9"/>
              <w:bottom w:val="single" w:sz="8" w:space="0" w:color="D9D9D9" w:themeColor="background1" w:themeShade="D9"/>
            </w:tcBorders>
            <w:hideMark/>
          </w:tcPr>
          <w:p w14:paraId="53AC52B0" w14:textId="77777777" w:rsidR="00BF3654" w:rsidRPr="00187708" w:rsidRDefault="00BF3654" w:rsidP="00BF3654">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Fonduri proprii; Alte fonduri</w:t>
            </w:r>
          </w:p>
        </w:tc>
      </w:tr>
      <w:tr w:rsidR="00BF3654" w:rsidRPr="00187708" w14:paraId="7862E9A4" w14:textId="77777777" w:rsidTr="003E4B1B">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56" w:type="dxa"/>
            <w:tcBorders>
              <w:top w:val="single" w:sz="8" w:space="0" w:color="D9D9D9" w:themeColor="background1" w:themeShade="D9"/>
              <w:bottom w:val="single" w:sz="8" w:space="0" w:color="D9D9D9" w:themeColor="background1" w:themeShade="D9"/>
            </w:tcBorders>
            <w:shd w:val="clear" w:color="auto" w:fill="auto"/>
            <w:hideMark/>
          </w:tcPr>
          <w:p w14:paraId="622CECAE" w14:textId="77777777" w:rsidR="00BF3654" w:rsidRPr="00187708" w:rsidRDefault="00BF3654"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AZB-A2</w:t>
            </w:r>
          </w:p>
        </w:tc>
        <w:tc>
          <w:tcPr>
            <w:tcW w:w="858" w:type="dxa"/>
            <w:tcBorders>
              <w:top w:val="single" w:sz="8" w:space="0" w:color="D9D9D9" w:themeColor="background1" w:themeShade="D9"/>
              <w:bottom w:val="single" w:sz="8" w:space="0" w:color="D9D9D9" w:themeColor="background1" w:themeShade="D9"/>
            </w:tcBorders>
            <w:shd w:val="clear" w:color="auto" w:fill="auto"/>
            <w:hideMark/>
          </w:tcPr>
          <w:p w14:paraId="7080C419" w14:textId="77777777" w:rsidR="00BF3654" w:rsidRPr="00187708" w:rsidRDefault="00BF3654" w:rsidP="00BF3654">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42" w:type="dxa"/>
            <w:tcBorders>
              <w:top w:val="single" w:sz="8" w:space="0" w:color="D9D9D9" w:themeColor="background1" w:themeShade="D9"/>
              <w:bottom w:val="single" w:sz="8" w:space="0" w:color="D9D9D9" w:themeColor="background1" w:themeShade="D9"/>
            </w:tcBorders>
            <w:shd w:val="clear" w:color="auto" w:fill="auto"/>
            <w:hideMark/>
          </w:tcPr>
          <w:p w14:paraId="16EFDAB6" w14:textId="77777777" w:rsidR="00BF3654" w:rsidRPr="00187708" w:rsidRDefault="00BF3654" w:rsidP="00BF3654">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7774" w:type="dxa"/>
            <w:tcBorders>
              <w:top w:val="single" w:sz="8" w:space="0" w:color="D9D9D9" w:themeColor="background1" w:themeShade="D9"/>
              <w:bottom w:val="single" w:sz="8" w:space="0" w:color="D9D9D9" w:themeColor="background1" w:themeShade="D9"/>
            </w:tcBorders>
            <w:shd w:val="clear" w:color="auto" w:fill="auto"/>
            <w:hideMark/>
          </w:tcPr>
          <w:p w14:paraId="0AA633B0" w14:textId="77777777" w:rsidR="00BF3654" w:rsidRPr="00187708" w:rsidRDefault="00BF3654" w:rsidP="00BF3654">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Derularea de campanii de informare și conștientizare a populației privind riscurile produselor cu azbest</w:t>
            </w:r>
          </w:p>
        </w:tc>
        <w:tc>
          <w:tcPr>
            <w:tcW w:w="1457" w:type="dxa"/>
            <w:tcBorders>
              <w:top w:val="single" w:sz="8" w:space="0" w:color="D9D9D9" w:themeColor="background1" w:themeShade="D9"/>
              <w:bottom w:val="single" w:sz="8" w:space="0" w:color="D9D9D9" w:themeColor="background1" w:themeShade="D9"/>
            </w:tcBorders>
            <w:shd w:val="clear" w:color="auto" w:fill="auto"/>
            <w:hideMark/>
          </w:tcPr>
          <w:p w14:paraId="2519A9ED" w14:textId="77777777" w:rsidR="00BF3654" w:rsidRPr="00187708" w:rsidRDefault="00BF3654" w:rsidP="00BF3654">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42" w:type="dxa"/>
            <w:tcBorders>
              <w:top w:val="single" w:sz="8" w:space="0" w:color="D9D9D9" w:themeColor="background1" w:themeShade="D9"/>
              <w:bottom w:val="single" w:sz="8" w:space="0" w:color="D9D9D9" w:themeColor="background1" w:themeShade="D9"/>
            </w:tcBorders>
            <w:shd w:val="clear" w:color="auto" w:fill="auto"/>
            <w:hideMark/>
          </w:tcPr>
          <w:p w14:paraId="6498AB68" w14:textId="77777777" w:rsidR="00BF3654" w:rsidRPr="00187708" w:rsidRDefault="00BF3654" w:rsidP="00BF3654">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401" w:type="dxa"/>
            <w:tcBorders>
              <w:top w:val="single" w:sz="8" w:space="0" w:color="D9D9D9" w:themeColor="background1" w:themeShade="D9"/>
              <w:bottom w:val="single" w:sz="8" w:space="0" w:color="D9D9D9" w:themeColor="background1" w:themeShade="D9"/>
            </w:tcBorders>
            <w:shd w:val="clear" w:color="auto" w:fill="auto"/>
            <w:hideMark/>
          </w:tcPr>
          <w:p w14:paraId="4FF4AB78" w14:textId="77777777" w:rsidR="00BF3654" w:rsidRPr="00187708" w:rsidRDefault="00BF3654" w:rsidP="00BF3654">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A0997" w:rsidRPr="00187708" w14:paraId="5D451264" w14:textId="77777777" w:rsidTr="003E4B1B">
        <w:trPr>
          <w:trHeight w:val="127"/>
        </w:trPr>
        <w:tc>
          <w:tcPr>
            <w:cnfStyle w:val="001000000000" w:firstRow="0" w:lastRow="0" w:firstColumn="1" w:lastColumn="0" w:oddVBand="0" w:evenVBand="0" w:oddHBand="0" w:evenHBand="0" w:firstRowFirstColumn="0" w:firstRowLastColumn="0" w:lastRowFirstColumn="0" w:lastRowLastColumn="0"/>
            <w:tcW w:w="1456" w:type="dxa"/>
            <w:tcBorders>
              <w:top w:val="single" w:sz="8" w:space="0" w:color="D9D9D9" w:themeColor="background1" w:themeShade="D9"/>
              <w:bottom w:val="single" w:sz="8" w:space="0" w:color="D9D9D9" w:themeColor="background1" w:themeShade="D9"/>
            </w:tcBorders>
            <w:hideMark/>
          </w:tcPr>
          <w:p w14:paraId="05AA2A9F" w14:textId="77777777" w:rsidR="001A0997" w:rsidRPr="00187708" w:rsidRDefault="001A0997" w:rsidP="00B80B00">
            <w:pPr>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AZB-OS-02</w:t>
            </w:r>
          </w:p>
        </w:tc>
        <w:tc>
          <w:tcPr>
            <w:tcW w:w="858" w:type="dxa"/>
            <w:tcBorders>
              <w:top w:val="single" w:sz="8" w:space="0" w:color="D9D9D9" w:themeColor="background1" w:themeShade="D9"/>
              <w:bottom w:val="single" w:sz="8" w:space="0" w:color="D9D9D9" w:themeColor="background1" w:themeShade="D9"/>
            </w:tcBorders>
            <w:hideMark/>
          </w:tcPr>
          <w:p w14:paraId="6C31DAEB" w14:textId="77777777" w:rsidR="001A0997" w:rsidRPr="00187708" w:rsidRDefault="001A0997" w:rsidP="00BF3654">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342" w:type="dxa"/>
            <w:tcBorders>
              <w:top w:val="single" w:sz="8" w:space="0" w:color="D9D9D9" w:themeColor="background1" w:themeShade="D9"/>
              <w:bottom w:val="single" w:sz="8" w:space="0" w:color="D9D9D9" w:themeColor="background1" w:themeShade="D9"/>
            </w:tcBorders>
            <w:hideMark/>
          </w:tcPr>
          <w:p w14:paraId="4FA85C4F" w14:textId="77777777" w:rsidR="001A0997" w:rsidRPr="00187708" w:rsidRDefault="001A0997" w:rsidP="00BF3654">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16774" w:type="dxa"/>
            <w:gridSpan w:val="4"/>
            <w:tcBorders>
              <w:top w:val="single" w:sz="8" w:space="0" w:color="D9D9D9" w:themeColor="background1" w:themeShade="D9"/>
              <w:bottom w:val="single" w:sz="8" w:space="0" w:color="D9D9D9" w:themeColor="background1" w:themeShade="D9"/>
            </w:tcBorders>
            <w:hideMark/>
          </w:tcPr>
          <w:p w14:paraId="20905CCE" w14:textId="77E9FB77" w:rsidR="001A0997" w:rsidRPr="00187708" w:rsidRDefault="001A0997" w:rsidP="001A0997">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Actualizarea cadrului legal</w:t>
            </w:r>
          </w:p>
        </w:tc>
      </w:tr>
      <w:tr w:rsidR="00BF3654" w:rsidRPr="00187708" w14:paraId="6812C68E" w14:textId="77777777" w:rsidTr="003E4B1B">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456" w:type="dxa"/>
            <w:tcBorders>
              <w:top w:val="single" w:sz="8" w:space="0" w:color="D9D9D9" w:themeColor="background1" w:themeShade="D9"/>
              <w:bottom w:val="single" w:sz="8" w:space="0" w:color="D9D9D9" w:themeColor="background1" w:themeShade="D9"/>
            </w:tcBorders>
            <w:shd w:val="clear" w:color="auto" w:fill="auto"/>
            <w:hideMark/>
          </w:tcPr>
          <w:p w14:paraId="3DDF7213" w14:textId="77777777" w:rsidR="00BF3654" w:rsidRPr="00187708" w:rsidRDefault="00BF3654" w:rsidP="00B80B00">
            <w:pP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AZB-A3</w:t>
            </w:r>
          </w:p>
        </w:tc>
        <w:tc>
          <w:tcPr>
            <w:tcW w:w="858" w:type="dxa"/>
            <w:tcBorders>
              <w:top w:val="single" w:sz="8" w:space="0" w:color="D9D9D9" w:themeColor="background1" w:themeShade="D9"/>
              <w:bottom w:val="single" w:sz="8" w:space="0" w:color="D9D9D9" w:themeColor="background1" w:themeShade="D9"/>
            </w:tcBorders>
            <w:shd w:val="clear" w:color="auto" w:fill="auto"/>
            <w:hideMark/>
          </w:tcPr>
          <w:p w14:paraId="40282462" w14:textId="77777777" w:rsidR="00BF3654" w:rsidRPr="00187708" w:rsidRDefault="00BF3654" w:rsidP="00BF3654">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42" w:type="dxa"/>
            <w:tcBorders>
              <w:top w:val="single" w:sz="8" w:space="0" w:color="D9D9D9" w:themeColor="background1" w:themeShade="D9"/>
              <w:bottom w:val="single" w:sz="8" w:space="0" w:color="D9D9D9" w:themeColor="background1" w:themeShade="D9"/>
            </w:tcBorders>
            <w:shd w:val="clear" w:color="auto" w:fill="auto"/>
            <w:hideMark/>
          </w:tcPr>
          <w:p w14:paraId="5F08A981" w14:textId="77777777" w:rsidR="00BF3654" w:rsidRPr="00187708" w:rsidRDefault="00BF3654" w:rsidP="00BF3654">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7774" w:type="dxa"/>
            <w:tcBorders>
              <w:top w:val="single" w:sz="8" w:space="0" w:color="D9D9D9" w:themeColor="background1" w:themeShade="D9"/>
              <w:bottom w:val="single" w:sz="8" w:space="0" w:color="D9D9D9" w:themeColor="background1" w:themeShade="D9"/>
            </w:tcBorders>
            <w:shd w:val="clear" w:color="auto" w:fill="auto"/>
            <w:hideMark/>
          </w:tcPr>
          <w:p w14:paraId="01201CB4" w14:textId="77777777" w:rsidR="00E13662" w:rsidRPr="00187708" w:rsidRDefault="00E13662" w:rsidP="00E13662">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xml:space="preserve">2.1 Includerea unor prevederi legislative noi pentru: </w:t>
            </w:r>
          </w:p>
          <w:p w14:paraId="47F9D62B" w14:textId="77777777" w:rsidR="00E13662" w:rsidRPr="00187708" w:rsidRDefault="00E13662" w:rsidP="00E13662">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identificarea, înregistrarea, colectarea, transferul, eliminarea/neutralizarea și monitorizarea materialelor cu conținut de azbest în construcții și desființări (inclusiv din gospodării)</w:t>
            </w:r>
          </w:p>
          <w:p w14:paraId="569A12FA" w14:textId="77777777" w:rsidR="00E13662" w:rsidRPr="00187708" w:rsidRDefault="00E13662" w:rsidP="00E13662">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realizarea a unui inventar național al clădirilor publice care conțin azbest</w:t>
            </w:r>
          </w:p>
          <w:p w14:paraId="6A5B94E6" w14:textId="6FD6E093" w:rsidR="00BF3654" w:rsidRPr="00187708" w:rsidRDefault="00E13662" w:rsidP="00E13662">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revizuirea prevederilor HG 124/2003 pentru conformarea cu Directiva 2009/148/CE modificată prin Directiva (UE) 2023/2668 privind protecția lucrătorilor împotriva riscurilor legate de expunerea la azbest la locul de muncă</w:t>
            </w:r>
          </w:p>
        </w:tc>
        <w:tc>
          <w:tcPr>
            <w:tcW w:w="1457" w:type="dxa"/>
            <w:tcBorders>
              <w:top w:val="single" w:sz="8" w:space="0" w:color="D9D9D9" w:themeColor="background1" w:themeShade="D9"/>
              <w:bottom w:val="single" w:sz="8" w:space="0" w:color="D9D9D9" w:themeColor="background1" w:themeShade="D9"/>
            </w:tcBorders>
            <w:shd w:val="clear" w:color="auto" w:fill="auto"/>
            <w:hideMark/>
          </w:tcPr>
          <w:p w14:paraId="566C2FFE" w14:textId="77777777" w:rsidR="00BF3654" w:rsidRPr="00187708" w:rsidRDefault="00BF3654" w:rsidP="00BF3654">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42" w:type="dxa"/>
            <w:tcBorders>
              <w:top w:val="single" w:sz="8" w:space="0" w:color="D9D9D9" w:themeColor="background1" w:themeShade="D9"/>
              <w:bottom w:val="single" w:sz="8" w:space="0" w:color="D9D9D9" w:themeColor="background1" w:themeShade="D9"/>
            </w:tcBorders>
            <w:shd w:val="clear" w:color="auto" w:fill="auto"/>
            <w:hideMark/>
          </w:tcPr>
          <w:p w14:paraId="0F7A0775" w14:textId="77777777" w:rsidR="00BF3654" w:rsidRPr="00187708" w:rsidRDefault="00BF3654" w:rsidP="00BF3654">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MTI; MDLPA</w:t>
            </w:r>
          </w:p>
        </w:tc>
        <w:tc>
          <w:tcPr>
            <w:tcW w:w="3401" w:type="dxa"/>
            <w:tcBorders>
              <w:top w:val="single" w:sz="8" w:space="0" w:color="D9D9D9" w:themeColor="background1" w:themeShade="D9"/>
              <w:bottom w:val="single" w:sz="8" w:space="0" w:color="D9D9D9" w:themeColor="background1" w:themeShade="D9"/>
            </w:tcBorders>
            <w:shd w:val="clear" w:color="auto" w:fill="auto"/>
            <w:hideMark/>
          </w:tcPr>
          <w:p w14:paraId="577CC15C" w14:textId="77777777" w:rsidR="00BF3654" w:rsidRPr="00187708" w:rsidRDefault="00BF3654" w:rsidP="00BF3654">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74FD4FE8" w14:textId="77777777" w:rsidR="00BF3654" w:rsidRPr="00187708" w:rsidRDefault="00BF3654">
      <w:pPr>
        <w:rPr>
          <w:rFonts w:ascii="Nunito" w:eastAsiaTheme="majorEastAsia" w:hAnsi="Nunito" w:cstheme="majorBidi"/>
          <w:sz w:val="16"/>
          <w:szCs w:val="16"/>
          <w:lang w:val="ro-RO"/>
        </w:rPr>
      </w:pPr>
    </w:p>
    <w:p w14:paraId="6AC5641E" w14:textId="78D39089" w:rsidR="004C221C" w:rsidRPr="00187708" w:rsidRDefault="003E4B1B">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14</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 xml:space="preserve">ui </w:t>
      </w:r>
      <w:r w:rsidRPr="00187708">
        <w:rPr>
          <w:rFonts w:ascii="Nunito" w:hAnsi="Nunito"/>
          <w:b/>
          <w:bCs/>
          <w:color w:val="009DF0" w:themeColor="text2"/>
          <w:sz w:val="16"/>
          <w:szCs w:val="16"/>
          <w:lang w:val="ro-RO"/>
        </w:rPr>
        <w:t xml:space="preserve"> de acțiune pentru </w:t>
      </w:r>
      <w:r w:rsidR="00C46A5F" w:rsidRPr="00187708">
        <w:rPr>
          <w:rFonts w:ascii="Nunito" w:hAnsi="Nunito"/>
          <w:b/>
          <w:bCs/>
          <w:color w:val="009DF0" w:themeColor="text2"/>
          <w:sz w:val="16"/>
          <w:szCs w:val="16"/>
          <w:lang w:val="ro-RO"/>
        </w:rPr>
        <w:t>gestionarea deșeurilor rezultate din activitățile sanitare</w:t>
      </w:r>
    </w:p>
    <w:tbl>
      <w:tblPr>
        <w:tblStyle w:val="ListTable1Light-Accent1"/>
        <w:tblW w:w="20426" w:type="dxa"/>
        <w:tblLook w:val="04A0" w:firstRow="1" w:lastRow="0" w:firstColumn="1" w:lastColumn="0" w:noHBand="0" w:noVBand="1"/>
      </w:tblPr>
      <w:tblGrid>
        <w:gridCol w:w="1438"/>
        <w:gridCol w:w="847"/>
        <w:gridCol w:w="1325"/>
        <w:gridCol w:w="7677"/>
        <w:gridCol w:w="1613"/>
        <w:gridCol w:w="4110"/>
        <w:gridCol w:w="3416"/>
      </w:tblGrid>
      <w:tr w:rsidR="004C221C" w:rsidRPr="00187708" w14:paraId="0B3FBFC4" w14:textId="77777777" w:rsidTr="00187708">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38" w:type="dxa"/>
            <w:tcBorders>
              <w:bottom w:val="single" w:sz="8" w:space="0" w:color="D9D9D9" w:themeColor="background1" w:themeShade="D9"/>
            </w:tcBorders>
            <w:shd w:val="clear" w:color="auto" w:fill="00B0F0"/>
            <w:hideMark/>
          </w:tcPr>
          <w:p w14:paraId="58108687" w14:textId="77777777" w:rsidR="004C221C" w:rsidRPr="00187708" w:rsidRDefault="004C221C" w:rsidP="004C221C">
            <w:pPr>
              <w:jc w:val="center"/>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Cod</w:t>
            </w:r>
          </w:p>
        </w:tc>
        <w:tc>
          <w:tcPr>
            <w:tcW w:w="847" w:type="dxa"/>
            <w:tcBorders>
              <w:bottom w:val="single" w:sz="8" w:space="0" w:color="D9D9D9" w:themeColor="background1" w:themeShade="D9"/>
            </w:tcBorders>
            <w:shd w:val="clear" w:color="auto" w:fill="00B0F0"/>
            <w:hideMark/>
          </w:tcPr>
          <w:p w14:paraId="0D05CA61" w14:textId="77777777" w:rsidR="004C221C" w:rsidRPr="00187708" w:rsidRDefault="004C221C" w:rsidP="004C221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Nivel</w:t>
            </w:r>
          </w:p>
        </w:tc>
        <w:tc>
          <w:tcPr>
            <w:tcW w:w="1325" w:type="dxa"/>
            <w:tcBorders>
              <w:bottom w:val="single" w:sz="8" w:space="0" w:color="D9D9D9" w:themeColor="background1" w:themeShade="D9"/>
            </w:tcBorders>
            <w:shd w:val="clear" w:color="auto" w:fill="00B0F0"/>
            <w:hideMark/>
          </w:tcPr>
          <w:p w14:paraId="32319CD8" w14:textId="05E52D89" w:rsidR="004C221C" w:rsidRPr="00187708" w:rsidRDefault="002916EA" w:rsidP="00384C8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b w:val="0"/>
                <w:bCs w:val="0"/>
                <w:color w:val="FFFFFF" w:themeColor="background1"/>
                <w:sz w:val="16"/>
                <w:szCs w:val="16"/>
                <w:lang w:val="ro-RO"/>
              </w:rPr>
              <w:t>Nr crt</w:t>
            </w:r>
            <w:r w:rsidR="004C221C" w:rsidRPr="00187708">
              <w:rPr>
                <w:rFonts w:ascii="Nunito" w:eastAsia="Times New Roman" w:hAnsi="Nunito" w:cs="Arial"/>
                <w:color w:val="FFFFFF" w:themeColor="background1"/>
                <w:sz w:val="16"/>
                <w:szCs w:val="16"/>
                <w:lang w:val="ro-RO"/>
              </w:rPr>
              <w:t xml:space="preserve"> PNGD</w:t>
            </w:r>
          </w:p>
        </w:tc>
        <w:tc>
          <w:tcPr>
            <w:tcW w:w="7677" w:type="dxa"/>
            <w:tcBorders>
              <w:bottom w:val="single" w:sz="8" w:space="0" w:color="D9D9D9" w:themeColor="background1" w:themeShade="D9"/>
            </w:tcBorders>
            <w:shd w:val="clear" w:color="auto" w:fill="00B0F0"/>
            <w:hideMark/>
          </w:tcPr>
          <w:p w14:paraId="345AC763" w14:textId="77777777" w:rsidR="004C221C" w:rsidRPr="00187708" w:rsidRDefault="004C221C" w:rsidP="004C221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Denumire obiectiv / acțiune</w:t>
            </w:r>
          </w:p>
        </w:tc>
        <w:tc>
          <w:tcPr>
            <w:tcW w:w="1613" w:type="dxa"/>
            <w:tcBorders>
              <w:bottom w:val="single" w:sz="8" w:space="0" w:color="D9D9D9" w:themeColor="background1" w:themeShade="D9"/>
            </w:tcBorders>
            <w:shd w:val="clear" w:color="auto" w:fill="00B0F0"/>
            <w:hideMark/>
          </w:tcPr>
          <w:p w14:paraId="199FEE4B" w14:textId="77777777" w:rsidR="004C221C" w:rsidRPr="00187708" w:rsidRDefault="004C221C" w:rsidP="004C221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Termen</w:t>
            </w:r>
          </w:p>
        </w:tc>
        <w:tc>
          <w:tcPr>
            <w:tcW w:w="4110" w:type="dxa"/>
            <w:tcBorders>
              <w:bottom w:val="single" w:sz="8" w:space="0" w:color="D9D9D9" w:themeColor="background1" w:themeShade="D9"/>
            </w:tcBorders>
            <w:shd w:val="clear" w:color="auto" w:fill="00B0F0"/>
            <w:hideMark/>
          </w:tcPr>
          <w:p w14:paraId="2785781B" w14:textId="77777777" w:rsidR="004C221C" w:rsidRPr="00187708" w:rsidRDefault="004C221C" w:rsidP="004C221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Responsabil principal / alți responsabili</w:t>
            </w:r>
          </w:p>
        </w:tc>
        <w:tc>
          <w:tcPr>
            <w:tcW w:w="3416" w:type="dxa"/>
            <w:tcBorders>
              <w:bottom w:val="single" w:sz="8" w:space="0" w:color="D9D9D9" w:themeColor="background1" w:themeShade="D9"/>
            </w:tcBorders>
            <w:shd w:val="clear" w:color="auto" w:fill="00B0F0"/>
            <w:hideMark/>
          </w:tcPr>
          <w:p w14:paraId="465D7AE0" w14:textId="77777777" w:rsidR="004C221C" w:rsidRPr="00187708" w:rsidRDefault="004C221C" w:rsidP="004C221C">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Sursa de finanțare</w:t>
            </w:r>
          </w:p>
        </w:tc>
      </w:tr>
      <w:tr w:rsidR="00683D0C" w:rsidRPr="00187708" w14:paraId="763CB123" w14:textId="77777777" w:rsidTr="00C46A5F">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shd w:val="clear" w:color="auto" w:fill="auto"/>
            <w:hideMark/>
          </w:tcPr>
          <w:p w14:paraId="27AC7442" w14:textId="77777777" w:rsidR="00683D0C" w:rsidRPr="00187708" w:rsidRDefault="00683D0C" w:rsidP="00327F01">
            <w:pPr>
              <w:jc w:val="both"/>
              <w:rPr>
                <w:rFonts w:ascii="Nunito" w:eastAsia="Times New Roman" w:hAnsi="Nunito" w:cs="Arial"/>
                <w:sz w:val="16"/>
                <w:szCs w:val="16"/>
                <w:lang w:val="ro-RO"/>
              </w:rPr>
            </w:pPr>
            <w:r w:rsidRPr="00187708">
              <w:rPr>
                <w:rFonts w:ascii="Nunito" w:eastAsia="Times New Roman" w:hAnsi="Nunito" w:cs="Arial"/>
                <w:sz w:val="16"/>
                <w:szCs w:val="16"/>
                <w:lang w:val="ro-RO"/>
              </w:rPr>
              <w:t>SAN-OS-01</w:t>
            </w:r>
          </w:p>
        </w:tc>
        <w:tc>
          <w:tcPr>
            <w:tcW w:w="847" w:type="dxa"/>
            <w:tcBorders>
              <w:top w:val="single" w:sz="8" w:space="0" w:color="D9D9D9" w:themeColor="background1" w:themeShade="D9"/>
              <w:bottom w:val="single" w:sz="8" w:space="0" w:color="D9D9D9" w:themeColor="background1" w:themeShade="D9"/>
            </w:tcBorders>
            <w:shd w:val="clear" w:color="auto" w:fill="auto"/>
            <w:hideMark/>
          </w:tcPr>
          <w:p w14:paraId="1DF4C858" w14:textId="77777777" w:rsidR="00683D0C" w:rsidRPr="00187708" w:rsidRDefault="00683D0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325" w:type="dxa"/>
            <w:tcBorders>
              <w:top w:val="single" w:sz="8" w:space="0" w:color="D9D9D9" w:themeColor="background1" w:themeShade="D9"/>
              <w:bottom w:val="single" w:sz="8" w:space="0" w:color="D9D9D9" w:themeColor="background1" w:themeShade="D9"/>
            </w:tcBorders>
            <w:shd w:val="clear" w:color="auto" w:fill="auto"/>
            <w:hideMark/>
          </w:tcPr>
          <w:p w14:paraId="52B68C91" w14:textId="77777777" w:rsidR="00683D0C" w:rsidRPr="00187708" w:rsidRDefault="00683D0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1</w:t>
            </w:r>
          </w:p>
        </w:tc>
        <w:tc>
          <w:tcPr>
            <w:tcW w:w="16816" w:type="dxa"/>
            <w:gridSpan w:val="4"/>
            <w:tcBorders>
              <w:top w:val="single" w:sz="8" w:space="0" w:color="D9D9D9" w:themeColor="background1" w:themeShade="D9"/>
              <w:bottom w:val="single" w:sz="8" w:space="0" w:color="D9D9D9" w:themeColor="background1" w:themeShade="D9"/>
            </w:tcBorders>
            <w:shd w:val="clear" w:color="auto" w:fill="auto"/>
            <w:hideMark/>
          </w:tcPr>
          <w:p w14:paraId="5423A34D" w14:textId="6E7AB791" w:rsidR="00683D0C" w:rsidRPr="00187708" w:rsidRDefault="00683D0C" w:rsidP="00C46A5F">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Creșterea capacității de colectare separată și tratare conformă a deșeurilor sanitare periculoase provenite din spitale, clinici, cabinete individuale, farmacii și orice alte unități în care se desfășoară activități medicale</w:t>
            </w:r>
          </w:p>
        </w:tc>
      </w:tr>
      <w:tr w:rsidR="004C221C" w:rsidRPr="00187708" w14:paraId="4EAD9949" w14:textId="77777777" w:rsidTr="00187708">
        <w:trPr>
          <w:trHeight w:val="680"/>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hideMark/>
          </w:tcPr>
          <w:p w14:paraId="116488B3" w14:textId="77777777" w:rsidR="004C221C" w:rsidRPr="00187708" w:rsidRDefault="004C221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SAN-A1</w:t>
            </w:r>
          </w:p>
        </w:tc>
        <w:tc>
          <w:tcPr>
            <w:tcW w:w="847" w:type="dxa"/>
            <w:tcBorders>
              <w:top w:val="single" w:sz="8" w:space="0" w:color="D9D9D9" w:themeColor="background1" w:themeShade="D9"/>
              <w:bottom w:val="single" w:sz="8" w:space="0" w:color="D9D9D9" w:themeColor="background1" w:themeShade="D9"/>
            </w:tcBorders>
            <w:hideMark/>
          </w:tcPr>
          <w:p w14:paraId="58DCED9A"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25" w:type="dxa"/>
            <w:tcBorders>
              <w:top w:val="single" w:sz="8" w:space="0" w:color="D9D9D9" w:themeColor="background1" w:themeShade="D9"/>
              <w:bottom w:val="single" w:sz="8" w:space="0" w:color="D9D9D9" w:themeColor="background1" w:themeShade="D9"/>
            </w:tcBorders>
            <w:hideMark/>
          </w:tcPr>
          <w:p w14:paraId="2E941E17"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7677" w:type="dxa"/>
            <w:tcBorders>
              <w:top w:val="single" w:sz="8" w:space="0" w:color="D9D9D9" w:themeColor="background1" w:themeShade="D9"/>
              <w:bottom w:val="single" w:sz="8" w:space="0" w:color="D9D9D9" w:themeColor="background1" w:themeShade="D9"/>
            </w:tcBorders>
            <w:hideMark/>
          </w:tcPr>
          <w:p w14:paraId="0353167A"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infrastructurii de colectare a deșeurilor sanitare periculoase provenite din spitale, clinici, cabinete individuale, farmacii și orice alte unități în care se desfășoară activități medicale</w:t>
            </w:r>
          </w:p>
        </w:tc>
        <w:tc>
          <w:tcPr>
            <w:tcW w:w="1613" w:type="dxa"/>
            <w:tcBorders>
              <w:top w:val="single" w:sz="8" w:space="0" w:color="D9D9D9" w:themeColor="background1" w:themeShade="D9"/>
              <w:bottom w:val="single" w:sz="8" w:space="0" w:color="D9D9D9" w:themeColor="background1" w:themeShade="D9"/>
            </w:tcBorders>
            <w:hideMark/>
          </w:tcPr>
          <w:p w14:paraId="2591E9B0"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tcBorders>
              <w:top w:val="single" w:sz="8" w:space="0" w:color="D9D9D9" w:themeColor="background1" w:themeShade="D9"/>
              <w:bottom w:val="single" w:sz="8" w:space="0" w:color="D9D9D9" w:themeColor="background1" w:themeShade="D9"/>
            </w:tcBorders>
            <w:hideMark/>
          </w:tcPr>
          <w:p w14:paraId="69BED496"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Unitățile în care se desfășoară activități medicale</w:t>
            </w:r>
          </w:p>
        </w:tc>
        <w:tc>
          <w:tcPr>
            <w:tcW w:w="3416" w:type="dxa"/>
            <w:tcBorders>
              <w:top w:val="single" w:sz="8" w:space="0" w:color="D9D9D9" w:themeColor="background1" w:themeShade="D9"/>
              <w:bottom w:val="single" w:sz="8" w:space="0" w:color="D9D9D9" w:themeColor="background1" w:themeShade="D9"/>
            </w:tcBorders>
            <w:hideMark/>
          </w:tcPr>
          <w:p w14:paraId="58EE728E"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proprii</w:t>
            </w:r>
          </w:p>
        </w:tc>
      </w:tr>
      <w:tr w:rsidR="004C221C" w:rsidRPr="00187708" w14:paraId="2EA70263" w14:textId="77777777" w:rsidTr="00187708">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shd w:val="clear" w:color="auto" w:fill="auto"/>
            <w:hideMark/>
          </w:tcPr>
          <w:p w14:paraId="74DE6E57" w14:textId="77777777" w:rsidR="004C221C" w:rsidRPr="00187708" w:rsidRDefault="004C221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SAN-A2</w:t>
            </w:r>
          </w:p>
        </w:tc>
        <w:tc>
          <w:tcPr>
            <w:tcW w:w="847" w:type="dxa"/>
            <w:tcBorders>
              <w:top w:val="single" w:sz="8" w:space="0" w:color="D9D9D9" w:themeColor="background1" w:themeShade="D9"/>
              <w:bottom w:val="single" w:sz="8" w:space="0" w:color="D9D9D9" w:themeColor="background1" w:themeShade="D9"/>
            </w:tcBorders>
            <w:shd w:val="clear" w:color="auto" w:fill="auto"/>
            <w:hideMark/>
          </w:tcPr>
          <w:p w14:paraId="143C043B"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25" w:type="dxa"/>
            <w:tcBorders>
              <w:top w:val="single" w:sz="8" w:space="0" w:color="D9D9D9" w:themeColor="background1" w:themeShade="D9"/>
              <w:bottom w:val="single" w:sz="8" w:space="0" w:color="D9D9D9" w:themeColor="background1" w:themeShade="D9"/>
            </w:tcBorders>
            <w:shd w:val="clear" w:color="auto" w:fill="auto"/>
            <w:hideMark/>
          </w:tcPr>
          <w:p w14:paraId="5D7B1264"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7677" w:type="dxa"/>
            <w:tcBorders>
              <w:top w:val="single" w:sz="8" w:space="0" w:color="D9D9D9" w:themeColor="background1" w:themeShade="D9"/>
              <w:bottom w:val="single" w:sz="8" w:space="0" w:color="D9D9D9" w:themeColor="background1" w:themeShade="D9"/>
            </w:tcBorders>
            <w:shd w:val="clear" w:color="auto" w:fill="auto"/>
            <w:hideMark/>
          </w:tcPr>
          <w:p w14:paraId="557D60B1"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Inventarierea tuturor unităților sanitare care generează deșeuri periculoase și verificarea existenței contractelor cu operatori autorizați</w:t>
            </w:r>
          </w:p>
        </w:tc>
        <w:tc>
          <w:tcPr>
            <w:tcW w:w="1613" w:type="dxa"/>
            <w:tcBorders>
              <w:top w:val="single" w:sz="8" w:space="0" w:color="D9D9D9" w:themeColor="background1" w:themeShade="D9"/>
              <w:bottom w:val="single" w:sz="8" w:space="0" w:color="D9D9D9" w:themeColor="background1" w:themeShade="D9"/>
            </w:tcBorders>
            <w:shd w:val="clear" w:color="auto" w:fill="auto"/>
            <w:hideMark/>
          </w:tcPr>
          <w:p w14:paraId="45F34263"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D9D9D9" w:themeColor="background1" w:themeShade="D9"/>
              <w:bottom w:val="single" w:sz="8" w:space="0" w:color="D9D9D9" w:themeColor="background1" w:themeShade="D9"/>
            </w:tcBorders>
            <w:shd w:val="clear" w:color="auto" w:fill="auto"/>
            <w:hideMark/>
          </w:tcPr>
          <w:p w14:paraId="2046B2DF"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INSP; DSP-uri</w:t>
            </w:r>
          </w:p>
        </w:tc>
        <w:tc>
          <w:tcPr>
            <w:tcW w:w="3416" w:type="dxa"/>
            <w:tcBorders>
              <w:top w:val="single" w:sz="8" w:space="0" w:color="D9D9D9" w:themeColor="background1" w:themeShade="D9"/>
              <w:bottom w:val="single" w:sz="8" w:space="0" w:color="D9D9D9" w:themeColor="background1" w:themeShade="D9"/>
            </w:tcBorders>
            <w:shd w:val="clear" w:color="auto" w:fill="auto"/>
            <w:hideMark/>
          </w:tcPr>
          <w:p w14:paraId="5348E5DC"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4C221C" w:rsidRPr="00187708" w14:paraId="4F036371" w14:textId="77777777" w:rsidTr="00187708">
        <w:trPr>
          <w:trHeight w:val="453"/>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hideMark/>
          </w:tcPr>
          <w:p w14:paraId="58136528" w14:textId="77777777" w:rsidR="004C221C" w:rsidRPr="00187708" w:rsidRDefault="004C221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SAN-A3</w:t>
            </w:r>
          </w:p>
        </w:tc>
        <w:tc>
          <w:tcPr>
            <w:tcW w:w="847" w:type="dxa"/>
            <w:tcBorders>
              <w:top w:val="single" w:sz="8" w:space="0" w:color="D9D9D9" w:themeColor="background1" w:themeShade="D9"/>
              <w:bottom w:val="single" w:sz="8" w:space="0" w:color="D9D9D9" w:themeColor="background1" w:themeShade="D9"/>
            </w:tcBorders>
            <w:hideMark/>
          </w:tcPr>
          <w:p w14:paraId="7B1C9D86"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25" w:type="dxa"/>
            <w:tcBorders>
              <w:top w:val="single" w:sz="8" w:space="0" w:color="D9D9D9" w:themeColor="background1" w:themeShade="D9"/>
              <w:bottom w:val="single" w:sz="8" w:space="0" w:color="D9D9D9" w:themeColor="background1" w:themeShade="D9"/>
            </w:tcBorders>
            <w:hideMark/>
          </w:tcPr>
          <w:p w14:paraId="13D41066"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1.3</w:t>
            </w:r>
          </w:p>
        </w:tc>
        <w:tc>
          <w:tcPr>
            <w:tcW w:w="7677" w:type="dxa"/>
            <w:tcBorders>
              <w:top w:val="single" w:sz="8" w:space="0" w:color="D9D9D9" w:themeColor="background1" w:themeShade="D9"/>
              <w:bottom w:val="single" w:sz="8" w:space="0" w:color="D9D9D9" w:themeColor="background1" w:themeShade="D9"/>
            </w:tcBorders>
            <w:hideMark/>
          </w:tcPr>
          <w:p w14:paraId="4985D020"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de inspecții tematice periodice la generatori (unitățile sanitare) și la transportatorii de deșeuri sanitare</w:t>
            </w:r>
          </w:p>
        </w:tc>
        <w:tc>
          <w:tcPr>
            <w:tcW w:w="1613" w:type="dxa"/>
            <w:tcBorders>
              <w:top w:val="single" w:sz="8" w:space="0" w:color="D9D9D9" w:themeColor="background1" w:themeShade="D9"/>
              <w:bottom w:val="single" w:sz="8" w:space="0" w:color="D9D9D9" w:themeColor="background1" w:themeShade="D9"/>
            </w:tcBorders>
            <w:hideMark/>
          </w:tcPr>
          <w:p w14:paraId="2D8E48DF"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tcBorders>
              <w:top w:val="single" w:sz="8" w:space="0" w:color="D9D9D9" w:themeColor="background1" w:themeShade="D9"/>
              <w:bottom w:val="single" w:sz="8" w:space="0" w:color="D9D9D9" w:themeColor="background1" w:themeShade="D9"/>
            </w:tcBorders>
            <w:hideMark/>
          </w:tcPr>
          <w:p w14:paraId="468E6668"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DSP-uri; GNM</w:t>
            </w:r>
          </w:p>
        </w:tc>
        <w:tc>
          <w:tcPr>
            <w:tcW w:w="3416" w:type="dxa"/>
            <w:tcBorders>
              <w:top w:val="single" w:sz="8" w:space="0" w:color="D9D9D9" w:themeColor="background1" w:themeShade="D9"/>
              <w:bottom w:val="single" w:sz="8" w:space="0" w:color="D9D9D9" w:themeColor="background1" w:themeShade="D9"/>
            </w:tcBorders>
            <w:hideMark/>
          </w:tcPr>
          <w:p w14:paraId="5FFB83FD"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4C221C" w:rsidRPr="00187708" w14:paraId="4A90F7B9" w14:textId="77777777" w:rsidTr="0018770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shd w:val="clear" w:color="auto" w:fill="auto"/>
            <w:hideMark/>
          </w:tcPr>
          <w:p w14:paraId="500ABA6B" w14:textId="77777777" w:rsidR="004C221C" w:rsidRPr="00187708" w:rsidRDefault="004C221C" w:rsidP="00327F01">
            <w:pPr>
              <w:jc w:val="both"/>
              <w:rPr>
                <w:rFonts w:ascii="Nunito" w:eastAsia="Times New Roman" w:hAnsi="Nunito" w:cs="Arial"/>
                <w:sz w:val="16"/>
                <w:szCs w:val="16"/>
                <w:lang w:val="ro-RO"/>
              </w:rPr>
            </w:pPr>
            <w:r w:rsidRPr="00187708">
              <w:rPr>
                <w:rFonts w:ascii="Nunito" w:eastAsia="Times New Roman" w:hAnsi="Nunito" w:cs="Arial"/>
                <w:sz w:val="16"/>
                <w:szCs w:val="16"/>
                <w:lang w:val="ro-RO"/>
              </w:rPr>
              <w:t>SAN-OS-02</w:t>
            </w:r>
          </w:p>
        </w:tc>
        <w:tc>
          <w:tcPr>
            <w:tcW w:w="847" w:type="dxa"/>
            <w:tcBorders>
              <w:top w:val="single" w:sz="8" w:space="0" w:color="D9D9D9" w:themeColor="background1" w:themeShade="D9"/>
              <w:bottom w:val="single" w:sz="8" w:space="0" w:color="D9D9D9" w:themeColor="background1" w:themeShade="D9"/>
            </w:tcBorders>
            <w:shd w:val="clear" w:color="auto" w:fill="auto"/>
            <w:hideMark/>
          </w:tcPr>
          <w:p w14:paraId="469E88F1"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325" w:type="dxa"/>
            <w:tcBorders>
              <w:top w:val="single" w:sz="8" w:space="0" w:color="D9D9D9" w:themeColor="background1" w:themeShade="D9"/>
              <w:bottom w:val="single" w:sz="8" w:space="0" w:color="D9D9D9" w:themeColor="background1" w:themeShade="D9"/>
            </w:tcBorders>
            <w:shd w:val="clear" w:color="auto" w:fill="auto"/>
            <w:hideMark/>
          </w:tcPr>
          <w:p w14:paraId="4AF858DF"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2</w:t>
            </w:r>
          </w:p>
        </w:tc>
        <w:tc>
          <w:tcPr>
            <w:tcW w:w="7677" w:type="dxa"/>
            <w:tcBorders>
              <w:top w:val="single" w:sz="8" w:space="0" w:color="D9D9D9" w:themeColor="background1" w:themeShade="D9"/>
              <w:bottom w:val="single" w:sz="8" w:space="0" w:color="D9D9D9" w:themeColor="background1" w:themeShade="D9"/>
            </w:tcBorders>
            <w:shd w:val="clear" w:color="auto" w:fill="auto"/>
            <w:hideMark/>
          </w:tcPr>
          <w:p w14:paraId="34763C41"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Definitivarea cadrului legal privind gestionarea deșeurilor rezultate din activități medicale</w:t>
            </w:r>
          </w:p>
        </w:tc>
        <w:tc>
          <w:tcPr>
            <w:tcW w:w="1613" w:type="dxa"/>
            <w:tcBorders>
              <w:top w:val="single" w:sz="8" w:space="0" w:color="D9D9D9" w:themeColor="background1" w:themeShade="D9"/>
              <w:bottom w:val="single" w:sz="8" w:space="0" w:color="D9D9D9" w:themeColor="background1" w:themeShade="D9"/>
            </w:tcBorders>
            <w:shd w:val="clear" w:color="auto" w:fill="auto"/>
          </w:tcPr>
          <w:p w14:paraId="36F249E7" w14:textId="7F4BE206"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c>
          <w:tcPr>
            <w:tcW w:w="4110" w:type="dxa"/>
            <w:tcBorders>
              <w:top w:val="single" w:sz="8" w:space="0" w:color="D9D9D9" w:themeColor="background1" w:themeShade="D9"/>
              <w:bottom w:val="single" w:sz="8" w:space="0" w:color="D9D9D9" w:themeColor="background1" w:themeShade="D9"/>
            </w:tcBorders>
            <w:shd w:val="clear" w:color="auto" w:fill="auto"/>
          </w:tcPr>
          <w:p w14:paraId="0809F6EB" w14:textId="020119EA"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c>
          <w:tcPr>
            <w:tcW w:w="3416" w:type="dxa"/>
            <w:tcBorders>
              <w:top w:val="single" w:sz="8" w:space="0" w:color="D9D9D9" w:themeColor="background1" w:themeShade="D9"/>
              <w:bottom w:val="single" w:sz="8" w:space="0" w:color="D9D9D9" w:themeColor="background1" w:themeShade="D9"/>
            </w:tcBorders>
            <w:shd w:val="clear" w:color="auto" w:fill="auto"/>
            <w:hideMark/>
          </w:tcPr>
          <w:p w14:paraId="01523A3D" w14:textId="329B82B4"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r>
      <w:tr w:rsidR="004C221C" w:rsidRPr="00187708" w14:paraId="0299D590" w14:textId="77777777" w:rsidTr="00187708">
        <w:trPr>
          <w:trHeight w:val="453"/>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hideMark/>
          </w:tcPr>
          <w:p w14:paraId="367C4B93" w14:textId="77777777" w:rsidR="004C221C" w:rsidRPr="00187708" w:rsidRDefault="004C221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SAN-A4</w:t>
            </w:r>
          </w:p>
        </w:tc>
        <w:tc>
          <w:tcPr>
            <w:tcW w:w="847" w:type="dxa"/>
            <w:tcBorders>
              <w:top w:val="single" w:sz="8" w:space="0" w:color="D9D9D9" w:themeColor="background1" w:themeShade="D9"/>
              <w:bottom w:val="single" w:sz="8" w:space="0" w:color="D9D9D9" w:themeColor="background1" w:themeShade="D9"/>
            </w:tcBorders>
            <w:hideMark/>
          </w:tcPr>
          <w:p w14:paraId="596C23C3"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25" w:type="dxa"/>
            <w:tcBorders>
              <w:top w:val="single" w:sz="8" w:space="0" w:color="D9D9D9" w:themeColor="background1" w:themeShade="D9"/>
              <w:bottom w:val="single" w:sz="8" w:space="0" w:color="D9D9D9" w:themeColor="background1" w:themeShade="D9"/>
            </w:tcBorders>
            <w:hideMark/>
          </w:tcPr>
          <w:p w14:paraId="24A4D61E"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7677" w:type="dxa"/>
            <w:tcBorders>
              <w:top w:val="single" w:sz="8" w:space="0" w:color="D9D9D9" w:themeColor="background1" w:themeShade="D9"/>
              <w:bottom w:val="single" w:sz="8" w:space="0" w:color="D9D9D9" w:themeColor="background1" w:themeShade="D9"/>
            </w:tcBorders>
            <w:hideMark/>
          </w:tcPr>
          <w:p w14:paraId="62B7146A"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Aprobarea strategiei și a planului de gestionare a deșeurilor rezultate din activități medicale la nivel național</w:t>
            </w:r>
          </w:p>
        </w:tc>
        <w:tc>
          <w:tcPr>
            <w:tcW w:w="1613" w:type="dxa"/>
            <w:tcBorders>
              <w:top w:val="single" w:sz="8" w:space="0" w:color="D9D9D9" w:themeColor="background1" w:themeShade="D9"/>
              <w:bottom w:val="single" w:sz="8" w:space="0" w:color="D9D9D9" w:themeColor="background1" w:themeShade="D9"/>
            </w:tcBorders>
            <w:hideMark/>
          </w:tcPr>
          <w:p w14:paraId="24970658"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D9D9D9" w:themeColor="background1" w:themeShade="D9"/>
              <w:bottom w:val="single" w:sz="8" w:space="0" w:color="D9D9D9" w:themeColor="background1" w:themeShade="D9"/>
            </w:tcBorders>
            <w:hideMark/>
          </w:tcPr>
          <w:p w14:paraId="50DB1DA8"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MS; INSP; DSP-uri</w:t>
            </w:r>
          </w:p>
        </w:tc>
        <w:tc>
          <w:tcPr>
            <w:tcW w:w="3416" w:type="dxa"/>
            <w:tcBorders>
              <w:top w:val="single" w:sz="8" w:space="0" w:color="D9D9D9" w:themeColor="background1" w:themeShade="D9"/>
              <w:bottom w:val="single" w:sz="8" w:space="0" w:color="D9D9D9" w:themeColor="background1" w:themeShade="D9"/>
            </w:tcBorders>
            <w:hideMark/>
          </w:tcPr>
          <w:p w14:paraId="010D9F03"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4C221C" w:rsidRPr="00187708" w14:paraId="3C4C24A5" w14:textId="77777777" w:rsidTr="0018770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shd w:val="clear" w:color="auto" w:fill="auto"/>
            <w:hideMark/>
          </w:tcPr>
          <w:p w14:paraId="62A2B3E1" w14:textId="77777777" w:rsidR="004C221C" w:rsidRPr="00187708" w:rsidRDefault="004C221C" w:rsidP="00327F01">
            <w:pPr>
              <w:jc w:val="both"/>
              <w:rPr>
                <w:rFonts w:ascii="Nunito" w:eastAsia="Times New Roman" w:hAnsi="Nunito" w:cs="Arial"/>
                <w:sz w:val="16"/>
                <w:szCs w:val="16"/>
                <w:lang w:val="ro-RO"/>
              </w:rPr>
            </w:pPr>
            <w:r w:rsidRPr="00187708">
              <w:rPr>
                <w:rFonts w:ascii="Nunito" w:eastAsia="Times New Roman" w:hAnsi="Nunito" w:cs="Arial"/>
                <w:sz w:val="16"/>
                <w:szCs w:val="16"/>
                <w:lang w:val="ro-RO"/>
              </w:rPr>
              <w:t>SAN-OS-03</w:t>
            </w:r>
          </w:p>
        </w:tc>
        <w:tc>
          <w:tcPr>
            <w:tcW w:w="847" w:type="dxa"/>
            <w:tcBorders>
              <w:top w:val="single" w:sz="8" w:space="0" w:color="D9D9D9" w:themeColor="background1" w:themeShade="D9"/>
              <w:bottom w:val="single" w:sz="8" w:space="0" w:color="D9D9D9" w:themeColor="background1" w:themeShade="D9"/>
            </w:tcBorders>
            <w:shd w:val="clear" w:color="auto" w:fill="auto"/>
            <w:hideMark/>
          </w:tcPr>
          <w:p w14:paraId="16DB976B"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OS</w:t>
            </w:r>
          </w:p>
        </w:tc>
        <w:tc>
          <w:tcPr>
            <w:tcW w:w="1325" w:type="dxa"/>
            <w:tcBorders>
              <w:top w:val="single" w:sz="8" w:space="0" w:color="D9D9D9" w:themeColor="background1" w:themeShade="D9"/>
              <w:bottom w:val="single" w:sz="8" w:space="0" w:color="D9D9D9" w:themeColor="background1" w:themeShade="D9"/>
            </w:tcBorders>
            <w:shd w:val="clear" w:color="auto" w:fill="auto"/>
            <w:hideMark/>
          </w:tcPr>
          <w:p w14:paraId="014C927B"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Obiectiv 3</w:t>
            </w:r>
          </w:p>
        </w:tc>
        <w:tc>
          <w:tcPr>
            <w:tcW w:w="7677" w:type="dxa"/>
            <w:tcBorders>
              <w:top w:val="single" w:sz="8" w:space="0" w:color="D9D9D9" w:themeColor="background1" w:themeShade="D9"/>
              <w:bottom w:val="single" w:sz="8" w:space="0" w:color="D9D9D9" w:themeColor="background1" w:themeShade="D9"/>
            </w:tcBorders>
            <w:shd w:val="clear" w:color="auto" w:fill="auto"/>
            <w:hideMark/>
          </w:tcPr>
          <w:p w14:paraId="719C2B68"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r w:rsidRPr="00187708">
              <w:rPr>
                <w:rFonts w:ascii="Nunito" w:eastAsia="Times New Roman" w:hAnsi="Nunito" w:cs="Arial"/>
                <w:b/>
                <w:bCs/>
                <w:sz w:val="16"/>
                <w:szCs w:val="16"/>
                <w:lang w:val="ro-RO"/>
              </w:rPr>
              <w:t>Digitalizarea bazei naționale de date a deșeurilor rezultate din activitatea medicală</w:t>
            </w:r>
          </w:p>
        </w:tc>
        <w:tc>
          <w:tcPr>
            <w:tcW w:w="1613" w:type="dxa"/>
            <w:tcBorders>
              <w:top w:val="single" w:sz="8" w:space="0" w:color="D9D9D9" w:themeColor="background1" w:themeShade="D9"/>
              <w:bottom w:val="single" w:sz="8" w:space="0" w:color="D9D9D9" w:themeColor="background1" w:themeShade="D9"/>
            </w:tcBorders>
            <w:shd w:val="clear" w:color="auto" w:fill="auto"/>
          </w:tcPr>
          <w:p w14:paraId="0F3A33DD" w14:textId="12D219DA"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c>
          <w:tcPr>
            <w:tcW w:w="4110" w:type="dxa"/>
            <w:tcBorders>
              <w:top w:val="single" w:sz="8" w:space="0" w:color="D9D9D9" w:themeColor="background1" w:themeShade="D9"/>
              <w:bottom w:val="single" w:sz="8" w:space="0" w:color="D9D9D9" w:themeColor="background1" w:themeShade="D9"/>
            </w:tcBorders>
            <w:shd w:val="clear" w:color="auto" w:fill="auto"/>
          </w:tcPr>
          <w:p w14:paraId="46E466B3" w14:textId="1D2AECFB"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c>
          <w:tcPr>
            <w:tcW w:w="3416" w:type="dxa"/>
            <w:tcBorders>
              <w:top w:val="single" w:sz="8" w:space="0" w:color="D9D9D9" w:themeColor="background1" w:themeShade="D9"/>
              <w:bottom w:val="single" w:sz="8" w:space="0" w:color="D9D9D9" w:themeColor="background1" w:themeShade="D9"/>
            </w:tcBorders>
            <w:shd w:val="clear" w:color="auto" w:fill="auto"/>
            <w:hideMark/>
          </w:tcPr>
          <w:p w14:paraId="4344AA75" w14:textId="12F21001"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sz w:val="16"/>
                <w:szCs w:val="16"/>
                <w:lang w:val="ro-RO"/>
              </w:rPr>
            </w:pPr>
          </w:p>
        </w:tc>
      </w:tr>
      <w:tr w:rsidR="004C221C" w:rsidRPr="00187708" w14:paraId="44A376F6" w14:textId="77777777" w:rsidTr="00187708">
        <w:trPr>
          <w:trHeight w:val="453"/>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hideMark/>
          </w:tcPr>
          <w:p w14:paraId="5026951F" w14:textId="77777777" w:rsidR="004C221C" w:rsidRPr="00187708" w:rsidRDefault="004C221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SAN-A5</w:t>
            </w:r>
          </w:p>
        </w:tc>
        <w:tc>
          <w:tcPr>
            <w:tcW w:w="847" w:type="dxa"/>
            <w:tcBorders>
              <w:top w:val="single" w:sz="8" w:space="0" w:color="D9D9D9" w:themeColor="background1" w:themeShade="D9"/>
              <w:bottom w:val="single" w:sz="8" w:space="0" w:color="D9D9D9" w:themeColor="background1" w:themeShade="D9"/>
            </w:tcBorders>
            <w:hideMark/>
          </w:tcPr>
          <w:p w14:paraId="7333B587"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25" w:type="dxa"/>
            <w:tcBorders>
              <w:top w:val="single" w:sz="8" w:space="0" w:color="D9D9D9" w:themeColor="background1" w:themeShade="D9"/>
              <w:bottom w:val="single" w:sz="8" w:space="0" w:color="D9D9D9" w:themeColor="background1" w:themeShade="D9"/>
            </w:tcBorders>
            <w:hideMark/>
          </w:tcPr>
          <w:p w14:paraId="21C7F222" w14:textId="77777777" w:rsidR="004C221C" w:rsidRPr="00187708" w:rsidRDefault="004C221C" w:rsidP="004C221C">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w:t>
            </w:r>
          </w:p>
        </w:tc>
        <w:tc>
          <w:tcPr>
            <w:tcW w:w="7677" w:type="dxa"/>
            <w:tcBorders>
              <w:top w:val="single" w:sz="8" w:space="0" w:color="D9D9D9" w:themeColor="background1" w:themeShade="D9"/>
              <w:bottom w:val="single" w:sz="8" w:space="0" w:color="D9D9D9" w:themeColor="background1" w:themeShade="D9"/>
            </w:tcBorders>
            <w:hideMark/>
          </w:tcPr>
          <w:p w14:paraId="0EA0C005"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unei platforme electronice pentru gestionarea bazei naționale de date a deșeurilor rezultate din activitatea medicală</w:t>
            </w:r>
          </w:p>
        </w:tc>
        <w:tc>
          <w:tcPr>
            <w:tcW w:w="1613" w:type="dxa"/>
            <w:tcBorders>
              <w:top w:val="single" w:sz="8" w:space="0" w:color="D9D9D9" w:themeColor="background1" w:themeShade="D9"/>
              <w:bottom w:val="single" w:sz="8" w:space="0" w:color="D9D9D9" w:themeColor="background1" w:themeShade="D9"/>
            </w:tcBorders>
            <w:hideMark/>
          </w:tcPr>
          <w:p w14:paraId="47F34619"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D9D9D9" w:themeColor="background1" w:themeShade="D9"/>
              <w:bottom w:val="single" w:sz="8" w:space="0" w:color="D9D9D9" w:themeColor="background1" w:themeShade="D9"/>
            </w:tcBorders>
            <w:hideMark/>
          </w:tcPr>
          <w:p w14:paraId="5AD51575"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INSP</w:t>
            </w:r>
          </w:p>
        </w:tc>
        <w:tc>
          <w:tcPr>
            <w:tcW w:w="3416" w:type="dxa"/>
            <w:tcBorders>
              <w:top w:val="single" w:sz="8" w:space="0" w:color="D9D9D9" w:themeColor="background1" w:themeShade="D9"/>
              <w:bottom w:val="single" w:sz="8" w:space="0" w:color="D9D9D9" w:themeColor="background1" w:themeShade="D9"/>
            </w:tcBorders>
            <w:hideMark/>
          </w:tcPr>
          <w:p w14:paraId="3BA50451" w14:textId="77777777" w:rsidR="004C221C" w:rsidRPr="00187708" w:rsidRDefault="004C221C" w:rsidP="004C221C">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4C221C" w:rsidRPr="00187708" w14:paraId="589E98D3" w14:textId="77777777" w:rsidTr="00187708">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438" w:type="dxa"/>
            <w:tcBorders>
              <w:top w:val="single" w:sz="8" w:space="0" w:color="D9D9D9" w:themeColor="background1" w:themeShade="D9"/>
              <w:bottom w:val="single" w:sz="8" w:space="0" w:color="D9D9D9" w:themeColor="background1" w:themeShade="D9"/>
            </w:tcBorders>
            <w:shd w:val="clear" w:color="auto" w:fill="auto"/>
            <w:hideMark/>
          </w:tcPr>
          <w:p w14:paraId="4E17858C" w14:textId="77777777" w:rsidR="004C221C" w:rsidRPr="00187708" w:rsidRDefault="004C221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SAN-A6</w:t>
            </w:r>
          </w:p>
        </w:tc>
        <w:tc>
          <w:tcPr>
            <w:tcW w:w="847" w:type="dxa"/>
            <w:tcBorders>
              <w:top w:val="single" w:sz="8" w:space="0" w:color="D9D9D9" w:themeColor="background1" w:themeShade="D9"/>
              <w:bottom w:val="single" w:sz="8" w:space="0" w:color="D9D9D9" w:themeColor="background1" w:themeShade="D9"/>
            </w:tcBorders>
            <w:shd w:val="clear" w:color="auto" w:fill="auto"/>
            <w:hideMark/>
          </w:tcPr>
          <w:p w14:paraId="776B1EF4"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325" w:type="dxa"/>
            <w:tcBorders>
              <w:top w:val="single" w:sz="8" w:space="0" w:color="D9D9D9" w:themeColor="background1" w:themeShade="D9"/>
              <w:bottom w:val="single" w:sz="8" w:space="0" w:color="D9D9D9" w:themeColor="background1" w:themeShade="D9"/>
            </w:tcBorders>
            <w:shd w:val="clear" w:color="auto" w:fill="auto"/>
            <w:hideMark/>
          </w:tcPr>
          <w:p w14:paraId="638F6156" w14:textId="77777777" w:rsidR="004C221C" w:rsidRPr="00187708" w:rsidRDefault="004C221C" w:rsidP="004C221C">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3.2</w:t>
            </w:r>
          </w:p>
        </w:tc>
        <w:tc>
          <w:tcPr>
            <w:tcW w:w="7677" w:type="dxa"/>
            <w:tcBorders>
              <w:top w:val="single" w:sz="8" w:space="0" w:color="D9D9D9" w:themeColor="background1" w:themeShade="D9"/>
              <w:bottom w:val="single" w:sz="8" w:space="0" w:color="D9D9D9" w:themeColor="background1" w:themeShade="D9"/>
            </w:tcBorders>
            <w:shd w:val="clear" w:color="auto" w:fill="auto"/>
            <w:hideMark/>
          </w:tcPr>
          <w:p w14:paraId="0E961343"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interoperabilizării între baza de date a deșeurilor rezultate din activitatea medicală (înființată și gestionată de INSP) și sistemul digital unitar de raportare și trasabilitate pentru toate fluxurile de deșeuri reglementate, gestionat de ANMAP</w:t>
            </w:r>
          </w:p>
        </w:tc>
        <w:tc>
          <w:tcPr>
            <w:tcW w:w="1613" w:type="dxa"/>
            <w:tcBorders>
              <w:top w:val="single" w:sz="8" w:space="0" w:color="D9D9D9" w:themeColor="background1" w:themeShade="D9"/>
              <w:bottom w:val="single" w:sz="8" w:space="0" w:color="D9D9D9" w:themeColor="background1" w:themeShade="D9"/>
            </w:tcBorders>
            <w:shd w:val="clear" w:color="auto" w:fill="auto"/>
            <w:hideMark/>
          </w:tcPr>
          <w:p w14:paraId="2E6D9DD9"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4110" w:type="dxa"/>
            <w:tcBorders>
              <w:top w:val="single" w:sz="8" w:space="0" w:color="D9D9D9" w:themeColor="background1" w:themeShade="D9"/>
              <w:bottom w:val="single" w:sz="8" w:space="0" w:color="D9D9D9" w:themeColor="background1" w:themeShade="D9"/>
            </w:tcBorders>
            <w:shd w:val="clear" w:color="auto" w:fill="auto"/>
            <w:hideMark/>
          </w:tcPr>
          <w:p w14:paraId="3E4D63A0"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 INSP</w:t>
            </w:r>
          </w:p>
        </w:tc>
        <w:tc>
          <w:tcPr>
            <w:tcW w:w="3416" w:type="dxa"/>
            <w:tcBorders>
              <w:top w:val="single" w:sz="8" w:space="0" w:color="D9D9D9" w:themeColor="background1" w:themeShade="D9"/>
              <w:bottom w:val="single" w:sz="8" w:space="0" w:color="D9D9D9" w:themeColor="background1" w:themeShade="D9"/>
            </w:tcBorders>
            <w:shd w:val="clear" w:color="auto" w:fill="auto"/>
            <w:hideMark/>
          </w:tcPr>
          <w:p w14:paraId="39F3CA24" w14:textId="77777777" w:rsidR="004C221C" w:rsidRPr="00187708" w:rsidRDefault="004C221C" w:rsidP="004C221C">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30CE2F8B" w14:textId="77777777" w:rsidR="004C221C" w:rsidRPr="00187708" w:rsidRDefault="004C221C">
      <w:pPr>
        <w:rPr>
          <w:rFonts w:ascii="Nunito" w:eastAsiaTheme="majorEastAsia" w:hAnsi="Nunito" w:cstheme="majorBidi"/>
          <w:sz w:val="16"/>
          <w:szCs w:val="16"/>
          <w:lang w:val="ro-RO"/>
        </w:rPr>
      </w:pPr>
    </w:p>
    <w:p w14:paraId="5309FBA5" w14:textId="22E9C21D" w:rsidR="00A36A90" w:rsidRPr="00187708" w:rsidRDefault="00A36A90" w:rsidP="00A36A90">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15</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 deșeurilor rezultate din activitățile veterinare</w:t>
      </w:r>
    </w:p>
    <w:tbl>
      <w:tblPr>
        <w:tblStyle w:val="ListTable1Light-Accent1"/>
        <w:tblW w:w="20500" w:type="dxa"/>
        <w:tblLook w:val="04A0" w:firstRow="1" w:lastRow="0" w:firstColumn="1" w:lastColumn="0" w:noHBand="0" w:noVBand="1"/>
      </w:tblPr>
      <w:tblGrid>
        <w:gridCol w:w="1444"/>
        <w:gridCol w:w="848"/>
        <w:gridCol w:w="1330"/>
        <w:gridCol w:w="7706"/>
        <w:gridCol w:w="1572"/>
        <w:gridCol w:w="4110"/>
        <w:gridCol w:w="3490"/>
      </w:tblGrid>
      <w:tr w:rsidR="0026203C" w:rsidRPr="00187708" w14:paraId="23E5E21D" w14:textId="77777777" w:rsidTr="00187708">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444" w:type="dxa"/>
            <w:tcBorders>
              <w:bottom w:val="single" w:sz="8" w:space="0" w:color="D9D9D9" w:themeColor="background1" w:themeShade="D9"/>
            </w:tcBorders>
            <w:shd w:val="clear" w:color="auto" w:fill="00B0F0"/>
            <w:hideMark/>
          </w:tcPr>
          <w:p w14:paraId="149664CF" w14:textId="77777777" w:rsidR="0026203C" w:rsidRPr="00187708" w:rsidRDefault="0026203C">
            <w:pPr>
              <w:jc w:val="center"/>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Cod</w:t>
            </w:r>
          </w:p>
        </w:tc>
        <w:tc>
          <w:tcPr>
            <w:tcW w:w="848" w:type="dxa"/>
            <w:tcBorders>
              <w:bottom w:val="single" w:sz="8" w:space="0" w:color="D9D9D9" w:themeColor="background1" w:themeShade="D9"/>
            </w:tcBorders>
            <w:shd w:val="clear" w:color="auto" w:fill="00B0F0"/>
            <w:hideMark/>
          </w:tcPr>
          <w:p w14:paraId="68A6228D" w14:textId="77777777" w:rsidR="0026203C" w:rsidRPr="00187708" w:rsidRDefault="0026203C">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Nivel</w:t>
            </w:r>
          </w:p>
        </w:tc>
        <w:tc>
          <w:tcPr>
            <w:tcW w:w="1330" w:type="dxa"/>
            <w:tcBorders>
              <w:bottom w:val="single" w:sz="8" w:space="0" w:color="D9D9D9" w:themeColor="background1" w:themeShade="D9"/>
            </w:tcBorders>
            <w:shd w:val="clear" w:color="auto" w:fill="00B0F0"/>
            <w:hideMark/>
          </w:tcPr>
          <w:p w14:paraId="488874C2" w14:textId="730F29B2" w:rsidR="0026203C" w:rsidRPr="00187708" w:rsidRDefault="002916EA" w:rsidP="00C61CC3">
            <w:pP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Nr crt</w:t>
            </w:r>
            <w:r w:rsidR="000059D0" w:rsidRPr="00187708">
              <w:rPr>
                <w:rFonts w:ascii="Nunito" w:hAnsi="Nunito" w:cs="Arial"/>
                <w:color w:val="FFFFFF" w:themeColor="background1"/>
                <w:sz w:val="16"/>
                <w:szCs w:val="16"/>
                <w:lang w:val="ro-RO"/>
              </w:rPr>
              <w:t xml:space="preserve"> </w:t>
            </w:r>
            <w:r w:rsidR="0026203C" w:rsidRPr="00187708">
              <w:rPr>
                <w:rFonts w:ascii="Nunito" w:hAnsi="Nunito" w:cs="Arial"/>
                <w:color w:val="FFFFFF" w:themeColor="background1"/>
                <w:sz w:val="16"/>
                <w:szCs w:val="16"/>
                <w:lang w:val="ro-RO"/>
              </w:rPr>
              <w:t>PNGD</w:t>
            </w:r>
          </w:p>
        </w:tc>
        <w:tc>
          <w:tcPr>
            <w:tcW w:w="7706" w:type="dxa"/>
            <w:tcBorders>
              <w:bottom w:val="single" w:sz="8" w:space="0" w:color="D9D9D9" w:themeColor="background1" w:themeShade="D9"/>
            </w:tcBorders>
            <w:shd w:val="clear" w:color="auto" w:fill="00B0F0"/>
            <w:hideMark/>
          </w:tcPr>
          <w:p w14:paraId="35F401C8" w14:textId="77777777" w:rsidR="0026203C" w:rsidRPr="00187708" w:rsidRDefault="0026203C">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Denumire obiectiv / acțiune</w:t>
            </w:r>
          </w:p>
        </w:tc>
        <w:tc>
          <w:tcPr>
            <w:tcW w:w="1572" w:type="dxa"/>
            <w:tcBorders>
              <w:bottom w:val="single" w:sz="8" w:space="0" w:color="D9D9D9" w:themeColor="background1" w:themeShade="D9"/>
            </w:tcBorders>
            <w:shd w:val="clear" w:color="auto" w:fill="00B0F0"/>
            <w:hideMark/>
          </w:tcPr>
          <w:p w14:paraId="6CF51E2F" w14:textId="77777777" w:rsidR="0026203C" w:rsidRPr="00187708" w:rsidRDefault="0026203C">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Termen</w:t>
            </w:r>
          </w:p>
        </w:tc>
        <w:tc>
          <w:tcPr>
            <w:tcW w:w="4110" w:type="dxa"/>
            <w:tcBorders>
              <w:bottom w:val="single" w:sz="8" w:space="0" w:color="D9D9D9" w:themeColor="background1" w:themeShade="D9"/>
            </w:tcBorders>
            <w:shd w:val="clear" w:color="auto" w:fill="00B0F0"/>
            <w:hideMark/>
          </w:tcPr>
          <w:p w14:paraId="1293EAB0" w14:textId="77777777" w:rsidR="0026203C" w:rsidRPr="00187708" w:rsidRDefault="0026203C">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Responsabil principal / alți responsabili</w:t>
            </w:r>
          </w:p>
        </w:tc>
        <w:tc>
          <w:tcPr>
            <w:tcW w:w="3490" w:type="dxa"/>
            <w:tcBorders>
              <w:bottom w:val="single" w:sz="8" w:space="0" w:color="D9D9D9" w:themeColor="background1" w:themeShade="D9"/>
            </w:tcBorders>
            <w:shd w:val="clear" w:color="auto" w:fill="00B0F0"/>
            <w:hideMark/>
          </w:tcPr>
          <w:p w14:paraId="4F9F0DEB" w14:textId="77777777" w:rsidR="0026203C" w:rsidRPr="00187708" w:rsidRDefault="0026203C">
            <w:pPr>
              <w:jc w:val="center"/>
              <w:cnfStyle w:val="100000000000" w:firstRow="1" w:lastRow="0" w:firstColumn="0" w:lastColumn="0" w:oddVBand="0" w:evenVBand="0" w:oddHBand="0" w:evenHBand="0" w:firstRowFirstColumn="0" w:firstRowLastColumn="0" w:lastRowFirstColumn="0" w:lastRowLastColumn="0"/>
              <w:rPr>
                <w:rFonts w:ascii="Nunito" w:hAnsi="Nunito" w:cs="Arial"/>
                <w:color w:val="FFFFFF" w:themeColor="background1"/>
                <w:sz w:val="16"/>
                <w:szCs w:val="16"/>
                <w:lang w:val="ro-RO"/>
              </w:rPr>
            </w:pPr>
            <w:r w:rsidRPr="00187708">
              <w:rPr>
                <w:rFonts w:ascii="Nunito" w:hAnsi="Nunito" w:cs="Arial"/>
                <w:color w:val="FFFFFF" w:themeColor="background1"/>
                <w:sz w:val="16"/>
                <w:szCs w:val="16"/>
                <w:lang w:val="ro-RO"/>
              </w:rPr>
              <w:t>Sursa de finanțare</w:t>
            </w:r>
          </w:p>
        </w:tc>
      </w:tr>
      <w:tr w:rsidR="00DB5276" w:rsidRPr="00187708" w14:paraId="0F50C8EB" w14:textId="77777777" w:rsidTr="00A36A90">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shd w:val="clear" w:color="auto" w:fill="auto"/>
            <w:hideMark/>
          </w:tcPr>
          <w:p w14:paraId="45204209" w14:textId="77777777" w:rsidR="00DB5276" w:rsidRPr="00187708" w:rsidRDefault="00DB5276"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VET-OS-01</w:t>
            </w:r>
          </w:p>
        </w:tc>
        <w:tc>
          <w:tcPr>
            <w:tcW w:w="848" w:type="dxa"/>
            <w:tcBorders>
              <w:top w:val="single" w:sz="8" w:space="0" w:color="D9D9D9" w:themeColor="background1" w:themeShade="D9"/>
              <w:bottom w:val="single" w:sz="8" w:space="0" w:color="D9D9D9" w:themeColor="background1" w:themeShade="D9"/>
            </w:tcBorders>
            <w:shd w:val="clear" w:color="auto" w:fill="auto"/>
            <w:hideMark/>
          </w:tcPr>
          <w:p w14:paraId="01922266" w14:textId="77777777" w:rsidR="00DB5276" w:rsidRPr="00187708" w:rsidRDefault="00DB527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OS</w:t>
            </w:r>
          </w:p>
        </w:tc>
        <w:tc>
          <w:tcPr>
            <w:tcW w:w="1330" w:type="dxa"/>
            <w:tcBorders>
              <w:top w:val="single" w:sz="8" w:space="0" w:color="D9D9D9" w:themeColor="background1" w:themeShade="D9"/>
              <w:bottom w:val="single" w:sz="8" w:space="0" w:color="D9D9D9" w:themeColor="background1" w:themeShade="D9"/>
            </w:tcBorders>
            <w:shd w:val="clear" w:color="auto" w:fill="auto"/>
            <w:hideMark/>
          </w:tcPr>
          <w:p w14:paraId="5E3E4F56" w14:textId="77777777" w:rsidR="00DB5276" w:rsidRPr="00187708" w:rsidRDefault="00DB527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Obiectiv 1</w:t>
            </w:r>
          </w:p>
        </w:tc>
        <w:tc>
          <w:tcPr>
            <w:tcW w:w="16878" w:type="dxa"/>
            <w:gridSpan w:val="4"/>
            <w:tcBorders>
              <w:top w:val="single" w:sz="8" w:space="0" w:color="D9D9D9" w:themeColor="background1" w:themeShade="D9"/>
              <w:bottom w:val="single" w:sz="8" w:space="0" w:color="D9D9D9" w:themeColor="background1" w:themeShade="D9"/>
            </w:tcBorders>
            <w:shd w:val="clear" w:color="auto" w:fill="auto"/>
            <w:hideMark/>
          </w:tcPr>
          <w:p w14:paraId="66CE3193" w14:textId="7CD3B267" w:rsidR="00DB5276" w:rsidRPr="00187708" w:rsidRDefault="00DB5276" w:rsidP="00DB5276">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Asigurarea colectării, transportului, tratării și eliminării corecte și conforme a deșeurilor provenite din activități veterinare</w:t>
            </w:r>
          </w:p>
        </w:tc>
      </w:tr>
      <w:tr w:rsidR="0026203C" w:rsidRPr="00187708" w14:paraId="198A3972" w14:textId="77777777" w:rsidTr="00187708">
        <w:trPr>
          <w:trHeight w:val="437"/>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hideMark/>
          </w:tcPr>
          <w:p w14:paraId="2938A428" w14:textId="77777777" w:rsidR="0026203C" w:rsidRPr="00187708" w:rsidRDefault="0026203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VET-A1</w:t>
            </w:r>
          </w:p>
        </w:tc>
        <w:tc>
          <w:tcPr>
            <w:tcW w:w="848" w:type="dxa"/>
            <w:tcBorders>
              <w:top w:val="single" w:sz="8" w:space="0" w:color="D9D9D9" w:themeColor="background1" w:themeShade="D9"/>
              <w:bottom w:val="single" w:sz="8" w:space="0" w:color="D9D9D9" w:themeColor="background1" w:themeShade="D9"/>
            </w:tcBorders>
            <w:hideMark/>
          </w:tcPr>
          <w:p w14:paraId="7CFE62A0"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30" w:type="dxa"/>
            <w:tcBorders>
              <w:top w:val="single" w:sz="8" w:space="0" w:color="D9D9D9" w:themeColor="background1" w:themeShade="D9"/>
              <w:bottom w:val="single" w:sz="8" w:space="0" w:color="D9D9D9" w:themeColor="background1" w:themeShade="D9"/>
            </w:tcBorders>
            <w:hideMark/>
          </w:tcPr>
          <w:p w14:paraId="461A9AFF"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1.1</w:t>
            </w:r>
          </w:p>
        </w:tc>
        <w:tc>
          <w:tcPr>
            <w:tcW w:w="7706" w:type="dxa"/>
            <w:tcBorders>
              <w:top w:val="single" w:sz="8" w:space="0" w:color="D9D9D9" w:themeColor="background1" w:themeShade="D9"/>
              <w:bottom w:val="single" w:sz="8" w:space="0" w:color="D9D9D9" w:themeColor="background1" w:themeShade="D9"/>
            </w:tcBorders>
            <w:hideMark/>
          </w:tcPr>
          <w:p w14:paraId="05B900AE"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Asigurarea infrastructurii de colectare separată a deșeurilor veterinare periculoase și nepericuloase, în toate unitățile sanitare veterinare, fermele de animale și laboratoarele de diagnostic</w:t>
            </w:r>
          </w:p>
        </w:tc>
        <w:tc>
          <w:tcPr>
            <w:tcW w:w="1572" w:type="dxa"/>
            <w:tcBorders>
              <w:top w:val="single" w:sz="8" w:space="0" w:color="D9D9D9" w:themeColor="background1" w:themeShade="D9"/>
              <w:bottom w:val="single" w:sz="8" w:space="0" w:color="D9D9D9" w:themeColor="background1" w:themeShade="D9"/>
            </w:tcBorders>
            <w:hideMark/>
          </w:tcPr>
          <w:p w14:paraId="255BD719"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110" w:type="dxa"/>
            <w:tcBorders>
              <w:top w:val="single" w:sz="8" w:space="0" w:color="D9D9D9" w:themeColor="background1" w:themeShade="D9"/>
              <w:bottom w:val="single" w:sz="8" w:space="0" w:color="D9D9D9" w:themeColor="background1" w:themeShade="D9"/>
            </w:tcBorders>
            <w:hideMark/>
          </w:tcPr>
          <w:p w14:paraId="4F57A349"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Unitățile în care se desfășoară activități veterinare</w:t>
            </w:r>
          </w:p>
        </w:tc>
        <w:tc>
          <w:tcPr>
            <w:tcW w:w="3490" w:type="dxa"/>
            <w:tcBorders>
              <w:top w:val="single" w:sz="8" w:space="0" w:color="D9D9D9" w:themeColor="background1" w:themeShade="D9"/>
              <w:bottom w:val="single" w:sz="8" w:space="0" w:color="D9D9D9" w:themeColor="background1" w:themeShade="D9"/>
            </w:tcBorders>
            <w:hideMark/>
          </w:tcPr>
          <w:p w14:paraId="7020131D"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Fonduri proprii</w:t>
            </w:r>
          </w:p>
        </w:tc>
      </w:tr>
      <w:tr w:rsidR="0026203C" w:rsidRPr="00187708" w14:paraId="6A540215" w14:textId="77777777" w:rsidTr="00187708">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shd w:val="clear" w:color="auto" w:fill="auto"/>
            <w:hideMark/>
          </w:tcPr>
          <w:p w14:paraId="66CA9245" w14:textId="77777777" w:rsidR="0026203C" w:rsidRPr="00187708" w:rsidRDefault="0026203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VET-A2</w:t>
            </w:r>
          </w:p>
        </w:tc>
        <w:tc>
          <w:tcPr>
            <w:tcW w:w="848" w:type="dxa"/>
            <w:tcBorders>
              <w:top w:val="single" w:sz="8" w:space="0" w:color="D9D9D9" w:themeColor="background1" w:themeShade="D9"/>
              <w:bottom w:val="single" w:sz="8" w:space="0" w:color="D9D9D9" w:themeColor="background1" w:themeShade="D9"/>
            </w:tcBorders>
            <w:shd w:val="clear" w:color="auto" w:fill="auto"/>
            <w:hideMark/>
          </w:tcPr>
          <w:p w14:paraId="045A4254" w14:textId="77777777" w:rsidR="0026203C" w:rsidRPr="00187708" w:rsidRDefault="0026203C">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30" w:type="dxa"/>
            <w:tcBorders>
              <w:top w:val="single" w:sz="8" w:space="0" w:color="D9D9D9" w:themeColor="background1" w:themeShade="D9"/>
              <w:bottom w:val="single" w:sz="8" w:space="0" w:color="D9D9D9" w:themeColor="background1" w:themeShade="D9"/>
            </w:tcBorders>
            <w:shd w:val="clear" w:color="auto" w:fill="auto"/>
            <w:hideMark/>
          </w:tcPr>
          <w:p w14:paraId="15AF3B27" w14:textId="77777777" w:rsidR="0026203C" w:rsidRPr="00187708" w:rsidRDefault="0026203C">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1.2</w:t>
            </w:r>
          </w:p>
        </w:tc>
        <w:tc>
          <w:tcPr>
            <w:tcW w:w="7706" w:type="dxa"/>
            <w:tcBorders>
              <w:top w:val="single" w:sz="8" w:space="0" w:color="D9D9D9" w:themeColor="background1" w:themeShade="D9"/>
              <w:bottom w:val="single" w:sz="8" w:space="0" w:color="D9D9D9" w:themeColor="background1" w:themeShade="D9"/>
            </w:tcBorders>
            <w:shd w:val="clear" w:color="auto" w:fill="auto"/>
            <w:hideMark/>
          </w:tcPr>
          <w:p w14:paraId="7E7D0834"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Inventarierea tuturor unităților veterinare care generează deșeuri periculoase și verificarea existenței contractelor cu operatori autorizați</w:t>
            </w:r>
          </w:p>
        </w:tc>
        <w:tc>
          <w:tcPr>
            <w:tcW w:w="1572" w:type="dxa"/>
            <w:tcBorders>
              <w:top w:val="single" w:sz="8" w:space="0" w:color="D9D9D9" w:themeColor="background1" w:themeShade="D9"/>
              <w:bottom w:val="single" w:sz="8" w:space="0" w:color="D9D9D9" w:themeColor="background1" w:themeShade="D9"/>
            </w:tcBorders>
            <w:shd w:val="clear" w:color="auto" w:fill="auto"/>
            <w:hideMark/>
          </w:tcPr>
          <w:p w14:paraId="1DB0A635"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110" w:type="dxa"/>
            <w:tcBorders>
              <w:top w:val="single" w:sz="8" w:space="0" w:color="D9D9D9" w:themeColor="background1" w:themeShade="D9"/>
              <w:bottom w:val="single" w:sz="8" w:space="0" w:color="D9D9D9" w:themeColor="background1" w:themeShade="D9"/>
            </w:tcBorders>
            <w:shd w:val="clear" w:color="auto" w:fill="auto"/>
            <w:hideMark/>
          </w:tcPr>
          <w:p w14:paraId="1CE507B6"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ANSVSA; DSV-uri</w:t>
            </w:r>
          </w:p>
        </w:tc>
        <w:tc>
          <w:tcPr>
            <w:tcW w:w="3490" w:type="dxa"/>
            <w:tcBorders>
              <w:top w:val="single" w:sz="8" w:space="0" w:color="D9D9D9" w:themeColor="background1" w:themeShade="D9"/>
              <w:bottom w:val="single" w:sz="8" w:space="0" w:color="D9D9D9" w:themeColor="background1" w:themeShade="D9"/>
            </w:tcBorders>
            <w:shd w:val="clear" w:color="auto" w:fill="auto"/>
            <w:hideMark/>
          </w:tcPr>
          <w:p w14:paraId="19659D66"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26203C" w:rsidRPr="00187708" w14:paraId="3523B468" w14:textId="77777777" w:rsidTr="00187708">
        <w:trPr>
          <w:trHeight w:val="65"/>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hideMark/>
          </w:tcPr>
          <w:p w14:paraId="33E0CA07" w14:textId="77777777" w:rsidR="0026203C" w:rsidRPr="00187708" w:rsidRDefault="0026203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VET-A3</w:t>
            </w:r>
          </w:p>
        </w:tc>
        <w:tc>
          <w:tcPr>
            <w:tcW w:w="848" w:type="dxa"/>
            <w:tcBorders>
              <w:top w:val="single" w:sz="8" w:space="0" w:color="D9D9D9" w:themeColor="background1" w:themeShade="D9"/>
              <w:bottom w:val="single" w:sz="8" w:space="0" w:color="D9D9D9" w:themeColor="background1" w:themeShade="D9"/>
            </w:tcBorders>
            <w:hideMark/>
          </w:tcPr>
          <w:p w14:paraId="51B345AF"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30" w:type="dxa"/>
            <w:tcBorders>
              <w:top w:val="single" w:sz="8" w:space="0" w:color="D9D9D9" w:themeColor="background1" w:themeShade="D9"/>
              <w:bottom w:val="single" w:sz="8" w:space="0" w:color="D9D9D9" w:themeColor="background1" w:themeShade="D9"/>
            </w:tcBorders>
            <w:hideMark/>
          </w:tcPr>
          <w:p w14:paraId="65852DED"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1.3</w:t>
            </w:r>
          </w:p>
        </w:tc>
        <w:tc>
          <w:tcPr>
            <w:tcW w:w="7706" w:type="dxa"/>
            <w:tcBorders>
              <w:top w:val="single" w:sz="8" w:space="0" w:color="D9D9D9" w:themeColor="background1" w:themeShade="D9"/>
              <w:bottom w:val="single" w:sz="8" w:space="0" w:color="D9D9D9" w:themeColor="background1" w:themeShade="D9"/>
            </w:tcBorders>
            <w:hideMark/>
          </w:tcPr>
          <w:p w14:paraId="413FD7C1"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Realizarea de inspecții tematice periodice la generatorii și transportatorii de deșeuri veterinare</w:t>
            </w:r>
          </w:p>
        </w:tc>
        <w:tc>
          <w:tcPr>
            <w:tcW w:w="1572" w:type="dxa"/>
            <w:tcBorders>
              <w:top w:val="single" w:sz="8" w:space="0" w:color="D9D9D9" w:themeColor="background1" w:themeShade="D9"/>
              <w:bottom w:val="single" w:sz="8" w:space="0" w:color="D9D9D9" w:themeColor="background1" w:themeShade="D9"/>
            </w:tcBorders>
            <w:hideMark/>
          </w:tcPr>
          <w:p w14:paraId="4944EE37"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2026</w:t>
            </w:r>
          </w:p>
        </w:tc>
        <w:tc>
          <w:tcPr>
            <w:tcW w:w="4110" w:type="dxa"/>
            <w:tcBorders>
              <w:top w:val="single" w:sz="8" w:space="0" w:color="D9D9D9" w:themeColor="background1" w:themeShade="D9"/>
              <w:bottom w:val="single" w:sz="8" w:space="0" w:color="D9D9D9" w:themeColor="background1" w:themeShade="D9"/>
            </w:tcBorders>
            <w:hideMark/>
          </w:tcPr>
          <w:p w14:paraId="74738B6B"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GNM</w:t>
            </w:r>
          </w:p>
        </w:tc>
        <w:tc>
          <w:tcPr>
            <w:tcW w:w="3490" w:type="dxa"/>
            <w:tcBorders>
              <w:top w:val="single" w:sz="8" w:space="0" w:color="D9D9D9" w:themeColor="background1" w:themeShade="D9"/>
              <w:bottom w:val="single" w:sz="8" w:space="0" w:color="D9D9D9" w:themeColor="background1" w:themeShade="D9"/>
            </w:tcBorders>
            <w:hideMark/>
          </w:tcPr>
          <w:p w14:paraId="0FB8871A"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Bugetul de stat</w:t>
            </w:r>
          </w:p>
        </w:tc>
      </w:tr>
      <w:tr w:rsidR="00DB5276" w:rsidRPr="00187708" w14:paraId="6CA5775E" w14:textId="77777777" w:rsidTr="00A36A90">
        <w:trPr>
          <w:cnfStyle w:val="000000100000" w:firstRow="0" w:lastRow="0" w:firstColumn="0" w:lastColumn="0" w:oddVBand="0" w:evenVBand="0" w:oddHBand="1"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shd w:val="clear" w:color="auto" w:fill="auto"/>
            <w:hideMark/>
          </w:tcPr>
          <w:p w14:paraId="35CCC9F5" w14:textId="77777777" w:rsidR="00DB5276" w:rsidRPr="00187708" w:rsidRDefault="00DB5276"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VET-OS-02</w:t>
            </w:r>
          </w:p>
        </w:tc>
        <w:tc>
          <w:tcPr>
            <w:tcW w:w="848" w:type="dxa"/>
            <w:tcBorders>
              <w:top w:val="single" w:sz="8" w:space="0" w:color="D9D9D9" w:themeColor="background1" w:themeShade="D9"/>
              <w:bottom w:val="single" w:sz="8" w:space="0" w:color="D9D9D9" w:themeColor="background1" w:themeShade="D9"/>
            </w:tcBorders>
            <w:shd w:val="clear" w:color="auto" w:fill="auto"/>
            <w:hideMark/>
          </w:tcPr>
          <w:p w14:paraId="0C6C7D1F" w14:textId="77777777" w:rsidR="00DB5276" w:rsidRPr="00187708" w:rsidRDefault="00DB527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OS</w:t>
            </w:r>
          </w:p>
        </w:tc>
        <w:tc>
          <w:tcPr>
            <w:tcW w:w="1330" w:type="dxa"/>
            <w:tcBorders>
              <w:top w:val="single" w:sz="8" w:space="0" w:color="D9D9D9" w:themeColor="background1" w:themeShade="D9"/>
              <w:bottom w:val="single" w:sz="8" w:space="0" w:color="D9D9D9" w:themeColor="background1" w:themeShade="D9"/>
            </w:tcBorders>
            <w:shd w:val="clear" w:color="auto" w:fill="auto"/>
            <w:hideMark/>
          </w:tcPr>
          <w:p w14:paraId="3908BBD2" w14:textId="77777777" w:rsidR="00DB5276" w:rsidRPr="00187708" w:rsidRDefault="00DB5276">
            <w:pPr>
              <w:jc w:val="cente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Obiectiv 2</w:t>
            </w:r>
          </w:p>
        </w:tc>
        <w:tc>
          <w:tcPr>
            <w:tcW w:w="16878" w:type="dxa"/>
            <w:gridSpan w:val="4"/>
            <w:tcBorders>
              <w:top w:val="single" w:sz="8" w:space="0" w:color="D9D9D9" w:themeColor="background1" w:themeShade="D9"/>
              <w:bottom w:val="single" w:sz="8" w:space="0" w:color="D9D9D9" w:themeColor="background1" w:themeShade="D9"/>
            </w:tcBorders>
            <w:shd w:val="clear" w:color="auto" w:fill="auto"/>
            <w:hideMark/>
          </w:tcPr>
          <w:p w14:paraId="78EB0ED8" w14:textId="2548B25B" w:rsidR="00DB5276" w:rsidRPr="00187708" w:rsidRDefault="00DB5276" w:rsidP="00DB5276">
            <w:pPr>
              <w:cnfStyle w:val="000000100000" w:firstRow="0" w:lastRow="0" w:firstColumn="0" w:lastColumn="0" w:oddVBand="0" w:evenVBand="0" w:oddHBand="1" w:evenHBand="0" w:firstRowFirstColumn="0" w:firstRowLastColumn="0" w:lastRowFirstColumn="0" w:lastRowLastColumn="0"/>
              <w:rPr>
                <w:rFonts w:ascii="Nunito" w:hAnsi="Nunito" w:cs="Arial"/>
                <w:b/>
                <w:bCs/>
                <w:sz w:val="16"/>
                <w:szCs w:val="16"/>
                <w:lang w:val="ro-RO"/>
              </w:rPr>
            </w:pPr>
            <w:r w:rsidRPr="00187708">
              <w:rPr>
                <w:rFonts w:ascii="Nunito" w:hAnsi="Nunito" w:cs="Arial"/>
                <w:b/>
                <w:bCs/>
                <w:sz w:val="16"/>
                <w:szCs w:val="16"/>
                <w:lang w:val="ro-RO"/>
              </w:rPr>
              <w:t>Dezvoltarea cadrului legal specific deșeurilor provenind din activitatea veterinară</w:t>
            </w:r>
          </w:p>
        </w:tc>
      </w:tr>
      <w:tr w:rsidR="0026203C" w:rsidRPr="00187708" w14:paraId="738B0265" w14:textId="77777777" w:rsidTr="00187708">
        <w:trPr>
          <w:trHeight w:val="65"/>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hideMark/>
          </w:tcPr>
          <w:p w14:paraId="22E13794" w14:textId="77777777" w:rsidR="0026203C" w:rsidRPr="00187708" w:rsidRDefault="0026203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VET-A4</w:t>
            </w:r>
          </w:p>
        </w:tc>
        <w:tc>
          <w:tcPr>
            <w:tcW w:w="848" w:type="dxa"/>
            <w:tcBorders>
              <w:top w:val="single" w:sz="8" w:space="0" w:color="D9D9D9" w:themeColor="background1" w:themeShade="D9"/>
              <w:bottom w:val="single" w:sz="8" w:space="0" w:color="D9D9D9" w:themeColor="background1" w:themeShade="D9"/>
            </w:tcBorders>
            <w:hideMark/>
          </w:tcPr>
          <w:p w14:paraId="351DE7EE"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30" w:type="dxa"/>
            <w:tcBorders>
              <w:top w:val="single" w:sz="8" w:space="0" w:color="D9D9D9" w:themeColor="background1" w:themeShade="D9"/>
              <w:bottom w:val="single" w:sz="8" w:space="0" w:color="D9D9D9" w:themeColor="background1" w:themeShade="D9"/>
            </w:tcBorders>
            <w:hideMark/>
          </w:tcPr>
          <w:p w14:paraId="57577405"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2.1</w:t>
            </w:r>
          </w:p>
        </w:tc>
        <w:tc>
          <w:tcPr>
            <w:tcW w:w="7706" w:type="dxa"/>
            <w:tcBorders>
              <w:top w:val="single" w:sz="8" w:space="0" w:color="D9D9D9" w:themeColor="background1" w:themeShade="D9"/>
              <w:bottom w:val="single" w:sz="8" w:space="0" w:color="D9D9D9" w:themeColor="background1" w:themeShade="D9"/>
            </w:tcBorders>
            <w:hideMark/>
          </w:tcPr>
          <w:p w14:paraId="510AC67F"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Dezvoltarea cadrului legislativ pentru colectarea, depozitarea temporară, transportul și eliminarea deșeurilor provenite din activități veterinare, în special a celor periculoase</w:t>
            </w:r>
          </w:p>
        </w:tc>
        <w:tc>
          <w:tcPr>
            <w:tcW w:w="1572" w:type="dxa"/>
            <w:tcBorders>
              <w:top w:val="single" w:sz="8" w:space="0" w:color="D9D9D9" w:themeColor="background1" w:themeShade="D9"/>
              <w:bottom w:val="single" w:sz="8" w:space="0" w:color="D9D9D9" w:themeColor="background1" w:themeShade="D9"/>
            </w:tcBorders>
            <w:hideMark/>
          </w:tcPr>
          <w:p w14:paraId="256DD872"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2027</w:t>
            </w:r>
          </w:p>
        </w:tc>
        <w:tc>
          <w:tcPr>
            <w:tcW w:w="4110" w:type="dxa"/>
            <w:tcBorders>
              <w:top w:val="single" w:sz="8" w:space="0" w:color="D9D9D9" w:themeColor="background1" w:themeShade="D9"/>
              <w:bottom w:val="single" w:sz="8" w:space="0" w:color="D9D9D9" w:themeColor="background1" w:themeShade="D9"/>
            </w:tcBorders>
            <w:hideMark/>
          </w:tcPr>
          <w:p w14:paraId="02154CE2"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Colegiul Medicilor Veterinari; ANSVSA</w:t>
            </w:r>
          </w:p>
        </w:tc>
        <w:tc>
          <w:tcPr>
            <w:tcW w:w="3490" w:type="dxa"/>
            <w:tcBorders>
              <w:top w:val="single" w:sz="8" w:space="0" w:color="D9D9D9" w:themeColor="background1" w:themeShade="D9"/>
              <w:bottom w:val="single" w:sz="8" w:space="0" w:color="D9D9D9" w:themeColor="background1" w:themeShade="D9"/>
            </w:tcBorders>
            <w:hideMark/>
          </w:tcPr>
          <w:p w14:paraId="063327D0"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Bugetul de stat</w:t>
            </w:r>
          </w:p>
        </w:tc>
      </w:tr>
      <w:tr w:rsidR="0026203C" w:rsidRPr="00187708" w14:paraId="0C0405F3" w14:textId="77777777" w:rsidTr="00187708">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shd w:val="clear" w:color="auto" w:fill="auto"/>
            <w:hideMark/>
          </w:tcPr>
          <w:p w14:paraId="36E7D77E" w14:textId="77777777" w:rsidR="0026203C" w:rsidRPr="00187708" w:rsidRDefault="0026203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VET-A5</w:t>
            </w:r>
          </w:p>
        </w:tc>
        <w:tc>
          <w:tcPr>
            <w:tcW w:w="848" w:type="dxa"/>
            <w:tcBorders>
              <w:top w:val="single" w:sz="8" w:space="0" w:color="D9D9D9" w:themeColor="background1" w:themeShade="D9"/>
              <w:bottom w:val="single" w:sz="8" w:space="0" w:color="D9D9D9" w:themeColor="background1" w:themeShade="D9"/>
            </w:tcBorders>
            <w:shd w:val="clear" w:color="auto" w:fill="auto"/>
            <w:hideMark/>
          </w:tcPr>
          <w:p w14:paraId="7742BC3C" w14:textId="77777777" w:rsidR="0026203C" w:rsidRPr="00187708" w:rsidRDefault="0026203C">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30" w:type="dxa"/>
            <w:tcBorders>
              <w:top w:val="single" w:sz="8" w:space="0" w:color="D9D9D9" w:themeColor="background1" w:themeShade="D9"/>
              <w:bottom w:val="single" w:sz="8" w:space="0" w:color="D9D9D9" w:themeColor="background1" w:themeShade="D9"/>
            </w:tcBorders>
            <w:shd w:val="clear" w:color="auto" w:fill="auto"/>
            <w:hideMark/>
          </w:tcPr>
          <w:p w14:paraId="563C443B" w14:textId="77777777" w:rsidR="0026203C" w:rsidRPr="00187708" w:rsidRDefault="0026203C">
            <w:pPr>
              <w:jc w:val="cente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2.2</w:t>
            </w:r>
          </w:p>
        </w:tc>
        <w:tc>
          <w:tcPr>
            <w:tcW w:w="7706" w:type="dxa"/>
            <w:tcBorders>
              <w:top w:val="single" w:sz="8" w:space="0" w:color="D9D9D9" w:themeColor="background1" w:themeShade="D9"/>
              <w:bottom w:val="single" w:sz="8" w:space="0" w:color="D9D9D9" w:themeColor="background1" w:themeShade="D9"/>
            </w:tcBorders>
            <w:shd w:val="clear" w:color="auto" w:fill="auto"/>
            <w:hideMark/>
          </w:tcPr>
          <w:p w14:paraId="61125DC7"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Dezvoltarea unei platforme electronice pentru gestionarea bazei naționale de date a deșeurilor rezultate din activitatea veterinară</w:t>
            </w:r>
          </w:p>
        </w:tc>
        <w:tc>
          <w:tcPr>
            <w:tcW w:w="1572" w:type="dxa"/>
            <w:tcBorders>
              <w:top w:val="single" w:sz="8" w:space="0" w:color="D9D9D9" w:themeColor="background1" w:themeShade="D9"/>
              <w:bottom w:val="single" w:sz="8" w:space="0" w:color="D9D9D9" w:themeColor="background1" w:themeShade="D9"/>
            </w:tcBorders>
            <w:shd w:val="clear" w:color="auto" w:fill="auto"/>
            <w:hideMark/>
          </w:tcPr>
          <w:p w14:paraId="18A48D09"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2030</w:t>
            </w:r>
          </w:p>
        </w:tc>
        <w:tc>
          <w:tcPr>
            <w:tcW w:w="4110" w:type="dxa"/>
            <w:tcBorders>
              <w:top w:val="single" w:sz="8" w:space="0" w:color="D9D9D9" w:themeColor="background1" w:themeShade="D9"/>
              <w:bottom w:val="single" w:sz="8" w:space="0" w:color="D9D9D9" w:themeColor="background1" w:themeShade="D9"/>
            </w:tcBorders>
            <w:shd w:val="clear" w:color="auto" w:fill="auto"/>
            <w:hideMark/>
          </w:tcPr>
          <w:p w14:paraId="7BC361C4"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ANSVSA; Colegiul Medicilor Veterinari</w:t>
            </w:r>
          </w:p>
        </w:tc>
        <w:tc>
          <w:tcPr>
            <w:tcW w:w="3490" w:type="dxa"/>
            <w:tcBorders>
              <w:top w:val="single" w:sz="8" w:space="0" w:color="D9D9D9" w:themeColor="background1" w:themeShade="D9"/>
              <w:bottom w:val="single" w:sz="8" w:space="0" w:color="D9D9D9" w:themeColor="background1" w:themeShade="D9"/>
            </w:tcBorders>
            <w:shd w:val="clear" w:color="auto" w:fill="auto"/>
            <w:hideMark/>
          </w:tcPr>
          <w:p w14:paraId="118A91B2" w14:textId="77777777" w:rsidR="0026203C" w:rsidRPr="00187708" w:rsidRDefault="0026203C">
            <w:pPr>
              <w:cnfStyle w:val="000000100000" w:firstRow="0" w:lastRow="0" w:firstColumn="0" w:lastColumn="0" w:oddVBand="0" w:evenVBand="0" w:oddHBand="1"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r w:rsidR="0026203C" w:rsidRPr="00187708" w14:paraId="325B3B79" w14:textId="77777777" w:rsidTr="00187708">
        <w:trPr>
          <w:trHeight w:val="551"/>
        </w:trPr>
        <w:tc>
          <w:tcPr>
            <w:cnfStyle w:val="001000000000" w:firstRow="0" w:lastRow="0" w:firstColumn="1" w:lastColumn="0" w:oddVBand="0" w:evenVBand="0" w:oddHBand="0" w:evenHBand="0" w:firstRowFirstColumn="0" w:firstRowLastColumn="0" w:lastRowFirstColumn="0" w:lastRowLastColumn="0"/>
            <w:tcW w:w="1444" w:type="dxa"/>
            <w:tcBorders>
              <w:top w:val="single" w:sz="8" w:space="0" w:color="D9D9D9" w:themeColor="background1" w:themeShade="D9"/>
              <w:bottom w:val="single" w:sz="8" w:space="0" w:color="D9D9D9" w:themeColor="background1" w:themeShade="D9"/>
            </w:tcBorders>
            <w:hideMark/>
          </w:tcPr>
          <w:p w14:paraId="1164FC2B" w14:textId="77777777" w:rsidR="0026203C" w:rsidRPr="00187708" w:rsidRDefault="0026203C"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VET-A6</w:t>
            </w:r>
          </w:p>
        </w:tc>
        <w:tc>
          <w:tcPr>
            <w:tcW w:w="848" w:type="dxa"/>
            <w:tcBorders>
              <w:top w:val="single" w:sz="8" w:space="0" w:color="D9D9D9" w:themeColor="background1" w:themeShade="D9"/>
              <w:bottom w:val="single" w:sz="8" w:space="0" w:color="D9D9D9" w:themeColor="background1" w:themeShade="D9"/>
            </w:tcBorders>
            <w:hideMark/>
          </w:tcPr>
          <w:p w14:paraId="6A2ABCA2"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A</w:t>
            </w:r>
          </w:p>
        </w:tc>
        <w:tc>
          <w:tcPr>
            <w:tcW w:w="1330" w:type="dxa"/>
            <w:tcBorders>
              <w:top w:val="single" w:sz="8" w:space="0" w:color="D9D9D9" w:themeColor="background1" w:themeShade="D9"/>
              <w:bottom w:val="single" w:sz="8" w:space="0" w:color="D9D9D9" w:themeColor="background1" w:themeShade="D9"/>
            </w:tcBorders>
            <w:hideMark/>
          </w:tcPr>
          <w:p w14:paraId="049389D7" w14:textId="77777777" w:rsidR="0026203C" w:rsidRPr="00187708" w:rsidRDefault="0026203C">
            <w:pPr>
              <w:jc w:val="cente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2.3</w:t>
            </w:r>
          </w:p>
        </w:tc>
        <w:tc>
          <w:tcPr>
            <w:tcW w:w="7706" w:type="dxa"/>
            <w:tcBorders>
              <w:top w:val="single" w:sz="8" w:space="0" w:color="D9D9D9" w:themeColor="background1" w:themeShade="D9"/>
              <w:bottom w:val="single" w:sz="8" w:space="0" w:color="D9D9D9" w:themeColor="background1" w:themeShade="D9"/>
            </w:tcBorders>
            <w:hideMark/>
          </w:tcPr>
          <w:p w14:paraId="2B1BC1AB"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Realizarea interoperabilizării între baza de date a deșeurilor rezultate din activitatea sanitar-veterinară (înființată și gestionată de ANSVSA) și sistemul digital unitar de raportare și trasabilitate pentru toate fluxurile de deșeuri reglementate, gestionat de ANMAP</w:t>
            </w:r>
          </w:p>
        </w:tc>
        <w:tc>
          <w:tcPr>
            <w:tcW w:w="1572" w:type="dxa"/>
            <w:tcBorders>
              <w:top w:val="single" w:sz="8" w:space="0" w:color="D9D9D9" w:themeColor="background1" w:themeShade="D9"/>
              <w:bottom w:val="single" w:sz="8" w:space="0" w:color="D9D9D9" w:themeColor="background1" w:themeShade="D9"/>
            </w:tcBorders>
            <w:hideMark/>
          </w:tcPr>
          <w:p w14:paraId="62E17850"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2030</w:t>
            </w:r>
          </w:p>
        </w:tc>
        <w:tc>
          <w:tcPr>
            <w:tcW w:w="4110" w:type="dxa"/>
            <w:tcBorders>
              <w:top w:val="single" w:sz="8" w:space="0" w:color="D9D9D9" w:themeColor="background1" w:themeShade="D9"/>
              <w:bottom w:val="single" w:sz="8" w:space="0" w:color="D9D9D9" w:themeColor="background1" w:themeShade="D9"/>
            </w:tcBorders>
            <w:hideMark/>
          </w:tcPr>
          <w:p w14:paraId="7ED181EE"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MMAP; ANMAP; ANSVSA; Colegiul Medicilor Veterinari</w:t>
            </w:r>
          </w:p>
        </w:tc>
        <w:tc>
          <w:tcPr>
            <w:tcW w:w="3490" w:type="dxa"/>
            <w:tcBorders>
              <w:top w:val="single" w:sz="8" w:space="0" w:color="D9D9D9" w:themeColor="background1" w:themeShade="D9"/>
              <w:bottom w:val="single" w:sz="8" w:space="0" w:color="D9D9D9" w:themeColor="background1" w:themeShade="D9"/>
            </w:tcBorders>
            <w:hideMark/>
          </w:tcPr>
          <w:p w14:paraId="467284BE" w14:textId="77777777" w:rsidR="0026203C" w:rsidRPr="00187708" w:rsidRDefault="0026203C">
            <w:pPr>
              <w:cnfStyle w:val="000000000000" w:firstRow="0" w:lastRow="0" w:firstColumn="0" w:lastColumn="0" w:oddVBand="0" w:evenVBand="0" w:oddHBand="0" w:evenHBand="0" w:firstRowFirstColumn="0" w:firstRowLastColumn="0" w:lastRowFirstColumn="0" w:lastRowLastColumn="0"/>
              <w:rPr>
                <w:rFonts w:ascii="Nunito" w:hAnsi="Nunito" w:cs="Arial"/>
                <w:color w:val="000000"/>
                <w:sz w:val="16"/>
                <w:szCs w:val="16"/>
                <w:lang w:val="ro-RO"/>
              </w:rPr>
            </w:pPr>
            <w:r w:rsidRPr="00187708">
              <w:rPr>
                <w:rFonts w:ascii="Nunito" w:hAnsi="Nunito" w:cs="Arial"/>
                <w:color w:val="000000"/>
                <w:sz w:val="16"/>
                <w:szCs w:val="16"/>
                <w:lang w:val="ro-RO"/>
              </w:rPr>
              <w:t>Buget de stat</w:t>
            </w:r>
          </w:p>
        </w:tc>
      </w:tr>
    </w:tbl>
    <w:p w14:paraId="0C5409C7" w14:textId="77777777" w:rsidR="0026203C" w:rsidRPr="00187708" w:rsidRDefault="0026203C">
      <w:pPr>
        <w:rPr>
          <w:rFonts w:ascii="Nunito" w:eastAsiaTheme="majorEastAsia" w:hAnsi="Nunito" w:cstheme="majorBidi"/>
          <w:sz w:val="16"/>
          <w:szCs w:val="16"/>
          <w:lang w:val="ro-RO"/>
        </w:rPr>
      </w:pPr>
      <w:r w:rsidRPr="00187708">
        <w:rPr>
          <w:rFonts w:ascii="Nunito" w:eastAsiaTheme="majorEastAsia" w:hAnsi="Nunito" w:cstheme="majorBidi"/>
          <w:sz w:val="16"/>
          <w:szCs w:val="16"/>
          <w:lang w:val="ro-RO"/>
        </w:rPr>
        <w:t xml:space="preserve"> </w:t>
      </w:r>
    </w:p>
    <w:p w14:paraId="4CE6531E" w14:textId="28B3CAA3" w:rsidR="00713E51" w:rsidRPr="00187708" w:rsidRDefault="00713E51">
      <w:pPr>
        <w:rPr>
          <w:rFonts w:ascii="Nunito" w:eastAsiaTheme="majorEastAsia" w:hAnsi="Nunito" w:cstheme="majorBidi"/>
          <w:sz w:val="16"/>
          <w:szCs w:val="16"/>
          <w:lang w:val="ro-RO"/>
        </w:rPr>
      </w:pPr>
      <w:r w:rsidRPr="00187708">
        <w:rPr>
          <w:rFonts w:ascii="Nunito" w:eastAsiaTheme="majorEastAsia" w:hAnsi="Nunito" w:cstheme="majorBidi"/>
          <w:sz w:val="16"/>
          <w:szCs w:val="16"/>
          <w:lang w:val="ro-RO"/>
        </w:rPr>
        <w:br w:type="page"/>
      </w:r>
    </w:p>
    <w:p w14:paraId="1471A2FD" w14:textId="77777777" w:rsidR="002A310F" w:rsidRPr="00187708" w:rsidRDefault="002A310F">
      <w:pPr>
        <w:rPr>
          <w:rFonts w:ascii="Nunito" w:eastAsiaTheme="majorEastAsia" w:hAnsi="Nunito" w:cstheme="majorBidi"/>
          <w:sz w:val="16"/>
          <w:szCs w:val="16"/>
          <w:lang w:val="ro-RO"/>
        </w:rPr>
      </w:pPr>
    </w:p>
    <w:p w14:paraId="2EFBEF61" w14:textId="77777777" w:rsidR="00A36A90" w:rsidRPr="00187708" w:rsidRDefault="00A36A90" w:rsidP="00A36A90">
      <w:pPr>
        <w:rPr>
          <w:rFonts w:ascii="Nunito" w:eastAsiaTheme="majorEastAsia" w:hAnsi="Nunito" w:cstheme="majorBidi"/>
          <w:sz w:val="16"/>
          <w:szCs w:val="16"/>
          <w:lang w:val="ro-RO"/>
        </w:rPr>
      </w:pPr>
    </w:p>
    <w:p w14:paraId="121B2AC4" w14:textId="774C4E0B" w:rsidR="00A36A90" w:rsidRPr="00187708" w:rsidRDefault="00A36A90" w:rsidP="00A36A90">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16</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 xml:space="preserve">Modul de îndeplinire al </w:t>
      </w:r>
      <w:r w:rsidRPr="00187708">
        <w:rPr>
          <w:rFonts w:ascii="Nunito" w:hAnsi="Nunito"/>
          <w:b/>
          <w:bCs/>
          <w:color w:val="009DF0" w:themeColor="text2"/>
          <w:sz w:val="16"/>
          <w:szCs w:val="16"/>
          <w:lang w:val="ro-RO"/>
        </w:rPr>
        <w:t>Planul</w:t>
      </w:r>
      <w:r w:rsidR="005D7120" w:rsidRPr="00187708">
        <w:rPr>
          <w:rFonts w:ascii="Nunito" w:hAnsi="Nunito"/>
          <w:b/>
          <w:bCs/>
          <w:color w:val="009DF0" w:themeColor="text2"/>
          <w:sz w:val="16"/>
          <w:szCs w:val="16"/>
          <w:lang w:val="ro-RO"/>
        </w:rPr>
        <w:t>ui</w:t>
      </w:r>
      <w:r w:rsidRPr="00187708">
        <w:rPr>
          <w:rFonts w:ascii="Nunito" w:hAnsi="Nunito"/>
          <w:b/>
          <w:bCs/>
          <w:color w:val="009DF0" w:themeColor="text2"/>
          <w:sz w:val="16"/>
          <w:szCs w:val="16"/>
          <w:lang w:val="ro-RO"/>
        </w:rPr>
        <w:t xml:space="preserve"> de acțiune pentru gestionarea deșeurilor </w:t>
      </w:r>
      <w:r w:rsidR="004F594A" w:rsidRPr="00187708">
        <w:rPr>
          <w:rFonts w:ascii="Nunito" w:hAnsi="Nunito"/>
          <w:b/>
          <w:bCs/>
          <w:color w:val="009DF0" w:themeColor="text2"/>
          <w:sz w:val="16"/>
          <w:szCs w:val="16"/>
          <w:lang w:val="ro-RO"/>
        </w:rPr>
        <w:t>provenite din activiățile industriale</w:t>
      </w:r>
    </w:p>
    <w:tbl>
      <w:tblPr>
        <w:tblStyle w:val="ListTable1Light-Accent1"/>
        <w:tblW w:w="20554" w:type="dxa"/>
        <w:tblBorders>
          <w:top w:val="single" w:sz="8" w:space="0" w:color="auto"/>
          <w:bottom w:val="single" w:sz="8" w:space="0" w:color="auto"/>
          <w:insideH w:val="single" w:sz="8" w:space="0" w:color="auto"/>
        </w:tblBorders>
        <w:tblLook w:val="04A0" w:firstRow="1" w:lastRow="0" w:firstColumn="1" w:lastColumn="0" w:noHBand="0" w:noVBand="1"/>
      </w:tblPr>
      <w:tblGrid>
        <w:gridCol w:w="1526"/>
        <w:gridCol w:w="898"/>
        <w:gridCol w:w="1405"/>
        <w:gridCol w:w="7511"/>
        <w:gridCol w:w="1560"/>
        <w:gridCol w:w="4110"/>
        <w:gridCol w:w="3544"/>
      </w:tblGrid>
      <w:tr w:rsidR="00713E51" w:rsidRPr="00187708" w14:paraId="36CD42DB" w14:textId="77777777" w:rsidTr="00187708">
        <w:trPr>
          <w:cnfStyle w:val="100000000000" w:firstRow="1" w:lastRow="0" w:firstColumn="0" w:lastColumn="0" w:oddVBand="0" w:evenVBand="0" w:oddHBand="0"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526" w:type="dxa"/>
            <w:tcBorders>
              <w:bottom w:val="single" w:sz="8" w:space="0" w:color="BFBFBF" w:themeColor="background1" w:themeShade="BF"/>
            </w:tcBorders>
            <w:shd w:val="clear" w:color="auto" w:fill="00B0F0"/>
            <w:hideMark/>
          </w:tcPr>
          <w:p w14:paraId="66F9E28C" w14:textId="77777777" w:rsidR="00713E51" w:rsidRPr="00187708" w:rsidRDefault="00713E51" w:rsidP="00713E51">
            <w:pPr>
              <w:jc w:val="center"/>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Cod</w:t>
            </w:r>
          </w:p>
        </w:tc>
        <w:tc>
          <w:tcPr>
            <w:tcW w:w="898" w:type="dxa"/>
            <w:tcBorders>
              <w:bottom w:val="single" w:sz="8" w:space="0" w:color="BFBFBF" w:themeColor="background1" w:themeShade="BF"/>
            </w:tcBorders>
            <w:shd w:val="clear" w:color="auto" w:fill="00B0F0"/>
            <w:hideMark/>
          </w:tcPr>
          <w:p w14:paraId="1B74FBAA" w14:textId="77777777" w:rsidR="00713E51" w:rsidRPr="00187708" w:rsidRDefault="00713E51" w:rsidP="00713E5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Nivel</w:t>
            </w:r>
          </w:p>
        </w:tc>
        <w:tc>
          <w:tcPr>
            <w:tcW w:w="1405" w:type="dxa"/>
            <w:tcBorders>
              <w:bottom w:val="single" w:sz="8" w:space="0" w:color="BFBFBF" w:themeColor="background1" w:themeShade="BF"/>
            </w:tcBorders>
            <w:shd w:val="clear" w:color="auto" w:fill="00B0F0"/>
            <w:hideMark/>
          </w:tcPr>
          <w:p w14:paraId="713952E8" w14:textId="227A3AE3" w:rsidR="00C11FF9" w:rsidRPr="00187708" w:rsidRDefault="002916EA" w:rsidP="00713E5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Nr crt</w:t>
            </w:r>
          </w:p>
          <w:p w14:paraId="71E76453" w14:textId="7CCD761E" w:rsidR="00713E51" w:rsidRPr="00187708" w:rsidRDefault="00713E51" w:rsidP="00713E5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 xml:space="preserve"> PNGD</w:t>
            </w:r>
          </w:p>
        </w:tc>
        <w:tc>
          <w:tcPr>
            <w:tcW w:w="7511" w:type="dxa"/>
            <w:tcBorders>
              <w:bottom w:val="single" w:sz="8" w:space="0" w:color="BFBFBF" w:themeColor="background1" w:themeShade="BF"/>
            </w:tcBorders>
            <w:shd w:val="clear" w:color="auto" w:fill="00B0F0"/>
            <w:hideMark/>
          </w:tcPr>
          <w:p w14:paraId="5500AD80" w14:textId="77777777" w:rsidR="00713E51" w:rsidRPr="00187708" w:rsidRDefault="00713E51" w:rsidP="00713E5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Denumire obiectiv / acțiune</w:t>
            </w:r>
          </w:p>
        </w:tc>
        <w:tc>
          <w:tcPr>
            <w:tcW w:w="1560" w:type="dxa"/>
            <w:tcBorders>
              <w:bottom w:val="single" w:sz="8" w:space="0" w:color="BFBFBF" w:themeColor="background1" w:themeShade="BF"/>
            </w:tcBorders>
            <w:shd w:val="clear" w:color="auto" w:fill="00B0F0"/>
            <w:hideMark/>
          </w:tcPr>
          <w:p w14:paraId="160CF054" w14:textId="77777777" w:rsidR="00713E51" w:rsidRPr="00187708" w:rsidRDefault="00713E51" w:rsidP="00713E5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Termen</w:t>
            </w:r>
          </w:p>
        </w:tc>
        <w:tc>
          <w:tcPr>
            <w:tcW w:w="4110" w:type="dxa"/>
            <w:tcBorders>
              <w:bottom w:val="single" w:sz="8" w:space="0" w:color="BFBFBF" w:themeColor="background1" w:themeShade="BF"/>
            </w:tcBorders>
            <w:shd w:val="clear" w:color="auto" w:fill="00B0F0"/>
            <w:hideMark/>
          </w:tcPr>
          <w:p w14:paraId="096C7E6A" w14:textId="77777777" w:rsidR="00713E51" w:rsidRPr="00187708" w:rsidRDefault="00713E51" w:rsidP="00713E5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Responsabil principal / alți responsabili</w:t>
            </w:r>
          </w:p>
        </w:tc>
        <w:tc>
          <w:tcPr>
            <w:tcW w:w="3544" w:type="dxa"/>
            <w:tcBorders>
              <w:bottom w:val="single" w:sz="8" w:space="0" w:color="BFBFBF" w:themeColor="background1" w:themeShade="BF"/>
            </w:tcBorders>
            <w:shd w:val="clear" w:color="auto" w:fill="00B0F0"/>
            <w:hideMark/>
          </w:tcPr>
          <w:p w14:paraId="223A6F51" w14:textId="77777777" w:rsidR="00713E51" w:rsidRPr="00187708" w:rsidRDefault="00713E51" w:rsidP="00713E51">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themeColor="background1"/>
                <w:sz w:val="16"/>
                <w:szCs w:val="16"/>
                <w:lang w:val="ro-RO"/>
              </w:rPr>
            </w:pPr>
            <w:r w:rsidRPr="00187708">
              <w:rPr>
                <w:rFonts w:ascii="Nunito" w:eastAsia="Times New Roman" w:hAnsi="Nunito" w:cs="Arial"/>
                <w:color w:val="FFFFFF" w:themeColor="background1"/>
                <w:sz w:val="16"/>
                <w:szCs w:val="16"/>
                <w:lang w:val="ro-RO"/>
              </w:rPr>
              <w:t>Sursa de finanțare</w:t>
            </w:r>
          </w:p>
        </w:tc>
      </w:tr>
      <w:tr w:rsidR="00713E51" w:rsidRPr="00187708" w14:paraId="4C5F7731" w14:textId="77777777" w:rsidTr="0018770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shd w:val="clear" w:color="auto" w:fill="auto"/>
            <w:hideMark/>
          </w:tcPr>
          <w:p w14:paraId="7B8A8985"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IND-OS-01</w:t>
            </w:r>
          </w:p>
        </w:tc>
        <w:tc>
          <w:tcPr>
            <w:tcW w:w="898" w:type="dxa"/>
            <w:tcBorders>
              <w:top w:val="single" w:sz="8" w:space="0" w:color="BFBFBF" w:themeColor="background1" w:themeShade="BF"/>
              <w:bottom w:val="single" w:sz="8" w:space="0" w:color="BFBFBF" w:themeColor="background1" w:themeShade="BF"/>
            </w:tcBorders>
            <w:shd w:val="clear" w:color="auto" w:fill="auto"/>
            <w:hideMark/>
          </w:tcPr>
          <w:p w14:paraId="0CCABBD7"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405" w:type="dxa"/>
            <w:tcBorders>
              <w:top w:val="single" w:sz="8" w:space="0" w:color="BFBFBF" w:themeColor="background1" w:themeShade="BF"/>
              <w:bottom w:val="single" w:sz="8" w:space="0" w:color="BFBFBF" w:themeColor="background1" w:themeShade="BF"/>
            </w:tcBorders>
            <w:shd w:val="clear" w:color="auto" w:fill="auto"/>
            <w:hideMark/>
          </w:tcPr>
          <w:p w14:paraId="5894D8C8"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1</w:t>
            </w:r>
          </w:p>
        </w:tc>
        <w:tc>
          <w:tcPr>
            <w:tcW w:w="7511" w:type="dxa"/>
            <w:tcBorders>
              <w:top w:val="single" w:sz="8" w:space="0" w:color="BFBFBF" w:themeColor="background1" w:themeShade="BF"/>
              <w:bottom w:val="single" w:sz="8" w:space="0" w:color="BFBFBF" w:themeColor="background1" w:themeShade="BF"/>
            </w:tcBorders>
            <w:shd w:val="clear" w:color="auto" w:fill="auto"/>
            <w:hideMark/>
          </w:tcPr>
          <w:p w14:paraId="614D5AE7"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Gestionarea durabilă a deșeurilor industriale periculoase și nepericuloase</w:t>
            </w:r>
          </w:p>
        </w:tc>
        <w:tc>
          <w:tcPr>
            <w:tcW w:w="1560" w:type="dxa"/>
            <w:tcBorders>
              <w:top w:val="single" w:sz="8" w:space="0" w:color="BFBFBF" w:themeColor="background1" w:themeShade="BF"/>
              <w:bottom w:val="single" w:sz="8" w:space="0" w:color="BFBFBF" w:themeColor="background1" w:themeShade="BF"/>
            </w:tcBorders>
            <w:shd w:val="clear" w:color="auto" w:fill="auto"/>
          </w:tcPr>
          <w:p w14:paraId="6FA53F7C" w14:textId="3E80701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4110" w:type="dxa"/>
            <w:tcBorders>
              <w:top w:val="single" w:sz="8" w:space="0" w:color="BFBFBF" w:themeColor="background1" w:themeShade="BF"/>
              <w:bottom w:val="single" w:sz="8" w:space="0" w:color="BFBFBF" w:themeColor="background1" w:themeShade="BF"/>
            </w:tcBorders>
            <w:shd w:val="clear" w:color="auto" w:fill="auto"/>
          </w:tcPr>
          <w:p w14:paraId="318163A5" w14:textId="01AF55EF"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544" w:type="dxa"/>
            <w:tcBorders>
              <w:top w:val="single" w:sz="8" w:space="0" w:color="BFBFBF" w:themeColor="background1" w:themeShade="BF"/>
              <w:bottom w:val="single" w:sz="8" w:space="0" w:color="BFBFBF" w:themeColor="background1" w:themeShade="BF"/>
            </w:tcBorders>
            <w:shd w:val="clear" w:color="auto" w:fill="auto"/>
          </w:tcPr>
          <w:p w14:paraId="4BD8847C" w14:textId="444AB931"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r>
      <w:tr w:rsidR="00713E51" w:rsidRPr="00187708" w14:paraId="0E98CAB2" w14:textId="77777777" w:rsidTr="00187708">
        <w:trPr>
          <w:trHeight w:val="496"/>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hideMark/>
          </w:tcPr>
          <w:p w14:paraId="056C6D18"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IND-A1</w:t>
            </w:r>
          </w:p>
        </w:tc>
        <w:tc>
          <w:tcPr>
            <w:tcW w:w="898" w:type="dxa"/>
            <w:tcBorders>
              <w:top w:val="single" w:sz="8" w:space="0" w:color="BFBFBF" w:themeColor="background1" w:themeShade="BF"/>
              <w:bottom w:val="single" w:sz="8" w:space="0" w:color="BFBFBF" w:themeColor="background1" w:themeShade="BF"/>
            </w:tcBorders>
            <w:hideMark/>
          </w:tcPr>
          <w:p w14:paraId="2BA1E07A"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hideMark/>
          </w:tcPr>
          <w:p w14:paraId="7C2D68FB"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7511" w:type="dxa"/>
            <w:tcBorders>
              <w:top w:val="single" w:sz="8" w:space="0" w:color="BFBFBF" w:themeColor="background1" w:themeShade="BF"/>
              <w:bottom w:val="single" w:sz="8" w:space="0" w:color="BFBFBF" w:themeColor="background1" w:themeShade="BF"/>
            </w:tcBorders>
            <w:hideMark/>
          </w:tcPr>
          <w:p w14:paraId="75215C04"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Extinderea capacităților de tratare a deșeurilor industriale periculoase și nepericuloase</w:t>
            </w:r>
          </w:p>
        </w:tc>
        <w:tc>
          <w:tcPr>
            <w:tcW w:w="1560" w:type="dxa"/>
            <w:tcBorders>
              <w:top w:val="single" w:sz="8" w:space="0" w:color="BFBFBF" w:themeColor="background1" w:themeShade="BF"/>
              <w:bottom w:val="single" w:sz="8" w:space="0" w:color="BFBFBF" w:themeColor="background1" w:themeShade="BF"/>
            </w:tcBorders>
            <w:hideMark/>
          </w:tcPr>
          <w:p w14:paraId="1BD408F4"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tcBorders>
              <w:top w:val="single" w:sz="8" w:space="0" w:color="BFBFBF" w:themeColor="background1" w:themeShade="BF"/>
              <w:bottom w:val="single" w:sz="8" w:space="0" w:color="BFBFBF" w:themeColor="background1" w:themeShade="BF"/>
            </w:tcBorders>
            <w:hideMark/>
          </w:tcPr>
          <w:p w14:paraId="30684A17"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Operatori economici generatori de deșeuri industriale; Investitori privați</w:t>
            </w:r>
          </w:p>
        </w:tc>
        <w:tc>
          <w:tcPr>
            <w:tcW w:w="3544" w:type="dxa"/>
            <w:tcBorders>
              <w:top w:val="single" w:sz="8" w:space="0" w:color="BFBFBF" w:themeColor="background1" w:themeShade="BF"/>
              <w:bottom w:val="single" w:sz="8" w:space="0" w:color="BFBFBF" w:themeColor="background1" w:themeShade="BF"/>
            </w:tcBorders>
            <w:hideMark/>
          </w:tcPr>
          <w:p w14:paraId="2BEF18D7"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Investiții private</w:t>
            </w:r>
          </w:p>
        </w:tc>
      </w:tr>
      <w:tr w:rsidR="00713E51" w:rsidRPr="00187708" w14:paraId="7D48EF98" w14:textId="77777777" w:rsidTr="0018770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shd w:val="clear" w:color="auto" w:fill="auto"/>
            <w:hideMark/>
          </w:tcPr>
          <w:p w14:paraId="16A4D94C"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IND-A2</w:t>
            </w:r>
          </w:p>
        </w:tc>
        <w:tc>
          <w:tcPr>
            <w:tcW w:w="898" w:type="dxa"/>
            <w:tcBorders>
              <w:top w:val="single" w:sz="8" w:space="0" w:color="BFBFBF" w:themeColor="background1" w:themeShade="BF"/>
              <w:bottom w:val="single" w:sz="8" w:space="0" w:color="BFBFBF" w:themeColor="background1" w:themeShade="BF"/>
            </w:tcBorders>
            <w:shd w:val="clear" w:color="auto" w:fill="auto"/>
            <w:hideMark/>
          </w:tcPr>
          <w:p w14:paraId="4D30E8CA"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shd w:val="clear" w:color="auto" w:fill="auto"/>
            <w:hideMark/>
          </w:tcPr>
          <w:p w14:paraId="685F5F5A"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7511" w:type="dxa"/>
            <w:tcBorders>
              <w:top w:val="single" w:sz="8" w:space="0" w:color="BFBFBF" w:themeColor="background1" w:themeShade="BF"/>
              <w:bottom w:val="single" w:sz="8" w:space="0" w:color="BFBFBF" w:themeColor="background1" w:themeShade="BF"/>
            </w:tcBorders>
            <w:shd w:val="clear" w:color="auto" w:fill="auto"/>
            <w:hideMark/>
          </w:tcPr>
          <w:p w14:paraId="2DD9F4F6" w14:textId="4F4D853E"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Inventarierea și realizarea unei baze de date privind instalațiile existente de tratare, valorificare și eliminare a deșeurilor industriale (periculoase și nepericuloase)</w:t>
            </w:r>
            <w:r w:rsidR="00E6129E" w:rsidRPr="00187708">
              <w:rPr>
                <w:rFonts w:ascii="Nunito" w:eastAsia="Times New Roman" w:hAnsi="Nunito" w:cs="Arial"/>
                <w:color w:val="000000"/>
                <w:sz w:val="16"/>
                <w:szCs w:val="16"/>
                <w:lang w:val="ro-RO"/>
              </w:rPr>
              <w:t xml:space="preserve"> existente</w:t>
            </w:r>
          </w:p>
        </w:tc>
        <w:tc>
          <w:tcPr>
            <w:tcW w:w="1560" w:type="dxa"/>
            <w:tcBorders>
              <w:top w:val="single" w:sz="8" w:space="0" w:color="BFBFBF" w:themeColor="background1" w:themeShade="BF"/>
              <w:bottom w:val="single" w:sz="8" w:space="0" w:color="BFBFBF" w:themeColor="background1" w:themeShade="BF"/>
            </w:tcBorders>
            <w:shd w:val="clear" w:color="auto" w:fill="auto"/>
            <w:hideMark/>
          </w:tcPr>
          <w:p w14:paraId="1D973F1C"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BFBFBF" w:themeColor="background1" w:themeShade="BF"/>
              <w:bottom w:val="single" w:sz="8" w:space="0" w:color="BFBFBF" w:themeColor="background1" w:themeShade="BF"/>
            </w:tcBorders>
            <w:shd w:val="clear" w:color="auto" w:fill="auto"/>
            <w:hideMark/>
          </w:tcPr>
          <w:p w14:paraId="4E5CE26C"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w:t>
            </w:r>
          </w:p>
        </w:tc>
        <w:tc>
          <w:tcPr>
            <w:tcW w:w="3544" w:type="dxa"/>
            <w:tcBorders>
              <w:top w:val="single" w:sz="8" w:space="0" w:color="BFBFBF" w:themeColor="background1" w:themeShade="BF"/>
              <w:bottom w:val="single" w:sz="8" w:space="0" w:color="BFBFBF" w:themeColor="background1" w:themeShade="BF"/>
            </w:tcBorders>
            <w:shd w:val="clear" w:color="auto" w:fill="auto"/>
            <w:hideMark/>
          </w:tcPr>
          <w:p w14:paraId="5C672D7D"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713E51" w:rsidRPr="00187708" w14:paraId="551D05F1" w14:textId="77777777" w:rsidTr="00187708">
        <w:trPr>
          <w:trHeight w:val="8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hideMark/>
          </w:tcPr>
          <w:p w14:paraId="721C9C97"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IND-A3</w:t>
            </w:r>
          </w:p>
        </w:tc>
        <w:tc>
          <w:tcPr>
            <w:tcW w:w="898" w:type="dxa"/>
            <w:tcBorders>
              <w:top w:val="single" w:sz="8" w:space="0" w:color="BFBFBF" w:themeColor="background1" w:themeShade="BF"/>
              <w:bottom w:val="single" w:sz="8" w:space="0" w:color="BFBFBF" w:themeColor="background1" w:themeShade="BF"/>
            </w:tcBorders>
            <w:hideMark/>
          </w:tcPr>
          <w:p w14:paraId="4EB04F28"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hideMark/>
          </w:tcPr>
          <w:p w14:paraId="5CD98693"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1.3</w:t>
            </w:r>
          </w:p>
        </w:tc>
        <w:tc>
          <w:tcPr>
            <w:tcW w:w="7511" w:type="dxa"/>
            <w:tcBorders>
              <w:top w:val="single" w:sz="8" w:space="0" w:color="BFBFBF" w:themeColor="background1" w:themeShade="BF"/>
              <w:bottom w:val="single" w:sz="8" w:space="0" w:color="BFBFBF" w:themeColor="background1" w:themeShade="BF"/>
            </w:tcBorders>
            <w:hideMark/>
          </w:tcPr>
          <w:p w14:paraId="200C9576"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unui raport privind situația depozitelor de deșeuri industriale nepericuloase care au sistat/aveau obligația să sisteze operarea și nu sunt închise (a se vedea cauza 109/2017)</w:t>
            </w:r>
          </w:p>
        </w:tc>
        <w:tc>
          <w:tcPr>
            <w:tcW w:w="1560" w:type="dxa"/>
            <w:tcBorders>
              <w:top w:val="single" w:sz="8" w:space="0" w:color="BFBFBF" w:themeColor="background1" w:themeShade="BF"/>
              <w:bottom w:val="single" w:sz="8" w:space="0" w:color="BFBFBF" w:themeColor="background1" w:themeShade="BF"/>
            </w:tcBorders>
            <w:hideMark/>
          </w:tcPr>
          <w:p w14:paraId="1DCEA477"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BFBFBF" w:themeColor="background1" w:themeShade="BF"/>
              <w:bottom w:val="single" w:sz="8" w:space="0" w:color="BFBFBF" w:themeColor="background1" w:themeShade="BF"/>
            </w:tcBorders>
            <w:hideMark/>
          </w:tcPr>
          <w:p w14:paraId="1B881F7B"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w:t>
            </w:r>
          </w:p>
        </w:tc>
        <w:tc>
          <w:tcPr>
            <w:tcW w:w="3544" w:type="dxa"/>
            <w:tcBorders>
              <w:top w:val="single" w:sz="8" w:space="0" w:color="BFBFBF" w:themeColor="background1" w:themeShade="BF"/>
              <w:bottom w:val="single" w:sz="8" w:space="0" w:color="BFBFBF" w:themeColor="background1" w:themeShade="BF"/>
            </w:tcBorders>
            <w:hideMark/>
          </w:tcPr>
          <w:p w14:paraId="502C78A4"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tc>
      </w:tr>
      <w:tr w:rsidR="00713E51" w:rsidRPr="00187708" w14:paraId="739ABD4D" w14:textId="77777777" w:rsidTr="0018770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shd w:val="clear" w:color="auto" w:fill="auto"/>
            <w:hideMark/>
          </w:tcPr>
          <w:p w14:paraId="5579CAA3"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IND-A4</w:t>
            </w:r>
          </w:p>
        </w:tc>
        <w:tc>
          <w:tcPr>
            <w:tcW w:w="898" w:type="dxa"/>
            <w:tcBorders>
              <w:top w:val="single" w:sz="8" w:space="0" w:color="BFBFBF" w:themeColor="background1" w:themeShade="BF"/>
              <w:bottom w:val="single" w:sz="8" w:space="0" w:color="BFBFBF" w:themeColor="background1" w:themeShade="BF"/>
            </w:tcBorders>
            <w:shd w:val="clear" w:color="auto" w:fill="auto"/>
            <w:hideMark/>
          </w:tcPr>
          <w:p w14:paraId="3C5FB21F"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shd w:val="clear" w:color="auto" w:fill="auto"/>
            <w:hideMark/>
          </w:tcPr>
          <w:p w14:paraId="3E41201C"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1.4</w:t>
            </w:r>
          </w:p>
        </w:tc>
        <w:tc>
          <w:tcPr>
            <w:tcW w:w="7511" w:type="dxa"/>
            <w:tcBorders>
              <w:top w:val="single" w:sz="8" w:space="0" w:color="BFBFBF" w:themeColor="background1" w:themeShade="BF"/>
              <w:bottom w:val="single" w:sz="8" w:space="0" w:color="BFBFBF" w:themeColor="background1" w:themeShade="BF"/>
            </w:tcBorders>
            <w:shd w:val="clear" w:color="auto" w:fill="auto"/>
            <w:hideMark/>
          </w:tcPr>
          <w:p w14:paraId="62AFF744" w14:textId="77777777" w:rsidR="00BA29A3" w:rsidRPr="00187708" w:rsidRDefault="00BA29A3" w:rsidP="00BA29A3">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sistem digital unitar de raportare și trasabilitate pentru toate fluxurile de deșeuri reglementate (inclusiv deșeuri industriale periculoase și nepericuloase), gestionat de o singură entitate publică ANMAP, interconectat cu toate platformele de raportare existente care să permită:</w:t>
            </w:r>
          </w:p>
          <w:p w14:paraId="13ADE9E3" w14:textId="77777777" w:rsidR="00BA29A3" w:rsidRPr="00187708" w:rsidRDefault="00BA29A3" w:rsidP="00BA29A3">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raportarea și validarea datelor pe fiecare flux de deșeuri;</w:t>
            </w:r>
          </w:p>
          <w:p w14:paraId="11F25873" w14:textId="77777777" w:rsidR="00BA29A3" w:rsidRPr="00187708" w:rsidRDefault="00BA29A3" w:rsidP="00BA29A3">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urmărirea trasabilității deșeurilor de la colectare până la tratare/reciclare/valorificare/eliminare;</w:t>
            </w:r>
          </w:p>
          <w:p w14:paraId="1937E2FC" w14:textId="77777777" w:rsidR="00BA29A3" w:rsidRPr="00187708" w:rsidRDefault="00BA29A3" w:rsidP="00BA29A3">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corectarea și ajustarea datelor în urma controalelor specifice;</w:t>
            </w:r>
          </w:p>
          <w:p w14:paraId="6379ABA2" w14:textId="100BA1A9" w:rsidR="00713E51" w:rsidRPr="00187708" w:rsidRDefault="00BA29A3" w:rsidP="00BA29A3">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generarea de rapoarte automate privind atingerea țintelor naționale și europene</w:t>
            </w:r>
          </w:p>
        </w:tc>
        <w:tc>
          <w:tcPr>
            <w:tcW w:w="1560" w:type="dxa"/>
            <w:tcBorders>
              <w:top w:val="single" w:sz="8" w:space="0" w:color="BFBFBF" w:themeColor="background1" w:themeShade="BF"/>
              <w:bottom w:val="single" w:sz="8" w:space="0" w:color="BFBFBF" w:themeColor="background1" w:themeShade="BF"/>
            </w:tcBorders>
            <w:shd w:val="clear" w:color="auto" w:fill="auto"/>
            <w:hideMark/>
          </w:tcPr>
          <w:p w14:paraId="4DBA6168"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BFBFBF" w:themeColor="background1" w:themeShade="BF"/>
              <w:bottom w:val="single" w:sz="8" w:space="0" w:color="BFBFBF" w:themeColor="background1" w:themeShade="BF"/>
            </w:tcBorders>
            <w:shd w:val="clear" w:color="auto" w:fill="auto"/>
            <w:hideMark/>
          </w:tcPr>
          <w:p w14:paraId="0237C0C8"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w:t>
            </w:r>
          </w:p>
        </w:tc>
        <w:tc>
          <w:tcPr>
            <w:tcW w:w="3544" w:type="dxa"/>
            <w:tcBorders>
              <w:top w:val="single" w:sz="8" w:space="0" w:color="BFBFBF" w:themeColor="background1" w:themeShade="BF"/>
              <w:bottom w:val="single" w:sz="8" w:space="0" w:color="BFBFBF" w:themeColor="background1" w:themeShade="BF"/>
            </w:tcBorders>
            <w:shd w:val="clear" w:color="auto" w:fill="auto"/>
            <w:hideMark/>
          </w:tcPr>
          <w:p w14:paraId="2FEB5EA5"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713E51" w:rsidRPr="00187708" w14:paraId="7A7CEB3E" w14:textId="77777777" w:rsidTr="00187708">
        <w:trPr>
          <w:trHeight w:val="8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hideMark/>
          </w:tcPr>
          <w:p w14:paraId="125D3042"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IND-A5</w:t>
            </w:r>
          </w:p>
        </w:tc>
        <w:tc>
          <w:tcPr>
            <w:tcW w:w="898" w:type="dxa"/>
            <w:tcBorders>
              <w:top w:val="single" w:sz="8" w:space="0" w:color="BFBFBF" w:themeColor="background1" w:themeShade="BF"/>
              <w:bottom w:val="single" w:sz="8" w:space="0" w:color="BFBFBF" w:themeColor="background1" w:themeShade="BF"/>
            </w:tcBorders>
            <w:hideMark/>
          </w:tcPr>
          <w:p w14:paraId="1C10FC11"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hideMark/>
          </w:tcPr>
          <w:p w14:paraId="52A2D278"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1.5</w:t>
            </w:r>
          </w:p>
        </w:tc>
        <w:tc>
          <w:tcPr>
            <w:tcW w:w="7511" w:type="dxa"/>
            <w:tcBorders>
              <w:top w:val="single" w:sz="8" w:space="0" w:color="BFBFBF" w:themeColor="background1" w:themeShade="BF"/>
              <w:bottom w:val="single" w:sz="8" w:space="0" w:color="BFBFBF" w:themeColor="background1" w:themeShade="BF"/>
            </w:tcBorders>
            <w:hideMark/>
          </w:tcPr>
          <w:p w14:paraId="4B712B92"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unei analize privind situația depozitelor închise sau care și-au încetat activitatea de depozitare, în vederea evaluării oportunității de recuperare și valorificare a resurselor existente, de la caz la caz, cu aplicarea celor mai bune tehnici disponibile (BAT)</w:t>
            </w:r>
          </w:p>
        </w:tc>
        <w:tc>
          <w:tcPr>
            <w:tcW w:w="1560" w:type="dxa"/>
            <w:tcBorders>
              <w:top w:val="single" w:sz="8" w:space="0" w:color="BFBFBF" w:themeColor="background1" w:themeShade="BF"/>
              <w:bottom w:val="single" w:sz="8" w:space="0" w:color="BFBFBF" w:themeColor="background1" w:themeShade="BF"/>
            </w:tcBorders>
            <w:hideMark/>
          </w:tcPr>
          <w:p w14:paraId="4FA1620B"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BFBFBF" w:themeColor="background1" w:themeShade="BF"/>
              <w:bottom w:val="single" w:sz="8" w:space="0" w:color="BFBFBF" w:themeColor="background1" w:themeShade="BF"/>
            </w:tcBorders>
            <w:hideMark/>
          </w:tcPr>
          <w:p w14:paraId="7D3B304F"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3544" w:type="dxa"/>
            <w:tcBorders>
              <w:top w:val="single" w:sz="8" w:space="0" w:color="BFBFBF" w:themeColor="background1" w:themeShade="BF"/>
              <w:bottom w:val="single" w:sz="8" w:space="0" w:color="BFBFBF" w:themeColor="background1" w:themeShade="BF"/>
            </w:tcBorders>
            <w:hideMark/>
          </w:tcPr>
          <w:p w14:paraId="62B9519D"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713E51" w:rsidRPr="00187708" w14:paraId="4C149E4C" w14:textId="77777777" w:rsidTr="00187708">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shd w:val="clear" w:color="auto" w:fill="auto"/>
            <w:hideMark/>
          </w:tcPr>
          <w:p w14:paraId="2559A95A"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IND-OS-02</w:t>
            </w:r>
          </w:p>
        </w:tc>
        <w:tc>
          <w:tcPr>
            <w:tcW w:w="898" w:type="dxa"/>
            <w:tcBorders>
              <w:top w:val="single" w:sz="8" w:space="0" w:color="BFBFBF" w:themeColor="background1" w:themeShade="BF"/>
              <w:bottom w:val="single" w:sz="8" w:space="0" w:color="BFBFBF" w:themeColor="background1" w:themeShade="BF"/>
            </w:tcBorders>
            <w:shd w:val="clear" w:color="auto" w:fill="auto"/>
            <w:hideMark/>
          </w:tcPr>
          <w:p w14:paraId="7BC2B709"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405" w:type="dxa"/>
            <w:tcBorders>
              <w:top w:val="single" w:sz="8" w:space="0" w:color="BFBFBF" w:themeColor="background1" w:themeShade="BF"/>
              <w:bottom w:val="single" w:sz="8" w:space="0" w:color="BFBFBF" w:themeColor="background1" w:themeShade="BF"/>
            </w:tcBorders>
            <w:shd w:val="clear" w:color="auto" w:fill="auto"/>
            <w:hideMark/>
          </w:tcPr>
          <w:p w14:paraId="77F4D033" w14:textId="77777777" w:rsidR="00713E51" w:rsidRPr="00187708" w:rsidRDefault="00713E51"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7511" w:type="dxa"/>
            <w:tcBorders>
              <w:top w:val="single" w:sz="8" w:space="0" w:color="BFBFBF" w:themeColor="background1" w:themeShade="BF"/>
              <w:bottom w:val="single" w:sz="8" w:space="0" w:color="BFBFBF" w:themeColor="background1" w:themeShade="BF"/>
            </w:tcBorders>
            <w:shd w:val="clear" w:color="auto" w:fill="auto"/>
            <w:hideMark/>
          </w:tcPr>
          <w:p w14:paraId="05E41F27" w14:textId="7777777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Dezvoltarea cadrului legal privind gestionarea deșeurilor industriale</w:t>
            </w:r>
          </w:p>
        </w:tc>
        <w:tc>
          <w:tcPr>
            <w:tcW w:w="1560" w:type="dxa"/>
            <w:tcBorders>
              <w:top w:val="single" w:sz="8" w:space="0" w:color="BFBFBF" w:themeColor="background1" w:themeShade="BF"/>
              <w:bottom w:val="single" w:sz="8" w:space="0" w:color="BFBFBF" w:themeColor="background1" w:themeShade="BF"/>
            </w:tcBorders>
            <w:shd w:val="clear" w:color="auto" w:fill="auto"/>
          </w:tcPr>
          <w:p w14:paraId="1B8BE0EE" w14:textId="56A9F399"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4110" w:type="dxa"/>
            <w:tcBorders>
              <w:top w:val="single" w:sz="8" w:space="0" w:color="BFBFBF" w:themeColor="background1" w:themeShade="BF"/>
              <w:bottom w:val="single" w:sz="8" w:space="0" w:color="BFBFBF" w:themeColor="background1" w:themeShade="BF"/>
            </w:tcBorders>
            <w:shd w:val="clear" w:color="auto" w:fill="auto"/>
          </w:tcPr>
          <w:p w14:paraId="6040C20E" w14:textId="507C9697"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c>
          <w:tcPr>
            <w:tcW w:w="3544" w:type="dxa"/>
            <w:tcBorders>
              <w:top w:val="single" w:sz="8" w:space="0" w:color="BFBFBF" w:themeColor="background1" w:themeShade="BF"/>
              <w:bottom w:val="single" w:sz="8" w:space="0" w:color="BFBFBF" w:themeColor="background1" w:themeShade="BF"/>
            </w:tcBorders>
            <w:shd w:val="clear" w:color="auto" w:fill="auto"/>
          </w:tcPr>
          <w:p w14:paraId="2F618ABF" w14:textId="6058FA06" w:rsidR="00713E51" w:rsidRPr="00187708" w:rsidRDefault="00713E51"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p>
        </w:tc>
      </w:tr>
      <w:tr w:rsidR="0016081F" w:rsidRPr="00187708" w14:paraId="0E0421B1" w14:textId="77777777" w:rsidTr="00187708">
        <w:trPr>
          <w:trHeight w:val="8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hideMark/>
          </w:tcPr>
          <w:p w14:paraId="4E09AC70" w14:textId="77777777" w:rsidR="0016081F" w:rsidRPr="00187708" w:rsidRDefault="0016081F"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IND-A6</w:t>
            </w:r>
          </w:p>
        </w:tc>
        <w:tc>
          <w:tcPr>
            <w:tcW w:w="898" w:type="dxa"/>
            <w:tcBorders>
              <w:top w:val="single" w:sz="8" w:space="0" w:color="BFBFBF" w:themeColor="background1" w:themeShade="BF"/>
              <w:bottom w:val="single" w:sz="8" w:space="0" w:color="BFBFBF" w:themeColor="background1" w:themeShade="BF"/>
            </w:tcBorders>
            <w:hideMark/>
          </w:tcPr>
          <w:p w14:paraId="642934EE" w14:textId="77777777" w:rsidR="0016081F" w:rsidRPr="00187708" w:rsidRDefault="0016081F"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hideMark/>
          </w:tcPr>
          <w:p w14:paraId="1BE06C0D" w14:textId="77777777" w:rsidR="0016081F" w:rsidRPr="00187708" w:rsidRDefault="0016081F"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7511" w:type="dxa"/>
            <w:tcBorders>
              <w:top w:val="single" w:sz="8" w:space="0" w:color="BFBFBF" w:themeColor="background1" w:themeShade="BF"/>
              <w:bottom w:val="single" w:sz="8" w:space="0" w:color="BFBFBF" w:themeColor="background1" w:themeShade="BF"/>
            </w:tcBorders>
            <w:hideMark/>
          </w:tcPr>
          <w:p w14:paraId="3D5BD9E7" w14:textId="77777777" w:rsidR="0016081F" w:rsidRPr="00187708" w:rsidRDefault="0016081F" w:rsidP="00B322B3">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Completarea Legii 278/2013 privind emisiile industriale cu un pachet de măsuri care să includă:</w:t>
            </w:r>
          </w:p>
          <w:p w14:paraId="07C33FA6" w14:textId="77777777" w:rsidR="0016081F" w:rsidRPr="00187708" w:rsidRDefault="0016081F" w:rsidP="00B322B3">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xml:space="preserve">- dezvoltarea unei definiții a deșeurilor industriale </w:t>
            </w:r>
          </w:p>
          <w:p w14:paraId="686D76C7" w14:textId="77777777" w:rsidR="0016081F" w:rsidRPr="00187708" w:rsidRDefault="0016081F" w:rsidP="00B322B3">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stabilirea unor obiective de capturare / reciclare / valorificare a deșeurilor industriale pe fiecare categorie de industrie în parte</w:t>
            </w:r>
          </w:p>
          <w:p w14:paraId="4A72A854" w14:textId="77777777" w:rsidR="0016081F" w:rsidRPr="00187708" w:rsidRDefault="0016081F" w:rsidP="00B322B3">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stabilirea de responsabilități și sancțiuni pentru nerespectarea obligațiilor generatorilor de deșeuri industriale de a gestiona corespunzător deșeurile produse</w:t>
            </w:r>
          </w:p>
          <w:p w14:paraId="0B9DDD2F" w14:textId="2BB077E8" w:rsidR="0016081F" w:rsidRPr="00187708" w:rsidRDefault="0016081F" w:rsidP="00B322B3">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detalierea atribuțiilor de inspecție și control a  GNM privind activitățile de colectare/tratare/eliminare a deșeurilor industriale</w:t>
            </w:r>
          </w:p>
        </w:tc>
        <w:tc>
          <w:tcPr>
            <w:tcW w:w="1560" w:type="dxa"/>
            <w:vMerge w:val="restart"/>
            <w:tcBorders>
              <w:top w:val="single" w:sz="8" w:space="0" w:color="BFBFBF" w:themeColor="background1" w:themeShade="BF"/>
              <w:bottom w:val="single" w:sz="8" w:space="0" w:color="BFBFBF" w:themeColor="background1" w:themeShade="BF"/>
            </w:tcBorders>
            <w:hideMark/>
          </w:tcPr>
          <w:p w14:paraId="6B3AA984" w14:textId="77777777"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p w14:paraId="423AF8DD" w14:textId="599CA967"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p>
        </w:tc>
        <w:tc>
          <w:tcPr>
            <w:tcW w:w="4110" w:type="dxa"/>
            <w:vMerge w:val="restart"/>
            <w:tcBorders>
              <w:top w:val="single" w:sz="8" w:space="0" w:color="BFBFBF" w:themeColor="background1" w:themeShade="BF"/>
              <w:bottom w:val="single" w:sz="8" w:space="0" w:color="BFBFBF" w:themeColor="background1" w:themeShade="BF"/>
            </w:tcBorders>
            <w:hideMark/>
          </w:tcPr>
          <w:p w14:paraId="24BA5830" w14:textId="77777777"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p w14:paraId="6B6A173D" w14:textId="15B07D1D"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p>
        </w:tc>
        <w:tc>
          <w:tcPr>
            <w:tcW w:w="3544" w:type="dxa"/>
            <w:vMerge w:val="restart"/>
            <w:tcBorders>
              <w:top w:val="single" w:sz="8" w:space="0" w:color="BFBFBF" w:themeColor="background1" w:themeShade="BF"/>
              <w:bottom w:val="single" w:sz="8" w:space="0" w:color="BFBFBF" w:themeColor="background1" w:themeShade="BF"/>
            </w:tcBorders>
            <w:hideMark/>
          </w:tcPr>
          <w:p w14:paraId="6AC71A11" w14:textId="77777777"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Bugetul de stat</w:t>
            </w:r>
          </w:p>
          <w:p w14:paraId="600A8102" w14:textId="1F797AEF"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p>
        </w:tc>
      </w:tr>
      <w:tr w:rsidR="0016081F" w:rsidRPr="00187708" w14:paraId="3D1EE415" w14:textId="77777777" w:rsidTr="00187708">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shd w:val="clear" w:color="auto" w:fill="auto"/>
            <w:hideMark/>
          </w:tcPr>
          <w:p w14:paraId="4F8D2F5C" w14:textId="77777777" w:rsidR="0016081F" w:rsidRPr="00187708" w:rsidRDefault="0016081F"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IND-A7</w:t>
            </w:r>
          </w:p>
        </w:tc>
        <w:tc>
          <w:tcPr>
            <w:tcW w:w="898" w:type="dxa"/>
            <w:tcBorders>
              <w:top w:val="single" w:sz="8" w:space="0" w:color="BFBFBF" w:themeColor="background1" w:themeShade="BF"/>
              <w:bottom w:val="single" w:sz="8" w:space="0" w:color="BFBFBF" w:themeColor="background1" w:themeShade="BF"/>
            </w:tcBorders>
            <w:shd w:val="clear" w:color="auto" w:fill="auto"/>
            <w:hideMark/>
          </w:tcPr>
          <w:p w14:paraId="765EAEC4" w14:textId="77777777" w:rsidR="0016081F" w:rsidRPr="00187708" w:rsidRDefault="0016081F"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shd w:val="clear" w:color="auto" w:fill="auto"/>
            <w:hideMark/>
          </w:tcPr>
          <w:p w14:paraId="296386F2" w14:textId="77777777" w:rsidR="0016081F" w:rsidRPr="00187708" w:rsidRDefault="0016081F"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w:t>
            </w:r>
          </w:p>
        </w:tc>
        <w:tc>
          <w:tcPr>
            <w:tcW w:w="7511" w:type="dxa"/>
            <w:tcBorders>
              <w:top w:val="single" w:sz="8" w:space="0" w:color="BFBFBF" w:themeColor="background1" w:themeShade="BF"/>
              <w:bottom w:val="single" w:sz="8" w:space="0" w:color="BFBFBF" w:themeColor="background1" w:themeShade="BF"/>
            </w:tcBorders>
            <w:shd w:val="clear" w:color="auto" w:fill="auto"/>
            <w:hideMark/>
          </w:tcPr>
          <w:p w14:paraId="6A3CC190" w14:textId="77777777"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Interzicerea direcționării spre depozitare și a acceptării la depozitare a deșeurilor industriale valorificabile prin reciclare sau valorificare energetică</w:t>
            </w:r>
          </w:p>
        </w:tc>
        <w:tc>
          <w:tcPr>
            <w:tcW w:w="1560" w:type="dxa"/>
            <w:vMerge/>
            <w:tcBorders>
              <w:top w:val="single" w:sz="8" w:space="0" w:color="BFBFBF" w:themeColor="background1" w:themeShade="BF"/>
              <w:bottom w:val="single" w:sz="8" w:space="0" w:color="BFBFBF" w:themeColor="background1" w:themeShade="BF"/>
            </w:tcBorders>
            <w:shd w:val="clear" w:color="auto" w:fill="auto"/>
            <w:hideMark/>
          </w:tcPr>
          <w:p w14:paraId="37DA8E60" w14:textId="4589C656"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p>
        </w:tc>
        <w:tc>
          <w:tcPr>
            <w:tcW w:w="4110" w:type="dxa"/>
            <w:vMerge/>
            <w:tcBorders>
              <w:top w:val="single" w:sz="8" w:space="0" w:color="BFBFBF" w:themeColor="background1" w:themeShade="BF"/>
              <w:bottom w:val="single" w:sz="8" w:space="0" w:color="BFBFBF" w:themeColor="background1" w:themeShade="BF"/>
            </w:tcBorders>
            <w:shd w:val="clear" w:color="auto" w:fill="auto"/>
            <w:hideMark/>
          </w:tcPr>
          <w:p w14:paraId="5694C347" w14:textId="7C50769D"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p>
        </w:tc>
        <w:tc>
          <w:tcPr>
            <w:tcW w:w="3544" w:type="dxa"/>
            <w:vMerge/>
            <w:tcBorders>
              <w:top w:val="single" w:sz="8" w:space="0" w:color="BFBFBF" w:themeColor="background1" w:themeShade="BF"/>
              <w:bottom w:val="single" w:sz="8" w:space="0" w:color="BFBFBF" w:themeColor="background1" w:themeShade="BF"/>
            </w:tcBorders>
            <w:shd w:val="clear" w:color="auto" w:fill="auto"/>
            <w:hideMark/>
          </w:tcPr>
          <w:p w14:paraId="241462CC" w14:textId="6051BCDA"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p>
        </w:tc>
      </w:tr>
      <w:tr w:rsidR="0016081F" w:rsidRPr="00187708" w14:paraId="0607CDA2" w14:textId="77777777" w:rsidTr="00187708">
        <w:trPr>
          <w:trHeight w:val="496"/>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hideMark/>
          </w:tcPr>
          <w:p w14:paraId="6520C767" w14:textId="77777777" w:rsidR="0016081F" w:rsidRPr="00187708" w:rsidRDefault="0016081F"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IND-A8</w:t>
            </w:r>
          </w:p>
        </w:tc>
        <w:tc>
          <w:tcPr>
            <w:tcW w:w="898" w:type="dxa"/>
            <w:tcBorders>
              <w:top w:val="single" w:sz="8" w:space="0" w:color="BFBFBF" w:themeColor="background1" w:themeShade="BF"/>
              <w:bottom w:val="single" w:sz="8" w:space="0" w:color="BFBFBF" w:themeColor="background1" w:themeShade="BF"/>
            </w:tcBorders>
            <w:hideMark/>
          </w:tcPr>
          <w:p w14:paraId="358EA917" w14:textId="77777777" w:rsidR="0016081F" w:rsidRPr="00187708" w:rsidRDefault="0016081F"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hideMark/>
          </w:tcPr>
          <w:p w14:paraId="3CF995B2" w14:textId="77777777" w:rsidR="0016081F" w:rsidRPr="00187708" w:rsidRDefault="0016081F"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w:t>
            </w:r>
          </w:p>
        </w:tc>
        <w:tc>
          <w:tcPr>
            <w:tcW w:w="7511" w:type="dxa"/>
            <w:tcBorders>
              <w:top w:val="single" w:sz="8" w:space="0" w:color="BFBFBF" w:themeColor="background1" w:themeShade="BF"/>
              <w:bottom w:val="single" w:sz="8" w:space="0" w:color="BFBFBF" w:themeColor="background1" w:themeShade="BF"/>
            </w:tcBorders>
            <w:hideMark/>
          </w:tcPr>
          <w:p w14:paraId="4DF0AC4C" w14:textId="77777777"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Promovarea valorificării/reciclării deșeurilor inerte depozitate și închiderea prin „extragere” a depozitelor de materiale inerte, cenușă, zgură</w:t>
            </w:r>
          </w:p>
        </w:tc>
        <w:tc>
          <w:tcPr>
            <w:tcW w:w="1560" w:type="dxa"/>
            <w:vMerge/>
            <w:tcBorders>
              <w:top w:val="single" w:sz="8" w:space="0" w:color="BFBFBF" w:themeColor="background1" w:themeShade="BF"/>
              <w:bottom w:val="single" w:sz="8" w:space="0" w:color="BFBFBF" w:themeColor="background1" w:themeShade="BF"/>
            </w:tcBorders>
            <w:hideMark/>
          </w:tcPr>
          <w:p w14:paraId="250EC943" w14:textId="51E37C43"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p>
        </w:tc>
        <w:tc>
          <w:tcPr>
            <w:tcW w:w="4110" w:type="dxa"/>
            <w:vMerge/>
            <w:tcBorders>
              <w:top w:val="single" w:sz="8" w:space="0" w:color="BFBFBF" w:themeColor="background1" w:themeShade="BF"/>
              <w:bottom w:val="single" w:sz="8" w:space="0" w:color="BFBFBF" w:themeColor="background1" w:themeShade="BF"/>
            </w:tcBorders>
            <w:hideMark/>
          </w:tcPr>
          <w:p w14:paraId="434BC729" w14:textId="380B66CE"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p>
        </w:tc>
        <w:tc>
          <w:tcPr>
            <w:tcW w:w="3544" w:type="dxa"/>
            <w:vMerge/>
            <w:tcBorders>
              <w:top w:val="single" w:sz="8" w:space="0" w:color="BFBFBF" w:themeColor="background1" w:themeShade="BF"/>
              <w:bottom w:val="single" w:sz="8" w:space="0" w:color="BFBFBF" w:themeColor="background1" w:themeShade="BF"/>
            </w:tcBorders>
            <w:hideMark/>
          </w:tcPr>
          <w:p w14:paraId="4D245619" w14:textId="379B2BB2" w:rsidR="0016081F" w:rsidRPr="00187708" w:rsidRDefault="0016081F"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p>
        </w:tc>
      </w:tr>
      <w:tr w:rsidR="0016081F" w:rsidRPr="00187708" w14:paraId="0C096CB7" w14:textId="77777777" w:rsidTr="00187708">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shd w:val="clear" w:color="auto" w:fill="auto"/>
            <w:hideMark/>
          </w:tcPr>
          <w:p w14:paraId="74687D71" w14:textId="77777777" w:rsidR="0016081F" w:rsidRPr="00187708" w:rsidRDefault="0016081F"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IND-A9</w:t>
            </w:r>
          </w:p>
        </w:tc>
        <w:tc>
          <w:tcPr>
            <w:tcW w:w="898" w:type="dxa"/>
            <w:tcBorders>
              <w:top w:val="single" w:sz="8" w:space="0" w:color="BFBFBF" w:themeColor="background1" w:themeShade="BF"/>
              <w:bottom w:val="single" w:sz="8" w:space="0" w:color="BFBFBF" w:themeColor="background1" w:themeShade="BF"/>
            </w:tcBorders>
            <w:shd w:val="clear" w:color="auto" w:fill="auto"/>
            <w:hideMark/>
          </w:tcPr>
          <w:p w14:paraId="67A13DBA" w14:textId="77777777" w:rsidR="0016081F" w:rsidRPr="00187708" w:rsidRDefault="0016081F"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shd w:val="clear" w:color="auto" w:fill="auto"/>
            <w:hideMark/>
          </w:tcPr>
          <w:p w14:paraId="2FC9F525" w14:textId="77777777" w:rsidR="0016081F" w:rsidRPr="00187708" w:rsidRDefault="0016081F" w:rsidP="00713E51">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2.4</w:t>
            </w:r>
          </w:p>
        </w:tc>
        <w:tc>
          <w:tcPr>
            <w:tcW w:w="7511" w:type="dxa"/>
            <w:tcBorders>
              <w:top w:val="single" w:sz="8" w:space="0" w:color="BFBFBF" w:themeColor="background1" w:themeShade="BF"/>
              <w:bottom w:val="single" w:sz="8" w:space="0" w:color="BFBFBF" w:themeColor="background1" w:themeShade="BF"/>
            </w:tcBorders>
            <w:shd w:val="clear" w:color="auto" w:fill="auto"/>
            <w:hideMark/>
          </w:tcPr>
          <w:p w14:paraId="71CE477B" w14:textId="77777777"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Actualizarea normativului privind deșeurile acceptate la depozitare</w:t>
            </w:r>
          </w:p>
        </w:tc>
        <w:tc>
          <w:tcPr>
            <w:tcW w:w="1560" w:type="dxa"/>
            <w:vMerge/>
            <w:tcBorders>
              <w:top w:val="single" w:sz="8" w:space="0" w:color="BFBFBF" w:themeColor="background1" w:themeShade="BF"/>
              <w:bottom w:val="single" w:sz="8" w:space="0" w:color="BFBFBF" w:themeColor="background1" w:themeShade="BF"/>
            </w:tcBorders>
            <w:shd w:val="clear" w:color="auto" w:fill="auto"/>
            <w:hideMark/>
          </w:tcPr>
          <w:p w14:paraId="11993EFC" w14:textId="3F30CA29"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p>
        </w:tc>
        <w:tc>
          <w:tcPr>
            <w:tcW w:w="4110" w:type="dxa"/>
            <w:vMerge/>
            <w:tcBorders>
              <w:top w:val="single" w:sz="8" w:space="0" w:color="BFBFBF" w:themeColor="background1" w:themeShade="BF"/>
              <w:bottom w:val="single" w:sz="8" w:space="0" w:color="BFBFBF" w:themeColor="background1" w:themeShade="BF"/>
            </w:tcBorders>
            <w:shd w:val="clear" w:color="auto" w:fill="auto"/>
            <w:hideMark/>
          </w:tcPr>
          <w:p w14:paraId="3F12026B" w14:textId="4026B165"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p>
        </w:tc>
        <w:tc>
          <w:tcPr>
            <w:tcW w:w="3544" w:type="dxa"/>
            <w:vMerge/>
            <w:tcBorders>
              <w:top w:val="single" w:sz="8" w:space="0" w:color="BFBFBF" w:themeColor="background1" w:themeShade="BF"/>
              <w:bottom w:val="single" w:sz="8" w:space="0" w:color="BFBFBF" w:themeColor="background1" w:themeShade="BF"/>
            </w:tcBorders>
            <w:shd w:val="clear" w:color="auto" w:fill="auto"/>
            <w:hideMark/>
          </w:tcPr>
          <w:p w14:paraId="30F3978B" w14:textId="0810DD8A" w:rsidR="0016081F" w:rsidRPr="00187708" w:rsidRDefault="0016081F" w:rsidP="00713E51">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p>
        </w:tc>
      </w:tr>
      <w:tr w:rsidR="00713E51" w:rsidRPr="00187708" w14:paraId="67737B7A" w14:textId="77777777" w:rsidTr="00187708">
        <w:trPr>
          <w:trHeight w:val="496"/>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BFBFBF" w:themeColor="background1" w:themeShade="BF"/>
              <w:bottom w:val="single" w:sz="8" w:space="0" w:color="BFBFBF" w:themeColor="background1" w:themeShade="BF"/>
            </w:tcBorders>
            <w:hideMark/>
          </w:tcPr>
          <w:p w14:paraId="609C6B51" w14:textId="77777777" w:rsidR="00713E51" w:rsidRPr="00187708" w:rsidRDefault="00713E51"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IND-A10</w:t>
            </w:r>
          </w:p>
        </w:tc>
        <w:tc>
          <w:tcPr>
            <w:tcW w:w="898" w:type="dxa"/>
            <w:tcBorders>
              <w:top w:val="single" w:sz="8" w:space="0" w:color="BFBFBF" w:themeColor="background1" w:themeShade="BF"/>
              <w:bottom w:val="single" w:sz="8" w:space="0" w:color="BFBFBF" w:themeColor="background1" w:themeShade="BF"/>
            </w:tcBorders>
            <w:hideMark/>
          </w:tcPr>
          <w:p w14:paraId="6BCDDD29"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5" w:type="dxa"/>
            <w:tcBorders>
              <w:top w:val="single" w:sz="8" w:space="0" w:color="BFBFBF" w:themeColor="background1" w:themeShade="BF"/>
              <w:bottom w:val="single" w:sz="8" w:space="0" w:color="BFBFBF" w:themeColor="background1" w:themeShade="BF"/>
            </w:tcBorders>
            <w:hideMark/>
          </w:tcPr>
          <w:p w14:paraId="53AA6CD2" w14:textId="77777777" w:rsidR="00713E51" w:rsidRPr="00187708" w:rsidRDefault="00713E51" w:rsidP="00713E51">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2.5</w:t>
            </w:r>
          </w:p>
        </w:tc>
        <w:tc>
          <w:tcPr>
            <w:tcW w:w="7511" w:type="dxa"/>
            <w:tcBorders>
              <w:top w:val="single" w:sz="8" w:space="0" w:color="BFBFBF" w:themeColor="background1" w:themeShade="BF"/>
              <w:bottom w:val="single" w:sz="8" w:space="0" w:color="BFBFBF" w:themeColor="background1" w:themeShade="BF"/>
            </w:tcBorders>
            <w:hideMark/>
          </w:tcPr>
          <w:p w14:paraId="4C1DA91A"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unor acte normative privind stabilirea criteriilor naționale de încetare a statutului de deșeu (inclusiv pentru deșeurile industriale)</w:t>
            </w:r>
          </w:p>
        </w:tc>
        <w:tc>
          <w:tcPr>
            <w:tcW w:w="1560" w:type="dxa"/>
            <w:tcBorders>
              <w:top w:val="single" w:sz="8" w:space="0" w:color="BFBFBF" w:themeColor="background1" w:themeShade="BF"/>
              <w:bottom w:val="single" w:sz="8" w:space="0" w:color="BFBFBF" w:themeColor="background1" w:themeShade="BF"/>
            </w:tcBorders>
            <w:hideMark/>
          </w:tcPr>
          <w:p w14:paraId="28ED2B1B"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4110" w:type="dxa"/>
            <w:tcBorders>
              <w:top w:val="single" w:sz="8" w:space="0" w:color="BFBFBF" w:themeColor="background1" w:themeShade="BF"/>
              <w:bottom w:val="single" w:sz="8" w:space="0" w:color="BFBFBF" w:themeColor="background1" w:themeShade="BF"/>
            </w:tcBorders>
            <w:hideMark/>
          </w:tcPr>
          <w:p w14:paraId="2D9B6A6D"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MDLPA</w:t>
            </w:r>
          </w:p>
        </w:tc>
        <w:tc>
          <w:tcPr>
            <w:tcW w:w="3544" w:type="dxa"/>
            <w:tcBorders>
              <w:top w:val="single" w:sz="8" w:space="0" w:color="BFBFBF" w:themeColor="background1" w:themeShade="BF"/>
              <w:bottom w:val="single" w:sz="8" w:space="0" w:color="BFBFBF" w:themeColor="background1" w:themeShade="BF"/>
            </w:tcBorders>
            <w:hideMark/>
          </w:tcPr>
          <w:p w14:paraId="3E4E933E" w14:textId="77777777" w:rsidR="00713E51" w:rsidRPr="00187708" w:rsidRDefault="00713E51" w:rsidP="00713E51">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5D847D3E" w14:textId="77777777" w:rsidR="002A310F" w:rsidRPr="00187708" w:rsidRDefault="002A310F">
      <w:pPr>
        <w:rPr>
          <w:rFonts w:ascii="Nunito" w:eastAsiaTheme="majorEastAsia" w:hAnsi="Nunito" w:cstheme="majorBidi"/>
          <w:sz w:val="16"/>
          <w:szCs w:val="16"/>
          <w:lang w:val="ro-RO"/>
        </w:rPr>
      </w:pPr>
    </w:p>
    <w:p w14:paraId="76D95101" w14:textId="18FA7086" w:rsidR="004F594A" w:rsidRPr="00187708" w:rsidRDefault="004F594A" w:rsidP="004F594A">
      <w:pPr>
        <w:rPr>
          <w:rFonts w:ascii="Nunito" w:eastAsiaTheme="majorEastAsia" w:hAnsi="Nunito" w:cstheme="majorBidi"/>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17</w:t>
      </w:r>
      <w:r w:rsidR="001802CD" w:rsidRPr="00187708">
        <w:rPr>
          <w:rFonts w:ascii="Nunito" w:hAnsi="Nunito"/>
          <w:b/>
          <w:bCs/>
          <w:color w:val="009DF0" w:themeColor="text2"/>
          <w:sz w:val="16"/>
          <w:szCs w:val="16"/>
          <w:lang w:val="ro-RO"/>
        </w:rPr>
        <w:fldChar w:fldCharType="end"/>
      </w:r>
      <w:r w:rsidR="003F7609" w:rsidRPr="00187708">
        <w:rPr>
          <w:rFonts w:ascii="Nunito" w:hAnsi="Nunito"/>
          <w:b/>
          <w:bCs/>
          <w:color w:val="009DF0" w:themeColor="text2"/>
          <w:sz w:val="16"/>
          <w:szCs w:val="16"/>
          <w:lang w:val="ro-RO"/>
        </w:rPr>
        <w:t xml:space="preserve">: </w:t>
      </w:r>
      <w:r w:rsidR="005D7120" w:rsidRPr="00187708">
        <w:rPr>
          <w:rFonts w:ascii="Nunito" w:hAnsi="Nunito"/>
          <w:b/>
          <w:bCs/>
          <w:color w:val="009DF0" w:themeColor="text2"/>
          <w:sz w:val="16"/>
          <w:szCs w:val="16"/>
          <w:lang w:val="ro-RO"/>
        </w:rPr>
        <w:t>Modul de îndeplinire al Planului de acțiune deșeurilor rezultate din agricultură, silvicultură și pescuit</w:t>
      </w:r>
    </w:p>
    <w:tbl>
      <w:tblPr>
        <w:tblStyle w:val="ListTable2-Accent1"/>
        <w:tblW w:w="20554" w:type="dxa"/>
        <w:tblLook w:val="04A0" w:firstRow="1" w:lastRow="0" w:firstColumn="1" w:lastColumn="0" w:noHBand="0" w:noVBand="1"/>
      </w:tblPr>
      <w:tblGrid>
        <w:gridCol w:w="1521"/>
        <w:gridCol w:w="896"/>
        <w:gridCol w:w="1401"/>
        <w:gridCol w:w="7522"/>
        <w:gridCol w:w="1560"/>
        <w:gridCol w:w="4110"/>
        <w:gridCol w:w="3544"/>
      </w:tblGrid>
      <w:tr w:rsidR="00B30D70" w:rsidRPr="00187708" w14:paraId="1CCC8AFF" w14:textId="77777777" w:rsidTr="00187708">
        <w:trPr>
          <w:cnfStyle w:val="100000000000" w:firstRow="1" w:lastRow="0" w:firstColumn="0" w:lastColumn="0" w:oddVBand="0" w:evenVBand="0" w:oddHBand="0" w:evenHBand="0" w:firstRowFirstColumn="0" w:firstRowLastColumn="0" w:lastRowFirstColumn="0" w:lastRowLastColumn="0"/>
          <w:trHeight w:val="390"/>
          <w:tblHeader/>
        </w:trPr>
        <w:tc>
          <w:tcPr>
            <w:cnfStyle w:val="001000000000" w:firstRow="0" w:lastRow="0" w:firstColumn="1" w:lastColumn="0" w:oddVBand="0" w:evenVBand="0" w:oddHBand="0" w:evenHBand="0" w:firstRowFirstColumn="0" w:firstRowLastColumn="0" w:lastRowFirstColumn="0" w:lastRowLastColumn="0"/>
            <w:tcW w:w="1521" w:type="dxa"/>
            <w:tcBorders>
              <w:bottom w:val="single" w:sz="4" w:space="0" w:color="D9D9D9" w:themeColor="background1" w:themeShade="D9"/>
            </w:tcBorders>
            <w:shd w:val="clear" w:color="auto" w:fill="00B0F0"/>
            <w:hideMark/>
          </w:tcPr>
          <w:p w14:paraId="640DA855" w14:textId="77777777" w:rsidR="00B30D70" w:rsidRPr="00187708" w:rsidRDefault="00B30D70" w:rsidP="00B30D70">
            <w:pPr>
              <w:jc w:val="center"/>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Cod</w:t>
            </w:r>
          </w:p>
        </w:tc>
        <w:tc>
          <w:tcPr>
            <w:tcW w:w="896" w:type="dxa"/>
            <w:tcBorders>
              <w:bottom w:val="single" w:sz="4" w:space="0" w:color="D9D9D9" w:themeColor="background1" w:themeShade="D9"/>
            </w:tcBorders>
            <w:shd w:val="clear" w:color="auto" w:fill="00B0F0"/>
            <w:hideMark/>
          </w:tcPr>
          <w:p w14:paraId="7AFFA010" w14:textId="77777777" w:rsidR="00B30D70" w:rsidRPr="00187708" w:rsidRDefault="00B30D70"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Nivel</w:t>
            </w:r>
          </w:p>
        </w:tc>
        <w:tc>
          <w:tcPr>
            <w:tcW w:w="1401" w:type="dxa"/>
            <w:tcBorders>
              <w:bottom w:val="single" w:sz="4" w:space="0" w:color="D9D9D9" w:themeColor="background1" w:themeShade="D9"/>
            </w:tcBorders>
            <w:shd w:val="clear" w:color="auto" w:fill="00B0F0"/>
            <w:hideMark/>
          </w:tcPr>
          <w:p w14:paraId="3BAC8830" w14:textId="0856EEE5" w:rsidR="00B30D70" w:rsidRPr="00187708" w:rsidRDefault="00B22A25"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 xml:space="preserve">Nr. Crt </w:t>
            </w:r>
            <w:r w:rsidR="00B30D70" w:rsidRPr="00187708">
              <w:rPr>
                <w:rFonts w:ascii="Nunito" w:eastAsia="Times New Roman" w:hAnsi="Nunito" w:cs="Arial"/>
                <w:color w:val="FFFFFF"/>
                <w:sz w:val="16"/>
                <w:szCs w:val="16"/>
                <w:lang w:val="ro-RO"/>
              </w:rPr>
              <w:t>PNGD</w:t>
            </w:r>
          </w:p>
        </w:tc>
        <w:tc>
          <w:tcPr>
            <w:tcW w:w="7522" w:type="dxa"/>
            <w:tcBorders>
              <w:bottom w:val="single" w:sz="4" w:space="0" w:color="D9D9D9" w:themeColor="background1" w:themeShade="D9"/>
            </w:tcBorders>
            <w:shd w:val="clear" w:color="auto" w:fill="00B0F0"/>
            <w:hideMark/>
          </w:tcPr>
          <w:p w14:paraId="64F1755F" w14:textId="77777777" w:rsidR="00B30D70" w:rsidRPr="00187708" w:rsidRDefault="00B30D70"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Denumire obiectiv / acțiune</w:t>
            </w:r>
          </w:p>
        </w:tc>
        <w:tc>
          <w:tcPr>
            <w:tcW w:w="1560" w:type="dxa"/>
            <w:tcBorders>
              <w:bottom w:val="single" w:sz="4" w:space="0" w:color="D9D9D9" w:themeColor="background1" w:themeShade="D9"/>
            </w:tcBorders>
            <w:shd w:val="clear" w:color="auto" w:fill="00B0F0"/>
            <w:hideMark/>
          </w:tcPr>
          <w:p w14:paraId="1E30B8D9" w14:textId="77777777" w:rsidR="00B30D70" w:rsidRPr="00187708" w:rsidRDefault="00B30D70"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Termen</w:t>
            </w:r>
          </w:p>
        </w:tc>
        <w:tc>
          <w:tcPr>
            <w:tcW w:w="4110" w:type="dxa"/>
            <w:tcBorders>
              <w:bottom w:val="single" w:sz="4" w:space="0" w:color="D9D9D9" w:themeColor="background1" w:themeShade="D9"/>
            </w:tcBorders>
            <w:shd w:val="clear" w:color="auto" w:fill="00B0F0"/>
            <w:hideMark/>
          </w:tcPr>
          <w:p w14:paraId="4E300F8F" w14:textId="77777777" w:rsidR="00B30D70" w:rsidRPr="00187708" w:rsidRDefault="00B30D70"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Responsabili</w:t>
            </w:r>
          </w:p>
        </w:tc>
        <w:tc>
          <w:tcPr>
            <w:tcW w:w="3544" w:type="dxa"/>
            <w:tcBorders>
              <w:bottom w:val="single" w:sz="4" w:space="0" w:color="D9D9D9" w:themeColor="background1" w:themeShade="D9"/>
            </w:tcBorders>
            <w:shd w:val="clear" w:color="auto" w:fill="00B0F0"/>
            <w:hideMark/>
          </w:tcPr>
          <w:p w14:paraId="24D1B9AB" w14:textId="77777777" w:rsidR="00B30D70" w:rsidRPr="00187708" w:rsidRDefault="00B30D70"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FFFFFF"/>
                <w:sz w:val="16"/>
                <w:szCs w:val="16"/>
                <w:lang w:val="ro-RO"/>
              </w:rPr>
            </w:pPr>
            <w:r w:rsidRPr="00187708">
              <w:rPr>
                <w:rFonts w:ascii="Nunito" w:eastAsia="Times New Roman" w:hAnsi="Nunito" w:cs="Arial"/>
                <w:color w:val="FFFFFF"/>
                <w:sz w:val="16"/>
                <w:szCs w:val="16"/>
                <w:lang w:val="ro-RO"/>
              </w:rPr>
              <w:t>Surse de finanțare</w:t>
            </w:r>
          </w:p>
        </w:tc>
      </w:tr>
      <w:tr w:rsidR="001D033A" w:rsidRPr="00187708" w14:paraId="64682B1F" w14:textId="77777777" w:rsidTr="00187708">
        <w:trPr>
          <w:cnfStyle w:val="100000000000" w:firstRow="1" w:lastRow="0" w:firstColumn="0" w:lastColumn="0" w:oddVBand="0" w:evenVBand="0" w:oddHBand="0" w:evenHBand="0" w:firstRowFirstColumn="0" w:firstRowLastColumn="0" w:lastRowFirstColumn="0" w:lastRowLastColumn="0"/>
          <w:trHeight w:val="261"/>
          <w:tblHeader/>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hideMark/>
          </w:tcPr>
          <w:p w14:paraId="6DFD231D" w14:textId="77777777" w:rsidR="001D033A" w:rsidRPr="00187708" w:rsidRDefault="001D033A"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AGR-OS-01</w:t>
            </w:r>
          </w:p>
        </w:tc>
        <w:tc>
          <w:tcPr>
            <w:tcW w:w="896" w:type="dxa"/>
            <w:tcBorders>
              <w:top w:val="single" w:sz="4" w:space="0" w:color="D9D9D9" w:themeColor="background1" w:themeShade="D9"/>
              <w:bottom w:val="single" w:sz="4" w:space="0" w:color="D9D9D9" w:themeColor="background1" w:themeShade="D9"/>
            </w:tcBorders>
            <w:hideMark/>
          </w:tcPr>
          <w:p w14:paraId="2338FE82" w14:textId="77777777" w:rsidR="001D033A" w:rsidRPr="00187708" w:rsidRDefault="001D033A"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OS</w:t>
            </w:r>
          </w:p>
        </w:tc>
        <w:tc>
          <w:tcPr>
            <w:tcW w:w="1401" w:type="dxa"/>
            <w:tcBorders>
              <w:top w:val="single" w:sz="4" w:space="0" w:color="D9D9D9" w:themeColor="background1" w:themeShade="D9"/>
              <w:bottom w:val="single" w:sz="4" w:space="0" w:color="D9D9D9" w:themeColor="background1" w:themeShade="D9"/>
            </w:tcBorders>
            <w:hideMark/>
          </w:tcPr>
          <w:p w14:paraId="5C887527" w14:textId="77777777" w:rsidR="001D033A" w:rsidRPr="00187708" w:rsidRDefault="001D033A" w:rsidP="00B30D70">
            <w:pPr>
              <w:jc w:val="cente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Obiectiv 1</w:t>
            </w:r>
          </w:p>
        </w:tc>
        <w:tc>
          <w:tcPr>
            <w:tcW w:w="16736" w:type="dxa"/>
            <w:gridSpan w:val="4"/>
            <w:tcBorders>
              <w:top w:val="single" w:sz="4" w:space="0" w:color="D9D9D9" w:themeColor="background1" w:themeShade="D9"/>
              <w:bottom w:val="single" w:sz="4" w:space="0" w:color="D9D9D9" w:themeColor="background1" w:themeShade="D9"/>
            </w:tcBorders>
            <w:hideMark/>
          </w:tcPr>
          <w:p w14:paraId="0AF7EDBD" w14:textId="1B028AE5" w:rsidR="001D033A" w:rsidRPr="00187708" w:rsidRDefault="001D033A" w:rsidP="001D033A">
            <w:pPr>
              <w:cnfStyle w:val="100000000000" w:firstRow="1" w:lastRow="0" w:firstColumn="0" w:lastColumn="0" w:oddVBand="0" w:evenVBand="0" w:oddHBand="0" w:evenHBand="0" w:firstRowFirstColumn="0" w:firstRowLastColumn="0" w:lastRowFirstColumn="0" w:lastRowLastColumn="0"/>
              <w:rPr>
                <w:rFonts w:ascii="Nunito" w:eastAsia="Times New Roman" w:hAnsi="Nunito" w:cs="Arial"/>
                <w:color w:val="000000" w:themeColor="text1"/>
                <w:sz w:val="16"/>
                <w:szCs w:val="16"/>
                <w:lang w:val="ro-RO"/>
              </w:rPr>
            </w:pPr>
            <w:r w:rsidRPr="00187708">
              <w:rPr>
                <w:rFonts w:ascii="Nunito" w:eastAsia="Times New Roman" w:hAnsi="Nunito" w:cs="Arial"/>
                <w:color w:val="000000" w:themeColor="text1"/>
                <w:sz w:val="16"/>
                <w:szCs w:val="16"/>
                <w:lang w:val="ro-RO"/>
              </w:rPr>
              <w:t>Încurajarea valorificării energetice în instalații de incinerare/coincinerare/producere biogaz a deșeurilor provenite din agricultură, silvicultură și pescuit (în special deșeuri de țesuturi animale și vegetale)</w:t>
            </w:r>
          </w:p>
        </w:tc>
      </w:tr>
      <w:tr w:rsidR="00B30D70" w:rsidRPr="00187708" w14:paraId="76777D85" w14:textId="77777777" w:rsidTr="00187708">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shd w:val="clear" w:color="auto" w:fill="auto"/>
            <w:hideMark/>
          </w:tcPr>
          <w:p w14:paraId="0B4B3EB3" w14:textId="77777777" w:rsidR="00B30D70" w:rsidRPr="00187708" w:rsidRDefault="00B30D70"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AGR-A1</w:t>
            </w:r>
          </w:p>
        </w:tc>
        <w:tc>
          <w:tcPr>
            <w:tcW w:w="896" w:type="dxa"/>
            <w:tcBorders>
              <w:top w:val="single" w:sz="4" w:space="0" w:color="D9D9D9" w:themeColor="background1" w:themeShade="D9"/>
              <w:bottom w:val="single" w:sz="4" w:space="0" w:color="D9D9D9" w:themeColor="background1" w:themeShade="D9"/>
            </w:tcBorders>
            <w:shd w:val="clear" w:color="auto" w:fill="auto"/>
            <w:hideMark/>
          </w:tcPr>
          <w:p w14:paraId="60B104DC" w14:textId="77777777" w:rsidR="00B30D70" w:rsidRPr="00187708" w:rsidRDefault="00B30D70"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1" w:type="dxa"/>
            <w:tcBorders>
              <w:top w:val="single" w:sz="4" w:space="0" w:color="D9D9D9" w:themeColor="background1" w:themeShade="D9"/>
              <w:bottom w:val="single" w:sz="4" w:space="0" w:color="D9D9D9" w:themeColor="background1" w:themeShade="D9"/>
            </w:tcBorders>
            <w:shd w:val="clear" w:color="auto" w:fill="auto"/>
            <w:hideMark/>
          </w:tcPr>
          <w:p w14:paraId="02144FBB" w14:textId="77777777" w:rsidR="00B30D70" w:rsidRPr="00187708" w:rsidRDefault="00B30D70"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7522" w:type="dxa"/>
            <w:tcBorders>
              <w:top w:val="single" w:sz="4" w:space="0" w:color="D9D9D9" w:themeColor="background1" w:themeShade="D9"/>
              <w:bottom w:val="single" w:sz="4" w:space="0" w:color="D9D9D9" w:themeColor="background1" w:themeShade="D9"/>
            </w:tcBorders>
            <w:shd w:val="clear" w:color="auto" w:fill="auto"/>
            <w:hideMark/>
          </w:tcPr>
          <w:p w14:paraId="60436A4F"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Derularea unor campanii (regionale/naționale) de informare privind valorificarea energetică a deșeurilor agricole (anual, cel puțin o campanie județeană și una națională)</w:t>
            </w:r>
          </w:p>
        </w:tc>
        <w:tc>
          <w:tcPr>
            <w:tcW w:w="1560" w:type="dxa"/>
            <w:tcBorders>
              <w:top w:val="single" w:sz="4" w:space="0" w:color="D9D9D9" w:themeColor="background1" w:themeShade="D9"/>
              <w:bottom w:val="single" w:sz="4" w:space="0" w:color="D9D9D9" w:themeColor="background1" w:themeShade="D9"/>
            </w:tcBorders>
            <w:shd w:val="clear" w:color="auto" w:fill="auto"/>
            <w:hideMark/>
          </w:tcPr>
          <w:p w14:paraId="15524D71"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tcBorders>
              <w:top w:val="single" w:sz="4" w:space="0" w:color="D9D9D9" w:themeColor="background1" w:themeShade="D9"/>
              <w:bottom w:val="single" w:sz="4" w:space="0" w:color="D9D9D9" w:themeColor="background1" w:themeShade="D9"/>
            </w:tcBorders>
            <w:shd w:val="clear" w:color="auto" w:fill="auto"/>
            <w:hideMark/>
          </w:tcPr>
          <w:p w14:paraId="1171B262"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 ME; UAT; Operatorii instalațiilor de incinerare/coincinerare/producere biogaz</w:t>
            </w:r>
          </w:p>
        </w:tc>
        <w:tc>
          <w:tcPr>
            <w:tcW w:w="3544" w:type="dxa"/>
            <w:tcBorders>
              <w:top w:val="single" w:sz="4" w:space="0" w:color="D9D9D9" w:themeColor="background1" w:themeShade="D9"/>
              <w:bottom w:val="single" w:sz="4" w:space="0" w:color="D9D9D9" w:themeColor="background1" w:themeShade="D9"/>
            </w:tcBorders>
            <w:shd w:val="clear" w:color="auto" w:fill="auto"/>
            <w:hideMark/>
          </w:tcPr>
          <w:p w14:paraId="51D51445"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Buget local; Fonduri proprii</w:t>
            </w:r>
          </w:p>
        </w:tc>
      </w:tr>
      <w:tr w:rsidR="001D033A" w:rsidRPr="00187708" w14:paraId="6347053C" w14:textId="77777777" w:rsidTr="00187708">
        <w:trPr>
          <w:trHeight w:val="109"/>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hideMark/>
          </w:tcPr>
          <w:p w14:paraId="61174B14" w14:textId="77777777" w:rsidR="001D033A" w:rsidRPr="00187708" w:rsidRDefault="001D033A"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AGR-OS-02</w:t>
            </w:r>
          </w:p>
        </w:tc>
        <w:tc>
          <w:tcPr>
            <w:tcW w:w="896" w:type="dxa"/>
            <w:tcBorders>
              <w:top w:val="single" w:sz="4" w:space="0" w:color="D9D9D9" w:themeColor="background1" w:themeShade="D9"/>
              <w:bottom w:val="single" w:sz="4" w:space="0" w:color="D9D9D9" w:themeColor="background1" w:themeShade="D9"/>
            </w:tcBorders>
            <w:hideMark/>
          </w:tcPr>
          <w:p w14:paraId="55A83088" w14:textId="77777777" w:rsidR="001D033A" w:rsidRPr="00187708" w:rsidRDefault="001D033A"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401" w:type="dxa"/>
            <w:tcBorders>
              <w:top w:val="single" w:sz="4" w:space="0" w:color="D9D9D9" w:themeColor="background1" w:themeShade="D9"/>
              <w:bottom w:val="single" w:sz="4" w:space="0" w:color="D9D9D9" w:themeColor="background1" w:themeShade="D9"/>
            </w:tcBorders>
            <w:hideMark/>
          </w:tcPr>
          <w:p w14:paraId="305AAB52" w14:textId="77777777" w:rsidR="001D033A" w:rsidRPr="00187708" w:rsidRDefault="001D033A"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2</w:t>
            </w:r>
          </w:p>
        </w:tc>
        <w:tc>
          <w:tcPr>
            <w:tcW w:w="16736" w:type="dxa"/>
            <w:gridSpan w:val="4"/>
            <w:tcBorders>
              <w:top w:val="single" w:sz="4" w:space="0" w:color="D9D9D9" w:themeColor="background1" w:themeShade="D9"/>
              <w:bottom w:val="single" w:sz="4" w:space="0" w:color="D9D9D9" w:themeColor="background1" w:themeShade="D9"/>
            </w:tcBorders>
            <w:hideMark/>
          </w:tcPr>
          <w:p w14:paraId="0B414D81" w14:textId="42B01EBF" w:rsidR="001D033A" w:rsidRPr="00187708" w:rsidRDefault="001D033A" w:rsidP="001D033A">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Încurajarea compostării deșeurilor provenite din agricultură, silvicultură și pescuit (în special deșeuri de țesuturi vegetale și dejecții animaliere) </w:t>
            </w:r>
          </w:p>
        </w:tc>
      </w:tr>
      <w:tr w:rsidR="00B30D70" w:rsidRPr="00187708" w14:paraId="39F1B1A0" w14:textId="77777777" w:rsidTr="00187708">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shd w:val="clear" w:color="auto" w:fill="auto"/>
            <w:hideMark/>
          </w:tcPr>
          <w:p w14:paraId="36A0B18E" w14:textId="77777777" w:rsidR="00B30D70" w:rsidRPr="00187708" w:rsidRDefault="00B30D70"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AGR-A2</w:t>
            </w:r>
          </w:p>
        </w:tc>
        <w:tc>
          <w:tcPr>
            <w:tcW w:w="896" w:type="dxa"/>
            <w:tcBorders>
              <w:top w:val="single" w:sz="4" w:space="0" w:color="D9D9D9" w:themeColor="background1" w:themeShade="D9"/>
              <w:bottom w:val="single" w:sz="4" w:space="0" w:color="D9D9D9" w:themeColor="background1" w:themeShade="D9"/>
            </w:tcBorders>
            <w:shd w:val="clear" w:color="auto" w:fill="auto"/>
            <w:hideMark/>
          </w:tcPr>
          <w:p w14:paraId="4DC8577F" w14:textId="77777777" w:rsidR="00B30D70" w:rsidRPr="00187708" w:rsidRDefault="00B30D70"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1" w:type="dxa"/>
            <w:tcBorders>
              <w:top w:val="single" w:sz="4" w:space="0" w:color="D9D9D9" w:themeColor="background1" w:themeShade="D9"/>
              <w:bottom w:val="single" w:sz="4" w:space="0" w:color="D9D9D9" w:themeColor="background1" w:themeShade="D9"/>
            </w:tcBorders>
            <w:shd w:val="clear" w:color="auto" w:fill="auto"/>
            <w:hideMark/>
          </w:tcPr>
          <w:p w14:paraId="19D184D9" w14:textId="77777777" w:rsidR="00B30D70" w:rsidRPr="00187708" w:rsidRDefault="00B30D70"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w:t>
            </w:r>
          </w:p>
        </w:tc>
        <w:tc>
          <w:tcPr>
            <w:tcW w:w="7522" w:type="dxa"/>
            <w:tcBorders>
              <w:top w:val="single" w:sz="4" w:space="0" w:color="D9D9D9" w:themeColor="background1" w:themeShade="D9"/>
              <w:bottom w:val="single" w:sz="4" w:space="0" w:color="D9D9D9" w:themeColor="background1" w:themeShade="D9"/>
            </w:tcBorders>
            <w:shd w:val="clear" w:color="auto" w:fill="auto"/>
            <w:hideMark/>
          </w:tcPr>
          <w:p w14:paraId="15E226EA"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de campanii de informare și încurajarea compostării deșeurilor din agricultură și silvicultură (anual, cel puțin o campanie județeană și una națională)</w:t>
            </w:r>
          </w:p>
        </w:tc>
        <w:tc>
          <w:tcPr>
            <w:tcW w:w="1560" w:type="dxa"/>
            <w:tcBorders>
              <w:top w:val="single" w:sz="4" w:space="0" w:color="D9D9D9" w:themeColor="background1" w:themeShade="D9"/>
              <w:bottom w:val="single" w:sz="4" w:space="0" w:color="D9D9D9" w:themeColor="background1" w:themeShade="D9"/>
            </w:tcBorders>
            <w:shd w:val="clear" w:color="auto" w:fill="auto"/>
            <w:hideMark/>
          </w:tcPr>
          <w:p w14:paraId="1FFBADAF"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tcBorders>
              <w:top w:val="single" w:sz="4" w:space="0" w:color="D9D9D9" w:themeColor="background1" w:themeShade="D9"/>
              <w:bottom w:val="single" w:sz="4" w:space="0" w:color="D9D9D9" w:themeColor="background1" w:themeShade="D9"/>
            </w:tcBorders>
            <w:shd w:val="clear" w:color="auto" w:fill="auto"/>
            <w:hideMark/>
          </w:tcPr>
          <w:p w14:paraId="1542E1C7"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 UAT; Operatorii instalațiilor de compostare</w:t>
            </w:r>
          </w:p>
        </w:tc>
        <w:tc>
          <w:tcPr>
            <w:tcW w:w="3544" w:type="dxa"/>
            <w:tcBorders>
              <w:top w:val="single" w:sz="4" w:space="0" w:color="D9D9D9" w:themeColor="background1" w:themeShade="D9"/>
              <w:bottom w:val="single" w:sz="4" w:space="0" w:color="D9D9D9" w:themeColor="background1" w:themeShade="D9"/>
            </w:tcBorders>
            <w:shd w:val="clear" w:color="auto" w:fill="auto"/>
            <w:hideMark/>
          </w:tcPr>
          <w:p w14:paraId="41DC428B" w14:textId="77777777" w:rsidR="00B30D70" w:rsidRPr="00187708" w:rsidRDefault="00B30D70" w:rsidP="00B30D70">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Buget local; Fonduri proprii</w:t>
            </w:r>
          </w:p>
        </w:tc>
      </w:tr>
      <w:tr w:rsidR="00B30D70" w:rsidRPr="00187708" w14:paraId="01F38172" w14:textId="77777777" w:rsidTr="00187708">
        <w:trPr>
          <w:trHeight w:val="207"/>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hideMark/>
          </w:tcPr>
          <w:p w14:paraId="08382CE2" w14:textId="77777777" w:rsidR="00B30D70" w:rsidRPr="00187708" w:rsidRDefault="00B30D70"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AGR-A3</w:t>
            </w:r>
          </w:p>
        </w:tc>
        <w:tc>
          <w:tcPr>
            <w:tcW w:w="896" w:type="dxa"/>
            <w:tcBorders>
              <w:top w:val="single" w:sz="4" w:space="0" w:color="D9D9D9" w:themeColor="background1" w:themeShade="D9"/>
              <w:bottom w:val="single" w:sz="4" w:space="0" w:color="D9D9D9" w:themeColor="background1" w:themeShade="D9"/>
            </w:tcBorders>
            <w:hideMark/>
          </w:tcPr>
          <w:p w14:paraId="6E1E80D6" w14:textId="77777777" w:rsidR="00B30D70" w:rsidRPr="00187708" w:rsidRDefault="00B30D70"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1" w:type="dxa"/>
            <w:tcBorders>
              <w:top w:val="single" w:sz="4" w:space="0" w:color="D9D9D9" w:themeColor="background1" w:themeShade="D9"/>
              <w:bottom w:val="single" w:sz="4" w:space="0" w:color="D9D9D9" w:themeColor="background1" w:themeShade="D9"/>
            </w:tcBorders>
            <w:hideMark/>
          </w:tcPr>
          <w:p w14:paraId="23418E6D" w14:textId="77777777" w:rsidR="00B30D70" w:rsidRPr="00187708" w:rsidRDefault="00B30D70"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w:t>
            </w:r>
          </w:p>
        </w:tc>
        <w:tc>
          <w:tcPr>
            <w:tcW w:w="7522" w:type="dxa"/>
            <w:tcBorders>
              <w:top w:val="single" w:sz="4" w:space="0" w:color="D9D9D9" w:themeColor="background1" w:themeShade="D9"/>
              <w:bottom w:val="single" w:sz="4" w:space="0" w:color="D9D9D9" w:themeColor="background1" w:themeShade="D9"/>
            </w:tcBorders>
            <w:hideMark/>
          </w:tcPr>
          <w:p w14:paraId="2501A8AB"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Creșterea gradului de utilizare a biomasei provenite din activități agricole și forestiere pentru producerea de energie și de biofertilizatori</w:t>
            </w:r>
          </w:p>
        </w:tc>
        <w:tc>
          <w:tcPr>
            <w:tcW w:w="1560" w:type="dxa"/>
            <w:tcBorders>
              <w:top w:val="single" w:sz="4" w:space="0" w:color="D9D9D9" w:themeColor="background1" w:themeShade="D9"/>
              <w:bottom w:val="single" w:sz="4" w:space="0" w:color="D9D9D9" w:themeColor="background1" w:themeShade="D9"/>
            </w:tcBorders>
            <w:hideMark/>
          </w:tcPr>
          <w:p w14:paraId="4BB05D05"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tcBorders>
              <w:top w:val="single" w:sz="4" w:space="0" w:color="D9D9D9" w:themeColor="background1" w:themeShade="D9"/>
              <w:bottom w:val="single" w:sz="4" w:space="0" w:color="D9D9D9" w:themeColor="background1" w:themeShade="D9"/>
            </w:tcBorders>
            <w:hideMark/>
          </w:tcPr>
          <w:p w14:paraId="47ED6BCC"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 ME; ANRE; Operatorii agricoli</w:t>
            </w:r>
          </w:p>
        </w:tc>
        <w:tc>
          <w:tcPr>
            <w:tcW w:w="3544" w:type="dxa"/>
            <w:tcBorders>
              <w:top w:val="single" w:sz="4" w:space="0" w:color="D9D9D9" w:themeColor="background1" w:themeShade="D9"/>
              <w:bottom w:val="single" w:sz="4" w:space="0" w:color="D9D9D9" w:themeColor="background1" w:themeShade="D9"/>
            </w:tcBorders>
            <w:hideMark/>
          </w:tcPr>
          <w:p w14:paraId="7A4D48EC"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Fonduri proprii</w:t>
            </w:r>
          </w:p>
        </w:tc>
      </w:tr>
      <w:tr w:rsidR="001D033A" w:rsidRPr="00187708" w14:paraId="7BE3F82B" w14:textId="77777777" w:rsidTr="00187708">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shd w:val="clear" w:color="auto" w:fill="auto"/>
            <w:hideMark/>
          </w:tcPr>
          <w:p w14:paraId="75B9A1B1" w14:textId="77777777" w:rsidR="001D033A" w:rsidRPr="00187708" w:rsidRDefault="001D033A"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AGR-OS-03</w:t>
            </w:r>
          </w:p>
        </w:tc>
        <w:tc>
          <w:tcPr>
            <w:tcW w:w="896" w:type="dxa"/>
            <w:tcBorders>
              <w:top w:val="single" w:sz="4" w:space="0" w:color="D9D9D9" w:themeColor="background1" w:themeShade="D9"/>
              <w:bottom w:val="single" w:sz="4" w:space="0" w:color="D9D9D9" w:themeColor="background1" w:themeShade="D9"/>
            </w:tcBorders>
            <w:shd w:val="clear" w:color="auto" w:fill="auto"/>
            <w:hideMark/>
          </w:tcPr>
          <w:p w14:paraId="6D7CF4BE" w14:textId="77777777" w:rsidR="001D033A" w:rsidRPr="00187708" w:rsidRDefault="001D033A"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401" w:type="dxa"/>
            <w:tcBorders>
              <w:top w:val="single" w:sz="4" w:space="0" w:color="D9D9D9" w:themeColor="background1" w:themeShade="D9"/>
              <w:bottom w:val="single" w:sz="4" w:space="0" w:color="D9D9D9" w:themeColor="background1" w:themeShade="D9"/>
            </w:tcBorders>
            <w:shd w:val="clear" w:color="auto" w:fill="auto"/>
            <w:hideMark/>
          </w:tcPr>
          <w:p w14:paraId="6DC60E16" w14:textId="77777777" w:rsidR="001D033A" w:rsidRPr="00187708" w:rsidRDefault="001D033A"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3</w:t>
            </w:r>
          </w:p>
        </w:tc>
        <w:tc>
          <w:tcPr>
            <w:tcW w:w="16736" w:type="dxa"/>
            <w:gridSpan w:val="4"/>
            <w:tcBorders>
              <w:top w:val="single" w:sz="4" w:space="0" w:color="D9D9D9" w:themeColor="background1" w:themeShade="D9"/>
              <w:bottom w:val="single" w:sz="4" w:space="0" w:color="D9D9D9" w:themeColor="background1" w:themeShade="D9"/>
            </w:tcBorders>
            <w:shd w:val="clear" w:color="auto" w:fill="auto"/>
            <w:hideMark/>
          </w:tcPr>
          <w:p w14:paraId="5FBD4A9B" w14:textId="24A14D5B" w:rsidR="001D033A" w:rsidRPr="00187708" w:rsidRDefault="001D033A" w:rsidP="001D033A">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Dezvoltarea cadrului legal privind utilizarea compostului/digestatului rezultat de la tratarea deșeurilor agricole  </w:t>
            </w:r>
          </w:p>
        </w:tc>
      </w:tr>
      <w:tr w:rsidR="00B30D70" w:rsidRPr="00187708" w14:paraId="3936C7AA" w14:textId="77777777" w:rsidTr="00187708">
        <w:trPr>
          <w:trHeight w:val="109"/>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hideMark/>
          </w:tcPr>
          <w:p w14:paraId="73B47DFB" w14:textId="77777777" w:rsidR="00B30D70" w:rsidRPr="00187708" w:rsidRDefault="00B30D70"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AGR-A4</w:t>
            </w:r>
          </w:p>
        </w:tc>
        <w:tc>
          <w:tcPr>
            <w:tcW w:w="896" w:type="dxa"/>
            <w:tcBorders>
              <w:top w:val="single" w:sz="4" w:space="0" w:color="D9D9D9" w:themeColor="background1" w:themeShade="D9"/>
              <w:bottom w:val="single" w:sz="4" w:space="0" w:color="D9D9D9" w:themeColor="background1" w:themeShade="D9"/>
            </w:tcBorders>
            <w:hideMark/>
          </w:tcPr>
          <w:p w14:paraId="6E5209D5" w14:textId="77777777" w:rsidR="00B30D70" w:rsidRPr="00187708" w:rsidRDefault="00B30D70"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1" w:type="dxa"/>
            <w:tcBorders>
              <w:top w:val="single" w:sz="4" w:space="0" w:color="D9D9D9" w:themeColor="background1" w:themeShade="D9"/>
              <w:bottom w:val="single" w:sz="4" w:space="0" w:color="D9D9D9" w:themeColor="background1" w:themeShade="D9"/>
            </w:tcBorders>
            <w:hideMark/>
          </w:tcPr>
          <w:p w14:paraId="5C500FC3" w14:textId="77777777" w:rsidR="00B30D70" w:rsidRPr="00187708" w:rsidRDefault="00B30D70"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w:t>
            </w:r>
          </w:p>
        </w:tc>
        <w:tc>
          <w:tcPr>
            <w:tcW w:w="7522" w:type="dxa"/>
            <w:tcBorders>
              <w:top w:val="single" w:sz="4" w:space="0" w:color="D9D9D9" w:themeColor="background1" w:themeShade="D9"/>
              <w:bottom w:val="single" w:sz="4" w:space="0" w:color="D9D9D9" w:themeColor="background1" w:themeShade="D9"/>
            </w:tcBorders>
            <w:hideMark/>
          </w:tcPr>
          <w:p w14:paraId="06798E86"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Actualizarea Legii nr. 181/2020 privind gestionarea deșeurilor nepericuloase compostabile, ținând cont de prevederile Regulamentului (UE) 2019/1009</w:t>
            </w:r>
          </w:p>
        </w:tc>
        <w:tc>
          <w:tcPr>
            <w:tcW w:w="1560" w:type="dxa"/>
            <w:tcBorders>
              <w:top w:val="single" w:sz="4" w:space="0" w:color="D9D9D9" w:themeColor="background1" w:themeShade="D9"/>
              <w:bottom w:val="single" w:sz="4" w:space="0" w:color="D9D9D9" w:themeColor="background1" w:themeShade="D9"/>
            </w:tcBorders>
            <w:hideMark/>
          </w:tcPr>
          <w:p w14:paraId="005D66A0"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tcBorders>
              <w:top w:val="single" w:sz="4" w:space="0" w:color="D9D9D9" w:themeColor="background1" w:themeShade="D9"/>
              <w:bottom w:val="single" w:sz="4" w:space="0" w:color="D9D9D9" w:themeColor="background1" w:themeShade="D9"/>
            </w:tcBorders>
            <w:hideMark/>
          </w:tcPr>
          <w:p w14:paraId="1A36C798"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MADR</w:t>
            </w:r>
          </w:p>
        </w:tc>
        <w:tc>
          <w:tcPr>
            <w:tcW w:w="3544" w:type="dxa"/>
            <w:tcBorders>
              <w:top w:val="single" w:sz="4" w:space="0" w:color="D9D9D9" w:themeColor="background1" w:themeShade="D9"/>
              <w:bottom w:val="single" w:sz="4" w:space="0" w:color="D9D9D9" w:themeColor="background1" w:themeShade="D9"/>
            </w:tcBorders>
            <w:hideMark/>
          </w:tcPr>
          <w:p w14:paraId="4293BFED"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1D033A" w:rsidRPr="00187708" w14:paraId="03AAF9D2" w14:textId="77777777" w:rsidTr="00187708">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hemeColor="background1" w:themeShade="D9"/>
            </w:tcBorders>
            <w:shd w:val="clear" w:color="auto" w:fill="auto"/>
            <w:hideMark/>
          </w:tcPr>
          <w:p w14:paraId="05968546" w14:textId="77777777" w:rsidR="001D033A" w:rsidRPr="00187708" w:rsidRDefault="001D033A"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AGR-OS-04</w:t>
            </w:r>
          </w:p>
        </w:tc>
        <w:tc>
          <w:tcPr>
            <w:tcW w:w="896" w:type="dxa"/>
            <w:tcBorders>
              <w:top w:val="single" w:sz="4" w:space="0" w:color="D9D9D9" w:themeColor="background1" w:themeShade="D9"/>
              <w:bottom w:val="single" w:sz="4" w:space="0" w:color="D9D9D9" w:themeColor="background1" w:themeShade="D9"/>
            </w:tcBorders>
            <w:shd w:val="clear" w:color="auto" w:fill="auto"/>
            <w:hideMark/>
          </w:tcPr>
          <w:p w14:paraId="7A8390F6" w14:textId="77777777" w:rsidR="001D033A" w:rsidRPr="00187708" w:rsidRDefault="001D033A"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OS</w:t>
            </w:r>
          </w:p>
        </w:tc>
        <w:tc>
          <w:tcPr>
            <w:tcW w:w="1401" w:type="dxa"/>
            <w:tcBorders>
              <w:top w:val="single" w:sz="4" w:space="0" w:color="D9D9D9" w:themeColor="background1" w:themeShade="D9"/>
              <w:bottom w:val="single" w:sz="4" w:space="0" w:color="D9D9D9" w:themeColor="background1" w:themeShade="D9"/>
            </w:tcBorders>
            <w:shd w:val="clear" w:color="auto" w:fill="auto"/>
            <w:hideMark/>
          </w:tcPr>
          <w:p w14:paraId="245D38F6" w14:textId="77777777" w:rsidR="001D033A" w:rsidRPr="00187708" w:rsidRDefault="001D033A" w:rsidP="00B30D70">
            <w:pPr>
              <w:jc w:val="cente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Obiectiv 4</w:t>
            </w:r>
          </w:p>
        </w:tc>
        <w:tc>
          <w:tcPr>
            <w:tcW w:w="16736" w:type="dxa"/>
            <w:gridSpan w:val="4"/>
            <w:tcBorders>
              <w:top w:val="single" w:sz="4" w:space="0" w:color="D9D9D9" w:themeColor="background1" w:themeShade="D9"/>
              <w:bottom w:val="single" w:sz="4" w:space="0" w:color="D9D9D9" w:themeColor="background1" w:themeShade="D9"/>
            </w:tcBorders>
            <w:shd w:val="clear" w:color="auto" w:fill="auto"/>
            <w:hideMark/>
          </w:tcPr>
          <w:p w14:paraId="6BC8712F" w14:textId="45C57156" w:rsidR="001D033A" w:rsidRPr="00187708" w:rsidRDefault="001D033A" w:rsidP="001D033A">
            <w:pPr>
              <w:cnfStyle w:val="000000100000" w:firstRow="0" w:lastRow="0" w:firstColumn="0" w:lastColumn="0" w:oddVBand="0" w:evenVBand="0" w:oddHBand="1" w:evenHBand="0" w:firstRowFirstColumn="0" w:firstRowLastColumn="0" w:lastRowFirstColumn="0" w:lastRowLastColumn="0"/>
              <w:rPr>
                <w:rFonts w:ascii="Nunito" w:eastAsia="Times New Roman" w:hAnsi="Nunito" w:cs="Arial"/>
                <w:b/>
                <w:bCs/>
                <w:color w:val="000000" w:themeColor="text1"/>
                <w:sz w:val="16"/>
                <w:szCs w:val="16"/>
                <w:lang w:val="ro-RO"/>
              </w:rPr>
            </w:pPr>
            <w:r w:rsidRPr="00187708">
              <w:rPr>
                <w:rFonts w:ascii="Nunito" w:eastAsia="Times New Roman" w:hAnsi="Nunito" w:cs="Arial"/>
                <w:b/>
                <w:bCs/>
                <w:color w:val="000000" w:themeColor="text1"/>
                <w:sz w:val="16"/>
                <w:szCs w:val="16"/>
                <w:lang w:val="ro-RO"/>
              </w:rPr>
              <w:t>Consolidarea cadrului de reglementare și raportare </w:t>
            </w:r>
          </w:p>
        </w:tc>
      </w:tr>
      <w:tr w:rsidR="00B30D70" w:rsidRPr="00187708" w14:paraId="2A856704" w14:textId="77777777" w:rsidTr="00187708">
        <w:trPr>
          <w:trHeight w:val="778"/>
        </w:trPr>
        <w:tc>
          <w:tcPr>
            <w:cnfStyle w:val="001000000000" w:firstRow="0" w:lastRow="0" w:firstColumn="1" w:lastColumn="0" w:oddVBand="0" w:evenVBand="0" w:oddHBand="0" w:evenHBand="0" w:firstRowFirstColumn="0" w:firstRowLastColumn="0" w:lastRowFirstColumn="0" w:lastRowLastColumn="0"/>
            <w:tcW w:w="1521" w:type="dxa"/>
            <w:tcBorders>
              <w:top w:val="single" w:sz="4" w:space="0" w:color="D9D9D9" w:themeColor="background1" w:themeShade="D9"/>
              <w:bottom w:val="single" w:sz="4" w:space="0" w:color="D9D9D9"/>
            </w:tcBorders>
            <w:hideMark/>
          </w:tcPr>
          <w:p w14:paraId="513EB226" w14:textId="77777777" w:rsidR="00B30D70" w:rsidRPr="00187708" w:rsidRDefault="00B30D70" w:rsidP="00327F01">
            <w:pPr>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AGR-A5</w:t>
            </w:r>
          </w:p>
        </w:tc>
        <w:tc>
          <w:tcPr>
            <w:tcW w:w="896" w:type="dxa"/>
            <w:tcBorders>
              <w:top w:val="single" w:sz="4" w:space="0" w:color="D9D9D9" w:themeColor="background1" w:themeShade="D9"/>
              <w:bottom w:val="single" w:sz="4" w:space="0" w:color="D9D9D9"/>
            </w:tcBorders>
            <w:hideMark/>
          </w:tcPr>
          <w:p w14:paraId="6D4532DE" w14:textId="77777777" w:rsidR="00B30D70" w:rsidRPr="00187708" w:rsidRDefault="00B30D70"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1" w:type="dxa"/>
            <w:tcBorders>
              <w:top w:val="single" w:sz="4" w:space="0" w:color="D9D9D9" w:themeColor="background1" w:themeShade="D9"/>
              <w:bottom w:val="single" w:sz="4" w:space="0" w:color="D9D9D9"/>
            </w:tcBorders>
            <w:hideMark/>
          </w:tcPr>
          <w:p w14:paraId="12BD7167" w14:textId="77777777" w:rsidR="00B30D70" w:rsidRPr="00187708" w:rsidRDefault="00B30D70" w:rsidP="00B30D70">
            <w:pPr>
              <w:jc w:val="cente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4.1</w:t>
            </w:r>
          </w:p>
        </w:tc>
        <w:tc>
          <w:tcPr>
            <w:tcW w:w="7522" w:type="dxa"/>
            <w:tcBorders>
              <w:top w:val="single" w:sz="4" w:space="0" w:color="D9D9D9" w:themeColor="background1" w:themeShade="D9"/>
              <w:bottom w:val="single" w:sz="4" w:space="0" w:color="D9D9D9"/>
            </w:tcBorders>
            <w:hideMark/>
          </w:tcPr>
          <w:p w14:paraId="215CE642" w14:textId="77777777" w:rsidR="00515B6E" w:rsidRPr="00187708" w:rsidRDefault="00515B6E" w:rsidP="00515B6E">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unui sistem digital unitar de raportare și trasabilitate pentru toate fluxurile de deșeuri reglementate (inclusiv agricultură, silvicultură și pescuit), gestionat de o singură entitate publică ANMAP, interconectat cu toate platformele de raportare existente care să permită:</w:t>
            </w:r>
          </w:p>
          <w:p w14:paraId="03FA23F5" w14:textId="77777777" w:rsidR="00515B6E" w:rsidRPr="00187708" w:rsidRDefault="00515B6E" w:rsidP="00515B6E">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raportarea și validarea datelor pe fiecare flux de deșeuri;</w:t>
            </w:r>
          </w:p>
          <w:p w14:paraId="2E422766" w14:textId="77777777" w:rsidR="00515B6E" w:rsidRPr="00187708" w:rsidRDefault="00515B6E" w:rsidP="00515B6E">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urmărirea trasabilității deșeurilor de la colectare până la tratare/reciclare/valorificare/eliminare;</w:t>
            </w:r>
          </w:p>
          <w:p w14:paraId="3AEE5324" w14:textId="77777777" w:rsidR="00515B6E" w:rsidRPr="00187708" w:rsidRDefault="00515B6E" w:rsidP="00515B6E">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 corectarea și ajustarea datelor în urma controalelor specifice;</w:t>
            </w:r>
          </w:p>
          <w:p w14:paraId="08B42E8C" w14:textId="63F852CF" w:rsidR="00B30D70" w:rsidRPr="00187708" w:rsidRDefault="00515B6E" w:rsidP="00515B6E">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 generarea de rapoarte automate privind atingerea țintelor naționale și europene</w:t>
            </w:r>
            <w:r w:rsidR="00B30D70" w:rsidRPr="00187708">
              <w:rPr>
                <w:rFonts w:ascii="Nunito" w:eastAsia="Times New Roman" w:hAnsi="Nunito" w:cs="Arial"/>
                <w:color w:val="000000"/>
                <w:sz w:val="16"/>
                <w:szCs w:val="16"/>
                <w:lang w:val="ro-RO"/>
              </w:rPr>
              <w:t>)</w:t>
            </w:r>
          </w:p>
        </w:tc>
        <w:tc>
          <w:tcPr>
            <w:tcW w:w="1560" w:type="dxa"/>
            <w:tcBorders>
              <w:top w:val="single" w:sz="4" w:space="0" w:color="D9D9D9" w:themeColor="background1" w:themeShade="D9"/>
              <w:bottom w:val="single" w:sz="4" w:space="0" w:color="D9D9D9"/>
            </w:tcBorders>
            <w:hideMark/>
          </w:tcPr>
          <w:p w14:paraId="036A7832"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2027</w:t>
            </w:r>
          </w:p>
        </w:tc>
        <w:tc>
          <w:tcPr>
            <w:tcW w:w="4110" w:type="dxa"/>
            <w:tcBorders>
              <w:top w:val="single" w:sz="4" w:space="0" w:color="D9D9D9" w:themeColor="background1" w:themeShade="D9"/>
              <w:bottom w:val="single" w:sz="4" w:space="0" w:color="D9D9D9"/>
            </w:tcBorders>
            <w:hideMark/>
          </w:tcPr>
          <w:p w14:paraId="2691C6A5"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ANMAP; MADR</w:t>
            </w:r>
          </w:p>
        </w:tc>
        <w:tc>
          <w:tcPr>
            <w:tcW w:w="3544" w:type="dxa"/>
            <w:tcBorders>
              <w:top w:val="single" w:sz="4" w:space="0" w:color="D9D9D9" w:themeColor="background1" w:themeShade="D9"/>
              <w:bottom w:val="single" w:sz="4" w:space="0" w:color="D9D9D9"/>
            </w:tcBorders>
            <w:hideMark/>
          </w:tcPr>
          <w:p w14:paraId="417E6F6C" w14:textId="77777777" w:rsidR="00B30D70" w:rsidRPr="00187708" w:rsidRDefault="00B30D70" w:rsidP="00B30D70">
            <w:pPr>
              <w:cnfStyle w:val="000000000000" w:firstRow="0" w:lastRow="0" w:firstColumn="0" w:lastColumn="0" w:oddVBand="0" w:evenVBand="0" w:oddHBand="0" w:evenHBand="0" w:firstRowFirstColumn="0" w:firstRowLastColumn="0" w:lastRowFirstColumn="0" w:lastRowLastColumn="0"/>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178F7653" w14:textId="10ABE8DB" w:rsidR="002D6464" w:rsidRPr="00187708" w:rsidRDefault="002D6464" w:rsidP="002D6464">
      <w:pPr>
        <w:rPr>
          <w:rFonts w:ascii="Nunito" w:hAnsi="Nunito"/>
          <w:b/>
          <w:bCs/>
          <w:color w:val="009DF0" w:themeColor="text2"/>
          <w:sz w:val="16"/>
          <w:szCs w:val="16"/>
          <w:lang w:val="ro-RO"/>
        </w:rPr>
      </w:pPr>
      <w:r w:rsidRPr="00187708">
        <w:rPr>
          <w:rFonts w:ascii="Nunito" w:hAnsi="Nunito"/>
          <w:b/>
          <w:bCs/>
          <w:color w:val="009DF0" w:themeColor="text2"/>
          <w:sz w:val="16"/>
          <w:szCs w:val="16"/>
          <w:lang w:val="ro-RO"/>
        </w:rPr>
        <w:t xml:space="preserve">Tabel </w:t>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STYLEREF 1 \s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2</w:t>
      </w:r>
      <w:r w:rsidR="001802CD" w:rsidRPr="00187708">
        <w:rPr>
          <w:rFonts w:ascii="Nunito" w:hAnsi="Nunito"/>
          <w:b/>
          <w:bCs/>
          <w:color w:val="009DF0" w:themeColor="text2"/>
          <w:sz w:val="16"/>
          <w:szCs w:val="16"/>
          <w:lang w:val="ro-RO"/>
        </w:rPr>
        <w:fldChar w:fldCharType="end"/>
      </w:r>
      <w:r w:rsidR="001802CD" w:rsidRPr="00187708">
        <w:rPr>
          <w:rFonts w:ascii="Nunito" w:hAnsi="Nunito"/>
          <w:b/>
          <w:bCs/>
          <w:color w:val="009DF0" w:themeColor="text2"/>
          <w:sz w:val="16"/>
          <w:szCs w:val="16"/>
          <w:lang w:val="ro-RO"/>
        </w:rPr>
        <w:noBreakHyphen/>
      </w:r>
      <w:r w:rsidR="001802CD" w:rsidRPr="00187708">
        <w:rPr>
          <w:rFonts w:ascii="Nunito" w:hAnsi="Nunito"/>
          <w:b/>
          <w:bCs/>
          <w:color w:val="009DF0" w:themeColor="text2"/>
          <w:sz w:val="16"/>
          <w:szCs w:val="16"/>
          <w:lang w:val="ro-RO"/>
        </w:rPr>
        <w:fldChar w:fldCharType="begin"/>
      </w:r>
      <w:r w:rsidR="001802CD" w:rsidRPr="00187708">
        <w:rPr>
          <w:rFonts w:ascii="Nunito" w:hAnsi="Nunito"/>
          <w:b/>
          <w:bCs/>
          <w:color w:val="009DF0" w:themeColor="text2"/>
          <w:sz w:val="16"/>
          <w:szCs w:val="16"/>
          <w:lang w:val="ro-RO"/>
        </w:rPr>
        <w:instrText xml:space="preserve"> SEQ Tabel \* ARABIC \s 1 </w:instrText>
      </w:r>
      <w:r w:rsidR="001802CD" w:rsidRPr="00187708">
        <w:rPr>
          <w:rFonts w:ascii="Nunito" w:hAnsi="Nunito"/>
          <w:b/>
          <w:bCs/>
          <w:color w:val="009DF0" w:themeColor="text2"/>
          <w:sz w:val="16"/>
          <w:szCs w:val="16"/>
          <w:lang w:val="ro-RO"/>
        </w:rPr>
        <w:fldChar w:fldCharType="separate"/>
      </w:r>
      <w:r w:rsidR="00AA044A" w:rsidRPr="00187708">
        <w:rPr>
          <w:rFonts w:ascii="Nunito" w:hAnsi="Nunito"/>
          <w:b/>
          <w:bCs/>
          <w:noProof/>
          <w:color w:val="009DF0" w:themeColor="text2"/>
          <w:sz w:val="16"/>
          <w:szCs w:val="16"/>
          <w:lang w:val="ro-RO"/>
        </w:rPr>
        <w:t>18</w:t>
      </w:r>
      <w:r w:rsidR="001802CD"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Modul de îndeplinire al Planului de acțiune privind transferul deșeurilor</w:t>
      </w:r>
    </w:p>
    <w:tbl>
      <w:tblPr>
        <w:tblW w:w="20554" w:type="dxa"/>
        <w:tblBorders>
          <w:top w:val="single" w:sz="4" w:space="0" w:color="BFBFBF"/>
          <w:bottom w:val="single" w:sz="4" w:space="0" w:color="BFBFBF"/>
          <w:right w:val="single" w:sz="4" w:space="0" w:color="BFBFBF"/>
          <w:insideH w:val="single" w:sz="4" w:space="0" w:color="BFBFBF"/>
        </w:tblBorders>
        <w:tblLook w:val="04A0" w:firstRow="1" w:lastRow="0" w:firstColumn="1" w:lastColumn="0" w:noHBand="0" w:noVBand="1"/>
      </w:tblPr>
      <w:tblGrid>
        <w:gridCol w:w="1524"/>
        <w:gridCol w:w="898"/>
        <w:gridCol w:w="1404"/>
        <w:gridCol w:w="7514"/>
        <w:gridCol w:w="1560"/>
        <w:gridCol w:w="4110"/>
        <w:gridCol w:w="3544"/>
      </w:tblGrid>
      <w:tr w:rsidR="0066392C" w:rsidRPr="00187708" w14:paraId="5A6086D5" w14:textId="77777777" w:rsidTr="00187708">
        <w:trPr>
          <w:trHeight w:val="96"/>
        </w:trPr>
        <w:tc>
          <w:tcPr>
            <w:tcW w:w="1524" w:type="dxa"/>
            <w:shd w:val="clear" w:color="auto" w:fill="00B0F0"/>
            <w:hideMark/>
          </w:tcPr>
          <w:p w14:paraId="08329CF1"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Cod</w:t>
            </w:r>
          </w:p>
        </w:tc>
        <w:tc>
          <w:tcPr>
            <w:tcW w:w="898" w:type="dxa"/>
            <w:shd w:val="clear" w:color="auto" w:fill="00B0F0"/>
            <w:hideMark/>
          </w:tcPr>
          <w:p w14:paraId="18BB8160"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Nivel</w:t>
            </w:r>
          </w:p>
        </w:tc>
        <w:tc>
          <w:tcPr>
            <w:tcW w:w="1404" w:type="dxa"/>
            <w:shd w:val="clear" w:color="auto" w:fill="00B0F0"/>
            <w:hideMark/>
          </w:tcPr>
          <w:p w14:paraId="6C5EFFB6"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Nr. PNGD</w:t>
            </w:r>
          </w:p>
        </w:tc>
        <w:tc>
          <w:tcPr>
            <w:tcW w:w="7514" w:type="dxa"/>
            <w:shd w:val="clear" w:color="auto" w:fill="00B0F0"/>
            <w:hideMark/>
          </w:tcPr>
          <w:p w14:paraId="1384E008"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Denumire obiectiv / acțiune</w:t>
            </w:r>
          </w:p>
        </w:tc>
        <w:tc>
          <w:tcPr>
            <w:tcW w:w="1560" w:type="dxa"/>
            <w:shd w:val="clear" w:color="auto" w:fill="00B0F0"/>
            <w:hideMark/>
          </w:tcPr>
          <w:p w14:paraId="6B935092"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Termen</w:t>
            </w:r>
          </w:p>
        </w:tc>
        <w:tc>
          <w:tcPr>
            <w:tcW w:w="4110" w:type="dxa"/>
            <w:shd w:val="clear" w:color="auto" w:fill="00B0F0"/>
            <w:hideMark/>
          </w:tcPr>
          <w:p w14:paraId="0D86DDB0"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Responsabil principal / alți responsabili</w:t>
            </w:r>
          </w:p>
        </w:tc>
        <w:tc>
          <w:tcPr>
            <w:tcW w:w="3544" w:type="dxa"/>
            <w:shd w:val="clear" w:color="auto" w:fill="00B0F0"/>
            <w:hideMark/>
          </w:tcPr>
          <w:p w14:paraId="09F36B1A"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Sursa de finanțare</w:t>
            </w:r>
          </w:p>
        </w:tc>
      </w:tr>
      <w:tr w:rsidR="0066392C" w:rsidRPr="00187708" w14:paraId="5406FC0F" w14:textId="77777777" w:rsidTr="00187708">
        <w:trPr>
          <w:trHeight w:val="70"/>
        </w:trPr>
        <w:tc>
          <w:tcPr>
            <w:tcW w:w="1524" w:type="dxa"/>
            <w:shd w:val="clear" w:color="auto" w:fill="00B0F0"/>
            <w:hideMark/>
          </w:tcPr>
          <w:p w14:paraId="442170AC"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TRF-OS-01</w:t>
            </w:r>
          </w:p>
        </w:tc>
        <w:tc>
          <w:tcPr>
            <w:tcW w:w="898" w:type="dxa"/>
            <w:shd w:val="clear" w:color="auto" w:fill="00B0F0"/>
            <w:hideMark/>
          </w:tcPr>
          <w:p w14:paraId="51EC4169"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OS</w:t>
            </w:r>
          </w:p>
        </w:tc>
        <w:tc>
          <w:tcPr>
            <w:tcW w:w="1404" w:type="dxa"/>
            <w:shd w:val="clear" w:color="auto" w:fill="00B0F0"/>
            <w:hideMark/>
          </w:tcPr>
          <w:p w14:paraId="6F964B8F" w14:textId="77777777" w:rsidR="0066392C" w:rsidRPr="00187708" w:rsidRDefault="0066392C" w:rsidP="0066392C">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Obiectiv 1</w:t>
            </w:r>
          </w:p>
        </w:tc>
        <w:tc>
          <w:tcPr>
            <w:tcW w:w="7514" w:type="dxa"/>
            <w:shd w:val="clear" w:color="auto" w:fill="00B0F0"/>
            <w:hideMark/>
          </w:tcPr>
          <w:p w14:paraId="73DD94CC" w14:textId="77777777" w:rsidR="0066392C" w:rsidRPr="00187708" w:rsidRDefault="0066392C" w:rsidP="0066392C">
            <w:pPr>
              <w:spacing w:line="240" w:lineRule="auto"/>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Monitorizarea transferurilor ilegale de deșeuri</w:t>
            </w:r>
          </w:p>
        </w:tc>
        <w:tc>
          <w:tcPr>
            <w:tcW w:w="1560" w:type="dxa"/>
            <w:shd w:val="clear" w:color="auto" w:fill="00B0F0"/>
          </w:tcPr>
          <w:p w14:paraId="16A24D06" w14:textId="07EBADB8" w:rsidR="0066392C" w:rsidRPr="00187708" w:rsidRDefault="0066392C" w:rsidP="0066392C">
            <w:pPr>
              <w:spacing w:line="240" w:lineRule="auto"/>
              <w:rPr>
                <w:rFonts w:ascii="Nunito" w:eastAsia="Times New Roman" w:hAnsi="Nunito" w:cs="Arial"/>
                <w:b/>
                <w:bCs/>
                <w:color w:val="FFFFFF"/>
                <w:sz w:val="16"/>
                <w:szCs w:val="16"/>
                <w:lang w:val="ro-RO"/>
              </w:rPr>
            </w:pPr>
          </w:p>
        </w:tc>
        <w:tc>
          <w:tcPr>
            <w:tcW w:w="4110" w:type="dxa"/>
            <w:shd w:val="clear" w:color="auto" w:fill="00B0F0"/>
          </w:tcPr>
          <w:p w14:paraId="6B719CD8" w14:textId="309CBC2C" w:rsidR="0066392C" w:rsidRPr="00187708" w:rsidRDefault="0066392C" w:rsidP="0066392C">
            <w:pPr>
              <w:spacing w:line="240" w:lineRule="auto"/>
              <w:rPr>
                <w:rFonts w:ascii="Nunito" w:eastAsia="Times New Roman" w:hAnsi="Nunito" w:cs="Arial"/>
                <w:b/>
                <w:bCs/>
                <w:color w:val="FFFFFF"/>
                <w:sz w:val="16"/>
                <w:szCs w:val="16"/>
                <w:lang w:val="ro-RO"/>
              </w:rPr>
            </w:pPr>
          </w:p>
        </w:tc>
        <w:tc>
          <w:tcPr>
            <w:tcW w:w="3544" w:type="dxa"/>
            <w:shd w:val="clear" w:color="auto" w:fill="00B0F0"/>
          </w:tcPr>
          <w:p w14:paraId="009AF71E" w14:textId="456E3965" w:rsidR="0066392C" w:rsidRPr="00187708" w:rsidRDefault="0066392C" w:rsidP="0066392C">
            <w:pPr>
              <w:spacing w:line="240" w:lineRule="auto"/>
              <w:rPr>
                <w:rFonts w:ascii="Nunito" w:eastAsia="Times New Roman" w:hAnsi="Nunito" w:cs="Arial"/>
                <w:b/>
                <w:bCs/>
                <w:color w:val="FFFFFF"/>
                <w:sz w:val="16"/>
                <w:szCs w:val="16"/>
                <w:lang w:val="ro-RO"/>
              </w:rPr>
            </w:pPr>
          </w:p>
        </w:tc>
      </w:tr>
      <w:tr w:rsidR="0066392C" w:rsidRPr="00187708" w14:paraId="7B95D5CD" w14:textId="77777777" w:rsidTr="00187708">
        <w:trPr>
          <w:trHeight w:val="216"/>
        </w:trPr>
        <w:tc>
          <w:tcPr>
            <w:tcW w:w="1524" w:type="dxa"/>
            <w:shd w:val="clear" w:color="F2F6FB" w:fill="FFFFFF"/>
            <w:hideMark/>
          </w:tcPr>
          <w:p w14:paraId="2B00B434" w14:textId="77777777" w:rsidR="0066392C" w:rsidRPr="00187708" w:rsidRDefault="0066392C" w:rsidP="00327F01">
            <w:pPr>
              <w:spacing w:line="240" w:lineRule="auto"/>
              <w:rPr>
                <w:rFonts w:ascii="Nunito" w:eastAsia="Times New Roman" w:hAnsi="Nunito" w:cs="Arial"/>
                <w:b/>
                <w:bCs/>
                <w:color w:val="000000"/>
                <w:sz w:val="16"/>
                <w:szCs w:val="16"/>
                <w:lang w:val="ro-RO"/>
              </w:rPr>
            </w:pPr>
            <w:r w:rsidRPr="00187708">
              <w:rPr>
                <w:rFonts w:ascii="Nunito" w:eastAsia="Times New Roman" w:hAnsi="Nunito" w:cs="Arial"/>
                <w:b/>
                <w:bCs/>
                <w:color w:val="000000"/>
                <w:sz w:val="16"/>
                <w:szCs w:val="16"/>
                <w:lang w:val="ro-RO"/>
              </w:rPr>
              <w:t>TRF-A1</w:t>
            </w:r>
          </w:p>
        </w:tc>
        <w:tc>
          <w:tcPr>
            <w:tcW w:w="898" w:type="dxa"/>
            <w:shd w:val="clear" w:color="F2F6FB" w:fill="FFFFFF"/>
            <w:hideMark/>
          </w:tcPr>
          <w:p w14:paraId="550DEB48" w14:textId="77777777" w:rsidR="0066392C" w:rsidRPr="00187708" w:rsidRDefault="0066392C" w:rsidP="0066392C">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4" w:type="dxa"/>
            <w:shd w:val="clear" w:color="F2F6FB" w:fill="FFFFFF"/>
            <w:hideMark/>
          </w:tcPr>
          <w:p w14:paraId="1208126F" w14:textId="77777777" w:rsidR="0066392C" w:rsidRPr="00187708" w:rsidRDefault="0066392C" w:rsidP="0066392C">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w:t>
            </w:r>
          </w:p>
        </w:tc>
        <w:tc>
          <w:tcPr>
            <w:tcW w:w="7514" w:type="dxa"/>
            <w:shd w:val="clear" w:color="F2F6FB" w:fill="FFFFFF"/>
            <w:hideMark/>
          </w:tcPr>
          <w:p w14:paraId="5AB7E7AB"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Creșterea numărului de controale la transferurile de deșeuri, inclusiv la transferurile care nu necesită notificare prealabilă (deșeurile din Lista Verde), corelat cu capacitatea de control a GNM</w:t>
            </w:r>
          </w:p>
        </w:tc>
        <w:tc>
          <w:tcPr>
            <w:tcW w:w="1560" w:type="dxa"/>
            <w:shd w:val="clear" w:color="F2F6FB" w:fill="FFFFFF"/>
            <w:hideMark/>
          </w:tcPr>
          <w:p w14:paraId="5C3F5F90"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shd w:val="clear" w:color="F2F6FB" w:fill="FFFFFF"/>
            <w:hideMark/>
          </w:tcPr>
          <w:p w14:paraId="06420C5B"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GNM</w:t>
            </w:r>
          </w:p>
        </w:tc>
        <w:tc>
          <w:tcPr>
            <w:tcW w:w="3544" w:type="dxa"/>
            <w:shd w:val="clear" w:color="F2F6FB" w:fill="FFFFFF"/>
            <w:hideMark/>
          </w:tcPr>
          <w:p w14:paraId="2EE0A7E5"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66392C" w:rsidRPr="00187708" w14:paraId="26A60E17" w14:textId="77777777" w:rsidTr="00187708">
        <w:trPr>
          <w:trHeight w:val="195"/>
        </w:trPr>
        <w:tc>
          <w:tcPr>
            <w:tcW w:w="1524" w:type="dxa"/>
            <w:hideMark/>
          </w:tcPr>
          <w:p w14:paraId="3E3822F7" w14:textId="77777777" w:rsidR="0066392C" w:rsidRPr="00187708" w:rsidRDefault="0066392C" w:rsidP="00327F01">
            <w:pPr>
              <w:spacing w:line="240" w:lineRule="auto"/>
              <w:rPr>
                <w:rFonts w:ascii="Nunito" w:eastAsia="Times New Roman" w:hAnsi="Nunito" w:cs="Arial"/>
                <w:b/>
                <w:bCs/>
                <w:color w:val="000000"/>
                <w:sz w:val="16"/>
                <w:szCs w:val="16"/>
                <w:lang w:val="ro-RO"/>
              </w:rPr>
            </w:pPr>
            <w:r w:rsidRPr="00187708">
              <w:rPr>
                <w:rFonts w:ascii="Nunito" w:eastAsia="Times New Roman" w:hAnsi="Nunito" w:cs="Arial"/>
                <w:b/>
                <w:bCs/>
                <w:color w:val="000000"/>
                <w:sz w:val="16"/>
                <w:szCs w:val="16"/>
                <w:lang w:val="ro-RO"/>
              </w:rPr>
              <w:t>TRF-A2</w:t>
            </w:r>
          </w:p>
        </w:tc>
        <w:tc>
          <w:tcPr>
            <w:tcW w:w="898" w:type="dxa"/>
            <w:hideMark/>
          </w:tcPr>
          <w:p w14:paraId="0AA24390" w14:textId="77777777" w:rsidR="0066392C" w:rsidRPr="00187708" w:rsidRDefault="0066392C" w:rsidP="0066392C">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404" w:type="dxa"/>
            <w:hideMark/>
          </w:tcPr>
          <w:p w14:paraId="0E069906" w14:textId="77777777" w:rsidR="0066392C" w:rsidRPr="00187708" w:rsidRDefault="0066392C" w:rsidP="0066392C">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w:t>
            </w:r>
          </w:p>
        </w:tc>
        <w:tc>
          <w:tcPr>
            <w:tcW w:w="7514" w:type="dxa"/>
            <w:hideMark/>
          </w:tcPr>
          <w:p w14:paraId="2E292704"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Utilizarea sistemului european digital de transport al deșeurilor (DIWASS)</w:t>
            </w:r>
          </w:p>
        </w:tc>
        <w:tc>
          <w:tcPr>
            <w:tcW w:w="1560" w:type="dxa"/>
            <w:hideMark/>
          </w:tcPr>
          <w:p w14:paraId="7BCA81E4"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4110" w:type="dxa"/>
            <w:hideMark/>
          </w:tcPr>
          <w:p w14:paraId="22E605EF"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Autorități publice competente, conform legislației naționale și europene în vigoare</w:t>
            </w:r>
          </w:p>
        </w:tc>
        <w:tc>
          <w:tcPr>
            <w:tcW w:w="3544" w:type="dxa"/>
            <w:hideMark/>
          </w:tcPr>
          <w:p w14:paraId="6D7E7046" w14:textId="77777777" w:rsidR="0066392C" w:rsidRPr="00187708" w:rsidRDefault="0066392C" w:rsidP="0066392C">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w:t>
            </w:r>
          </w:p>
        </w:tc>
      </w:tr>
    </w:tbl>
    <w:p w14:paraId="22F0006D" w14:textId="77777777" w:rsidR="002D6464" w:rsidRPr="00187708" w:rsidRDefault="002D6464" w:rsidP="002D6464">
      <w:pPr>
        <w:rPr>
          <w:rFonts w:ascii="Nunito" w:hAnsi="Nunito"/>
          <w:b/>
          <w:bCs/>
          <w:color w:val="009DF0" w:themeColor="text2"/>
          <w:sz w:val="16"/>
          <w:szCs w:val="16"/>
          <w:lang w:val="ro-RO"/>
        </w:rPr>
      </w:pPr>
    </w:p>
    <w:p w14:paraId="6735F7F6" w14:textId="77777777" w:rsidR="002D6464" w:rsidRPr="00187708" w:rsidRDefault="002D6464" w:rsidP="002D6464">
      <w:pPr>
        <w:rPr>
          <w:rFonts w:ascii="Nunito" w:eastAsiaTheme="majorEastAsia" w:hAnsi="Nunito" w:cstheme="majorBidi"/>
          <w:sz w:val="16"/>
          <w:szCs w:val="16"/>
          <w:lang w:val="ro-RO"/>
        </w:rPr>
      </w:pPr>
    </w:p>
    <w:p w14:paraId="3B7E9C45" w14:textId="404CB848" w:rsidR="0026203C" w:rsidRPr="00187708" w:rsidRDefault="0026203C">
      <w:pPr>
        <w:rPr>
          <w:rFonts w:ascii="Nunito" w:eastAsiaTheme="majorEastAsia" w:hAnsi="Nunito" w:cstheme="majorBidi"/>
          <w:sz w:val="16"/>
          <w:szCs w:val="16"/>
          <w:lang w:val="ro-RO"/>
        </w:rPr>
      </w:pPr>
    </w:p>
    <w:p w14:paraId="49CE8F5D" w14:textId="0F07DB8E" w:rsidR="00EE54F5" w:rsidRPr="00187708" w:rsidRDefault="00EE54F5">
      <w:pPr>
        <w:rPr>
          <w:rFonts w:ascii="Nunito" w:eastAsiaTheme="majorEastAsia" w:hAnsi="Nunito" w:cstheme="majorBidi"/>
          <w:sz w:val="16"/>
          <w:szCs w:val="16"/>
          <w:lang w:val="ro-RO"/>
        </w:rPr>
      </w:pPr>
      <w:r w:rsidRPr="00187708">
        <w:rPr>
          <w:rFonts w:ascii="Nunito" w:eastAsiaTheme="majorEastAsia" w:hAnsi="Nunito" w:cstheme="majorBidi"/>
          <w:sz w:val="16"/>
          <w:szCs w:val="16"/>
          <w:lang w:val="ro-RO"/>
        </w:rPr>
        <w:br w:type="page"/>
      </w:r>
    </w:p>
    <w:p w14:paraId="428A208E" w14:textId="77777777" w:rsidR="00D815B1" w:rsidRPr="00187708" w:rsidRDefault="00D815B1" w:rsidP="00D815B1">
      <w:pPr>
        <w:rPr>
          <w:rFonts w:ascii="Nunito" w:eastAsiaTheme="majorEastAsia" w:hAnsi="Nunito" w:cstheme="majorBidi"/>
          <w:sz w:val="16"/>
          <w:szCs w:val="16"/>
          <w:lang w:val="ro-RO"/>
        </w:rPr>
        <w:sectPr w:rsidR="00D815B1" w:rsidRPr="00187708" w:rsidSect="00D87A42">
          <w:footerReference w:type="even" r:id="rId17"/>
          <w:footerReference w:type="default" r:id="rId18"/>
          <w:footerReference w:type="first" r:id="rId19"/>
          <w:pgSz w:w="23808" w:h="16840" w:orient="landscape" w:code="8"/>
          <w:pgMar w:top="1191" w:right="1418" w:bottom="1560" w:left="1418" w:header="839" w:footer="680" w:gutter="0"/>
          <w:cols w:space="708"/>
          <w:docGrid w:linePitch="360"/>
        </w:sectPr>
      </w:pPr>
    </w:p>
    <w:p w14:paraId="606FC84F" w14:textId="5899EAE2" w:rsidR="00AE673F" w:rsidRPr="00187708" w:rsidRDefault="00A04DD9" w:rsidP="00AE673F">
      <w:pPr>
        <w:pStyle w:val="Heading2"/>
        <w:spacing w:line="240" w:lineRule="auto"/>
        <w:rPr>
          <w:rFonts w:ascii="Nunito" w:hAnsi="Nunito"/>
          <w:lang w:val="ro-RO"/>
        </w:rPr>
      </w:pPr>
      <w:r w:rsidRPr="00187708">
        <w:rPr>
          <w:rFonts w:ascii="Nunito" w:hAnsi="Nunito"/>
          <w:lang w:val="ro-RO"/>
        </w:rPr>
        <w:lastRenderedPageBreak/>
        <w:t xml:space="preserve"> </w:t>
      </w:r>
      <w:r w:rsidR="00AE673F" w:rsidRPr="00187708">
        <w:rPr>
          <w:rFonts w:ascii="Nunito" w:hAnsi="Nunito"/>
          <w:lang w:val="ro-RO"/>
        </w:rPr>
        <w:t>Programul de prevenire</w:t>
      </w:r>
    </w:p>
    <w:p w14:paraId="24F0CE86" w14:textId="6D08C776" w:rsidR="00327F01" w:rsidRPr="00187708" w:rsidRDefault="00327F01" w:rsidP="00387C79">
      <w:pPr>
        <w:spacing w:after="120" w:line="240" w:lineRule="auto"/>
        <w:jc w:val="both"/>
        <w:rPr>
          <w:rFonts w:ascii="Nunito" w:hAnsi="Nunito"/>
          <w:lang w:val="ro-RO"/>
        </w:rPr>
      </w:pPr>
      <w:r w:rsidRPr="00187708">
        <w:rPr>
          <w:rFonts w:ascii="Nunito" w:hAnsi="Nunito"/>
          <w:lang w:val="ro-RO"/>
        </w:rPr>
        <w:t>Programul Național de Prevenire a Generării Deșeurilor (PNPGD), componentă integrantă a Planului Național de Gestionare a Deșeurilor, stabilește cinci obiective de prevenire, corelate cu principalele fluxuri generatoare — deșeuri menajere și similare, alimentare, de ambalaje, DEEE, precum și baterii și acumulatori — prezentate în tabelul de mai jos:</w:t>
      </w:r>
    </w:p>
    <w:p w14:paraId="753BC685" w14:textId="23A2D062" w:rsidR="002B62BD" w:rsidRPr="00187708" w:rsidRDefault="00327F01" w:rsidP="002B62BD">
      <w:pPr>
        <w:spacing w:before="240" w:after="60" w:line="200" w:lineRule="atLeast"/>
        <w:ind w:right="84"/>
        <w:jc w:val="both"/>
        <w:rPr>
          <w:rFonts w:ascii="Nunito" w:hAnsi="Nunito"/>
          <w:b/>
          <w:bCs/>
          <w:color w:val="009DF0" w:themeColor="text2"/>
          <w:lang w:val="ro-RO"/>
        </w:rPr>
      </w:pPr>
      <w:r w:rsidRPr="00187708">
        <w:rPr>
          <w:rFonts w:ascii="Nunito" w:hAnsi="Nunito"/>
          <w:b/>
          <w:bCs/>
          <w:color w:val="009DF0" w:themeColor="text2"/>
          <w:sz w:val="16"/>
          <w:szCs w:val="16"/>
          <w:lang w:val="ro-RO"/>
        </w:rPr>
        <w:t xml:space="preserve">Tabel </w:t>
      </w:r>
      <w:r w:rsidRPr="00187708">
        <w:rPr>
          <w:rFonts w:ascii="Nunito" w:hAnsi="Nunito"/>
          <w:b/>
          <w:bCs/>
          <w:color w:val="009DF0" w:themeColor="text2"/>
          <w:sz w:val="16"/>
          <w:szCs w:val="16"/>
          <w:lang w:val="ro-RO"/>
        </w:rPr>
        <w:fldChar w:fldCharType="begin"/>
      </w:r>
      <w:r w:rsidRPr="00187708">
        <w:rPr>
          <w:rFonts w:ascii="Nunito" w:hAnsi="Nunito"/>
          <w:b/>
          <w:bCs/>
          <w:color w:val="009DF0" w:themeColor="text2"/>
          <w:sz w:val="16"/>
          <w:szCs w:val="16"/>
          <w:lang w:val="ro-RO"/>
        </w:rPr>
        <w:instrText xml:space="preserve"> STYLEREF 1 \s </w:instrText>
      </w:r>
      <w:r w:rsidRPr="00187708">
        <w:rPr>
          <w:rFonts w:ascii="Nunito" w:hAnsi="Nunito"/>
          <w:b/>
          <w:bCs/>
          <w:color w:val="009DF0" w:themeColor="text2"/>
          <w:sz w:val="16"/>
          <w:szCs w:val="16"/>
          <w:lang w:val="ro-RO"/>
        </w:rPr>
        <w:fldChar w:fldCharType="separate"/>
      </w:r>
      <w:r w:rsidRPr="00187708">
        <w:rPr>
          <w:rFonts w:ascii="Nunito" w:hAnsi="Nunito"/>
          <w:b/>
          <w:bCs/>
          <w:noProof/>
          <w:color w:val="009DF0" w:themeColor="text2"/>
          <w:sz w:val="16"/>
          <w:szCs w:val="16"/>
          <w:lang w:val="ro-RO"/>
        </w:rPr>
        <w:t>2</w:t>
      </w:r>
      <w:r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noBreakHyphen/>
      </w:r>
      <w:r w:rsidRPr="00187708">
        <w:rPr>
          <w:rFonts w:ascii="Nunito" w:hAnsi="Nunito"/>
          <w:b/>
          <w:bCs/>
          <w:color w:val="009DF0" w:themeColor="text2"/>
          <w:sz w:val="16"/>
          <w:szCs w:val="16"/>
          <w:lang w:val="ro-RO"/>
        </w:rPr>
        <w:fldChar w:fldCharType="begin"/>
      </w:r>
      <w:r w:rsidRPr="00187708">
        <w:rPr>
          <w:rFonts w:ascii="Nunito" w:hAnsi="Nunito"/>
          <w:b/>
          <w:bCs/>
          <w:color w:val="009DF0" w:themeColor="text2"/>
          <w:sz w:val="16"/>
          <w:szCs w:val="16"/>
          <w:lang w:val="ro-RO"/>
        </w:rPr>
        <w:instrText xml:space="preserve"> SEQ Tabel \* ARABIC \s 1 </w:instrText>
      </w:r>
      <w:r w:rsidRPr="00187708">
        <w:rPr>
          <w:rFonts w:ascii="Nunito" w:hAnsi="Nunito"/>
          <w:b/>
          <w:bCs/>
          <w:color w:val="009DF0" w:themeColor="text2"/>
          <w:sz w:val="16"/>
          <w:szCs w:val="16"/>
          <w:lang w:val="ro-RO"/>
        </w:rPr>
        <w:fldChar w:fldCharType="separate"/>
      </w:r>
      <w:r w:rsidRPr="00187708">
        <w:rPr>
          <w:rFonts w:ascii="Nunito" w:hAnsi="Nunito"/>
          <w:b/>
          <w:bCs/>
          <w:noProof/>
          <w:color w:val="009DF0" w:themeColor="text2"/>
          <w:sz w:val="16"/>
          <w:szCs w:val="16"/>
          <w:lang w:val="ro-RO"/>
        </w:rPr>
        <w:t>19</w:t>
      </w:r>
      <w:r w:rsidRPr="00187708">
        <w:rPr>
          <w:rFonts w:ascii="Nunito" w:hAnsi="Nunito"/>
          <w:b/>
          <w:bCs/>
          <w:color w:val="009DF0" w:themeColor="text2"/>
          <w:sz w:val="16"/>
          <w:szCs w:val="16"/>
          <w:lang w:val="ro-RO"/>
        </w:rPr>
        <w:fldChar w:fldCharType="end"/>
      </w:r>
      <w:r w:rsidRPr="00187708">
        <w:rPr>
          <w:rFonts w:ascii="Nunito" w:hAnsi="Nunito"/>
          <w:b/>
          <w:bCs/>
          <w:color w:val="009DF0" w:themeColor="text2"/>
          <w:sz w:val="16"/>
          <w:szCs w:val="16"/>
          <w:lang w:val="ro-RO"/>
        </w:rPr>
        <w:t xml:space="preserve">: </w:t>
      </w:r>
      <w:r w:rsidR="002B62BD" w:rsidRPr="00187708">
        <w:rPr>
          <w:rFonts w:ascii="Nunito" w:hAnsi="Nunito"/>
          <w:b/>
          <w:bCs/>
          <w:iCs/>
          <w:color w:val="009DF0" w:themeColor="text2"/>
          <w:lang w:val="ro-RO"/>
        </w:rPr>
        <w:t>Obiectivele program</w:t>
      </w:r>
      <w:r w:rsidR="00A11835" w:rsidRPr="00187708">
        <w:rPr>
          <w:rFonts w:ascii="Nunito" w:hAnsi="Nunito"/>
          <w:b/>
          <w:bCs/>
          <w:iCs/>
          <w:color w:val="009DF0" w:themeColor="text2"/>
          <w:lang w:val="ro-RO"/>
        </w:rPr>
        <w:t xml:space="preserve">ului de prevenire </w:t>
      </w:r>
    </w:p>
    <w:tbl>
      <w:tblPr>
        <w:tblStyle w:val="Ramboll-Table"/>
        <w:tblW w:w="9639" w:type="dxa"/>
        <w:tblLook w:val="04A0" w:firstRow="1" w:lastRow="0" w:firstColumn="1" w:lastColumn="0" w:noHBand="0" w:noVBand="1"/>
      </w:tblPr>
      <w:tblGrid>
        <w:gridCol w:w="393"/>
        <w:gridCol w:w="1308"/>
        <w:gridCol w:w="1266"/>
        <w:gridCol w:w="1557"/>
        <w:gridCol w:w="5115"/>
      </w:tblGrid>
      <w:tr w:rsidR="002B62BD" w:rsidRPr="00187708" w14:paraId="35E8384B" w14:textId="77777777" w:rsidTr="00187708">
        <w:trPr>
          <w:cnfStyle w:val="100000000000" w:firstRow="1" w:lastRow="0" w:firstColumn="0" w:lastColumn="0" w:oddVBand="0" w:evenVBand="0" w:oddHBand="0" w:evenHBand="0" w:firstRowFirstColumn="0" w:firstRowLastColumn="0" w:lastRowFirstColumn="0" w:lastRowLastColumn="0"/>
        </w:trPr>
        <w:tc>
          <w:tcPr>
            <w:tcW w:w="0" w:type="auto"/>
            <w:shd w:val="clear" w:color="auto" w:fill="00B0F0"/>
            <w:hideMark/>
          </w:tcPr>
          <w:p w14:paraId="0087F276" w14:textId="77777777" w:rsidR="002B62BD" w:rsidRPr="00187708" w:rsidRDefault="002B62BD">
            <w:pPr>
              <w:spacing w:line="240" w:lineRule="auto"/>
              <w:jc w:val="center"/>
              <w:rPr>
                <w:rFonts w:ascii="Nunito" w:eastAsia="Times New Roman" w:hAnsi="Nunito" w:cs="Times New Roman"/>
                <w:b/>
                <w:bCs/>
                <w:color w:val="FFFFFF" w:themeColor="background1"/>
                <w:sz w:val="16"/>
                <w:szCs w:val="16"/>
                <w:lang w:val="ro-RO"/>
              </w:rPr>
            </w:pPr>
            <w:r w:rsidRPr="00187708">
              <w:rPr>
                <w:rFonts w:ascii="Nunito" w:eastAsia="Times New Roman" w:hAnsi="Nunito" w:cs="Times New Roman"/>
                <w:b/>
                <w:bCs/>
                <w:color w:val="FFFFFF" w:themeColor="background1"/>
                <w:sz w:val="16"/>
                <w:szCs w:val="16"/>
                <w:lang w:val="ro-RO"/>
              </w:rPr>
              <w:t>Nr.</w:t>
            </w:r>
          </w:p>
        </w:tc>
        <w:tc>
          <w:tcPr>
            <w:tcW w:w="1308" w:type="dxa"/>
            <w:shd w:val="clear" w:color="auto" w:fill="00B0F0"/>
            <w:hideMark/>
          </w:tcPr>
          <w:p w14:paraId="7A6D54CE" w14:textId="77777777" w:rsidR="002B62BD" w:rsidRPr="00187708" w:rsidRDefault="002B62BD">
            <w:pPr>
              <w:spacing w:line="240" w:lineRule="auto"/>
              <w:jc w:val="center"/>
              <w:rPr>
                <w:rFonts w:ascii="Nunito" w:eastAsia="Times New Roman" w:hAnsi="Nunito" w:cs="Times New Roman"/>
                <w:b/>
                <w:bCs/>
                <w:color w:val="FFFFFF" w:themeColor="background1"/>
                <w:sz w:val="16"/>
                <w:szCs w:val="16"/>
                <w:lang w:val="ro-RO"/>
              </w:rPr>
            </w:pPr>
            <w:r w:rsidRPr="00187708">
              <w:rPr>
                <w:rFonts w:ascii="Nunito" w:eastAsia="Times New Roman" w:hAnsi="Nunito" w:cs="Times New Roman"/>
                <w:b/>
                <w:bCs/>
                <w:color w:val="FFFFFF" w:themeColor="background1"/>
                <w:sz w:val="16"/>
                <w:szCs w:val="16"/>
                <w:lang w:val="ro-RO"/>
              </w:rPr>
              <w:t>Cod</w:t>
            </w:r>
          </w:p>
        </w:tc>
        <w:tc>
          <w:tcPr>
            <w:tcW w:w="0" w:type="auto"/>
            <w:shd w:val="clear" w:color="auto" w:fill="00B0F0"/>
            <w:hideMark/>
          </w:tcPr>
          <w:p w14:paraId="4F5B6F07" w14:textId="77777777" w:rsidR="002B62BD" w:rsidRPr="00187708" w:rsidRDefault="002B62BD">
            <w:pPr>
              <w:spacing w:line="240" w:lineRule="auto"/>
              <w:jc w:val="center"/>
              <w:rPr>
                <w:rFonts w:ascii="Nunito" w:eastAsia="Times New Roman" w:hAnsi="Nunito" w:cs="Times New Roman"/>
                <w:b/>
                <w:bCs/>
                <w:color w:val="FFFFFF" w:themeColor="background1"/>
                <w:sz w:val="16"/>
                <w:szCs w:val="16"/>
                <w:lang w:val="ro-RO"/>
              </w:rPr>
            </w:pPr>
            <w:r w:rsidRPr="00187708">
              <w:rPr>
                <w:rFonts w:ascii="Nunito" w:eastAsia="Times New Roman" w:hAnsi="Nunito" w:cs="Times New Roman"/>
                <w:b/>
                <w:bCs/>
                <w:color w:val="FFFFFF" w:themeColor="background1"/>
                <w:sz w:val="16"/>
                <w:szCs w:val="16"/>
                <w:lang w:val="ro-RO"/>
              </w:rPr>
              <w:t>Flux de deșeuri</w:t>
            </w:r>
          </w:p>
        </w:tc>
        <w:tc>
          <w:tcPr>
            <w:tcW w:w="1557" w:type="dxa"/>
            <w:shd w:val="clear" w:color="auto" w:fill="00B0F0"/>
            <w:hideMark/>
          </w:tcPr>
          <w:p w14:paraId="01BF3F3B" w14:textId="77777777" w:rsidR="002B62BD" w:rsidRPr="00187708" w:rsidRDefault="002B62BD">
            <w:pPr>
              <w:spacing w:line="240" w:lineRule="auto"/>
              <w:jc w:val="center"/>
              <w:rPr>
                <w:rFonts w:ascii="Nunito" w:eastAsia="Times New Roman" w:hAnsi="Nunito" w:cs="Times New Roman"/>
                <w:b/>
                <w:bCs/>
                <w:color w:val="FFFFFF" w:themeColor="background1"/>
                <w:sz w:val="16"/>
                <w:szCs w:val="16"/>
                <w:lang w:val="ro-RO"/>
              </w:rPr>
            </w:pPr>
            <w:r w:rsidRPr="00187708">
              <w:rPr>
                <w:rFonts w:ascii="Nunito" w:eastAsia="Times New Roman" w:hAnsi="Nunito" w:cs="Times New Roman"/>
                <w:b/>
                <w:bCs/>
                <w:color w:val="FFFFFF" w:themeColor="background1"/>
                <w:sz w:val="16"/>
                <w:szCs w:val="16"/>
                <w:lang w:val="ro-RO"/>
              </w:rPr>
              <w:t>Nr. PNGD</w:t>
            </w:r>
          </w:p>
        </w:tc>
        <w:tc>
          <w:tcPr>
            <w:tcW w:w="5115" w:type="dxa"/>
            <w:shd w:val="clear" w:color="auto" w:fill="00B0F0"/>
            <w:hideMark/>
          </w:tcPr>
          <w:p w14:paraId="1C5B711D" w14:textId="77777777" w:rsidR="002B62BD" w:rsidRPr="00187708" w:rsidRDefault="002B62BD">
            <w:pPr>
              <w:spacing w:line="240" w:lineRule="auto"/>
              <w:jc w:val="center"/>
              <w:rPr>
                <w:rFonts w:ascii="Nunito" w:eastAsia="Times New Roman" w:hAnsi="Nunito" w:cs="Times New Roman"/>
                <w:b/>
                <w:bCs/>
                <w:color w:val="FFFFFF" w:themeColor="background1"/>
                <w:sz w:val="16"/>
                <w:szCs w:val="16"/>
                <w:lang w:val="ro-RO"/>
              </w:rPr>
            </w:pPr>
            <w:r w:rsidRPr="00187708">
              <w:rPr>
                <w:rFonts w:ascii="Nunito" w:eastAsia="Times New Roman" w:hAnsi="Nunito" w:cs="Times New Roman"/>
                <w:b/>
                <w:bCs/>
                <w:color w:val="FFFFFF" w:themeColor="background1"/>
                <w:sz w:val="16"/>
                <w:szCs w:val="16"/>
                <w:lang w:val="ro-RO"/>
              </w:rPr>
              <w:t>Obiectiv</w:t>
            </w:r>
            <w:r w:rsidR="00A11835" w:rsidRPr="00187708">
              <w:rPr>
                <w:rFonts w:ascii="Nunito" w:eastAsia="Times New Roman" w:hAnsi="Nunito" w:cs="Times New Roman"/>
                <w:b/>
                <w:bCs/>
                <w:color w:val="FFFFFF" w:themeColor="background1"/>
                <w:sz w:val="16"/>
                <w:szCs w:val="16"/>
                <w:lang w:val="ro-RO"/>
              </w:rPr>
              <w:t>e speifice</w:t>
            </w:r>
          </w:p>
          <w:p w14:paraId="20E96C30" w14:textId="02C10076" w:rsidR="00A11835" w:rsidRPr="00187708" w:rsidRDefault="00A11835">
            <w:pPr>
              <w:spacing w:line="240" w:lineRule="auto"/>
              <w:jc w:val="center"/>
              <w:rPr>
                <w:rFonts w:ascii="Nunito" w:eastAsia="Times New Roman" w:hAnsi="Nunito" w:cs="Times New Roman"/>
                <w:b/>
                <w:bCs/>
                <w:color w:val="FFFFFF" w:themeColor="background1"/>
                <w:sz w:val="16"/>
                <w:szCs w:val="16"/>
                <w:lang w:val="ro-RO"/>
              </w:rPr>
            </w:pPr>
          </w:p>
        </w:tc>
      </w:tr>
      <w:tr w:rsidR="002B62BD" w:rsidRPr="00187708" w14:paraId="6FBACB90" w14:textId="77777777" w:rsidTr="00187708">
        <w:tc>
          <w:tcPr>
            <w:tcW w:w="0" w:type="auto"/>
            <w:hideMark/>
          </w:tcPr>
          <w:p w14:paraId="28C47156" w14:textId="489E93B2" w:rsidR="002B62BD" w:rsidRPr="00187708" w:rsidRDefault="00B80B00">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57</w:t>
            </w:r>
          </w:p>
        </w:tc>
        <w:tc>
          <w:tcPr>
            <w:tcW w:w="1308" w:type="dxa"/>
            <w:hideMark/>
          </w:tcPr>
          <w:p w14:paraId="133CACCA" w14:textId="77777777" w:rsidR="002B62BD" w:rsidRPr="00187708" w:rsidRDefault="002B62BD">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PREV-OS-01</w:t>
            </w:r>
          </w:p>
        </w:tc>
        <w:tc>
          <w:tcPr>
            <w:tcW w:w="0" w:type="auto"/>
            <w:hideMark/>
          </w:tcPr>
          <w:p w14:paraId="19BD6BDF"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Deșeuri menajere și similare</w:t>
            </w:r>
          </w:p>
        </w:tc>
        <w:tc>
          <w:tcPr>
            <w:tcW w:w="0" w:type="auto"/>
            <w:hideMark/>
          </w:tcPr>
          <w:p w14:paraId="12DFFD1E"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Obiectiv 1</w:t>
            </w:r>
          </w:p>
        </w:tc>
        <w:tc>
          <w:tcPr>
            <w:tcW w:w="5115" w:type="dxa"/>
            <w:hideMark/>
          </w:tcPr>
          <w:p w14:paraId="35FE16BB" w14:textId="77777777" w:rsidR="002B62BD" w:rsidRPr="00187708" w:rsidRDefault="002B62BD" w:rsidP="00A11835">
            <w:pPr>
              <w:spacing w:line="240" w:lineRule="auto"/>
              <w:jc w:val="both"/>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Reducerea cantității de deșeuri menajere și similare generate pe cap de locuitor cu 7% până în 2035, de la 303 kg/persoană/an în 2022 la aproximativ 281 kg/persoană/an</w:t>
            </w:r>
          </w:p>
        </w:tc>
      </w:tr>
      <w:tr w:rsidR="002B62BD" w:rsidRPr="00187708" w14:paraId="1E62125D" w14:textId="77777777" w:rsidTr="00187708">
        <w:tc>
          <w:tcPr>
            <w:tcW w:w="0" w:type="auto"/>
            <w:hideMark/>
          </w:tcPr>
          <w:p w14:paraId="6C204606" w14:textId="773BA072" w:rsidR="002B62BD" w:rsidRPr="00187708" w:rsidRDefault="00B80B00">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58</w:t>
            </w:r>
          </w:p>
        </w:tc>
        <w:tc>
          <w:tcPr>
            <w:tcW w:w="1308" w:type="dxa"/>
            <w:hideMark/>
          </w:tcPr>
          <w:p w14:paraId="2D2B57FB" w14:textId="77777777" w:rsidR="002B62BD" w:rsidRPr="00187708" w:rsidRDefault="002B62BD">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PREV-OS-02</w:t>
            </w:r>
          </w:p>
        </w:tc>
        <w:tc>
          <w:tcPr>
            <w:tcW w:w="0" w:type="auto"/>
            <w:hideMark/>
          </w:tcPr>
          <w:p w14:paraId="72DAFF23"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Deșeuri alimentare</w:t>
            </w:r>
          </w:p>
        </w:tc>
        <w:tc>
          <w:tcPr>
            <w:tcW w:w="0" w:type="auto"/>
            <w:hideMark/>
          </w:tcPr>
          <w:p w14:paraId="567AE271"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Obiectiv 2</w:t>
            </w:r>
          </w:p>
        </w:tc>
        <w:tc>
          <w:tcPr>
            <w:tcW w:w="5115" w:type="dxa"/>
            <w:hideMark/>
          </w:tcPr>
          <w:p w14:paraId="434DE54A" w14:textId="77777777" w:rsidR="002B62BD" w:rsidRPr="00187708" w:rsidRDefault="002B62BD" w:rsidP="00A11835">
            <w:pPr>
              <w:spacing w:line="240" w:lineRule="auto"/>
              <w:jc w:val="both"/>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w:t>
            </w:r>
          </w:p>
        </w:tc>
      </w:tr>
      <w:tr w:rsidR="002B62BD" w:rsidRPr="00187708" w14:paraId="40538364" w14:textId="77777777" w:rsidTr="00187708">
        <w:tc>
          <w:tcPr>
            <w:tcW w:w="0" w:type="auto"/>
            <w:hideMark/>
          </w:tcPr>
          <w:p w14:paraId="33674264" w14:textId="273B7002" w:rsidR="002B62BD" w:rsidRPr="00187708" w:rsidRDefault="00B80B00">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59</w:t>
            </w:r>
          </w:p>
        </w:tc>
        <w:tc>
          <w:tcPr>
            <w:tcW w:w="1308" w:type="dxa"/>
            <w:hideMark/>
          </w:tcPr>
          <w:p w14:paraId="1B6AD08B" w14:textId="77777777" w:rsidR="002B62BD" w:rsidRPr="00187708" w:rsidRDefault="002B62BD">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PREV-OS-03</w:t>
            </w:r>
          </w:p>
        </w:tc>
        <w:tc>
          <w:tcPr>
            <w:tcW w:w="0" w:type="auto"/>
            <w:hideMark/>
          </w:tcPr>
          <w:p w14:paraId="6BCF32A5"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Deșeuri de ambalaje</w:t>
            </w:r>
          </w:p>
        </w:tc>
        <w:tc>
          <w:tcPr>
            <w:tcW w:w="0" w:type="auto"/>
            <w:hideMark/>
          </w:tcPr>
          <w:p w14:paraId="06D6CF18"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Obiectiv 3</w:t>
            </w:r>
          </w:p>
        </w:tc>
        <w:tc>
          <w:tcPr>
            <w:tcW w:w="5115" w:type="dxa"/>
            <w:hideMark/>
          </w:tcPr>
          <w:p w14:paraId="79D3759A" w14:textId="77777777" w:rsidR="002B62BD" w:rsidRPr="00187708" w:rsidRDefault="002B62BD" w:rsidP="00A11835">
            <w:pPr>
              <w:spacing w:line="240" w:lineRule="auto"/>
              <w:jc w:val="both"/>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r>
      <w:tr w:rsidR="002B62BD" w:rsidRPr="00187708" w14:paraId="2EC6840E" w14:textId="77777777" w:rsidTr="00187708">
        <w:tc>
          <w:tcPr>
            <w:tcW w:w="0" w:type="auto"/>
            <w:hideMark/>
          </w:tcPr>
          <w:p w14:paraId="5EE46346" w14:textId="13427CD7" w:rsidR="002B62BD" w:rsidRPr="00187708" w:rsidRDefault="00B80B00">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60</w:t>
            </w:r>
          </w:p>
        </w:tc>
        <w:tc>
          <w:tcPr>
            <w:tcW w:w="1308" w:type="dxa"/>
            <w:hideMark/>
          </w:tcPr>
          <w:p w14:paraId="7AC16D5C" w14:textId="77777777" w:rsidR="002B62BD" w:rsidRPr="00187708" w:rsidRDefault="002B62BD">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PREV-OS-04</w:t>
            </w:r>
          </w:p>
        </w:tc>
        <w:tc>
          <w:tcPr>
            <w:tcW w:w="0" w:type="auto"/>
            <w:hideMark/>
          </w:tcPr>
          <w:p w14:paraId="698D6911"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DEEE</w:t>
            </w:r>
          </w:p>
        </w:tc>
        <w:tc>
          <w:tcPr>
            <w:tcW w:w="0" w:type="auto"/>
            <w:hideMark/>
          </w:tcPr>
          <w:p w14:paraId="71049ABF"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Obiectiv 4</w:t>
            </w:r>
          </w:p>
        </w:tc>
        <w:tc>
          <w:tcPr>
            <w:tcW w:w="5115" w:type="dxa"/>
            <w:hideMark/>
          </w:tcPr>
          <w:p w14:paraId="58B18EF7" w14:textId="77777777" w:rsidR="002B62BD" w:rsidRPr="00187708" w:rsidRDefault="002B62BD" w:rsidP="00A11835">
            <w:pPr>
              <w:spacing w:line="240" w:lineRule="auto"/>
              <w:jc w:val="both"/>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w:t>
            </w:r>
          </w:p>
        </w:tc>
      </w:tr>
      <w:tr w:rsidR="002B62BD" w:rsidRPr="00187708" w14:paraId="23CA137C" w14:textId="77777777" w:rsidTr="00187708">
        <w:tc>
          <w:tcPr>
            <w:tcW w:w="0" w:type="auto"/>
            <w:hideMark/>
          </w:tcPr>
          <w:p w14:paraId="10C4DD43" w14:textId="45264485" w:rsidR="002B62BD" w:rsidRPr="00187708" w:rsidRDefault="00B80B00">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61</w:t>
            </w:r>
          </w:p>
        </w:tc>
        <w:tc>
          <w:tcPr>
            <w:tcW w:w="1308" w:type="dxa"/>
            <w:hideMark/>
          </w:tcPr>
          <w:p w14:paraId="6B691473" w14:textId="77777777" w:rsidR="002B62BD" w:rsidRPr="00187708" w:rsidRDefault="002B62BD">
            <w:pPr>
              <w:spacing w:line="240" w:lineRule="auto"/>
              <w:rPr>
                <w:rFonts w:ascii="Nunito" w:eastAsia="Times New Roman" w:hAnsi="Nunito" w:cs="Times New Roman"/>
                <w:b/>
                <w:bCs/>
                <w:sz w:val="16"/>
                <w:szCs w:val="16"/>
                <w:lang w:val="ro-RO"/>
              </w:rPr>
            </w:pPr>
            <w:r w:rsidRPr="00187708">
              <w:rPr>
                <w:rFonts w:ascii="Nunito" w:eastAsia="Times New Roman" w:hAnsi="Nunito" w:cs="Times New Roman"/>
                <w:b/>
                <w:bCs/>
                <w:sz w:val="16"/>
                <w:szCs w:val="16"/>
                <w:lang w:val="ro-RO"/>
              </w:rPr>
              <w:t>PREV-OS-05</w:t>
            </w:r>
          </w:p>
        </w:tc>
        <w:tc>
          <w:tcPr>
            <w:tcW w:w="0" w:type="auto"/>
            <w:hideMark/>
          </w:tcPr>
          <w:p w14:paraId="39427A10"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Baterii și acumulatori</w:t>
            </w:r>
          </w:p>
        </w:tc>
        <w:tc>
          <w:tcPr>
            <w:tcW w:w="0" w:type="auto"/>
            <w:hideMark/>
          </w:tcPr>
          <w:p w14:paraId="46517C12" w14:textId="77777777" w:rsidR="002B62BD" w:rsidRPr="00187708" w:rsidRDefault="002B62BD">
            <w:pPr>
              <w:spacing w:line="240" w:lineRule="auto"/>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Obiectiv 5</w:t>
            </w:r>
          </w:p>
        </w:tc>
        <w:tc>
          <w:tcPr>
            <w:tcW w:w="5115" w:type="dxa"/>
            <w:hideMark/>
          </w:tcPr>
          <w:p w14:paraId="3F11AA96" w14:textId="77777777" w:rsidR="002B62BD" w:rsidRPr="00187708" w:rsidRDefault="002B62BD" w:rsidP="00A11835">
            <w:pPr>
              <w:spacing w:line="240" w:lineRule="auto"/>
              <w:jc w:val="both"/>
              <w:rPr>
                <w:rFonts w:ascii="Nunito" w:eastAsia="Times New Roman" w:hAnsi="Nunito" w:cs="Times New Roman"/>
                <w:sz w:val="16"/>
                <w:szCs w:val="16"/>
                <w:lang w:val="ro-RO"/>
              </w:rPr>
            </w:pPr>
            <w:r w:rsidRPr="00187708">
              <w:rPr>
                <w:rFonts w:ascii="Nunito" w:eastAsia="Times New Roman" w:hAnsi="Nunito" w:cs="Times New Roman"/>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r>
    </w:tbl>
    <w:p w14:paraId="2AF9E33C" w14:textId="77777777" w:rsidR="00327F01" w:rsidRPr="00187708" w:rsidRDefault="00327F01" w:rsidP="00327F01">
      <w:pPr>
        <w:spacing w:after="120" w:line="240" w:lineRule="auto"/>
        <w:jc w:val="both"/>
        <w:rPr>
          <w:rFonts w:ascii="Nunito" w:hAnsi="Nunito"/>
          <w:lang w:val="ro-RO"/>
        </w:rPr>
      </w:pPr>
      <w:r w:rsidRPr="00187708">
        <w:rPr>
          <w:rFonts w:ascii="Nunito" w:hAnsi="Nunito"/>
          <w:lang w:val="ro-RO"/>
        </w:rPr>
        <w:t>Programul Național de Prevenire a Generării Deșeurilor propune măsuri adaptate fiecărui flux prioritar de deșeuri, cu fundamentare în legislația națională și europeană, precum și în bunele practici identificate la nivel internațional.</w:t>
      </w:r>
    </w:p>
    <w:p w14:paraId="5ECC1233" w14:textId="1754E78A" w:rsidR="00D60A82" w:rsidRPr="00187708" w:rsidRDefault="00D60A82" w:rsidP="00D60A82">
      <w:pPr>
        <w:spacing w:after="120" w:line="240" w:lineRule="auto"/>
        <w:jc w:val="both"/>
        <w:rPr>
          <w:rFonts w:ascii="Nunito" w:hAnsi="Nunito"/>
          <w:lang w:val="ro-RO"/>
        </w:rPr>
      </w:pPr>
      <w:r w:rsidRPr="00187708">
        <w:rPr>
          <w:rFonts w:ascii="Nunito" w:hAnsi="Nunito"/>
          <w:lang w:val="ro-RO"/>
        </w:rPr>
        <w:t xml:space="preserve">Instrumentele și măsurile propuse în PNPGD sunt corelate cu Anexa 2 a OUG nr. 92/2021 și sprijină direct prevenirea generării deșeurilor, reutilizarea și valorificarea materialelor. Prin aplicarea acestor măsuri — cum ar fi campanii de conștientizare, stimulente economice, platforme digitale pentru redistribuire, achiziții publice sustenabile și scheme de răspundere extinsă a producătorilor — se asigură implementarea eficientă a ierarhiei deșeurilor și reducerea cantităților de deșeuri depozitate sau incinerate. </w:t>
      </w:r>
    </w:p>
    <w:p w14:paraId="55E305D1" w14:textId="77777777" w:rsidR="00D60A82" w:rsidRPr="00187708" w:rsidRDefault="00D60A82" w:rsidP="00D60A82">
      <w:pPr>
        <w:spacing w:after="120" w:line="240" w:lineRule="auto"/>
        <w:jc w:val="both"/>
        <w:rPr>
          <w:rFonts w:ascii="Nunito" w:hAnsi="Nunito"/>
          <w:lang w:val="ro-RO"/>
        </w:rPr>
      </w:pPr>
      <w:r w:rsidRPr="00187708">
        <w:rPr>
          <w:rFonts w:ascii="Nunito" w:hAnsi="Nunito"/>
          <w:lang w:val="ro-RO"/>
        </w:rPr>
        <w:t>Pentru prioritizarea fluxurilor de deșeuri în cadrul Planului Național de Prevenire a Generării Deșeurilor, acestea vor fi selectate în funcție de patru criterii fundamentale, menite să maximizeze eficiența măsurilor de prevenire și reducerea impactului asupra mediului. Aceste criterii sunt:</w:t>
      </w:r>
    </w:p>
    <w:p w14:paraId="01631439" w14:textId="77777777" w:rsidR="00D60A82" w:rsidRPr="00187708" w:rsidRDefault="00D60A82" w:rsidP="00D60A82">
      <w:pPr>
        <w:pStyle w:val="ListParagraph"/>
        <w:numPr>
          <w:ilvl w:val="0"/>
          <w:numId w:val="21"/>
        </w:numPr>
        <w:spacing w:after="120" w:line="240" w:lineRule="auto"/>
        <w:jc w:val="both"/>
        <w:rPr>
          <w:rFonts w:ascii="Nunito" w:hAnsi="Nunito"/>
          <w:lang w:val="ro-RO"/>
        </w:rPr>
      </w:pPr>
      <w:r w:rsidRPr="00187708">
        <w:rPr>
          <w:rFonts w:ascii="Nunito" w:hAnsi="Nunito"/>
          <w:lang w:val="ro-RO"/>
        </w:rPr>
        <w:t>Potențialul de reducere a impactului negativ asupra mediului;</w:t>
      </w:r>
    </w:p>
    <w:p w14:paraId="510B7465" w14:textId="77777777" w:rsidR="00D60A82" w:rsidRPr="00187708" w:rsidRDefault="00D60A82" w:rsidP="00D60A82">
      <w:pPr>
        <w:pStyle w:val="ListParagraph"/>
        <w:numPr>
          <w:ilvl w:val="0"/>
          <w:numId w:val="21"/>
        </w:numPr>
        <w:spacing w:after="120" w:line="240" w:lineRule="auto"/>
        <w:jc w:val="both"/>
        <w:rPr>
          <w:rFonts w:ascii="Nunito" w:hAnsi="Nunito"/>
          <w:lang w:val="ro-RO"/>
        </w:rPr>
      </w:pPr>
      <w:r w:rsidRPr="00187708">
        <w:rPr>
          <w:rFonts w:ascii="Nunito" w:hAnsi="Nunito"/>
          <w:lang w:val="ro-RO"/>
        </w:rPr>
        <w:t>Ponderea fluxului de deșeuri în cantitatea total generată;</w:t>
      </w:r>
    </w:p>
    <w:p w14:paraId="3F7D2E8B" w14:textId="77777777" w:rsidR="00D60A82" w:rsidRPr="00187708" w:rsidRDefault="00D60A82" w:rsidP="00D60A82">
      <w:pPr>
        <w:pStyle w:val="ListParagraph"/>
        <w:numPr>
          <w:ilvl w:val="0"/>
          <w:numId w:val="21"/>
        </w:numPr>
        <w:spacing w:after="120" w:line="240" w:lineRule="auto"/>
        <w:jc w:val="both"/>
        <w:rPr>
          <w:rFonts w:ascii="Nunito" w:hAnsi="Nunito"/>
          <w:lang w:val="ro-RO"/>
        </w:rPr>
      </w:pPr>
      <w:r w:rsidRPr="00187708">
        <w:rPr>
          <w:rFonts w:ascii="Nunito" w:hAnsi="Nunito"/>
          <w:lang w:val="ro-RO"/>
        </w:rPr>
        <w:t>Disponibilitatea datelor și existența bazelor de date pentru monitorizare;</w:t>
      </w:r>
    </w:p>
    <w:p w14:paraId="406F665C" w14:textId="77777777" w:rsidR="00D60A82" w:rsidRPr="00187708" w:rsidRDefault="00D60A82" w:rsidP="00D60A82">
      <w:pPr>
        <w:pStyle w:val="ListParagraph"/>
        <w:numPr>
          <w:ilvl w:val="0"/>
          <w:numId w:val="21"/>
        </w:numPr>
        <w:spacing w:after="120" w:line="240" w:lineRule="auto"/>
        <w:jc w:val="both"/>
        <w:rPr>
          <w:rFonts w:ascii="Nunito" w:hAnsi="Nunito"/>
          <w:lang w:val="ro-RO"/>
        </w:rPr>
      </w:pPr>
      <w:r w:rsidRPr="00187708">
        <w:rPr>
          <w:rFonts w:ascii="Nunito" w:hAnsi="Nunito"/>
          <w:lang w:val="ro-RO"/>
        </w:rPr>
        <w:t>Potențialul de prevenire și instrumentele disponibile pentru intervenție.</w:t>
      </w:r>
    </w:p>
    <w:p w14:paraId="2239E3FD" w14:textId="66CAE28D" w:rsidR="00D60A82" w:rsidRPr="00187708" w:rsidRDefault="00D60A82" w:rsidP="00D60A82">
      <w:pPr>
        <w:spacing w:after="120" w:line="240" w:lineRule="auto"/>
        <w:jc w:val="both"/>
        <w:rPr>
          <w:rFonts w:ascii="Nunito" w:hAnsi="Nunito"/>
          <w:lang w:val="ro-RO"/>
        </w:rPr>
      </w:pPr>
      <w:r w:rsidRPr="00187708">
        <w:rPr>
          <w:rFonts w:ascii="Nunito" w:hAnsi="Nunito"/>
          <w:lang w:val="ro-RO"/>
        </w:rPr>
        <w:t>Măsruile și acțiunile programului de prevenire sunt prezentate în tabelul următor.</w:t>
      </w:r>
    </w:p>
    <w:p w14:paraId="4628A07D" w14:textId="77777777" w:rsidR="002B62BD" w:rsidRPr="00187708" w:rsidRDefault="002B62BD" w:rsidP="008F69F3">
      <w:pPr>
        <w:spacing w:line="240" w:lineRule="auto"/>
        <w:jc w:val="center"/>
        <w:rPr>
          <w:rFonts w:ascii="Arial" w:eastAsia="Times New Roman" w:hAnsi="Arial" w:cs="Arial"/>
          <w:b/>
          <w:bCs/>
          <w:color w:val="FFFFFF"/>
          <w:sz w:val="22"/>
          <w:szCs w:val="22"/>
          <w:lang w:val="ro-RO"/>
        </w:rPr>
      </w:pPr>
    </w:p>
    <w:p w14:paraId="34C7C4BD" w14:textId="77777777" w:rsidR="002B62BD" w:rsidRPr="00187708" w:rsidRDefault="002B62BD" w:rsidP="008F69F3">
      <w:pPr>
        <w:spacing w:line="240" w:lineRule="auto"/>
        <w:jc w:val="center"/>
        <w:rPr>
          <w:rFonts w:ascii="Arial" w:eastAsia="Times New Roman" w:hAnsi="Arial" w:cs="Arial"/>
          <w:b/>
          <w:bCs/>
          <w:color w:val="FFFFFF"/>
          <w:sz w:val="22"/>
          <w:szCs w:val="22"/>
          <w:lang w:val="ro-RO"/>
        </w:rPr>
        <w:sectPr w:rsidR="002B62BD" w:rsidRPr="00187708" w:rsidSect="00AE673F">
          <w:pgSz w:w="11906" w:h="16838" w:code="9"/>
          <w:pgMar w:top="1418" w:right="1133" w:bottom="1418" w:left="1191" w:header="839" w:footer="680" w:gutter="0"/>
          <w:cols w:space="708"/>
          <w:docGrid w:linePitch="360"/>
        </w:sectPr>
      </w:pPr>
    </w:p>
    <w:p w14:paraId="0818217B" w14:textId="48803C26" w:rsidR="001802CD" w:rsidRPr="00187708" w:rsidRDefault="001802CD" w:rsidP="001802CD">
      <w:pPr>
        <w:pStyle w:val="Caption"/>
        <w:keepNext/>
        <w:rPr>
          <w:lang w:val="ro-RO"/>
        </w:rPr>
      </w:pPr>
      <w:r w:rsidRPr="00187708">
        <w:rPr>
          <w:lang w:val="ro-RO"/>
        </w:rPr>
        <w:lastRenderedPageBreak/>
        <w:t xml:space="preserve">Tabel </w:t>
      </w:r>
      <w:r w:rsidRPr="00187708">
        <w:rPr>
          <w:lang w:val="ro-RO"/>
        </w:rPr>
        <w:fldChar w:fldCharType="begin"/>
      </w:r>
      <w:r w:rsidRPr="00187708">
        <w:rPr>
          <w:lang w:val="ro-RO"/>
        </w:rPr>
        <w:instrText xml:space="preserve"> STYLEREF 1 \s </w:instrText>
      </w:r>
      <w:r w:rsidRPr="00187708">
        <w:rPr>
          <w:lang w:val="ro-RO"/>
        </w:rPr>
        <w:fldChar w:fldCharType="separate"/>
      </w:r>
      <w:r w:rsidR="00AA044A" w:rsidRPr="00187708">
        <w:rPr>
          <w:noProof/>
          <w:lang w:val="ro-RO"/>
        </w:rPr>
        <w:t>2</w:t>
      </w:r>
      <w:r w:rsidRPr="00187708">
        <w:rPr>
          <w:lang w:val="ro-RO"/>
        </w:rPr>
        <w:fldChar w:fldCharType="end"/>
      </w:r>
      <w:r w:rsidRPr="00187708">
        <w:rPr>
          <w:lang w:val="ro-RO"/>
        </w:rPr>
        <w:noBreakHyphen/>
      </w:r>
      <w:r w:rsidRPr="00187708">
        <w:rPr>
          <w:lang w:val="ro-RO"/>
        </w:rPr>
        <w:fldChar w:fldCharType="begin"/>
      </w:r>
      <w:r w:rsidRPr="00187708">
        <w:rPr>
          <w:lang w:val="ro-RO"/>
        </w:rPr>
        <w:instrText xml:space="preserve"> SEQ Tabel \* ARABIC \s 1 </w:instrText>
      </w:r>
      <w:r w:rsidRPr="00187708">
        <w:rPr>
          <w:lang w:val="ro-RO"/>
        </w:rPr>
        <w:fldChar w:fldCharType="separate"/>
      </w:r>
      <w:r w:rsidR="00327F01" w:rsidRPr="00187708">
        <w:rPr>
          <w:noProof/>
          <w:lang w:val="ro-RO"/>
        </w:rPr>
        <w:t>20</w:t>
      </w:r>
      <w:r w:rsidRPr="00187708">
        <w:rPr>
          <w:lang w:val="ro-RO"/>
        </w:rPr>
        <w:fldChar w:fldCharType="end"/>
      </w:r>
      <w:r w:rsidR="004B2370" w:rsidRPr="00187708">
        <w:rPr>
          <w:lang w:val="ro-RO"/>
        </w:rPr>
        <w:t>: Planul de acțiune privind prevenirea generării deșeurilor</w:t>
      </w:r>
    </w:p>
    <w:tbl>
      <w:tblPr>
        <w:tblStyle w:val="Ramboll-Table"/>
        <w:tblW w:w="14737" w:type="dxa"/>
        <w:tblLook w:val="04A0" w:firstRow="1" w:lastRow="0" w:firstColumn="1" w:lastColumn="0" w:noHBand="0" w:noVBand="1"/>
      </w:tblPr>
      <w:tblGrid>
        <w:gridCol w:w="1261"/>
        <w:gridCol w:w="740"/>
        <w:gridCol w:w="1160"/>
        <w:gridCol w:w="6719"/>
        <w:gridCol w:w="1260"/>
        <w:gridCol w:w="1471"/>
        <w:gridCol w:w="2126"/>
      </w:tblGrid>
      <w:tr w:rsidR="008F69F3" w:rsidRPr="00187708" w14:paraId="244E0149" w14:textId="77777777" w:rsidTr="00243A55">
        <w:trPr>
          <w:cnfStyle w:val="100000000000" w:firstRow="1" w:lastRow="0" w:firstColumn="0" w:lastColumn="0" w:oddVBand="0" w:evenVBand="0" w:oddHBand="0" w:evenHBand="0" w:firstRowFirstColumn="0" w:firstRowLastColumn="0" w:lastRowFirstColumn="0" w:lastRowLastColumn="0"/>
          <w:trHeight w:val="300"/>
          <w:tblHeader/>
        </w:trPr>
        <w:tc>
          <w:tcPr>
            <w:tcW w:w="1261" w:type="dxa"/>
            <w:shd w:val="clear" w:color="auto" w:fill="00B0F0"/>
            <w:hideMark/>
          </w:tcPr>
          <w:p w14:paraId="7C1DC141" w14:textId="77777777" w:rsidR="008F69F3" w:rsidRPr="00187708" w:rsidRDefault="008F69F3"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Cod</w:t>
            </w:r>
          </w:p>
        </w:tc>
        <w:tc>
          <w:tcPr>
            <w:tcW w:w="740" w:type="dxa"/>
            <w:shd w:val="clear" w:color="auto" w:fill="00B0F0"/>
            <w:hideMark/>
          </w:tcPr>
          <w:p w14:paraId="1C8BDE91" w14:textId="77777777" w:rsidR="008F69F3" w:rsidRPr="00187708" w:rsidRDefault="008F69F3"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Nivel</w:t>
            </w:r>
          </w:p>
        </w:tc>
        <w:tc>
          <w:tcPr>
            <w:tcW w:w="1160" w:type="dxa"/>
            <w:shd w:val="clear" w:color="auto" w:fill="00B0F0"/>
            <w:hideMark/>
          </w:tcPr>
          <w:p w14:paraId="3CE60F35" w14:textId="77777777" w:rsidR="008F69F3" w:rsidRPr="00187708" w:rsidRDefault="008F69F3"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Nr. PNGD</w:t>
            </w:r>
          </w:p>
        </w:tc>
        <w:tc>
          <w:tcPr>
            <w:tcW w:w="6719" w:type="dxa"/>
            <w:shd w:val="clear" w:color="auto" w:fill="00B0F0"/>
            <w:hideMark/>
          </w:tcPr>
          <w:p w14:paraId="60E23660" w14:textId="77777777" w:rsidR="008F69F3" w:rsidRPr="00187708" w:rsidRDefault="008F69F3"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Denumire obiectiv / măsură / acțiune</w:t>
            </w:r>
          </w:p>
        </w:tc>
        <w:tc>
          <w:tcPr>
            <w:tcW w:w="1260" w:type="dxa"/>
            <w:shd w:val="clear" w:color="auto" w:fill="00B0F0"/>
            <w:hideMark/>
          </w:tcPr>
          <w:p w14:paraId="614CDDB6" w14:textId="77777777" w:rsidR="008F69F3" w:rsidRPr="00187708" w:rsidRDefault="008F69F3"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Termen</w:t>
            </w:r>
          </w:p>
        </w:tc>
        <w:tc>
          <w:tcPr>
            <w:tcW w:w="1471" w:type="dxa"/>
            <w:shd w:val="clear" w:color="auto" w:fill="00B0F0"/>
            <w:hideMark/>
          </w:tcPr>
          <w:p w14:paraId="5CE26AFA" w14:textId="77777777" w:rsidR="008F69F3" w:rsidRPr="00187708" w:rsidRDefault="008F69F3"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Instituții responsabile</w:t>
            </w:r>
          </w:p>
        </w:tc>
        <w:tc>
          <w:tcPr>
            <w:tcW w:w="2126" w:type="dxa"/>
            <w:shd w:val="clear" w:color="auto" w:fill="00B0F0"/>
            <w:hideMark/>
          </w:tcPr>
          <w:p w14:paraId="752EED2E" w14:textId="77777777" w:rsidR="008F69F3" w:rsidRPr="00187708" w:rsidRDefault="008F69F3"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Sursa de finanțare</w:t>
            </w:r>
          </w:p>
        </w:tc>
      </w:tr>
      <w:tr w:rsidR="00E84E15" w:rsidRPr="00187708" w14:paraId="78977DD3" w14:textId="77777777" w:rsidTr="00E84E15">
        <w:trPr>
          <w:trHeight w:val="70"/>
        </w:trPr>
        <w:tc>
          <w:tcPr>
            <w:tcW w:w="14737" w:type="dxa"/>
            <w:gridSpan w:val="7"/>
            <w:shd w:val="clear" w:color="auto" w:fill="0070C0"/>
          </w:tcPr>
          <w:p w14:paraId="3337A3E6" w14:textId="40EAB2E7" w:rsidR="00E84E15" w:rsidRPr="00187708" w:rsidRDefault="00E84E15" w:rsidP="008F69F3">
            <w:pPr>
              <w:spacing w:line="240" w:lineRule="auto"/>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Modul de îndeplinire a Planului de acțiune privind prevenirea generării deșeurilor menajere și similare</w:t>
            </w:r>
          </w:p>
        </w:tc>
      </w:tr>
      <w:tr w:rsidR="00A8395B" w:rsidRPr="00187708" w14:paraId="644C9340" w14:textId="77777777">
        <w:trPr>
          <w:trHeight w:val="70"/>
        </w:trPr>
        <w:tc>
          <w:tcPr>
            <w:tcW w:w="1261" w:type="dxa"/>
            <w:shd w:val="clear" w:color="auto" w:fill="00B0F0"/>
            <w:hideMark/>
          </w:tcPr>
          <w:p w14:paraId="5F9425DC"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PREV-OS-01</w:t>
            </w:r>
          </w:p>
        </w:tc>
        <w:tc>
          <w:tcPr>
            <w:tcW w:w="740" w:type="dxa"/>
            <w:shd w:val="clear" w:color="auto" w:fill="00B0F0"/>
            <w:hideMark/>
          </w:tcPr>
          <w:p w14:paraId="517D48AE"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OS</w:t>
            </w:r>
          </w:p>
        </w:tc>
        <w:tc>
          <w:tcPr>
            <w:tcW w:w="1160" w:type="dxa"/>
            <w:shd w:val="clear" w:color="auto" w:fill="00B0F0"/>
            <w:hideMark/>
          </w:tcPr>
          <w:p w14:paraId="4E5A1A4B"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Obiectiv 1</w:t>
            </w:r>
          </w:p>
        </w:tc>
        <w:tc>
          <w:tcPr>
            <w:tcW w:w="11576" w:type="dxa"/>
            <w:gridSpan w:val="4"/>
            <w:shd w:val="clear" w:color="auto" w:fill="00B0F0"/>
            <w:hideMark/>
          </w:tcPr>
          <w:p w14:paraId="06757D17" w14:textId="546168B9" w:rsidR="00A8395B" w:rsidRPr="00187708" w:rsidRDefault="00A8395B" w:rsidP="00A8395B">
            <w:pPr>
              <w:spacing w:line="240" w:lineRule="auto"/>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Reducerea cantității de deșeuri menajere și similare generate pe cap de locuitor cu 7% până în 2035, de la 303 kg/persoană/an în 2022 la aproximativ 281 kg/persoană/an </w:t>
            </w:r>
          </w:p>
        </w:tc>
      </w:tr>
      <w:tr w:rsidR="008F69F3" w:rsidRPr="00187708" w14:paraId="2B2A4688" w14:textId="77777777" w:rsidTr="003A3D2B">
        <w:trPr>
          <w:trHeight w:val="70"/>
        </w:trPr>
        <w:tc>
          <w:tcPr>
            <w:tcW w:w="1261" w:type="dxa"/>
            <w:hideMark/>
          </w:tcPr>
          <w:p w14:paraId="68B9EB6B"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PREV-M1</w:t>
            </w:r>
          </w:p>
        </w:tc>
        <w:tc>
          <w:tcPr>
            <w:tcW w:w="740" w:type="dxa"/>
            <w:hideMark/>
          </w:tcPr>
          <w:p w14:paraId="3F895AA9"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1367E9BA"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1.1</w:t>
            </w:r>
          </w:p>
        </w:tc>
        <w:tc>
          <w:tcPr>
            <w:tcW w:w="6719" w:type="dxa"/>
            <w:hideMark/>
          </w:tcPr>
          <w:p w14:paraId="147E405E" w14:textId="77777777" w:rsidR="008F69F3" w:rsidRPr="00187708" w:rsidRDefault="008F69F3" w:rsidP="005A3735">
            <w:pPr>
              <w:spacing w:line="240" w:lineRule="auto"/>
              <w:jc w:val="both"/>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Reducerea generării de deșeuri menajere și similare prin compostare</w:t>
            </w:r>
          </w:p>
        </w:tc>
        <w:tc>
          <w:tcPr>
            <w:tcW w:w="1260" w:type="dxa"/>
            <w:hideMark/>
          </w:tcPr>
          <w:p w14:paraId="4A7807AD"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79CB5428"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08687A58"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49598B3A" w14:textId="77777777" w:rsidTr="003A3D2B">
        <w:trPr>
          <w:trHeight w:val="510"/>
        </w:trPr>
        <w:tc>
          <w:tcPr>
            <w:tcW w:w="1261" w:type="dxa"/>
            <w:hideMark/>
          </w:tcPr>
          <w:p w14:paraId="0FE08A9A"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w:t>
            </w:r>
          </w:p>
        </w:tc>
        <w:tc>
          <w:tcPr>
            <w:tcW w:w="740" w:type="dxa"/>
            <w:hideMark/>
          </w:tcPr>
          <w:p w14:paraId="3431FC74"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7CAEC50E"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1.1.1</w:t>
            </w:r>
          </w:p>
        </w:tc>
        <w:tc>
          <w:tcPr>
            <w:tcW w:w="6719" w:type="dxa"/>
            <w:hideMark/>
          </w:tcPr>
          <w:p w14:paraId="57CA9EE6" w14:textId="77777777" w:rsidR="008F69F3" w:rsidRPr="00187708" w:rsidRDefault="008F69F3" w:rsidP="005A3735">
            <w:pPr>
              <w:spacing w:line="240" w:lineRule="auto"/>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dotării cu unități individuale de compostare în gospodăriile din UAT-urile unde nu este asigurată colectarea separată a biodeșeurilor</w:t>
            </w:r>
          </w:p>
        </w:tc>
        <w:tc>
          <w:tcPr>
            <w:tcW w:w="1260" w:type="dxa"/>
            <w:hideMark/>
          </w:tcPr>
          <w:p w14:paraId="133EBE4A"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6916E37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Autorități locale</w:t>
            </w:r>
          </w:p>
        </w:tc>
        <w:tc>
          <w:tcPr>
            <w:tcW w:w="2126" w:type="dxa"/>
            <w:hideMark/>
          </w:tcPr>
          <w:p w14:paraId="2E212A1E"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europene</w:t>
            </w:r>
          </w:p>
        </w:tc>
      </w:tr>
      <w:tr w:rsidR="008F69F3" w:rsidRPr="00187708" w14:paraId="44C43B5B" w14:textId="77777777" w:rsidTr="003A3D2B">
        <w:trPr>
          <w:trHeight w:val="70"/>
        </w:trPr>
        <w:tc>
          <w:tcPr>
            <w:tcW w:w="1261" w:type="dxa"/>
            <w:hideMark/>
          </w:tcPr>
          <w:p w14:paraId="0B3F111B"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PREV-A2</w:t>
            </w:r>
          </w:p>
        </w:tc>
        <w:tc>
          <w:tcPr>
            <w:tcW w:w="740" w:type="dxa"/>
            <w:hideMark/>
          </w:tcPr>
          <w:p w14:paraId="0D7FF4E8"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00E30F5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1.1.2</w:t>
            </w:r>
          </w:p>
        </w:tc>
        <w:tc>
          <w:tcPr>
            <w:tcW w:w="6719" w:type="dxa"/>
            <w:hideMark/>
          </w:tcPr>
          <w:p w14:paraId="21CF889E" w14:textId="77777777" w:rsidR="008F69F3" w:rsidRPr="00187708" w:rsidRDefault="008F69F3" w:rsidP="005A3735">
            <w:pPr>
              <w:spacing w:line="240" w:lineRule="auto"/>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unui studiu privind introducerea compostării comunitare locale (CCL) pentru biodeșeurile din grădini și parcuri, cu utilizarea non-comercială a compostului în spații verzi și grădini comunitare, incluzând metode de cuantificare și raportare a biodeșeurilor deviate de la depozitare prin CCL, cu respectarea prevederilor legale privind autorizarea</w:t>
            </w:r>
          </w:p>
        </w:tc>
        <w:tc>
          <w:tcPr>
            <w:tcW w:w="1260" w:type="dxa"/>
            <w:hideMark/>
          </w:tcPr>
          <w:p w14:paraId="31B8E85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1DB6603C"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UAT</w:t>
            </w:r>
          </w:p>
        </w:tc>
        <w:tc>
          <w:tcPr>
            <w:tcW w:w="2126" w:type="dxa"/>
            <w:hideMark/>
          </w:tcPr>
          <w:p w14:paraId="78969AF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europene</w:t>
            </w:r>
          </w:p>
        </w:tc>
      </w:tr>
      <w:tr w:rsidR="008F69F3" w:rsidRPr="00187708" w14:paraId="75E503C5" w14:textId="77777777" w:rsidTr="003A3D2B">
        <w:trPr>
          <w:trHeight w:val="70"/>
        </w:trPr>
        <w:tc>
          <w:tcPr>
            <w:tcW w:w="1261" w:type="dxa"/>
            <w:hideMark/>
          </w:tcPr>
          <w:p w14:paraId="3725DBB7"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PREV-A3</w:t>
            </w:r>
          </w:p>
        </w:tc>
        <w:tc>
          <w:tcPr>
            <w:tcW w:w="740" w:type="dxa"/>
            <w:hideMark/>
          </w:tcPr>
          <w:p w14:paraId="426AC429"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14F43A14"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1.1.3</w:t>
            </w:r>
          </w:p>
        </w:tc>
        <w:tc>
          <w:tcPr>
            <w:tcW w:w="6719" w:type="dxa"/>
            <w:hideMark/>
          </w:tcPr>
          <w:p w14:paraId="7864DB4B" w14:textId="77777777" w:rsidR="008F69F3" w:rsidRPr="00187708" w:rsidRDefault="008F69F3" w:rsidP="005A3735">
            <w:pPr>
              <w:spacing w:line="240" w:lineRule="auto"/>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Asigurarea cadrului legislativ necesar pentru implementarea compostării la sursă a biodeșeurilor la nivelul unităților generatoare, în vederea prevenirii generării deșeurilor menajere și similare și a reducerii cantităților predate sistemului de salubrizare, cu respectarea prevederilor legale privind autorizarea</w:t>
            </w:r>
          </w:p>
        </w:tc>
        <w:tc>
          <w:tcPr>
            <w:tcW w:w="1260" w:type="dxa"/>
            <w:hideMark/>
          </w:tcPr>
          <w:p w14:paraId="503DB7C4"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1471" w:type="dxa"/>
            <w:hideMark/>
          </w:tcPr>
          <w:p w14:paraId="6ABFCD3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126" w:type="dxa"/>
            <w:hideMark/>
          </w:tcPr>
          <w:p w14:paraId="5B30B03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1C7DA952" w14:textId="77777777" w:rsidTr="003A3D2B">
        <w:trPr>
          <w:trHeight w:val="558"/>
        </w:trPr>
        <w:tc>
          <w:tcPr>
            <w:tcW w:w="1261" w:type="dxa"/>
            <w:hideMark/>
          </w:tcPr>
          <w:p w14:paraId="6DCE9BF1"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PREV-A4</w:t>
            </w:r>
          </w:p>
        </w:tc>
        <w:tc>
          <w:tcPr>
            <w:tcW w:w="740" w:type="dxa"/>
            <w:hideMark/>
          </w:tcPr>
          <w:p w14:paraId="2A4164AA"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29BF87D4"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1.1.4</w:t>
            </w:r>
          </w:p>
        </w:tc>
        <w:tc>
          <w:tcPr>
            <w:tcW w:w="6719" w:type="dxa"/>
            <w:hideMark/>
          </w:tcPr>
          <w:p w14:paraId="33CAA117" w14:textId="77777777" w:rsidR="008F69F3" w:rsidRPr="00187708" w:rsidRDefault="008F69F3" w:rsidP="005A3735">
            <w:pPr>
              <w:spacing w:line="240" w:lineRule="auto"/>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unui ghid de bune practici pentru compostarea comunitară locală a biodeșeurilor din parcuri și grădini, care să recunoască oficial caracterul educativ și voluntar al activității și să stabilească condiții simplificate de organizare, funcționare și utilizare a compostului exclusiv în scop neagricol (spații verzi urbane, jardiniere, grădini comunitare), diferențiate de cerințele compostării industriale sau semi-industriale</w:t>
            </w:r>
          </w:p>
        </w:tc>
        <w:tc>
          <w:tcPr>
            <w:tcW w:w="1260" w:type="dxa"/>
            <w:hideMark/>
          </w:tcPr>
          <w:p w14:paraId="7F92B75C"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1471" w:type="dxa"/>
            <w:hideMark/>
          </w:tcPr>
          <w:p w14:paraId="3A91339E"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UAT</w:t>
            </w:r>
          </w:p>
        </w:tc>
        <w:tc>
          <w:tcPr>
            <w:tcW w:w="2126" w:type="dxa"/>
            <w:hideMark/>
          </w:tcPr>
          <w:p w14:paraId="6F75FD2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273A27CE" w14:textId="77777777" w:rsidTr="003A3D2B">
        <w:trPr>
          <w:trHeight w:val="162"/>
        </w:trPr>
        <w:tc>
          <w:tcPr>
            <w:tcW w:w="1261" w:type="dxa"/>
            <w:hideMark/>
          </w:tcPr>
          <w:p w14:paraId="1BD574D9"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PREV-A5</w:t>
            </w:r>
          </w:p>
        </w:tc>
        <w:tc>
          <w:tcPr>
            <w:tcW w:w="740" w:type="dxa"/>
            <w:hideMark/>
          </w:tcPr>
          <w:p w14:paraId="66F07C4D"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32DD7D2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1.1.5</w:t>
            </w:r>
          </w:p>
        </w:tc>
        <w:tc>
          <w:tcPr>
            <w:tcW w:w="6719" w:type="dxa"/>
            <w:hideMark/>
          </w:tcPr>
          <w:p w14:paraId="7616F936" w14:textId="77777777" w:rsidR="008F69F3" w:rsidRPr="00187708" w:rsidRDefault="008F69F3" w:rsidP="005A3735">
            <w:pPr>
              <w:spacing w:line="240" w:lineRule="auto"/>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Implementarea de soluții locale pentru gestionarea la sursă a biodeșeurilor din parcuri și grădini la nivel de UAT, inclusiv prin echipamente de tocare și valorificarea materialului rezultat (mulci/compost) în spații verzi și în agricultură, în vederea prevenirii generării deșeurilor menajere și similare și a reducerii cantităților eliminate, cu respectarea Regulamentului (UE) 2019/1009</w:t>
            </w:r>
          </w:p>
        </w:tc>
        <w:tc>
          <w:tcPr>
            <w:tcW w:w="1260" w:type="dxa"/>
            <w:hideMark/>
          </w:tcPr>
          <w:p w14:paraId="6A6387B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075AAED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UAT</w:t>
            </w:r>
          </w:p>
        </w:tc>
        <w:tc>
          <w:tcPr>
            <w:tcW w:w="2126" w:type="dxa"/>
            <w:hideMark/>
          </w:tcPr>
          <w:p w14:paraId="3CF1E710"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Fonduri europene</w:t>
            </w:r>
          </w:p>
        </w:tc>
      </w:tr>
      <w:tr w:rsidR="008F69F3" w:rsidRPr="00187708" w14:paraId="6547A60A" w14:textId="77777777" w:rsidTr="003A3D2B">
        <w:trPr>
          <w:trHeight w:val="70"/>
        </w:trPr>
        <w:tc>
          <w:tcPr>
            <w:tcW w:w="1261" w:type="dxa"/>
            <w:hideMark/>
          </w:tcPr>
          <w:p w14:paraId="7D15DF40"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PREV-M2</w:t>
            </w:r>
          </w:p>
        </w:tc>
        <w:tc>
          <w:tcPr>
            <w:tcW w:w="740" w:type="dxa"/>
            <w:hideMark/>
          </w:tcPr>
          <w:p w14:paraId="4B229D26"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09F3A13C"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1.2</w:t>
            </w:r>
          </w:p>
        </w:tc>
        <w:tc>
          <w:tcPr>
            <w:tcW w:w="6719" w:type="dxa"/>
            <w:hideMark/>
          </w:tcPr>
          <w:p w14:paraId="627D39E2" w14:textId="77777777" w:rsidR="008F69F3" w:rsidRPr="00187708" w:rsidRDefault="008F69F3" w:rsidP="005A3735">
            <w:pPr>
              <w:spacing w:line="240" w:lineRule="auto"/>
              <w:jc w:val="both"/>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Promovarea reutilizării și reparării produselor și integrarea eco-designului (ambalaje, textile, EEE, mobilier, aparatură mică de uz casnic, jucării)</w:t>
            </w:r>
          </w:p>
        </w:tc>
        <w:tc>
          <w:tcPr>
            <w:tcW w:w="1260" w:type="dxa"/>
            <w:hideMark/>
          </w:tcPr>
          <w:p w14:paraId="7922910E"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3E23ACE3"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79AC6265"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1D9859F4" w14:textId="77777777" w:rsidTr="003A3D2B">
        <w:trPr>
          <w:trHeight w:val="171"/>
        </w:trPr>
        <w:tc>
          <w:tcPr>
            <w:tcW w:w="1261" w:type="dxa"/>
            <w:hideMark/>
          </w:tcPr>
          <w:p w14:paraId="08B9B67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PREV-A6</w:t>
            </w:r>
          </w:p>
        </w:tc>
        <w:tc>
          <w:tcPr>
            <w:tcW w:w="740" w:type="dxa"/>
            <w:hideMark/>
          </w:tcPr>
          <w:p w14:paraId="579984C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37871A0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1.2.1</w:t>
            </w:r>
          </w:p>
        </w:tc>
        <w:tc>
          <w:tcPr>
            <w:tcW w:w="6719" w:type="dxa"/>
            <w:hideMark/>
          </w:tcPr>
          <w:p w14:paraId="54FDB184" w14:textId="77777777" w:rsidR="008F69F3" w:rsidRPr="00187708" w:rsidRDefault="008F69F3" w:rsidP="005A3735">
            <w:pPr>
              <w:spacing w:line="240" w:lineRule="auto"/>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Organizarea de campanii naționale de informare și conștientizare privind reutilizarea, repararea produselor și promovarea principiilor de eco-design, adresate populației și operatorilor economici</w:t>
            </w:r>
          </w:p>
        </w:tc>
        <w:tc>
          <w:tcPr>
            <w:tcW w:w="1260" w:type="dxa"/>
            <w:hideMark/>
          </w:tcPr>
          <w:p w14:paraId="238FF94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655B214F"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UAT; Operatori economici</w:t>
            </w:r>
          </w:p>
        </w:tc>
        <w:tc>
          <w:tcPr>
            <w:tcW w:w="2126" w:type="dxa"/>
            <w:hideMark/>
          </w:tcPr>
          <w:p w14:paraId="7419D1F3"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1ED38D4B" w14:textId="77777777" w:rsidTr="003A3D2B">
        <w:trPr>
          <w:trHeight w:val="366"/>
        </w:trPr>
        <w:tc>
          <w:tcPr>
            <w:tcW w:w="1261" w:type="dxa"/>
            <w:hideMark/>
          </w:tcPr>
          <w:p w14:paraId="78BFB71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PREV-A7</w:t>
            </w:r>
          </w:p>
        </w:tc>
        <w:tc>
          <w:tcPr>
            <w:tcW w:w="740" w:type="dxa"/>
            <w:hideMark/>
          </w:tcPr>
          <w:p w14:paraId="6DDFB1D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39B65FD8"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1.2.2</w:t>
            </w:r>
          </w:p>
        </w:tc>
        <w:tc>
          <w:tcPr>
            <w:tcW w:w="6719" w:type="dxa"/>
            <w:hideMark/>
          </w:tcPr>
          <w:p w14:paraId="2487BA1C" w14:textId="77777777" w:rsidR="008F69F3" w:rsidRPr="00187708" w:rsidRDefault="008F69F3" w:rsidP="005A3735">
            <w:pPr>
              <w:spacing w:line="240" w:lineRule="auto"/>
              <w:jc w:val="both"/>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Prevenirea generării deșeurilor de hârtie tipărită în toate instituțiile publice prin setarea imprimantelor pe modul economic, imprimare față-verso și refolosirea hârtiei, cu aplicarea acestor măsuri în 100% din instituțiile publice, pentru reducerea cantității de hârtie tipărită cu 25%, în concordanță cu cerințele de performanță de mediu din HG nr. 709/2025, anexa 1</w:t>
            </w:r>
          </w:p>
        </w:tc>
        <w:tc>
          <w:tcPr>
            <w:tcW w:w="1260" w:type="dxa"/>
            <w:hideMark/>
          </w:tcPr>
          <w:p w14:paraId="05FB9972"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1471" w:type="dxa"/>
            <w:hideMark/>
          </w:tcPr>
          <w:p w14:paraId="203A52A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Compartimentele de achiziții și IT din fiecare instituție publică</w:t>
            </w:r>
          </w:p>
        </w:tc>
        <w:tc>
          <w:tcPr>
            <w:tcW w:w="2126" w:type="dxa"/>
            <w:hideMark/>
          </w:tcPr>
          <w:p w14:paraId="788198E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FE5497" w:rsidRPr="00187708" w14:paraId="1404A369" w14:textId="77777777" w:rsidTr="00FE5497">
        <w:trPr>
          <w:trHeight w:val="70"/>
        </w:trPr>
        <w:tc>
          <w:tcPr>
            <w:tcW w:w="14737" w:type="dxa"/>
            <w:gridSpan w:val="7"/>
            <w:shd w:val="clear" w:color="auto" w:fill="0070C0"/>
          </w:tcPr>
          <w:p w14:paraId="38DD11E7" w14:textId="7C30306D" w:rsidR="00FE5497" w:rsidRPr="00187708" w:rsidRDefault="00FE5497" w:rsidP="005A3735">
            <w:pPr>
              <w:spacing w:line="240" w:lineRule="auto"/>
              <w:jc w:val="both"/>
              <w:rPr>
                <w:rFonts w:ascii="Nunito" w:eastAsia="Times New Roman" w:hAnsi="Nunito" w:cs="Arial"/>
                <w:b/>
                <w:bCs/>
                <w:color w:val="FFFFFF" w:themeColor="background1"/>
                <w:sz w:val="16"/>
                <w:szCs w:val="16"/>
                <w:lang w:val="ro-RO"/>
              </w:rPr>
            </w:pPr>
            <w:r w:rsidRPr="00187708">
              <w:rPr>
                <w:rFonts w:asciiTheme="majorHAnsi" w:hAnsiTheme="majorHAnsi"/>
                <w:b/>
                <w:bCs/>
                <w:iCs/>
                <w:color w:val="FFFFFF" w:themeColor="background1"/>
                <w:szCs w:val="16"/>
                <w:lang w:val="ro-RO"/>
              </w:rPr>
              <w:t xml:space="preserve">Modul de îndeplinire a Planului de acțiune privind </w:t>
            </w:r>
            <w:r w:rsidRPr="00187708">
              <w:rPr>
                <w:rFonts w:asciiTheme="majorHAnsi" w:hAnsiTheme="majorHAnsi"/>
                <w:b/>
                <w:bCs/>
                <w:color w:val="FFFFFF" w:themeColor="background1"/>
                <w:szCs w:val="16"/>
                <w:lang w:val="ro-RO"/>
              </w:rPr>
              <w:t>prevenirea generării deșeurilor alimentare</w:t>
            </w:r>
          </w:p>
        </w:tc>
      </w:tr>
      <w:tr w:rsidR="00A8395B" w:rsidRPr="00187708" w14:paraId="0A0CD65C" w14:textId="77777777">
        <w:trPr>
          <w:trHeight w:val="70"/>
        </w:trPr>
        <w:tc>
          <w:tcPr>
            <w:tcW w:w="1261" w:type="dxa"/>
            <w:shd w:val="clear" w:color="auto" w:fill="00B0F0"/>
            <w:hideMark/>
          </w:tcPr>
          <w:p w14:paraId="34E032B7"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lastRenderedPageBreak/>
              <w:t>PREV-OS-02</w:t>
            </w:r>
          </w:p>
        </w:tc>
        <w:tc>
          <w:tcPr>
            <w:tcW w:w="740" w:type="dxa"/>
            <w:shd w:val="clear" w:color="auto" w:fill="00B0F0"/>
            <w:hideMark/>
          </w:tcPr>
          <w:p w14:paraId="1806605D"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OS</w:t>
            </w:r>
          </w:p>
        </w:tc>
        <w:tc>
          <w:tcPr>
            <w:tcW w:w="1160" w:type="dxa"/>
            <w:shd w:val="clear" w:color="auto" w:fill="00B0F0"/>
            <w:hideMark/>
          </w:tcPr>
          <w:p w14:paraId="47AB8702"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Obiectiv 2</w:t>
            </w:r>
          </w:p>
        </w:tc>
        <w:tc>
          <w:tcPr>
            <w:tcW w:w="11576" w:type="dxa"/>
            <w:gridSpan w:val="4"/>
            <w:shd w:val="clear" w:color="auto" w:fill="00B0F0"/>
            <w:hideMark/>
          </w:tcPr>
          <w:p w14:paraId="42747DD9" w14:textId="761F2DB2" w:rsidR="00A8395B" w:rsidRPr="00187708" w:rsidRDefault="00A8395B" w:rsidP="00A8395B">
            <w:pPr>
              <w:spacing w:line="240" w:lineRule="auto"/>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Reducerea generării de deșeuri alimentare până în 2030, comparativ cu media anuală 2021–2023, prin diminuarea cu cel puțin 10% în etapa de prelucrare și producție și cu cel puțin 30% pe cap de locuitor în comerțul cu amănuntul, alte forme de distribuție, restaurante, servicii de alimentație și gospodării, în conformitate cu Directiva (UE) 2025/1892 </w:t>
            </w:r>
          </w:p>
        </w:tc>
      </w:tr>
      <w:tr w:rsidR="008F69F3" w:rsidRPr="00187708" w14:paraId="4B063BC0" w14:textId="77777777" w:rsidTr="003A3D2B">
        <w:trPr>
          <w:trHeight w:val="70"/>
        </w:trPr>
        <w:tc>
          <w:tcPr>
            <w:tcW w:w="1261" w:type="dxa"/>
            <w:hideMark/>
          </w:tcPr>
          <w:p w14:paraId="298849CF"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PREV-M3</w:t>
            </w:r>
          </w:p>
        </w:tc>
        <w:tc>
          <w:tcPr>
            <w:tcW w:w="740" w:type="dxa"/>
            <w:hideMark/>
          </w:tcPr>
          <w:p w14:paraId="6C84617D"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2D9CE9B4"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2.1</w:t>
            </w:r>
          </w:p>
        </w:tc>
        <w:tc>
          <w:tcPr>
            <w:tcW w:w="6719" w:type="dxa"/>
            <w:hideMark/>
          </w:tcPr>
          <w:p w14:paraId="77BE6A71"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Reducerea pierderilor alimentare în procesul de producție și manipulare</w:t>
            </w:r>
          </w:p>
        </w:tc>
        <w:tc>
          <w:tcPr>
            <w:tcW w:w="1260" w:type="dxa"/>
            <w:hideMark/>
          </w:tcPr>
          <w:p w14:paraId="5F0658E6"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118D6678"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78A0C72F"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281BD792" w14:textId="77777777" w:rsidTr="003A3D2B">
        <w:trPr>
          <w:trHeight w:val="300"/>
        </w:trPr>
        <w:tc>
          <w:tcPr>
            <w:tcW w:w="1261" w:type="dxa"/>
            <w:hideMark/>
          </w:tcPr>
          <w:p w14:paraId="492F2152"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PREV-A8</w:t>
            </w:r>
          </w:p>
        </w:tc>
        <w:tc>
          <w:tcPr>
            <w:tcW w:w="740" w:type="dxa"/>
            <w:hideMark/>
          </w:tcPr>
          <w:p w14:paraId="301E2832"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0FF8E51A"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2.1.1</w:t>
            </w:r>
          </w:p>
        </w:tc>
        <w:tc>
          <w:tcPr>
            <w:tcW w:w="6719" w:type="dxa"/>
            <w:hideMark/>
          </w:tcPr>
          <w:p w14:paraId="5A79CF3D"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Instruirea personalului în bune practici</w:t>
            </w:r>
          </w:p>
        </w:tc>
        <w:tc>
          <w:tcPr>
            <w:tcW w:w="1260" w:type="dxa"/>
            <w:hideMark/>
          </w:tcPr>
          <w:p w14:paraId="0E104B3A"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2222B16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 Operatori economici</w:t>
            </w:r>
          </w:p>
        </w:tc>
        <w:tc>
          <w:tcPr>
            <w:tcW w:w="2126" w:type="dxa"/>
            <w:hideMark/>
          </w:tcPr>
          <w:p w14:paraId="27FCCB9C"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europene</w:t>
            </w:r>
          </w:p>
        </w:tc>
      </w:tr>
      <w:tr w:rsidR="008F69F3" w:rsidRPr="00187708" w14:paraId="47EA35CD" w14:textId="77777777" w:rsidTr="003A3D2B">
        <w:trPr>
          <w:trHeight w:val="510"/>
        </w:trPr>
        <w:tc>
          <w:tcPr>
            <w:tcW w:w="1261" w:type="dxa"/>
            <w:hideMark/>
          </w:tcPr>
          <w:p w14:paraId="4F29C2D8"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PREV-A9</w:t>
            </w:r>
          </w:p>
        </w:tc>
        <w:tc>
          <w:tcPr>
            <w:tcW w:w="740" w:type="dxa"/>
            <w:hideMark/>
          </w:tcPr>
          <w:p w14:paraId="1024CB4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6E96874E"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2.1.2</w:t>
            </w:r>
          </w:p>
        </w:tc>
        <w:tc>
          <w:tcPr>
            <w:tcW w:w="6719" w:type="dxa"/>
            <w:hideMark/>
          </w:tcPr>
          <w:p w14:paraId="1FD19D7F"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Utilizarea de instrumente digitale pentru monitorizarea materiilor prime și a produselor finite</w:t>
            </w:r>
          </w:p>
        </w:tc>
        <w:tc>
          <w:tcPr>
            <w:tcW w:w="1260" w:type="dxa"/>
            <w:hideMark/>
          </w:tcPr>
          <w:p w14:paraId="4793C2D0"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0AA58FD0"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 Operatori economici</w:t>
            </w:r>
          </w:p>
        </w:tc>
        <w:tc>
          <w:tcPr>
            <w:tcW w:w="2126" w:type="dxa"/>
            <w:hideMark/>
          </w:tcPr>
          <w:p w14:paraId="0C8AE7C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europene</w:t>
            </w:r>
          </w:p>
        </w:tc>
      </w:tr>
      <w:tr w:rsidR="008F69F3" w:rsidRPr="00187708" w14:paraId="38ED9BA6" w14:textId="77777777" w:rsidTr="003A3D2B">
        <w:trPr>
          <w:trHeight w:val="765"/>
        </w:trPr>
        <w:tc>
          <w:tcPr>
            <w:tcW w:w="1261" w:type="dxa"/>
            <w:hideMark/>
          </w:tcPr>
          <w:p w14:paraId="7F1ECD04"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PREV-M4</w:t>
            </w:r>
          </w:p>
        </w:tc>
        <w:tc>
          <w:tcPr>
            <w:tcW w:w="740" w:type="dxa"/>
            <w:hideMark/>
          </w:tcPr>
          <w:p w14:paraId="5BAC0099"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709FC805"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2.2</w:t>
            </w:r>
          </w:p>
        </w:tc>
        <w:tc>
          <w:tcPr>
            <w:tcW w:w="6719" w:type="dxa"/>
            <w:hideMark/>
          </w:tcPr>
          <w:p w14:paraId="3CC94ADF"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Facilitarea redistribuirii alimentelor prin dezvoltarea de parteneriate între retaileri, producătorii locali și Federația Băncilor pentru Alimente din România (FBAR)</w:t>
            </w:r>
          </w:p>
        </w:tc>
        <w:tc>
          <w:tcPr>
            <w:tcW w:w="1260" w:type="dxa"/>
            <w:hideMark/>
          </w:tcPr>
          <w:p w14:paraId="114A2BF3"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6584C212"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3116209B"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565C0253" w14:textId="77777777" w:rsidTr="003A3D2B">
        <w:trPr>
          <w:trHeight w:val="765"/>
        </w:trPr>
        <w:tc>
          <w:tcPr>
            <w:tcW w:w="1261" w:type="dxa"/>
            <w:hideMark/>
          </w:tcPr>
          <w:p w14:paraId="0E78F1C5"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PREV-A10</w:t>
            </w:r>
          </w:p>
        </w:tc>
        <w:tc>
          <w:tcPr>
            <w:tcW w:w="740" w:type="dxa"/>
            <w:hideMark/>
          </w:tcPr>
          <w:p w14:paraId="50DFCA7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3466FE0A"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2.2.1</w:t>
            </w:r>
          </w:p>
        </w:tc>
        <w:tc>
          <w:tcPr>
            <w:tcW w:w="6719" w:type="dxa"/>
            <w:hideMark/>
          </w:tcPr>
          <w:p w14:paraId="6E2C920F"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unei platforme digitale naționale pentru conectarea retailerilor și producătorilor cu organizațiile și băncile de alimente membre FBAR care preiau alimentele aproape de expirare</w:t>
            </w:r>
          </w:p>
        </w:tc>
        <w:tc>
          <w:tcPr>
            <w:tcW w:w="1260" w:type="dxa"/>
            <w:hideMark/>
          </w:tcPr>
          <w:p w14:paraId="3EEC2DC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1471" w:type="dxa"/>
            <w:hideMark/>
          </w:tcPr>
          <w:p w14:paraId="05A50D8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w:t>
            </w:r>
          </w:p>
        </w:tc>
        <w:tc>
          <w:tcPr>
            <w:tcW w:w="2126" w:type="dxa"/>
            <w:hideMark/>
          </w:tcPr>
          <w:p w14:paraId="2804AC8A"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5F1A4B35" w14:textId="77777777" w:rsidTr="003A3D2B">
        <w:trPr>
          <w:trHeight w:val="765"/>
        </w:trPr>
        <w:tc>
          <w:tcPr>
            <w:tcW w:w="1261" w:type="dxa"/>
            <w:hideMark/>
          </w:tcPr>
          <w:p w14:paraId="22D1FBFA"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PREV-A11</w:t>
            </w:r>
          </w:p>
        </w:tc>
        <w:tc>
          <w:tcPr>
            <w:tcW w:w="740" w:type="dxa"/>
            <w:hideMark/>
          </w:tcPr>
          <w:p w14:paraId="6CBC66C8"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12BFF301"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2.2.2</w:t>
            </w:r>
          </w:p>
        </w:tc>
        <w:tc>
          <w:tcPr>
            <w:tcW w:w="6719" w:type="dxa"/>
            <w:hideMark/>
          </w:tcPr>
          <w:p w14:paraId="68DA3A03"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Organizarea de parteneriate și acorduri directe între retaileri/producători locali și băncile de alimente membre FBAR, pentru preluarea, depozitarea și distribuirea rapidă a alimentelor aproape de expirare</w:t>
            </w:r>
          </w:p>
        </w:tc>
        <w:tc>
          <w:tcPr>
            <w:tcW w:w="1260" w:type="dxa"/>
            <w:hideMark/>
          </w:tcPr>
          <w:p w14:paraId="16F07E54"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1471" w:type="dxa"/>
            <w:hideMark/>
          </w:tcPr>
          <w:p w14:paraId="232B0BF3"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 FBAR; Băncile locale de alimente</w:t>
            </w:r>
          </w:p>
        </w:tc>
        <w:tc>
          <w:tcPr>
            <w:tcW w:w="2126" w:type="dxa"/>
            <w:hideMark/>
          </w:tcPr>
          <w:p w14:paraId="45761BEE"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75762DAE" w14:textId="77777777" w:rsidTr="003A3D2B">
        <w:trPr>
          <w:trHeight w:val="70"/>
        </w:trPr>
        <w:tc>
          <w:tcPr>
            <w:tcW w:w="1261" w:type="dxa"/>
            <w:hideMark/>
          </w:tcPr>
          <w:p w14:paraId="0EC4109D"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PREV-M5</w:t>
            </w:r>
          </w:p>
        </w:tc>
        <w:tc>
          <w:tcPr>
            <w:tcW w:w="740" w:type="dxa"/>
            <w:hideMark/>
          </w:tcPr>
          <w:p w14:paraId="12BE2124"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230A2E35"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2.3</w:t>
            </w:r>
          </w:p>
        </w:tc>
        <w:tc>
          <w:tcPr>
            <w:tcW w:w="6719" w:type="dxa"/>
            <w:hideMark/>
          </w:tcPr>
          <w:p w14:paraId="589B6FB5"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Implementarea de campanii de conștientizare și educare a populației și operatorilor economici privind prevenirea risipei alimentare</w:t>
            </w:r>
          </w:p>
        </w:tc>
        <w:tc>
          <w:tcPr>
            <w:tcW w:w="1260" w:type="dxa"/>
            <w:hideMark/>
          </w:tcPr>
          <w:p w14:paraId="5E196565"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0F53AA16"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17B0D208"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30EFCBBD" w14:textId="77777777" w:rsidTr="003A3D2B">
        <w:trPr>
          <w:trHeight w:val="510"/>
        </w:trPr>
        <w:tc>
          <w:tcPr>
            <w:tcW w:w="1261" w:type="dxa"/>
            <w:hideMark/>
          </w:tcPr>
          <w:p w14:paraId="51C375EE"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PREV-A12</w:t>
            </w:r>
          </w:p>
        </w:tc>
        <w:tc>
          <w:tcPr>
            <w:tcW w:w="740" w:type="dxa"/>
            <w:hideMark/>
          </w:tcPr>
          <w:p w14:paraId="528FFFE8"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795935F4"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2.3.1</w:t>
            </w:r>
          </w:p>
        </w:tc>
        <w:tc>
          <w:tcPr>
            <w:tcW w:w="6719" w:type="dxa"/>
            <w:hideMark/>
          </w:tcPr>
          <w:p w14:paraId="6E77C733"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Organizarea de campanii anuale de informare pentru populație și operatorii economici privind prevenirea risipei alimentare</w:t>
            </w:r>
          </w:p>
        </w:tc>
        <w:tc>
          <w:tcPr>
            <w:tcW w:w="1260" w:type="dxa"/>
            <w:hideMark/>
          </w:tcPr>
          <w:p w14:paraId="0421EF9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1471" w:type="dxa"/>
            <w:hideMark/>
          </w:tcPr>
          <w:p w14:paraId="24F0EAF1"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MADR; UAT; ME</w:t>
            </w:r>
          </w:p>
        </w:tc>
        <w:tc>
          <w:tcPr>
            <w:tcW w:w="2126" w:type="dxa"/>
            <w:hideMark/>
          </w:tcPr>
          <w:p w14:paraId="4971E1CA"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1560B" w:rsidRPr="00187708" w14:paraId="7B307AD2" w14:textId="77777777" w:rsidTr="00CD620E">
        <w:trPr>
          <w:trHeight w:val="77"/>
        </w:trPr>
        <w:tc>
          <w:tcPr>
            <w:tcW w:w="14737" w:type="dxa"/>
            <w:gridSpan w:val="7"/>
            <w:shd w:val="clear" w:color="auto" w:fill="0070C0"/>
          </w:tcPr>
          <w:p w14:paraId="2C5605FD" w14:textId="3DAD8912" w:rsidR="0081560B" w:rsidRPr="00187708" w:rsidRDefault="00CD620E" w:rsidP="008F69F3">
            <w:pPr>
              <w:spacing w:line="240" w:lineRule="auto"/>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Modul de îndeplinire a Planului de acțiune privind prevenirea generării deșeurilor de ambalaje</w:t>
            </w:r>
          </w:p>
        </w:tc>
      </w:tr>
      <w:tr w:rsidR="00A8395B" w:rsidRPr="00187708" w14:paraId="6CB6FB06" w14:textId="77777777">
        <w:trPr>
          <w:trHeight w:val="608"/>
        </w:trPr>
        <w:tc>
          <w:tcPr>
            <w:tcW w:w="1261" w:type="dxa"/>
            <w:shd w:val="clear" w:color="auto" w:fill="00B0F0"/>
            <w:hideMark/>
          </w:tcPr>
          <w:p w14:paraId="7A67E4D4"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PREV-OS-03</w:t>
            </w:r>
          </w:p>
        </w:tc>
        <w:tc>
          <w:tcPr>
            <w:tcW w:w="740" w:type="dxa"/>
            <w:shd w:val="clear" w:color="auto" w:fill="00B0F0"/>
            <w:hideMark/>
          </w:tcPr>
          <w:p w14:paraId="7EC28AAE"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OS</w:t>
            </w:r>
          </w:p>
        </w:tc>
        <w:tc>
          <w:tcPr>
            <w:tcW w:w="1160" w:type="dxa"/>
            <w:shd w:val="clear" w:color="auto" w:fill="00B0F0"/>
            <w:hideMark/>
          </w:tcPr>
          <w:p w14:paraId="084F242F"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Obiectiv 3</w:t>
            </w:r>
          </w:p>
        </w:tc>
        <w:tc>
          <w:tcPr>
            <w:tcW w:w="11576" w:type="dxa"/>
            <w:gridSpan w:val="4"/>
            <w:shd w:val="clear" w:color="auto" w:fill="00B0F0"/>
            <w:hideMark/>
          </w:tcPr>
          <w:p w14:paraId="28876193" w14:textId="63424638" w:rsidR="00A8395B" w:rsidRPr="00187708" w:rsidRDefault="00A8395B" w:rsidP="00A8395B">
            <w:pPr>
              <w:spacing w:line="240" w:lineRule="auto"/>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Reducerea cantităților de deșeuri de ambalaje generate pe cap de locuitor, față de nivelul anului 2018, în vederea atingerii unei reduceri de cel puțin 5% până în 2030, 10% până în 2035 și 15% până în 2040, în conformitate cu articolul 43 din Regulamentul (UE) 2025/40 privind ambalajele și deșeurile de ambalaje</w:t>
            </w:r>
          </w:p>
        </w:tc>
      </w:tr>
      <w:tr w:rsidR="008F69F3" w:rsidRPr="00187708" w14:paraId="19B93471" w14:textId="77777777" w:rsidTr="003A3D2B">
        <w:trPr>
          <w:trHeight w:val="510"/>
        </w:trPr>
        <w:tc>
          <w:tcPr>
            <w:tcW w:w="1261" w:type="dxa"/>
            <w:hideMark/>
          </w:tcPr>
          <w:p w14:paraId="42C8FEFB"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PREV-M6</w:t>
            </w:r>
          </w:p>
        </w:tc>
        <w:tc>
          <w:tcPr>
            <w:tcW w:w="740" w:type="dxa"/>
            <w:hideMark/>
          </w:tcPr>
          <w:p w14:paraId="33EAA8F1"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4C600383"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3.1</w:t>
            </w:r>
          </w:p>
        </w:tc>
        <w:tc>
          <w:tcPr>
            <w:tcW w:w="6719" w:type="dxa"/>
            <w:hideMark/>
          </w:tcPr>
          <w:p w14:paraId="1A7389E4"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Stimularea reutilizării ambalajelor prin scheme economice pentru producători și comercianți</w:t>
            </w:r>
          </w:p>
        </w:tc>
        <w:tc>
          <w:tcPr>
            <w:tcW w:w="1260" w:type="dxa"/>
            <w:hideMark/>
          </w:tcPr>
          <w:p w14:paraId="5D7DA660"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386493B5"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058350A3"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31F24A6E" w14:textId="77777777" w:rsidTr="003A3D2B">
        <w:trPr>
          <w:trHeight w:val="510"/>
        </w:trPr>
        <w:tc>
          <w:tcPr>
            <w:tcW w:w="1261" w:type="dxa"/>
            <w:hideMark/>
          </w:tcPr>
          <w:p w14:paraId="711D8181"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PREV-A13</w:t>
            </w:r>
          </w:p>
        </w:tc>
        <w:tc>
          <w:tcPr>
            <w:tcW w:w="740" w:type="dxa"/>
            <w:hideMark/>
          </w:tcPr>
          <w:p w14:paraId="13FE2362"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17A0214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3.1.1</w:t>
            </w:r>
          </w:p>
        </w:tc>
        <w:tc>
          <w:tcPr>
            <w:tcW w:w="6719" w:type="dxa"/>
            <w:hideMark/>
          </w:tcPr>
          <w:p w14:paraId="7529368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Stimularea financiară a utilizării ambalajelor reutilizabile sau biodegradabile în unitățile comerciale și HORECA</w:t>
            </w:r>
          </w:p>
        </w:tc>
        <w:tc>
          <w:tcPr>
            <w:tcW w:w="1260" w:type="dxa"/>
            <w:hideMark/>
          </w:tcPr>
          <w:p w14:paraId="491D801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0BC7718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Asociații de Producători; Retaileri</w:t>
            </w:r>
          </w:p>
        </w:tc>
        <w:tc>
          <w:tcPr>
            <w:tcW w:w="2126" w:type="dxa"/>
            <w:hideMark/>
          </w:tcPr>
          <w:p w14:paraId="7D5B4851"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europene</w:t>
            </w:r>
          </w:p>
        </w:tc>
      </w:tr>
      <w:tr w:rsidR="008F69F3" w:rsidRPr="00187708" w14:paraId="56767CD6" w14:textId="77777777" w:rsidTr="003A3D2B">
        <w:trPr>
          <w:trHeight w:val="1020"/>
        </w:trPr>
        <w:tc>
          <w:tcPr>
            <w:tcW w:w="1261" w:type="dxa"/>
            <w:hideMark/>
          </w:tcPr>
          <w:p w14:paraId="371E334E"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PREV-A14</w:t>
            </w:r>
          </w:p>
        </w:tc>
        <w:tc>
          <w:tcPr>
            <w:tcW w:w="740" w:type="dxa"/>
            <w:hideMark/>
          </w:tcPr>
          <w:p w14:paraId="1CA30CE8"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3632E464"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3.1.2</w:t>
            </w:r>
          </w:p>
        </w:tc>
        <w:tc>
          <w:tcPr>
            <w:tcW w:w="6719" w:type="dxa"/>
            <w:hideMark/>
          </w:tcPr>
          <w:p w14:paraId="5970AE70"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Dezvoltarea și operaționalizarea sistemelor de reutilizare a ambalajelor, prin modele integrate de colectare, recondiționare și reintroducere în uz, astfel încât minimum 10% din ambalajele puse pe piață la nivel național să fie reutilizabile până în 2030, cu creștere progresivă la 20% până în 2035</w:t>
            </w:r>
          </w:p>
        </w:tc>
        <w:tc>
          <w:tcPr>
            <w:tcW w:w="1260" w:type="dxa"/>
            <w:hideMark/>
          </w:tcPr>
          <w:p w14:paraId="52E0DDEC"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17AE7B68"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OIREP</w:t>
            </w:r>
          </w:p>
        </w:tc>
        <w:tc>
          <w:tcPr>
            <w:tcW w:w="2126" w:type="dxa"/>
            <w:hideMark/>
          </w:tcPr>
          <w:p w14:paraId="1BC10200"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Fonduri europene; Investiții private</w:t>
            </w:r>
          </w:p>
        </w:tc>
      </w:tr>
      <w:tr w:rsidR="008F69F3" w:rsidRPr="00187708" w14:paraId="12B292C9" w14:textId="77777777" w:rsidTr="003A3D2B">
        <w:trPr>
          <w:trHeight w:val="1020"/>
        </w:trPr>
        <w:tc>
          <w:tcPr>
            <w:tcW w:w="1261" w:type="dxa"/>
            <w:hideMark/>
          </w:tcPr>
          <w:p w14:paraId="1A9FF87C"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PREV-A15</w:t>
            </w:r>
          </w:p>
        </w:tc>
        <w:tc>
          <w:tcPr>
            <w:tcW w:w="740" w:type="dxa"/>
            <w:hideMark/>
          </w:tcPr>
          <w:p w14:paraId="060C5F41"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23AEE88D"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3.1.3</w:t>
            </w:r>
          </w:p>
        </w:tc>
        <w:tc>
          <w:tcPr>
            <w:tcW w:w="6719" w:type="dxa"/>
            <w:hideMark/>
          </w:tcPr>
          <w:p w14:paraId="081C3BF2"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Realizarea unui program național de reducere la sursă prin care: marile lanțuri de retail să fie obligate să pună la dispoziție puncte de vânzare „fără ambalaj” (bulk/refill); restaurantele și serviciile de livrare să utilizeze ambalaje reutilizabile standardizate, cu sistem de garanție-returnare</w:t>
            </w:r>
          </w:p>
        </w:tc>
        <w:tc>
          <w:tcPr>
            <w:tcW w:w="1260" w:type="dxa"/>
            <w:hideMark/>
          </w:tcPr>
          <w:p w14:paraId="3E347AC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2029</w:t>
            </w:r>
          </w:p>
        </w:tc>
        <w:tc>
          <w:tcPr>
            <w:tcW w:w="1471" w:type="dxa"/>
            <w:hideMark/>
          </w:tcPr>
          <w:p w14:paraId="7E56B8D2"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Operatorii economici</w:t>
            </w:r>
          </w:p>
        </w:tc>
        <w:tc>
          <w:tcPr>
            <w:tcW w:w="2126" w:type="dxa"/>
            <w:hideMark/>
          </w:tcPr>
          <w:p w14:paraId="5FFD47A6"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europene</w:t>
            </w:r>
          </w:p>
        </w:tc>
      </w:tr>
      <w:tr w:rsidR="008F69F3" w:rsidRPr="00187708" w14:paraId="6ADC6819" w14:textId="77777777" w:rsidTr="003A3D2B">
        <w:trPr>
          <w:trHeight w:val="510"/>
        </w:trPr>
        <w:tc>
          <w:tcPr>
            <w:tcW w:w="1261" w:type="dxa"/>
            <w:hideMark/>
          </w:tcPr>
          <w:p w14:paraId="67B5D693"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PREV-M7</w:t>
            </w:r>
          </w:p>
        </w:tc>
        <w:tc>
          <w:tcPr>
            <w:tcW w:w="740" w:type="dxa"/>
            <w:hideMark/>
          </w:tcPr>
          <w:p w14:paraId="45F5B006"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7D6EC239"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3.2</w:t>
            </w:r>
          </w:p>
        </w:tc>
        <w:tc>
          <w:tcPr>
            <w:tcW w:w="6719" w:type="dxa"/>
            <w:hideMark/>
          </w:tcPr>
          <w:p w14:paraId="1D1E0211"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Înlocuirea progresivă a ambalajelor din plastic de unică folosință cu alternative reutilizabile sau biodegradabile</w:t>
            </w:r>
          </w:p>
        </w:tc>
        <w:tc>
          <w:tcPr>
            <w:tcW w:w="1260" w:type="dxa"/>
            <w:hideMark/>
          </w:tcPr>
          <w:p w14:paraId="2341F54F"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346C94D7"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4496DE56"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6EF0B13D" w14:textId="77777777" w:rsidTr="003A3D2B">
        <w:trPr>
          <w:trHeight w:val="198"/>
        </w:trPr>
        <w:tc>
          <w:tcPr>
            <w:tcW w:w="1261" w:type="dxa"/>
            <w:hideMark/>
          </w:tcPr>
          <w:p w14:paraId="249285A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PREV-A16</w:t>
            </w:r>
          </w:p>
        </w:tc>
        <w:tc>
          <w:tcPr>
            <w:tcW w:w="740" w:type="dxa"/>
            <w:hideMark/>
          </w:tcPr>
          <w:p w14:paraId="241D901D"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1D2E7078"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3.2.1</w:t>
            </w:r>
          </w:p>
        </w:tc>
        <w:tc>
          <w:tcPr>
            <w:tcW w:w="6719" w:type="dxa"/>
            <w:hideMark/>
          </w:tcPr>
          <w:p w14:paraId="199D6D7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Sprijinirea cercetării și inovării pentru ambalaje mai durabile și reciclabilitate crescută, inclusiv prin utilizarea de materiale reciclate și reducerea materialelor inutile, precum și promovarea implementării rezultatelor în industria ambalajelor și retail</w:t>
            </w:r>
          </w:p>
        </w:tc>
        <w:tc>
          <w:tcPr>
            <w:tcW w:w="1260" w:type="dxa"/>
            <w:hideMark/>
          </w:tcPr>
          <w:p w14:paraId="477CEE61"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2035</w:t>
            </w:r>
          </w:p>
        </w:tc>
        <w:tc>
          <w:tcPr>
            <w:tcW w:w="1471" w:type="dxa"/>
            <w:hideMark/>
          </w:tcPr>
          <w:p w14:paraId="1ED1E704"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126" w:type="dxa"/>
            <w:hideMark/>
          </w:tcPr>
          <w:p w14:paraId="75984DE1"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 Fonduri europene</w:t>
            </w:r>
          </w:p>
        </w:tc>
      </w:tr>
      <w:tr w:rsidR="008F69F3" w:rsidRPr="00187708" w14:paraId="23194822" w14:textId="77777777" w:rsidTr="003A3D2B">
        <w:trPr>
          <w:trHeight w:val="510"/>
        </w:trPr>
        <w:tc>
          <w:tcPr>
            <w:tcW w:w="1261" w:type="dxa"/>
            <w:hideMark/>
          </w:tcPr>
          <w:p w14:paraId="22CC5EC8"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PREV-M8</w:t>
            </w:r>
          </w:p>
        </w:tc>
        <w:tc>
          <w:tcPr>
            <w:tcW w:w="740" w:type="dxa"/>
            <w:hideMark/>
          </w:tcPr>
          <w:p w14:paraId="155CEE9C"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293A82E2"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3.3</w:t>
            </w:r>
          </w:p>
        </w:tc>
        <w:tc>
          <w:tcPr>
            <w:tcW w:w="6719" w:type="dxa"/>
            <w:hideMark/>
          </w:tcPr>
          <w:p w14:paraId="44BBD205"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Promovarea ecodesign-ului în industrie (ambalaje cu conținut reciclat și mai puține materiale)</w:t>
            </w:r>
          </w:p>
        </w:tc>
        <w:tc>
          <w:tcPr>
            <w:tcW w:w="1260" w:type="dxa"/>
            <w:hideMark/>
          </w:tcPr>
          <w:p w14:paraId="7474F350"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45A73AAD"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3B82C701"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629A227D" w14:textId="77777777" w:rsidTr="00A8395B">
        <w:trPr>
          <w:trHeight w:val="207"/>
        </w:trPr>
        <w:tc>
          <w:tcPr>
            <w:tcW w:w="1261" w:type="dxa"/>
            <w:hideMark/>
          </w:tcPr>
          <w:p w14:paraId="1BF100DE"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PREV-A17</w:t>
            </w:r>
          </w:p>
        </w:tc>
        <w:tc>
          <w:tcPr>
            <w:tcW w:w="740" w:type="dxa"/>
            <w:hideMark/>
          </w:tcPr>
          <w:p w14:paraId="07BB0730"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2D0F7B4E"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3.3.1</w:t>
            </w:r>
          </w:p>
        </w:tc>
        <w:tc>
          <w:tcPr>
            <w:tcW w:w="6719" w:type="dxa"/>
            <w:hideMark/>
          </w:tcPr>
          <w:p w14:paraId="45FA2206"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Implementarea și stimularea ecodesign-ului în industria ambalajelor, prin utilizarea materialelor reciclate, reducerea cantității de materiale și optimizarea ciclului de viață al produselor</w:t>
            </w:r>
          </w:p>
        </w:tc>
        <w:tc>
          <w:tcPr>
            <w:tcW w:w="1260" w:type="dxa"/>
            <w:hideMark/>
          </w:tcPr>
          <w:p w14:paraId="27F80CFC"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7216D9FD"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ME; Producătorii</w:t>
            </w:r>
          </w:p>
        </w:tc>
        <w:tc>
          <w:tcPr>
            <w:tcW w:w="2126" w:type="dxa"/>
            <w:hideMark/>
          </w:tcPr>
          <w:p w14:paraId="71B5B2D2"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A54886" w:rsidRPr="00187708" w14:paraId="517A4906" w14:textId="77777777" w:rsidTr="00A54886">
        <w:trPr>
          <w:trHeight w:val="70"/>
        </w:trPr>
        <w:tc>
          <w:tcPr>
            <w:tcW w:w="14737" w:type="dxa"/>
            <w:gridSpan w:val="7"/>
            <w:shd w:val="clear" w:color="auto" w:fill="0070C0"/>
          </w:tcPr>
          <w:p w14:paraId="1167AD91" w14:textId="7BD8CEA5" w:rsidR="00A54886" w:rsidRPr="00187708" w:rsidRDefault="00A54886" w:rsidP="008F69F3">
            <w:pPr>
              <w:spacing w:line="240" w:lineRule="auto"/>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Modul de îndeplinire a Planului de acțiune privind prevenirea generării deșeurilor de echipamente electrice și electronice</w:t>
            </w:r>
          </w:p>
        </w:tc>
      </w:tr>
      <w:tr w:rsidR="00A8395B" w:rsidRPr="00187708" w14:paraId="08F27298" w14:textId="77777777">
        <w:trPr>
          <w:trHeight w:val="70"/>
        </w:trPr>
        <w:tc>
          <w:tcPr>
            <w:tcW w:w="1261" w:type="dxa"/>
            <w:shd w:val="clear" w:color="auto" w:fill="00B0F0"/>
            <w:hideMark/>
          </w:tcPr>
          <w:p w14:paraId="4E2A0D85" w14:textId="77777777" w:rsidR="00A8395B" w:rsidRPr="00187708" w:rsidRDefault="00A8395B"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PREV-OS-04</w:t>
            </w:r>
          </w:p>
        </w:tc>
        <w:tc>
          <w:tcPr>
            <w:tcW w:w="740" w:type="dxa"/>
            <w:shd w:val="clear" w:color="auto" w:fill="00B0F0"/>
            <w:hideMark/>
          </w:tcPr>
          <w:p w14:paraId="3E5587AD" w14:textId="77777777" w:rsidR="00A8395B" w:rsidRPr="00187708" w:rsidRDefault="00A8395B"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OS</w:t>
            </w:r>
          </w:p>
        </w:tc>
        <w:tc>
          <w:tcPr>
            <w:tcW w:w="1160" w:type="dxa"/>
            <w:shd w:val="clear" w:color="auto" w:fill="00B0F0"/>
            <w:hideMark/>
          </w:tcPr>
          <w:p w14:paraId="7242C1F3" w14:textId="77777777" w:rsidR="00A8395B" w:rsidRPr="00187708" w:rsidRDefault="00A8395B" w:rsidP="008F69F3">
            <w:pPr>
              <w:spacing w:line="240" w:lineRule="auto"/>
              <w:jc w:val="center"/>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Obiectiv 4</w:t>
            </w:r>
          </w:p>
        </w:tc>
        <w:tc>
          <w:tcPr>
            <w:tcW w:w="11576" w:type="dxa"/>
            <w:gridSpan w:val="4"/>
            <w:shd w:val="clear" w:color="auto" w:fill="00B0F0"/>
            <w:hideMark/>
          </w:tcPr>
          <w:p w14:paraId="694EA3E5" w14:textId="72CD760F" w:rsidR="00A8395B" w:rsidRPr="00187708" w:rsidRDefault="00A8395B" w:rsidP="00A8395B">
            <w:pPr>
              <w:spacing w:line="240" w:lineRule="auto"/>
              <w:rPr>
                <w:rFonts w:ascii="Nunito" w:eastAsia="Times New Roman" w:hAnsi="Nunito" w:cs="Arial"/>
                <w:b/>
                <w:bCs/>
                <w:color w:val="FFFFFF"/>
                <w:sz w:val="16"/>
                <w:szCs w:val="16"/>
                <w:lang w:val="ro-RO"/>
              </w:rPr>
            </w:pPr>
            <w:r w:rsidRPr="00187708">
              <w:rPr>
                <w:rFonts w:ascii="Nunito" w:eastAsia="Times New Roman" w:hAnsi="Nunito" w:cs="Arial"/>
                <w:b/>
                <w:bCs/>
                <w:color w:val="FFFFFF"/>
                <w:sz w:val="16"/>
                <w:szCs w:val="16"/>
                <w:lang w:val="ro-RO"/>
              </w:rPr>
              <w:t>Creșterea duratei de viață a echipamentelor electrice, electronice și electrocasnice și stimularea pregătirii pentru reutilizare a DEEE, astfel încât cantitatea de deșeuri generate să fie redusă și cel puțin 20% din DEEE colectate să fie direcționate către pregătire pentru reutilizare până în 2030 </w:t>
            </w:r>
          </w:p>
        </w:tc>
      </w:tr>
      <w:tr w:rsidR="008F69F3" w:rsidRPr="00187708" w14:paraId="262B8CC7" w14:textId="77777777" w:rsidTr="003A3D2B">
        <w:trPr>
          <w:trHeight w:val="300"/>
        </w:trPr>
        <w:tc>
          <w:tcPr>
            <w:tcW w:w="1261" w:type="dxa"/>
            <w:hideMark/>
          </w:tcPr>
          <w:p w14:paraId="5822E1FF"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PREV-M9</w:t>
            </w:r>
          </w:p>
        </w:tc>
        <w:tc>
          <w:tcPr>
            <w:tcW w:w="740" w:type="dxa"/>
            <w:hideMark/>
          </w:tcPr>
          <w:p w14:paraId="4D44D6FE"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64F8A291"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4.1</w:t>
            </w:r>
          </w:p>
        </w:tc>
        <w:tc>
          <w:tcPr>
            <w:tcW w:w="6719" w:type="dxa"/>
            <w:hideMark/>
          </w:tcPr>
          <w:p w14:paraId="31817BC7"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Extinderea duratei de utilizare prin reparare și recondiționare</w:t>
            </w:r>
          </w:p>
        </w:tc>
        <w:tc>
          <w:tcPr>
            <w:tcW w:w="1260" w:type="dxa"/>
            <w:hideMark/>
          </w:tcPr>
          <w:p w14:paraId="4F7658BC"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0A36FD2A"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7A9AF811"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3D65C0ED" w14:textId="77777777" w:rsidTr="003A3D2B">
        <w:trPr>
          <w:trHeight w:val="765"/>
        </w:trPr>
        <w:tc>
          <w:tcPr>
            <w:tcW w:w="1261" w:type="dxa"/>
            <w:hideMark/>
          </w:tcPr>
          <w:p w14:paraId="6FC477A5"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PREV-A18</w:t>
            </w:r>
          </w:p>
        </w:tc>
        <w:tc>
          <w:tcPr>
            <w:tcW w:w="740" w:type="dxa"/>
            <w:hideMark/>
          </w:tcPr>
          <w:p w14:paraId="5F2EEE79"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267F89C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4.1.1</w:t>
            </w:r>
          </w:p>
        </w:tc>
        <w:tc>
          <w:tcPr>
            <w:tcW w:w="6719" w:type="dxa"/>
            <w:hideMark/>
          </w:tcPr>
          <w:p w14:paraId="05D5476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Organizarea colectării EEE funcționale de la populație și retaileri, colaborarea cu centre autorizate de recondiționare și aplicarea stimulentelor pentru reparare, conform Directivei privind dreptul la reparare</w:t>
            </w:r>
          </w:p>
        </w:tc>
        <w:tc>
          <w:tcPr>
            <w:tcW w:w="1260" w:type="dxa"/>
            <w:hideMark/>
          </w:tcPr>
          <w:p w14:paraId="6220DF0E"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1471" w:type="dxa"/>
            <w:hideMark/>
          </w:tcPr>
          <w:p w14:paraId="221A157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MEDAT</w:t>
            </w:r>
          </w:p>
        </w:tc>
        <w:tc>
          <w:tcPr>
            <w:tcW w:w="2126" w:type="dxa"/>
            <w:hideMark/>
          </w:tcPr>
          <w:p w14:paraId="5DB68052"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Fonduri europene</w:t>
            </w:r>
          </w:p>
        </w:tc>
      </w:tr>
      <w:tr w:rsidR="008F69F3" w:rsidRPr="00187708" w14:paraId="64E27FA1" w14:textId="77777777" w:rsidTr="003A3D2B">
        <w:trPr>
          <w:trHeight w:val="70"/>
        </w:trPr>
        <w:tc>
          <w:tcPr>
            <w:tcW w:w="1261" w:type="dxa"/>
            <w:hideMark/>
          </w:tcPr>
          <w:p w14:paraId="03A71699"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PREV-M10</w:t>
            </w:r>
          </w:p>
        </w:tc>
        <w:tc>
          <w:tcPr>
            <w:tcW w:w="740" w:type="dxa"/>
            <w:hideMark/>
          </w:tcPr>
          <w:p w14:paraId="3C1A9E89"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6440B506"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4.2</w:t>
            </w:r>
          </w:p>
        </w:tc>
        <w:tc>
          <w:tcPr>
            <w:tcW w:w="6719" w:type="dxa"/>
            <w:hideMark/>
          </w:tcPr>
          <w:p w14:paraId="216D9D6B"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Încurajarea producătorilor să proiecteze EEE durabile, reparabile și modulare</w:t>
            </w:r>
          </w:p>
        </w:tc>
        <w:tc>
          <w:tcPr>
            <w:tcW w:w="1260" w:type="dxa"/>
            <w:hideMark/>
          </w:tcPr>
          <w:p w14:paraId="053CDD7A"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0B094F5D"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7F36658B"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0A458639" w14:textId="77777777" w:rsidTr="00A8395B">
        <w:trPr>
          <w:trHeight w:val="247"/>
        </w:trPr>
        <w:tc>
          <w:tcPr>
            <w:tcW w:w="1261" w:type="dxa"/>
            <w:hideMark/>
          </w:tcPr>
          <w:p w14:paraId="6047205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PREV-A19</w:t>
            </w:r>
          </w:p>
        </w:tc>
        <w:tc>
          <w:tcPr>
            <w:tcW w:w="740" w:type="dxa"/>
            <w:hideMark/>
          </w:tcPr>
          <w:p w14:paraId="23AFEC04"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2EFE2374"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4.2.1</w:t>
            </w:r>
          </w:p>
        </w:tc>
        <w:tc>
          <w:tcPr>
            <w:tcW w:w="6719" w:type="dxa"/>
            <w:hideMark/>
          </w:tcPr>
          <w:p w14:paraId="66A2F659"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și promovarea ghidurilor și standardelor de reparabilitate, utilizarea materialelor reciclate și a designului modular și informarea producătorilor privind End-of-Waste pentru reutilizare</w:t>
            </w:r>
          </w:p>
        </w:tc>
        <w:tc>
          <w:tcPr>
            <w:tcW w:w="1260" w:type="dxa"/>
            <w:hideMark/>
          </w:tcPr>
          <w:p w14:paraId="14D1B30A"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2026</w:t>
            </w:r>
          </w:p>
        </w:tc>
        <w:tc>
          <w:tcPr>
            <w:tcW w:w="1471" w:type="dxa"/>
            <w:hideMark/>
          </w:tcPr>
          <w:p w14:paraId="4BCE400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ANPC</w:t>
            </w:r>
          </w:p>
        </w:tc>
        <w:tc>
          <w:tcPr>
            <w:tcW w:w="2126" w:type="dxa"/>
            <w:hideMark/>
          </w:tcPr>
          <w:p w14:paraId="427B2BA1"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5CC75360" w14:textId="77777777" w:rsidTr="003A3D2B">
        <w:trPr>
          <w:trHeight w:val="300"/>
        </w:trPr>
        <w:tc>
          <w:tcPr>
            <w:tcW w:w="1261" w:type="dxa"/>
            <w:hideMark/>
          </w:tcPr>
          <w:p w14:paraId="283AFE2B"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PREV-M11</w:t>
            </w:r>
          </w:p>
        </w:tc>
        <w:tc>
          <w:tcPr>
            <w:tcW w:w="740" w:type="dxa"/>
            <w:hideMark/>
          </w:tcPr>
          <w:p w14:paraId="7A3579B4"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708AF688"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4.3</w:t>
            </w:r>
          </w:p>
        </w:tc>
        <w:tc>
          <w:tcPr>
            <w:tcW w:w="6719" w:type="dxa"/>
            <w:hideMark/>
          </w:tcPr>
          <w:p w14:paraId="1E20C142"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Reducerea generării de DEEE prin reutilizare și donații</w:t>
            </w:r>
          </w:p>
        </w:tc>
        <w:tc>
          <w:tcPr>
            <w:tcW w:w="1260" w:type="dxa"/>
            <w:hideMark/>
          </w:tcPr>
          <w:p w14:paraId="69A2D292"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267523D3"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76EC27FF"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7A2A0D32" w14:textId="77777777" w:rsidTr="003A3D2B">
        <w:trPr>
          <w:trHeight w:val="665"/>
        </w:trPr>
        <w:tc>
          <w:tcPr>
            <w:tcW w:w="1261" w:type="dxa"/>
            <w:hideMark/>
          </w:tcPr>
          <w:p w14:paraId="65D67FE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PREV-A20</w:t>
            </w:r>
          </w:p>
        </w:tc>
        <w:tc>
          <w:tcPr>
            <w:tcW w:w="740" w:type="dxa"/>
            <w:hideMark/>
          </w:tcPr>
          <w:p w14:paraId="70F5048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02BB797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4.3.1</w:t>
            </w:r>
          </w:p>
        </w:tc>
        <w:tc>
          <w:tcPr>
            <w:tcW w:w="6719" w:type="dxa"/>
            <w:hideMark/>
          </w:tcPr>
          <w:p w14:paraId="6D2EF27D"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Crearea unui mecanism național organizat de colectare și predare voluntară a echipamentelor EEE funcționale, prin operatori autorizați, centre de colectare și parteneriate cu ONG-uri și instituții, în vederea reutilizării sau donării, inclusiv campanii de informare privind predarea acestora și aplicarea standardelor de reutilizare</w:t>
            </w:r>
          </w:p>
        </w:tc>
        <w:tc>
          <w:tcPr>
            <w:tcW w:w="1260" w:type="dxa"/>
            <w:hideMark/>
          </w:tcPr>
          <w:p w14:paraId="3D198AB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2027</w:t>
            </w:r>
          </w:p>
        </w:tc>
        <w:tc>
          <w:tcPr>
            <w:tcW w:w="1471" w:type="dxa"/>
            <w:hideMark/>
          </w:tcPr>
          <w:p w14:paraId="17EB6F3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126" w:type="dxa"/>
            <w:hideMark/>
          </w:tcPr>
          <w:p w14:paraId="3E165790"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3A3D2B" w:rsidRPr="00187708" w14:paraId="238D87B3" w14:textId="77777777" w:rsidTr="003A3D2B">
        <w:trPr>
          <w:trHeight w:val="70"/>
        </w:trPr>
        <w:tc>
          <w:tcPr>
            <w:tcW w:w="14737" w:type="dxa"/>
            <w:gridSpan w:val="7"/>
            <w:shd w:val="clear" w:color="auto" w:fill="0070C0"/>
          </w:tcPr>
          <w:p w14:paraId="1DDC3297" w14:textId="7474526E" w:rsidR="003A3D2B" w:rsidRPr="00187708" w:rsidRDefault="003A3D2B" w:rsidP="008F69F3">
            <w:pPr>
              <w:spacing w:line="240" w:lineRule="auto"/>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Modul de îndeplinre al Planului de acțiune privind prevenirea generării deșeurilor de bateriilor și acumulatorilor</w:t>
            </w:r>
          </w:p>
        </w:tc>
      </w:tr>
      <w:tr w:rsidR="00A8395B" w:rsidRPr="00187708" w14:paraId="455AE709" w14:textId="77777777">
        <w:trPr>
          <w:trHeight w:val="70"/>
        </w:trPr>
        <w:tc>
          <w:tcPr>
            <w:tcW w:w="1261" w:type="dxa"/>
            <w:shd w:val="clear" w:color="auto" w:fill="00B0F0"/>
            <w:hideMark/>
          </w:tcPr>
          <w:p w14:paraId="3A4927DB"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PREV-OS-05</w:t>
            </w:r>
          </w:p>
        </w:tc>
        <w:tc>
          <w:tcPr>
            <w:tcW w:w="740" w:type="dxa"/>
            <w:shd w:val="clear" w:color="auto" w:fill="00B0F0"/>
            <w:hideMark/>
          </w:tcPr>
          <w:p w14:paraId="238ADD98"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OS</w:t>
            </w:r>
          </w:p>
        </w:tc>
        <w:tc>
          <w:tcPr>
            <w:tcW w:w="1160" w:type="dxa"/>
            <w:shd w:val="clear" w:color="auto" w:fill="00B0F0"/>
            <w:hideMark/>
          </w:tcPr>
          <w:p w14:paraId="2163CC50" w14:textId="77777777" w:rsidR="00A8395B" w:rsidRPr="00187708" w:rsidRDefault="00A8395B" w:rsidP="008F69F3">
            <w:pPr>
              <w:spacing w:line="240" w:lineRule="auto"/>
              <w:jc w:val="center"/>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Obiectiv 5</w:t>
            </w:r>
          </w:p>
        </w:tc>
        <w:tc>
          <w:tcPr>
            <w:tcW w:w="11576" w:type="dxa"/>
            <w:gridSpan w:val="4"/>
            <w:shd w:val="clear" w:color="auto" w:fill="00B0F0"/>
            <w:hideMark/>
          </w:tcPr>
          <w:p w14:paraId="00047075" w14:textId="5BFE293D" w:rsidR="00A8395B" w:rsidRPr="00187708" w:rsidRDefault="00A8395B" w:rsidP="00A8395B">
            <w:pPr>
              <w:spacing w:line="240" w:lineRule="auto"/>
              <w:rPr>
                <w:rFonts w:ascii="Nunito" w:eastAsia="Times New Roman" w:hAnsi="Nunito" w:cs="Arial"/>
                <w:b/>
                <w:bCs/>
                <w:color w:val="FFFFFF" w:themeColor="background1"/>
                <w:sz w:val="16"/>
                <w:szCs w:val="16"/>
                <w:lang w:val="ro-RO"/>
              </w:rPr>
            </w:pPr>
            <w:r w:rsidRPr="00187708">
              <w:rPr>
                <w:rFonts w:ascii="Nunito" w:eastAsia="Times New Roman" w:hAnsi="Nunito" w:cs="Arial"/>
                <w:b/>
                <w:bCs/>
                <w:color w:val="FFFFFF" w:themeColor="background1"/>
                <w:sz w:val="16"/>
                <w:szCs w:val="16"/>
                <w:lang w:val="ro-RO"/>
              </w:rPr>
              <w:t>Reutilizarea și reafectarea bateriilor și acumulatorilor, astfel încât cantitatea de deșeuri de baterii și acumulatori generată să fie redusă cu cel puțin 20% până în anul 2030, raportat la anul de referință al PNGD</w:t>
            </w:r>
          </w:p>
        </w:tc>
      </w:tr>
      <w:tr w:rsidR="008F69F3" w:rsidRPr="00187708" w14:paraId="63446A91" w14:textId="77777777" w:rsidTr="003A3D2B">
        <w:trPr>
          <w:trHeight w:val="70"/>
        </w:trPr>
        <w:tc>
          <w:tcPr>
            <w:tcW w:w="1261" w:type="dxa"/>
            <w:hideMark/>
          </w:tcPr>
          <w:p w14:paraId="4B5E1664"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PREV-M12</w:t>
            </w:r>
          </w:p>
        </w:tc>
        <w:tc>
          <w:tcPr>
            <w:tcW w:w="740" w:type="dxa"/>
            <w:hideMark/>
          </w:tcPr>
          <w:p w14:paraId="738DE506"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25980A32"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5.1</w:t>
            </w:r>
          </w:p>
        </w:tc>
        <w:tc>
          <w:tcPr>
            <w:tcW w:w="6719" w:type="dxa"/>
            <w:hideMark/>
          </w:tcPr>
          <w:p w14:paraId="54CBF31C"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Promovarea proiectării ecologice și a inovării pentru baterii verzi și durabile, cu integrarea materialelor reciclate și recuperarea materiilor prime critice</w:t>
            </w:r>
          </w:p>
        </w:tc>
        <w:tc>
          <w:tcPr>
            <w:tcW w:w="1260" w:type="dxa"/>
            <w:hideMark/>
          </w:tcPr>
          <w:p w14:paraId="2F3A55EF"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6BFF86B7"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44E012F7"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15054F5D" w14:textId="77777777" w:rsidTr="003A3D2B">
        <w:trPr>
          <w:trHeight w:val="510"/>
        </w:trPr>
        <w:tc>
          <w:tcPr>
            <w:tcW w:w="1261" w:type="dxa"/>
            <w:hideMark/>
          </w:tcPr>
          <w:p w14:paraId="52B91889"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lastRenderedPageBreak/>
              <w:t>PREV-A21</w:t>
            </w:r>
          </w:p>
        </w:tc>
        <w:tc>
          <w:tcPr>
            <w:tcW w:w="740" w:type="dxa"/>
            <w:hideMark/>
          </w:tcPr>
          <w:p w14:paraId="21EF3423"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70AFD98F"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5.1.1</w:t>
            </w:r>
          </w:p>
        </w:tc>
        <w:tc>
          <w:tcPr>
            <w:tcW w:w="6719" w:type="dxa"/>
            <w:hideMark/>
          </w:tcPr>
          <w:p w14:paraId="253A41A8"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Elaborarea ghidurilor pentru design durabil și promovarea inovării pentru baterii reutilizabile</w:t>
            </w:r>
          </w:p>
        </w:tc>
        <w:tc>
          <w:tcPr>
            <w:tcW w:w="1260" w:type="dxa"/>
            <w:hideMark/>
          </w:tcPr>
          <w:p w14:paraId="46F58380"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53C2AB8D"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w:t>
            </w:r>
          </w:p>
        </w:tc>
        <w:tc>
          <w:tcPr>
            <w:tcW w:w="2126" w:type="dxa"/>
            <w:hideMark/>
          </w:tcPr>
          <w:p w14:paraId="6E3C2932"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2556506A" w14:textId="77777777" w:rsidTr="003A3D2B">
        <w:trPr>
          <w:trHeight w:val="70"/>
        </w:trPr>
        <w:tc>
          <w:tcPr>
            <w:tcW w:w="1261" w:type="dxa"/>
            <w:hideMark/>
          </w:tcPr>
          <w:p w14:paraId="07C2615B"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PREV-M13</w:t>
            </w:r>
          </w:p>
        </w:tc>
        <w:tc>
          <w:tcPr>
            <w:tcW w:w="740" w:type="dxa"/>
            <w:hideMark/>
          </w:tcPr>
          <w:p w14:paraId="471D86DF"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52CBF64C"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5.2</w:t>
            </w:r>
          </w:p>
        </w:tc>
        <w:tc>
          <w:tcPr>
            <w:tcW w:w="6719" w:type="dxa"/>
            <w:hideMark/>
          </w:tcPr>
          <w:p w14:paraId="75B4A0EA"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Creșterea duratei de viață a bateriilor prin stabilirea unor standarde minime de performanță și reparabilitate, precum și prin promovarea bateriilor reutilizabile și reîncărcabile în detrimentul celor de unică folosință</w:t>
            </w:r>
          </w:p>
        </w:tc>
        <w:tc>
          <w:tcPr>
            <w:tcW w:w="1260" w:type="dxa"/>
            <w:hideMark/>
          </w:tcPr>
          <w:p w14:paraId="2D8E3303"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4347B343"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30B4DB85"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2627A50E" w14:textId="77777777" w:rsidTr="003A3D2B">
        <w:trPr>
          <w:trHeight w:val="510"/>
        </w:trPr>
        <w:tc>
          <w:tcPr>
            <w:tcW w:w="1261" w:type="dxa"/>
            <w:hideMark/>
          </w:tcPr>
          <w:p w14:paraId="7B57B6D7"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PREV-A22</w:t>
            </w:r>
          </w:p>
        </w:tc>
        <w:tc>
          <w:tcPr>
            <w:tcW w:w="740" w:type="dxa"/>
            <w:hideMark/>
          </w:tcPr>
          <w:p w14:paraId="6F0E491E"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1217FD36"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5.2.1</w:t>
            </w:r>
          </w:p>
        </w:tc>
        <w:tc>
          <w:tcPr>
            <w:tcW w:w="6719" w:type="dxa"/>
            <w:hideMark/>
          </w:tcPr>
          <w:p w14:paraId="3D59B717"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Stabilirea și aplicarea standardelor de reparabilitate și durabilitate; certificarea bateriilor reutilizabile și reîncărcabile</w:t>
            </w:r>
          </w:p>
        </w:tc>
        <w:tc>
          <w:tcPr>
            <w:tcW w:w="1260" w:type="dxa"/>
            <w:hideMark/>
          </w:tcPr>
          <w:p w14:paraId="35D1C938"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4C213758"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ANPC; ASRO</w:t>
            </w:r>
          </w:p>
        </w:tc>
        <w:tc>
          <w:tcPr>
            <w:tcW w:w="2126" w:type="dxa"/>
            <w:hideMark/>
          </w:tcPr>
          <w:p w14:paraId="3155082E"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r w:rsidR="008F69F3" w:rsidRPr="00187708" w14:paraId="74448724" w14:textId="77777777" w:rsidTr="003A3D2B">
        <w:trPr>
          <w:trHeight w:val="70"/>
        </w:trPr>
        <w:tc>
          <w:tcPr>
            <w:tcW w:w="1261" w:type="dxa"/>
            <w:hideMark/>
          </w:tcPr>
          <w:p w14:paraId="59F3C37B"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PREV-M14</w:t>
            </w:r>
          </w:p>
        </w:tc>
        <w:tc>
          <w:tcPr>
            <w:tcW w:w="740" w:type="dxa"/>
            <w:hideMark/>
          </w:tcPr>
          <w:p w14:paraId="779F24C4"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M</w:t>
            </w:r>
          </w:p>
        </w:tc>
        <w:tc>
          <w:tcPr>
            <w:tcW w:w="1160" w:type="dxa"/>
            <w:hideMark/>
          </w:tcPr>
          <w:p w14:paraId="2F52604D" w14:textId="77777777" w:rsidR="008F69F3" w:rsidRPr="00187708" w:rsidRDefault="008F69F3" w:rsidP="008F69F3">
            <w:pPr>
              <w:spacing w:line="240" w:lineRule="auto"/>
              <w:jc w:val="center"/>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5.3</w:t>
            </w:r>
          </w:p>
        </w:tc>
        <w:tc>
          <w:tcPr>
            <w:tcW w:w="6719" w:type="dxa"/>
            <w:hideMark/>
          </w:tcPr>
          <w:p w14:paraId="06452F6F"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Implementarea mecanismelor economice de stimulare a reutilizării și reafectării bateriilor (garanție-returnare, bonus-malus, subvenții)</w:t>
            </w:r>
          </w:p>
        </w:tc>
        <w:tc>
          <w:tcPr>
            <w:tcW w:w="1260" w:type="dxa"/>
            <w:hideMark/>
          </w:tcPr>
          <w:p w14:paraId="2739776A"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1471" w:type="dxa"/>
            <w:hideMark/>
          </w:tcPr>
          <w:p w14:paraId="62A6D8ED"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c>
          <w:tcPr>
            <w:tcW w:w="2126" w:type="dxa"/>
            <w:hideMark/>
          </w:tcPr>
          <w:p w14:paraId="35DCD783" w14:textId="77777777" w:rsidR="008F69F3" w:rsidRPr="00187708" w:rsidRDefault="008F69F3" w:rsidP="008F69F3">
            <w:pPr>
              <w:spacing w:line="240" w:lineRule="auto"/>
              <w:rPr>
                <w:rFonts w:ascii="Nunito" w:eastAsia="Times New Roman" w:hAnsi="Nunito" w:cs="Arial"/>
                <w:b/>
                <w:bCs/>
                <w:color w:val="0F5C52"/>
                <w:sz w:val="16"/>
                <w:szCs w:val="16"/>
                <w:lang w:val="ro-RO"/>
              </w:rPr>
            </w:pPr>
            <w:r w:rsidRPr="00187708">
              <w:rPr>
                <w:rFonts w:ascii="Nunito" w:eastAsia="Times New Roman" w:hAnsi="Nunito" w:cs="Arial"/>
                <w:b/>
                <w:bCs/>
                <w:color w:val="0F5C52"/>
                <w:sz w:val="16"/>
                <w:szCs w:val="16"/>
                <w:lang w:val="ro-RO"/>
              </w:rPr>
              <w:t> </w:t>
            </w:r>
          </w:p>
        </w:tc>
      </w:tr>
      <w:tr w:rsidR="008F69F3" w:rsidRPr="00187708" w14:paraId="167A9129" w14:textId="77777777" w:rsidTr="003A3D2B">
        <w:trPr>
          <w:trHeight w:val="510"/>
        </w:trPr>
        <w:tc>
          <w:tcPr>
            <w:tcW w:w="1261" w:type="dxa"/>
            <w:hideMark/>
          </w:tcPr>
          <w:p w14:paraId="04016605"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PREV-A23</w:t>
            </w:r>
          </w:p>
        </w:tc>
        <w:tc>
          <w:tcPr>
            <w:tcW w:w="740" w:type="dxa"/>
            <w:hideMark/>
          </w:tcPr>
          <w:p w14:paraId="44B37DB2"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w:t>
            </w:r>
          </w:p>
        </w:tc>
        <w:tc>
          <w:tcPr>
            <w:tcW w:w="1160" w:type="dxa"/>
            <w:hideMark/>
          </w:tcPr>
          <w:p w14:paraId="34E9F220" w14:textId="77777777" w:rsidR="008F69F3" w:rsidRPr="00187708" w:rsidRDefault="008F69F3" w:rsidP="008F69F3">
            <w:pPr>
              <w:spacing w:line="240" w:lineRule="auto"/>
              <w:jc w:val="center"/>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5.3.1</w:t>
            </w:r>
          </w:p>
        </w:tc>
        <w:tc>
          <w:tcPr>
            <w:tcW w:w="6719" w:type="dxa"/>
            <w:hideMark/>
          </w:tcPr>
          <w:p w14:paraId="0DFA9503"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Aplicarea directă pentru atingerea obiectivului de 20% prevenire pentru bateriile portabile</w:t>
            </w:r>
          </w:p>
        </w:tc>
        <w:tc>
          <w:tcPr>
            <w:tcW w:w="1260" w:type="dxa"/>
            <w:hideMark/>
          </w:tcPr>
          <w:p w14:paraId="61335055"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2030</w:t>
            </w:r>
          </w:p>
        </w:tc>
        <w:tc>
          <w:tcPr>
            <w:tcW w:w="1471" w:type="dxa"/>
            <w:hideMark/>
          </w:tcPr>
          <w:p w14:paraId="089DA838"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MMAP; AFM; Operatorii economici</w:t>
            </w:r>
          </w:p>
        </w:tc>
        <w:tc>
          <w:tcPr>
            <w:tcW w:w="2126" w:type="dxa"/>
            <w:hideMark/>
          </w:tcPr>
          <w:p w14:paraId="234B2FEE" w14:textId="77777777" w:rsidR="008F69F3" w:rsidRPr="00187708" w:rsidRDefault="008F69F3" w:rsidP="008F69F3">
            <w:pPr>
              <w:spacing w:line="240" w:lineRule="auto"/>
              <w:rPr>
                <w:rFonts w:ascii="Nunito" w:eastAsia="Times New Roman" w:hAnsi="Nunito" w:cs="Arial"/>
                <w:color w:val="000000"/>
                <w:sz w:val="16"/>
                <w:szCs w:val="16"/>
                <w:lang w:val="ro-RO"/>
              </w:rPr>
            </w:pPr>
            <w:r w:rsidRPr="00187708">
              <w:rPr>
                <w:rFonts w:ascii="Nunito" w:eastAsia="Times New Roman" w:hAnsi="Nunito" w:cs="Arial"/>
                <w:color w:val="000000"/>
                <w:sz w:val="16"/>
                <w:szCs w:val="16"/>
                <w:lang w:val="ro-RO"/>
              </w:rPr>
              <w:t>Buget de stat</w:t>
            </w:r>
          </w:p>
        </w:tc>
      </w:tr>
    </w:tbl>
    <w:p w14:paraId="6ED35C87" w14:textId="77777777" w:rsidR="009033FD" w:rsidRPr="00187708" w:rsidRDefault="009033FD" w:rsidP="00387C79">
      <w:pPr>
        <w:spacing w:after="120" w:line="240" w:lineRule="auto"/>
        <w:jc w:val="both"/>
        <w:rPr>
          <w:rFonts w:ascii="Nunito" w:hAnsi="Nunito"/>
          <w:lang w:val="ro-RO"/>
        </w:rPr>
        <w:sectPr w:rsidR="009033FD" w:rsidRPr="00187708" w:rsidSect="009033FD">
          <w:pgSz w:w="16838" w:h="11906" w:orient="landscape" w:code="9"/>
          <w:pgMar w:top="1191" w:right="1418" w:bottom="1134" w:left="1418" w:header="839" w:footer="680" w:gutter="0"/>
          <w:cols w:space="708"/>
          <w:docGrid w:linePitch="360"/>
        </w:sectPr>
      </w:pPr>
    </w:p>
    <w:p w14:paraId="0DC7A86B" w14:textId="77777777" w:rsidR="00AE673F" w:rsidRPr="00187708" w:rsidRDefault="00AE673F" w:rsidP="00AE673F">
      <w:pPr>
        <w:pStyle w:val="Heading2"/>
        <w:spacing w:line="240" w:lineRule="auto"/>
        <w:rPr>
          <w:rFonts w:ascii="Nunito" w:hAnsi="Nunito"/>
          <w:lang w:val="ro-RO"/>
        </w:rPr>
      </w:pPr>
      <w:r w:rsidRPr="00187708">
        <w:rPr>
          <w:rFonts w:ascii="Nunito" w:hAnsi="Nunito"/>
          <w:lang w:val="ro-RO"/>
        </w:rPr>
        <w:lastRenderedPageBreak/>
        <w:t>Orizontul de timp al PNGD</w:t>
      </w:r>
    </w:p>
    <w:p w14:paraId="3F94D5CE" w14:textId="77777777" w:rsidR="00AE673F" w:rsidRPr="00187708" w:rsidRDefault="00AE673F" w:rsidP="00AE673F">
      <w:pPr>
        <w:spacing w:after="120" w:line="240" w:lineRule="auto"/>
        <w:jc w:val="both"/>
        <w:rPr>
          <w:rFonts w:ascii="Nunito" w:hAnsi="Nunito"/>
          <w:lang w:val="ro-RO"/>
        </w:rPr>
      </w:pPr>
      <w:r w:rsidRPr="00187708">
        <w:rPr>
          <w:rFonts w:ascii="Nunito" w:hAnsi="Nunito"/>
          <w:lang w:val="ro-RO"/>
        </w:rPr>
        <w:t>Coordonatele în timp ale PNGD sunt următoarele:</w:t>
      </w:r>
    </w:p>
    <w:p w14:paraId="36F7742B" w14:textId="62CF30C0" w:rsidR="007A69F7" w:rsidRPr="00187708" w:rsidRDefault="007A69F7" w:rsidP="007A69F7">
      <w:pPr>
        <w:pStyle w:val="Caption"/>
        <w:rPr>
          <w:rFonts w:ascii="Nunito" w:hAnsi="Nunito"/>
          <w:lang w:val="ro-RO"/>
        </w:rPr>
      </w:pPr>
      <w:r w:rsidRPr="00187708">
        <w:rPr>
          <w:lang w:val="ro-RO"/>
        </w:rPr>
        <w:t xml:space="preserve">Tabel </w:t>
      </w:r>
      <w:r w:rsidR="001802CD" w:rsidRPr="00187708">
        <w:rPr>
          <w:lang w:val="ro-RO"/>
        </w:rPr>
        <w:fldChar w:fldCharType="begin"/>
      </w:r>
      <w:r w:rsidR="001802CD" w:rsidRPr="00187708">
        <w:rPr>
          <w:lang w:val="ro-RO"/>
        </w:rPr>
        <w:instrText xml:space="preserve"> STYLEREF 1 \s </w:instrText>
      </w:r>
      <w:r w:rsidR="001802CD" w:rsidRPr="00187708">
        <w:rPr>
          <w:lang w:val="ro-RO"/>
        </w:rPr>
        <w:fldChar w:fldCharType="separate"/>
      </w:r>
      <w:r w:rsidR="00AA044A" w:rsidRPr="00187708">
        <w:rPr>
          <w:noProof/>
          <w:lang w:val="ro-RO"/>
        </w:rPr>
        <w:t>2</w:t>
      </w:r>
      <w:r w:rsidR="001802CD" w:rsidRPr="00187708">
        <w:rPr>
          <w:lang w:val="ro-RO"/>
        </w:rPr>
        <w:fldChar w:fldCharType="end"/>
      </w:r>
      <w:r w:rsidR="001802CD" w:rsidRPr="00187708">
        <w:rPr>
          <w:lang w:val="ro-RO"/>
        </w:rPr>
        <w:noBreakHyphen/>
      </w:r>
      <w:r w:rsidR="001802CD" w:rsidRPr="00187708">
        <w:rPr>
          <w:lang w:val="ro-RO"/>
        </w:rPr>
        <w:fldChar w:fldCharType="begin"/>
      </w:r>
      <w:r w:rsidR="001802CD" w:rsidRPr="00187708">
        <w:rPr>
          <w:lang w:val="ro-RO"/>
        </w:rPr>
        <w:instrText xml:space="preserve"> SEQ Tabel \* ARABIC \s 1 </w:instrText>
      </w:r>
      <w:r w:rsidR="001802CD" w:rsidRPr="00187708">
        <w:rPr>
          <w:lang w:val="ro-RO"/>
        </w:rPr>
        <w:fldChar w:fldCharType="separate"/>
      </w:r>
      <w:r w:rsidR="00327F01" w:rsidRPr="00187708">
        <w:rPr>
          <w:noProof/>
          <w:lang w:val="ro-RO"/>
        </w:rPr>
        <w:t>21</w:t>
      </w:r>
      <w:r w:rsidR="001802CD" w:rsidRPr="00187708">
        <w:rPr>
          <w:lang w:val="ro-RO"/>
        </w:rPr>
        <w:fldChar w:fldCharType="end"/>
      </w:r>
      <w:r w:rsidR="00D53065" w:rsidRPr="00187708">
        <w:rPr>
          <w:lang w:val="ro-RO"/>
        </w:rPr>
        <w:t>: Orizontul de timp al PNGD</w:t>
      </w:r>
    </w:p>
    <w:tbl>
      <w:tblPr>
        <w:tblStyle w:val="Ramboll-Table"/>
        <w:tblW w:w="0" w:type="auto"/>
        <w:tblLook w:val="04A0" w:firstRow="1" w:lastRow="0" w:firstColumn="1" w:lastColumn="0" w:noHBand="0" w:noVBand="1"/>
      </w:tblPr>
      <w:tblGrid>
        <w:gridCol w:w="7907"/>
        <w:gridCol w:w="1675"/>
      </w:tblGrid>
      <w:tr w:rsidR="00AE673F" w:rsidRPr="00187708" w14:paraId="4F4A9895" w14:textId="77777777">
        <w:trPr>
          <w:cnfStyle w:val="100000000000" w:firstRow="1" w:lastRow="0" w:firstColumn="0" w:lastColumn="0" w:oddVBand="0" w:evenVBand="0" w:oddHBand="0" w:evenHBand="0" w:firstRowFirstColumn="0" w:firstRowLastColumn="0" w:lastRowFirstColumn="0" w:lastRowLastColumn="0"/>
        </w:trPr>
        <w:tc>
          <w:tcPr>
            <w:tcW w:w="0" w:type="auto"/>
            <w:shd w:val="clear" w:color="auto" w:fill="D9D9D9" w:themeFill="background1" w:themeFillShade="D9"/>
            <w:hideMark/>
          </w:tcPr>
          <w:p w14:paraId="4BDB1DDF" w14:textId="77777777" w:rsidR="00AE673F" w:rsidRPr="00187708" w:rsidRDefault="00AE673F">
            <w:pPr>
              <w:spacing w:before="0" w:after="0" w:line="240" w:lineRule="auto"/>
              <w:rPr>
                <w:rFonts w:ascii="Nunito" w:eastAsia="Times New Roman" w:hAnsi="Nunito" w:cs="Times New Roman"/>
                <w:b/>
                <w:bCs/>
                <w:color w:val="009DF0" w:themeColor="text2"/>
                <w:sz w:val="16"/>
                <w:szCs w:val="16"/>
                <w:lang w:val="ro-RO" w:eastAsia="ro-RO"/>
              </w:rPr>
            </w:pPr>
            <w:r w:rsidRPr="00187708">
              <w:rPr>
                <w:rFonts w:ascii="Nunito" w:eastAsia="Times New Roman" w:hAnsi="Nunito" w:cs="Times New Roman"/>
                <w:b/>
                <w:bCs/>
                <w:color w:val="009DF0" w:themeColor="text2"/>
                <w:sz w:val="16"/>
                <w:szCs w:val="16"/>
                <w:lang w:val="ro-RO" w:eastAsia="ro-RO"/>
              </w:rPr>
              <w:t>Reper temporal</w:t>
            </w:r>
          </w:p>
        </w:tc>
        <w:tc>
          <w:tcPr>
            <w:tcW w:w="0" w:type="auto"/>
            <w:shd w:val="clear" w:color="auto" w:fill="D9D9D9" w:themeFill="background1" w:themeFillShade="D9"/>
            <w:hideMark/>
          </w:tcPr>
          <w:p w14:paraId="3015CC47" w14:textId="77777777" w:rsidR="00AE673F" w:rsidRPr="00187708" w:rsidRDefault="00AE673F">
            <w:pPr>
              <w:spacing w:before="0" w:after="0" w:line="240" w:lineRule="auto"/>
              <w:jc w:val="center"/>
              <w:rPr>
                <w:rFonts w:ascii="Nunito" w:eastAsia="Times New Roman" w:hAnsi="Nunito" w:cs="Times New Roman"/>
                <w:b/>
                <w:bCs/>
                <w:color w:val="009DF0" w:themeColor="text2"/>
                <w:sz w:val="16"/>
                <w:szCs w:val="16"/>
                <w:lang w:val="ro-RO" w:eastAsia="ro-RO"/>
              </w:rPr>
            </w:pPr>
            <w:r w:rsidRPr="00187708">
              <w:rPr>
                <w:rFonts w:ascii="Nunito" w:eastAsia="Times New Roman" w:hAnsi="Nunito" w:cs="Times New Roman"/>
                <w:b/>
                <w:bCs/>
                <w:color w:val="009DF0" w:themeColor="text2"/>
                <w:sz w:val="16"/>
                <w:szCs w:val="16"/>
                <w:lang w:val="ro-RO" w:eastAsia="ro-RO"/>
              </w:rPr>
              <w:t>Interval / An de referință</w:t>
            </w:r>
          </w:p>
        </w:tc>
      </w:tr>
      <w:tr w:rsidR="00AE673F" w:rsidRPr="00187708" w14:paraId="35026900" w14:textId="77777777">
        <w:tc>
          <w:tcPr>
            <w:tcW w:w="0" w:type="auto"/>
            <w:hideMark/>
          </w:tcPr>
          <w:p w14:paraId="7BCC6F55"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Perioada de elaborare a PNGD și PNPGD</w:t>
            </w:r>
          </w:p>
        </w:tc>
        <w:tc>
          <w:tcPr>
            <w:tcW w:w="0" w:type="auto"/>
            <w:hideMark/>
          </w:tcPr>
          <w:p w14:paraId="6CD7FC99"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2024–2026</w:t>
            </w:r>
          </w:p>
        </w:tc>
      </w:tr>
      <w:tr w:rsidR="00AE673F" w:rsidRPr="00187708" w14:paraId="2689E100" w14:textId="77777777">
        <w:tc>
          <w:tcPr>
            <w:tcW w:w="0" w:type="auto"/>
            <w:hideMark/>
          </w:tcPr>
          <w:p w14:paraId="388302BC"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Perioada de analiză utilizată pentru descrierea situației actuale, pe baza datelor privind cantitățile de deșeuri</w:t>
            </w:r>
          </w:p>
        </w:tc>
        <w:tc>
          <w:tcPr>
            <w:tcW w:w="0" w:type="auto"/>
            <w:hideMark/>
          </w:tcPr>
          <w:p w14:paraId="150CC90E"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2020–2022</w:t>
            </w:r>
          </w:p>
        </w:tc>
      </w:tr>
      <w:tr w:rsidR="00AE673F" w:rsidRPr="00187708" w14:paraId="63AF5D2E" w14:textId="77777777">
        <w:tc>
          <w:tcPr>
            <w:tcW w:w="0" w:type="auto"/>
            <w:hideMark/>
          </w:tcPr>
          <w:p w14:paraId="12897859"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Anul de referință pentru cantitățile de deșeuri</w:t>
            </w:r>
          </w:p>
        </w:tc>
        <w:tc>
          <w:tcPr>
            <w:tcW w:w="0" w:type="auto"/>
            <w:hideMark/>
          </w:tcPr>
          <w:p w14:paraId="3EDA9C6A"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2022</w:t>
            </w:r>
          </w:p>
        </w:tc>
      </w:tr>
      <w:tr w:rsidR="00AE673F" w:rsidRPr="00187708" w14:paraId="14101F21" w14:textId="77777777">
        <w:tc>
          <w:tcPr>
            <w:tcW w:w="0" w:type="auto"/>
            <w:hideMark/>
          </w:tcPr>
          <w:p w14:paraId="5996A346"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Anul de referință pentru descrierea sistemelor existente de colectare, a modificărilor prevăzute, a instalațiilor existente și a proiectelor planificate</w:t>
            </w:r>
          </w:p>
        </w:tc>
        <w:tc>
          <w:tcPr>
            <w:tcW w:w="0" w:type="auto"/>
            <w:hideMark/>
          </w:tcPr>
          <w:p w14:paraId="03028E0C"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2025</w:t>
            </w:r>
          </w:p>
        </w:tc>
      </w:tr>
      <w:tr w:rsidR="00AE673F" w:rsidRPr="00187708" w14:paraId="6F582A38" w14:textId="77777777">
        <w:tc>
          <w:tcPr>
            <w:tcW w:w="0" w:type="auto"/>
            <w:hideMark/>
          </w:tcPr>
          <w:p w14:paraId="4986F461"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Perioada utilizată pentru proiecțiile de generare a deșeurilor</w:t>
            </w:r>
          </w:p>
        </w:tc>
        <w:tc>
          <w:tcPr>
            <w:tcW w:w="0" w:type="auto"/>
            <w:hideMark/>
          </w:tcPr>
          <w:p w14:paraId="595A1157"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2023–2035</w:t>
            </w:r>
          </w:p>
        </w:tc>
      </w:tr>
      <w:tr w:rsidR="00AE673F" w:rsidRPr="00187708" w14:paraId="24462352" w14:textId="77777777">
        <w:tc>
          <w:tcPr>
            <w:tcW w:w="0" w:type="auto"/>
            <w:hideMark/>
          </w:tcPr>
          <w:p w14:paraId="24588A9A"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Perioada de planificare a PNGD</w:t>
            </w:r>
          </w:p>
        </w:tc>
        <w:tc>
          <w:tcPr>
            <w:tcW w:w="0" w:type="auto"/>
            <w:hideMark/>
          </w:tcPr>
          <w:p w14:paraId="73C9EAEB" w14:textId="77777777" w:rsidR="00AE673F" w:rsidRPr="00187708" w:rsidRDefault="00AE673F">
            <w:pPr>
              <w:spacing w:before="0" w:after="0" w:line="240" w:lineRule="auto"/>
              <w:rPr>
                <w:rFonts w:ascii="Nunito" w:eastAsia="Times New Roman" w:hAnsi="Nunito" w:cs="Times New Roman"/>
                <w:sz w:val="16"/>
                <w:szCs w:val="16"/>
                <w:lang w:val="ro-RO" w:eastAsia="ro-RO"/>
              </w:rPr>
            </w:pPr>
            <w:r w:rsidRPr="00187708">
              <w:rPr>
                <w:rFonts w:ascii="Nunito" w:eastAsia="Times New Roman" w:hAnsi="Nunito" w:cs="Times New Roman"/>
                <w:sz w:val="16"/>
                <w:szCs w:val="16"/>
                <w:lang w:val="ro-RO" w:eastAsia="ro-RO"/>
              </w:rPr>
              <w:t>2026–2035</w:t>
            </w:r>
          </w:p>
        </w:tc>
      </w:tr>
    </w:tbl>
    <w:p w14:paraId="0D7B2E82" w14:textId="77777777" w:rsidR="00AE673F" w:rsidRPr="00187708" w:rsidRDefault="00AE673F" w:rsidP="00AE673F">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Înconformitate cu cerințele pachetului economiei circulare aprobat în iunie 2018, țintele de pregătire pentru reutilizare și reciclare cresc până în anul 2035, iar în anul 2035, România trebuie să îndeplinească ținta de reducere a deșeurilor municipale depozitate la 10% din cantitatea generată. Astfel, pentru a evita supra sau sub capacitarea instalațiilor noi, trebuie să se țină seama de toate aceste obiective și ținte.</w:t>
      </w:r>
    </w:p>
    <w:p w14:paraId="49B3FB08" w14:textId="77777777" w:rsidR="00AE673F" w:rsidRPr="00187708" w:rsidRDefault="00AE673F" w:rsidP="00AE673F">
      <w:pPr>
        <w:spacing w:after="120" w:line="240" w:lineRule="auto"/>
        <w:jc w:val="both"/>
        <w:rPr>
          <w:rFonts w:ascii="Nunito" w:eastAsia="Times New Roman" w:hAnsi="Nunito" w:cs="Times New Roman"/>
          <w:lang w:val="ro-RO" w:eastAsia="ro-RO"/>
        </w:rPr>
      </w:pPr>
      <w:r w:rsidRPr="00187708">
        <w:rPr>
          <w:rFonts w:ascii="Nunito" w:eastAsia="Times New Roman" w:hAnsi="Nunito" w:cs="Times New Roman"/>
          <w:lang w:val="ro-RO" w:eastAsia="ro-RO"/>
        </w:rPr>
        <w:t>Prin urmare, la stabilirea măsurilor și la estimarea noilor capacități de investiții s-au avut în vedere toate obiectivele și țintele naționale și europene aplicabile până în anul 2035.</w:t>
      </w:r>
    </w:p>
    <w:p w14:paraId="18B23887" w14:textId="77777777" w:rsidR="00AE673F" w:rsidRPr="00187708" w:rsidRDefault="00AE673F" w:rsidP="00AE673F">
      <w:pPr>
        <w:rPr>
          <w:lang w:val="ro-RO"/>
        </w:rPr>
      </w:pPr>
    </w:p>
    <w:p w14:paraId="082F45A0" w14:textId="77777777" w:rsidR="00AE673F" w:rsidRPr="00187708" w:rsidRDefault="00AE673F" w:rsidP="00AE673F">
      <w:pPr>
        <w:pStyle w:val="Heading2"/>
        <w:spacing w:line="240" w:lineRule="auto"/>
        <w:rPr>
          <w:rFonts w:ascii="Nunito" w:hAnsi="Nunito"/>
          <w:lang w:val="ro-RO"/>
        </w:rPr>
      </w:pPr>
      <w:r w:rsidRPr="00187708">
        <w:rPr>
          <w:rFonts w:ascii="Nunito" w:hAnsi="Nunito"/>
          <w:lang w:val="ro-RO"/>
        </w:rPr>
        <w:t>Relaţia cu alte planuri şi programe relevante</w:t>
      </w:r>
    </w:p>
    <w:p w14:paraId="188EAF8B" w14:textId="77777777" w:rsidR="00AE673F" w:rsidRPr="00187708" w:rsidRDefault="00AE673F" w:rsidP="00AE673F">
      <w:pPr>
        <w:spacing w:after="120" w:line="240" w:lineRule="auto"/>
        <w:jc w:val="both"/>
        <w:rPr>
          <w:rFonts w:ascii="Nunito" w:hAnsi="Nunito"/>
          <w:lang w:val="ro-RO"/>
        </w:rPr>
      </w:pPr>
      <w:r w:rsidRPr="00187708">
        <w:rPr>
          <w:rFonts w:ascii="Nunito" w:hAnsi="Nunito"/>
          <w:lang w:val="ro-RO"/>
        </w:rPr>
        <w:t>Pentru identificarea relației Planului Național de Gestiune a Deșeurilor (PNGD) cu alte planuri, programe și strategii au fost analizate documente strategice naționale relevante. Acestea sunt considerate relevante atunci când stabilesc condiții, obiective și probleme care trebuie reflectate adecvat în PNGD sau care îi pot influența implementarea.</w:t>
      </w:r>
    </w:p>
    <w:p w14:paraId="34F1259D" w14:textId="77777777" w:rsidR="00AE673F" w:rsidRPr="00187708" w:rsidRDefault="00AE673F" w:rsidP="00AE673F">
      <w:pPr>
        <w:spacing w:after="120" w:line="240" w:lineRule="auto"/>
        <w:rPr>
          <w:rFonts w:ascii="Nunito" w:hAnsi="Nunito"/>
          <w:lang w:val="ro-RO"/>
        </w:rPr>
      </w:pPr>
      <w:r w:rsidRPr="00187708">
        <w:rPr>
          <w:rFonts w:ascii="Nunito" w:hAnsi="Nunito"/>
          <w:lang w:val="ro-RO"/>
        </w:rPr>
        <w:t>Corelarea dintre documentele strategice și PNGD are ca scop:</w:t>
      </w:r>
    </w:p>
    <w:p w14:paraId="223CC1C4"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identificarea sinergiilor potențiale și a eventualelor neconcordanțe/condiționări;</w:t>
      </w:r>
    </w:p>
    <w:p w14:paraId="0FE24BDB"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inventarierea problemelor deja tratate în alte politici/planuri/programe/strategii, pentru a evita suprapunerile și a completa lacunele;</w:t>
      </w:r>
    </w:p>
    <w:p w14:paraId="7784C741"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luarea în considerare a efectelor cumulative asupra receptorilor-cheie (mediu, sănătate, socio-economic) generate de implementarea simultană a mai multor planuri/programe, ca bază pentru evaluarea alternativelor PNGD și a formelor specifice de impact.</w:t>
      </w:r>
    </w:p>
    <w:p w14:paraId="3BDCF962" w14:textId="77777777" w:rsidR="00AE673F" w:rsidRPr="00187708" w:rsidRDefault="00AE673F" w:rsidP="00AE673F">
      <w:pPr>
        <w:spacing w:after="120" w:line="240" w:lineRule="auto"/>
        <w:rPr>
          <w:rFonts w:ascii="Nunito" w:hAnsi="Nunito"/>
          <w:lang w:val="ro-RO"/>
        </w:rPr>
      </w:pPr>
      <w:r w:rsidRPr="00187708">
        <w:rPr>
          <w:rFonts w:ascii="Nunito" w:hAnsi="Nunito"/>
          <w:lang w:val="ro-RO"/>
        </w:rPr>
        <w:t>Aplicarea practică în PNGD se reflectă prin:</w:t>
      </w:r>
    </w:p>
    <w:p w14:paraId="2757E651"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convergenta obiectivelor (C1), </w:t>
      </w:r>
    </w:p>
    <w:p w14:paraId="722B705D"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obligativitatea juridica (C2), </w:t>
      </w:r>
    </w:p>
    <w:p w14:paraId="07828FCF"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coerenta tintelor cantitative (C3), </w:t>
      </w:r>
    </w:p>
    <w:p w14:paraId="36D39A98"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suprapunerea domeniului material (C4), </w:t>
      </w:r>
    </w:p>
    <w:p w14:paraId="6EDE7B01"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mecanismele financiare (C5), </w:t>
      </w:r>
    </w:p>
    <w:p w14:paraId="6821C1A2"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 xml:space="preserve">cadrul de monitorizare (C6) </w:t>
      </w:r>
    </w:p>
    <w:p w14:paraId="720E4FD2" w14:textId="77777777" w:rsidR="00AE673F" w:rsidRPr="00187708" w:rsidRDefault="00AE673F" w:rsidP="00AE673F">
      <w:pPr>
        <w:pStyle w:val="ListParagraph"/>
        <w:numPr>
          <w:ilvl w:val="0"/>
          <w:numId w:val="16"/>
        </w:numPr>
        <w:spacing w:after="120" w:line="240" w:lineRule="auto"/>
        <w:ind w:left="284" w:hanging="284"/>
        <w:jc w:val="both"/>
        <w:rPr>
          <w:rFonts w:ascii="Nunito" w:eastAsia="Times New Roman" w:hAnsi="Nunito" w:cs="Times New Roman"/>
          <w:lang w:val="ro-RO" w:eastAsia="ro-RO"/>
        </w:rPr>
      </w:pPr>
      <w:r w:rsidRPr="00187708">
        <w:rPr>
          <w:rFonts w:ascii="Nunito" w:eastAsia="Times New Roman" w:hAnsi="Nunito" w:cs="Times New Roman"/>
          <w:lang w:val="ro-RO" w:eastAsia="ro-RO"/>
        </w:rPr>
        <w:t>pozitionarea in ierarhia politicilor (C7).</w:t>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t>.</w:t>
      </w:r>
    </w:p>
    <w:p w14:paraId="2A1921AD" w14:textId="77777777" w:rsidR="00AE673F" w:rsidRPr="00187708" w:rsidRDefault="00AE673F" w:rsidP="00AE673F">
      <w:pPr>
        <w:spacing w:after="120" w:line="240" w:lineRule="auto"/>
        <w:jc w:val="both"/>
        <w:rPr>
          <w:rFonts w:ascii="Nunito" w:eastAsia="Times New Roman" w:hAnsi="Nunito" w:cs="Times New Roman"/>
          <w:lang w:val="ro-RO" w:eastAsia="ro-RO"/>
        </w:rPr>
      </w:pPr>
      <w:bookmarkStart w:id="6" w:name="_Toc205561426"/>
      <w:r w:rsidRPr="00187708">
        <w:rPr>
          <w:rFonts w:ascii="Nunito" w:eastAsia="Times New Roman" w:hAnsi="Nunito" w:cs="Times New Roman"/>
          <w:lang w:val="ro-RO" w:eastAsia="ro-RO"/>
        </w:rPr>
        <w:t>Au fost analizate  o serie 18 nivel european, 15 nivel national 9 nivel international. Nivelul regional/judetean include PRGD, PJGD, SMID, PDR, Programe Regionale, SIDU, PMUD, PUG/PUZ, strategii judetene si PAED/SECAP.</w:t>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r>
      <w:r w:rsidRPr="00187708">
        <w:rPr>
          <w:rFonts w:ascii="Nunito" w:eastAsia="Times New Roman" w:hAnsi="Nunito" w:cs="Times New Roman"/>
          <w:lang w:val="ro-RO" w:eastAsia="ro-RO"/>
        </w:rPr>
        <w:tab/>
      </w:r>
    </w:p>
    <w:p w14:paraId="212DC364" w14:textId="77777777" w:rsidR="00AE673F" w:rsidRPr="00187708" w:rsidRDefault="00AE673F" w:rsidP="00AE673F">
      <w:pPr>
        <w:pStyle w:val="Caption"/>
        <w:spacing w:before="0" w:after="120" w:line="240" w:lineRule="auto"/>
        <w:ind w:right="-2383"/>
        <w:rPr>
          <w:rFonts w:ascii="Nunito" w:hAnsi="Nunito"/>
          <w:szCs w:val="20"/>
          <w:lang w:val="ro-RO"/>
        </w:rPr>
      </w:pPr>
    </w:p>
    <w:p w14:paraId="73AD8920" w14:textId="77777777" w:rsidR="00AE673F" w:rsidRPr="00187708" w:rsidRDefault="00AE673F" w:rsidP="00AE673F">
      <w:pPr>
        <w:pStyle w:val="Caption"/>
        <w:spacing w:before="0" w:after="120" w:line="240" w:lineRule="auto"/>
        <w:ind w:right="-2383"/>
        <w:rPr>
          <w:rFonts w:ascii="Nunito" w:hAnsi="Nunito"/>
          <w:szCs w:val="20"/>
          <w:lang w:val="ro-RO"/>
        </w:rPr>
      </w:pPr>
    </w:p>
    <w:p w14:paraId="63727A7F" w14:textId="77777777" w:rsidR="00AE673F" w:rsidRPr="00187708" w:rsidRDefault="00AE673F" w:rsidP="00AE673F">
      <w:pPr>
        <w:pStyle w:val="Caption"/>
        <w:spacing w:before="0" w:after="120" w:line="240" w:lineRule="auto"/>
        <w:ind w:right="-2383"/>
        <w:rPr>
          <w:rFonts w:ascii="Nunito" w:hAnsi="Nunito"/>
          <w:szCs w:val="20"/>
          <w:lang w:val="ro-RO"/>
        </w:rPr>
      </w:pPr>
    </w:p>
    <w:p w14:paraId="39D24D4D" w14:textId="77777777" w:rsidR="00AE673F" w:rsidRPr="00187708" w:rsidRDefault="00AE673F" w:rsidP="00AE673F">
      <w:pPr>
        <w:pStyle w:val="Caption"/>
        <w:spacing w:before="0" w:after="120" w:line="240" w:lineRule="auto"/>
        <w:ind w:right="-2383"/>
        <w:rPr>
          <w:rFonts w:ascii="Nunito" w:hAnsi="Nunito"/>
          <w:szCs w:val="20"/>
          <w:lang w:val="ro-RO"/>
        </w:rPr>
      </w:pPr>
    </w:p>
    <w:p w14:paraId="53EC63C7" w14:textId="77777777" w:rsidR="00AE673F" w:rsidRPr="00187708" w:rsidRDefault="00AE673F" w:rsidP="00AE673F">
      <w:pPr>
        <w:pStyle w:val="Caption"/>
        <w:spacing w:before="0" w:after="120" w:line="240" w:lineRule="auto"/>
        <w:ind w:right="-2383"/>
        <w:rPr>
          <w:rFonts w:ascii="Nunito" w:hAnsi="Nunito"/>
          <w:szCs w:val="20"/>
          <w:lang w:val="ro-RO"/>
        </w:rPr>
      </w:pPr>
    </w:p>
    <w:p w14:paraId="2EBCBD35" w14:textId="77777777" w:rsidR="00AE673F" w:rsidRPr="00187708" w:rsidRDefault="00AE673F" w:rsidP="00AE673F">
      <w:pPr>
        <w:pStyle w:val="Caption"/>
        <w:spacing w:before="0" w:after="120" w:line="240" w:lineRule="auto"/>
        <w:ind w:right="-2383"/>
        <w:rPr>
          <w:rFonts w:ascii="Nunito" w:hAnsi="Nunito"/>
          <w:szCs w:val="20"/>
          <w:lang w:val="ro-RO"/>
        </w:rPr>
      </w:pPr>
    </w:p>
    <w:p w14:paraId="19B37405" w14:textId="77777777" w:rsidR="00AE673F" w:rsidRPr="00187708" w:rsidRDefault="00AE673F" w:rsidP="00AE673F">
      <w:pPr>
        <w:pStyle w:val="Caption"/>
        <w:spacing w:before="0" w:after="120" w:line="240" w:lineRule="auto"/>
        <w:ind w:right="-2383"/>
        <w:rPr>
          <w:rFonts w:ascii="Nunito" w:hAnsi="Nunito"/>
          <w:szCs w:val="20"/>
          <w:lang w:val="ro-RO"/>
        </w:rPr>
      </w:pPr>
    </w:p>
    <w:p w14:paraId="1476AE86" w14:textId="77777777" w:rsidR="00AE673F" w:rsidRPr="00187708" w:rsidRDefault="00AE673F" w:rsidP="00AE673F">
      <w:pPr>
        <w:pStyle w:val="Caption"/>
        <w:spacing w:before="0" w:after="120" w:line="240" w:lineRule="auto"/>
        <w:ind w:right="-2383"/>
        <w:rPr>
          <w:rFonts w:ascii="Nunito" w:hAnsi="Nunito"/>
          <w:szCs w:val="20"/>
          <w:lang w:val="ro-RO"/>
        </w:rPr>
      </w:pPr>
    </w:p>
    <w:p w14:paraId="281201D4" w14:textId="77777777" w:rsidR="00AE673F" w:rsidRPr="00187708" w:rsidRDefault="00AE673F" w:rsidP="00AE673F">
      <w:pPr>
        <w:pStyle w:val="Caption"/>
        <w:spacing w:before="0" w:after="120" w:line="240" w:lineRule="auto"/>
        <w:ind w:right="-2383"/>
        <w:rPr>
          <w:rFonts w:ascii="Nunito" w:hAnsi="Nunito"/>
          <w:szCs w:val="20"/>
          <w:lang w:val="ro-RO"/>
        </w:rPr>
        <w:sectPr w:rsidR="00AE673F" w:rsidRPr="00187708" w:rsidSect="00AE673F">
          <w:pgSz w:w="11906" w:h="16838" w:code="9"/>
          <w:pgMar w:top="1418" w:right="1133" w:bottom="1418" w:left="1191" w:header="839" w:footer="680" w:gutter="0"/>
          <w:cols w:space="708"/>
          <w:docGrid w:linePitch="360"/>
        </w:sectPr>
      </w:pPr>
    </w:p>
    <w:bookmarkEnd w:id="6"/>
    <w:p w14:paraId="17EAE6ED" w14:textId="77777777" w:rsidR="00AE673F" w:rsidRPr="00187708" w:rsidRDefault="00AE673F" w:rsidP="00AE673F">
      <w:pPr>
        <w:spacing w:after="200"/>
        <w:rPr>
          <w:rFonts w:ascii="Nunito" w:eastAsia="Arial" w:hAnsi="Nunito"/>
          <w:lang w:val="ro-RO"/>
        </w:rPr>
      </w:pPr>
      <w:r w:rsidRPr="00187708">
        <w:rPr>
          <w:rFonts w:ascii="Nunito" w:hAnsi="Nunito"/>
          <w:lang w:val="ro-RO"/>
        </w:rPr>
        <w:lastRenderedPageBreak/>
        <w:t>Tabelul de mai jos prezintă cele 9 documente strategice, legislative și de planificare la nivel internațional care condiționează sau se corelează cu PNGD 2026-2035.</w:t>
      </w:r>
    </w:p>
    <w:p w14:paraId="689430F6" w14:textId="6A31764E" w:rsidR="00FD210F" w:rsidRPr="00187708" w:rsidRDefault="00830634" w:rsidP="00FD210F">
      <w:pPr>
        <w:pStyle w:val="Caption"/>
        <w:spacing w:before="0" w:after="120" w:line="240" w:lineRule="auto"/>
        <w:ind w:right="-2383"/>
        <w:rPr>
          <w:rFonts w:ascii="Nunito" w:hAnsi="Nunito"/>
          <w:sz w:val="18"/>
          <w:lang w:val="ro-RO"/>
        </w:rPr>
      </w:pPr>
      <w:r w:rsidRPr="00187708">
        <w:rPr>
          <w:lang w:val="ro-RO"/>
        </w:rPr>
        <w:t xml:space="preserve">Tabel </w:t>
      </w:r>
      <w:r w:rsidR="001802CD" w:rsidRPr="00187708">
        <w:rPr>
          <w:lang w:val="ro-RO"/>
        </w:rPr>
        <w:fldChar w:fldCharType="begin"/>
      </w:r>
      <w:r w:rsidR="001802CD" w:rsidRPr="00187708">
        <w:rPr>
          <w:lang w:val="ro-RO"/>
        </w:rPr>
        <w:instrText xml:space="preserve"> STYLEREF 1 \s </w:instrText>
      </w:r>
      <w:r w:rsidR="001802CD" w:rsidRPr="00187708">
        <w:rPr>
          <w:lang w:val="ro-RO"/>
        </w:rPr>
        <w:fldChar w:fldCharType="separate"/>
      </w:r>
      <w:r w:rsidR="00AA044A" w:rsidRPr="00187708">
        <w:rPr>
          <w:noProof/>
          <w:lang w:val="ro-RO"/>
        </w:rPr>
        <w:t>2</w:t>
      </w:r>
      <w:r w:rsidR="001802CD" w:rsidRPr="00187708">
        <w:rPr>
          <w:lang w:val="ro-RO"/>
        </w:rPr>
        <w:fldChar w:fldCharType="end"/>
      </w:r>
      <w:r w:rsidR="001802CD" w:rsidRPr="00187708">
        <w:rPr>
          <w:lang w:val="ro-RO"/>
        </w:rPr>
        <w:noBreakHyphen/>
      </w:r>
      <w:r w:rsidR="001802CD" w:rsidRPr="00187708">
        <w:rPr>
          <w:lang w:val="ro-RO"/>
        </w:rPr>
        <w:fldChar w:fldCharType="begin"/>
      </w:r>
      <w:r w:rsidR="001802CD" w:rsidRPr="00187708">
        <w:rPr>
          <w:lang w:val="ro-RO"/>
        </w:rPr>
        <w:instrText xml:space="preserve"> SEQ Tabel \* ARABIC \s 1 </w:instrText>
      </w:r>
      <w:r w:rsidR="001802CD" w:rsidRPr="00187708">
        <w:rPr>
          <w:lang w:val="ro-RO"/>
        </w:rPr>
        <w:fldChar w:fldCharType="separate"/>
      </w:r>
      <w:r w:rsidR="00327F01" w:rsidRPr="00187708">
        <w:rPr>
          <w:noProof/>
          <w:lang w:val="ro-RO"/>
        </w:rPr>
        <w:t>22</w:t>
      </w:r>
      <w:r w:rsidR="001802CD" w:rsidRPr="00187708">
        <w:rPr>
          <w:lang w:val="ro-RO"/>
        </w:rPr>
        <w:fldChar w:fldCharType="end"/>
      </w:r>
      <w:r w:rsidRPr="00187708">
        <w:rPr>
          <w:lang w:val="ro-RO"/>
        </w:rPr>
        <w:t xml:space="preserve">: Relația cu </w:t>
      </w:r>
      <w:r w:rsidR="00FD210F" w:rsidRPr="00187708">
        <w:rPr>
          <w:lang w:val="ro-RO"/>
        </w:rPr>
        <w:t xml:space="preserve">alte planuri și programe </w:t>
      </w:r>
    </w:p>
    <w:tbl>
      <w:tblPr>
        <w:tblStyle w:val="Ramboll-Table"/>
        <w:tblW w:w="21860" w:type="dxa"/>
        <w:tblLayout w:type="fixed"/>
        <w:tblLook w:val="04A0" w:firstRow="1" w:lastRow="0" w:firstColumn="1" w:lastColumn="0" w:noHBand="0" w:noVBand="1"/>
      </w:tblPr>
      <w:tblGrid>
        <w:gridCol w:w="440"/>
        <w:gridCol w:w="303"/>
        <w:gridCol w:w="1902"/>
        <w:gridCol w:w="96"/>
        <w:gridCol w:w="101"/>
        <w:gridCol w:w="40"/>
        <w:gridCol w:w="7750"/>
        <w:gridCol w:w="141"/>
        <w:gridCol w:w="31"/>
        <w:gridCol w:w="973"/>
        <w:gridCol w:w="130"/>
        <w:gridCol w:w="567"/>
        <w:gridCol w:w="118"/>
        <w:gridCol w:w="2227"/>
        <w:gridCol w:w="142"/>
        <w:gridCol w:w="65"/>
        <w:gridCol w:w="6662"/>
        <w:gridCol w:w="94"/>
        <w:gridCol w:w="78"/>
      </w:tblGrid>
      <w:tr w:rsidR="00AE673F" w:rsidRPr="00187708" w14:paraId="2E2C0B99" w14:textId="77777777" w:rsidTr="00A949D9">
        <w:trPr>
          <w:gridAfter w:val="2"/>
          <w:cnfStyle w:val="100000000000" w:firstRow="1" w:lastRow="0" w:firstColumn="0" w:lastColumn="0" w:oddVBand="0" w:evenVBand="0" w:oddHBand="0" w:evenHBand="0" w:firstRowFirstColumn="0" w:firstRowLastColumn="0" w:lastRowFirstColumn="0" w:lastRowLastColumn="0"/>
          <w:wAfter w:w="172" w:type="dxa"/>
          <w:trHeight w:val="427"/>
          <w:tblHeader/>
        </w:trPr>
        <w:tc>
          <w:tcPr>
            <w:tcW w:w="743" w:type="dxa"/>
            <w:gridSpan w:val="2"/>
            <w:shd w:val="clear" w:color="auto" w:fill="00B0F0"/>
            <w:hideMark/>
          </w:tcPr>
          <w:p w14:paraId="29A9CC52" w14:textId="77777777" w:rsidR="00AE673F" w:rsidRPr="00187708" w:rsidRDefault="00AE673F">
            <w:pPr>
              <w:spacing w:before="0" w:after="0" w:line="240" w:lineRule="auto"/>
              <w:jc w:val="center"/>
              <w:rPr>
                <w:rFonts w:ascii="Nunito" w:hAnsi="Nunito"/>
                <w:color w:val="FFFFFF" w:themeColor="background1"/>
                <w:sz w:val="16"/>
                <w:szCs w:val="16"/>
                <w:lang w:val="ro-RO"/>
              </w:rPr>
            </w:pPr>
            <w:r w:rsidRPr="00187708">
              <w:rPr>
                <w:rFonts w:ascii="Nunito" w:hAnsi="Nunito"/>
                <w:b/>
                <w:bCs/>
                <w:color w:val="FFFFFF" w:themeColor="background1"/>
                <w:sz w:val="16"/>
                <w:szCs w:val="16"/>
                <w:lang w:val="ro-RO"/>
              </w:rPr>
              <w:t>Nr. crt.</w:t>
            </w:r>
          </w:p>
        </w:tc>
        <w:tc>
          <w:tcPr>
            <w:tcW w:w="2139" w:type="dxa"/>
            <w:gridSpan w:val="4"/>
            <w:shd w:val="clear" w:color="auto" w:fill="00B0F0"/>
            <w:hideMark/>
          </w:tcPr>
          <w:p w14:paraId="72101E6F" w14:textId="77777777" w:rsidR="00AE673F" w:rsidRPr="00187708" w:rsidRDefault="00AE673F">
            <w:pPr>
              <w:spacing w:before="0" w:after="0" w:line="240" w:lineRule="auto"/>
              <w:jc w:val="center"/>
              <w:rPr>
                <w:rFonts w:ascii="Nunito" w:hAnsi="Nunito"/>
                <w:color w:val="FFFFFF" w:themeColor="background1"/>
                <w:sz w:val="16"/>
                <w:szCs w:val="16"/>
                <w:lang w:val="ro-RO"/>
              </w:rPr>
            </w:pPr>
            <w:r w:rsidRPr="00187708">
              <w:rPr>
                <w:rFonts w:ascii="Nunito" w:hAnsi="Nunito"/>
                <w:b/>
                <w:bCs/>
                <w:color w:val="FFFFFF" w:themeColor="background1"/>
                <w:sz w:val="16"/>
                <w:szCs w:val="16"/>
                <w:lang w:val="ro-RO"/>
              </w:rPr>
              <w:t>Denumirea strategiei / planului / programului</w:t>
            </w:r>
          </w:p>
        </w:tc>
        <w:tc>
          <w:tcPr>
            <w:tcW w:w="7922" w:type="dxa"/>
            <w:gridSpan w:val="3"/>
            <w:shd w:val="clear" w:color="auto" w:fill="00B0F0"/>
            <w:hideMark/>
          </w:tcPr>
          <w:p w14:paraId="6F6C6E73" w14:textId="77777777" w:rsidR="00AE673F" w:rsidRPr="00187708" w:rsidRDefault="00AE673F">
            <w:pPr>
              <w:spacing w:before="0" w:after="0" w:line="240" w:lineRule="auto"/>
              <w:jc w:val="center"/>
              <w:rPr>
                <w:rFonts w:ascii="Nunito" w:hAnsi="Nunito"/>
                <w:color w:val="FFFFFF" w:themeColor="background1"/>
                <w:sz w:val="16"/>
                <w:szCs w:val="16"/>
                <w:lang w:val="ro-RO"/>
              </w:rPr>
            </w:pPr>
            <w:r w:rsidRPr="00187708">
              <w:rPr>
                <w:rFonts w:ascii="Nunito" w:hAnsi="Nunito"/>
                <w:b/>
                <w:bCs/>
                <w:color w:val="FFFFFF" w:themeColor="background1"/>
                <w:sz w:val="16"/>
                <w:szCs w:val="16"/>
                <w:lang w:val="ro-RO"/>
              </w:rPr>
              <w:t>Scopul, propunerile și obiectivele principale</w:t>
            </w:r>
          </w:p>
        </w:tc>
        <w:tc>
          <w:tcPr>
            <w:tcW w:w="1788" w:type="dxa"/>
            <w:gridSpan w:val="4"/>
            <w:shd w:val="clear" w:color="auto" w:fill="00B0F0"/>
            <w:hideMark/>
          </w:tcPr>
          <w:p w14:paraId="2DD621CC" w14:textId="77777777" w:rsidR="00AE673F" w:rsidRPr="00187708" w:rsidRDefault="00AE673F">
            <w:pPr>
              <w:spacing w:before="0" w:after="0" w:line="240" w:lineRule="auto"/>
              <w:jc w:val="center"/>
              <w:rPr>
                <w:rFonts w:ascii="Nunito" w:hAnsi="Nunito"/>
                <w:color w:val="FFFFFF" w:themeColor="background1"/>
                <w:sz w:val="16"/>
                <w:szCs w:val="16"/>
                <w:lang w:val="ro-RO"/>
              </w:rPr>
            </w:pPr>
            <w:r w:rsidRPr="00187708">
              <w:rPr>
                <w:rFonts w:ascii="Nunito" w:hAnsi="Nunito"/>
                <w:b/>
                <w:bCs/>
                <w:color w:val="FFFFFF" w:themeColor="background1"/>
                <w:sz w:val="16"/>
                <w:szCs w:val="16"/>
                <w:lang w:val="ro-RO"/>
              </w:rPr>
              <w:t>Orizontul de timp</w:t>
            </w:r>
          </w:p>
        </w:tc>
        <w:tc>
          <w:tcPr>
            <w:tcW w:w="2434" w:type="dxa"/>
            <w:gridSpan w:val="3"/>
            <w:shd w:val="clear" w:color="auto" w:fill="00B0F0"/>
            <w:hideMark/>
          </w:tcPr>
          <w:p w14:paraId="0ADB57DE" w14:textId="77777777" w:rsidR="00AE673F" w:rsidRPr="00187708" w:rsidRDefault="00AE673F">
            <w:pPr>
              <w:spacing w:before="0" w:after="0" w:line="240" w:lineRule="auto"/>
              <w:jc w:val="center"/>
              <w:rPr>
                <w:rFonts w:ascii="Nunito" w:hAnsi="Nunito"/>
                <w:color w:val="FFFFFF" w:themeColor="background1"/>
                <w:sz w:val="16"/>
                <w:szCs w:val="16"/>
                <w:lang w:val="ro-RO"/>
              </w:rPr>
            </w:pPr>
            <w:r w:rsidRPr="00187708">
              <w:rPr>
                <w:rFonts w:ascii="Nunito" w:hAnsi="Nunito"/>
                <w:b/>
                <w:bCs/>
                <w:color w:val="FFFFFF" w:themeColor="background1"/>
                <w:sz w:val="16"/>
                <w:szCs w:val="16"/>
                <w:lang w:val="ro-RO"/>
              </w:rPr>
              <w:t>Sursa oficială de consultare</w:t>
            </w:r>
          </w:p>
        </w:tc>
        <w:tc>
          <w:tcPr>
            <w:tcW w:w="6662" w:type="dxa"/>
            <w:shd w:val="clear" w:color="auto" w:fill="00B0F0"/>
            <w:hideMark/>
          </w:tcPr>
          <w:p w14:paraId="1BC6A170" w14:textId="77777777" w:rsidR="00AE673F" w:rsidRPr="00187708" w:rsidRDefault="00AE673F">
            <w:pPr>
              <w:spacing w:before="0" w:after="0" w:line="240" w:lineRule="auto"/>
              <w:jc w:val="center"/>
              <w:rPr>
                <w:rFonts w:ascii="Nunito" w:hAnsi="Nunito"/>
                <w:color w:val="FFFFFF" w:themeColor="background1"/>
                <w:sz w:val="16"/>
                <w:szCs w:val="16"/>
                <w:lang w:val="ro-RO"/>
              </w:rPr>
            </w:pPr>
            <w:r w:rsidRPr="00187708">
              <w:rPr>
                <w:rFonts w:ascii="Nunito" w:hAnsi="Nunito"/>
                <w:b/>
                <w:bCs/>
                <w:color w:val="FFFFFF" w:themeColor="background1"/>
                <w:sz w:val="16"/>
                <w:szCs w:val="16"/>
                <w:lang w:val="ro-RO"/>
              </w:rPr>
              <w:t>Relația cu PNGD 2026-2035</w:t>
            </w:r>
          </w:p>
        </w:tc>
      </w:tr>
      <w:tr w:rsidR="001802CD" w:rsidRPr="00187708" w14:paraId="3EC380C0" w14:textId="77777777" w:rsidTr="004B2370">
        <w:trPr>
          <w:gridAfter w:val="2"/>
          <w:wAfter w:w="172" w:type="dxa"/>
          <w:trHeight w:val="70"/>
        </w:trPr>
        <w:tc>
          <w:tcPr>
            <w:tcW w:w="21688" w:type="dxa"/>
            <w:gridSpan w:val="17"/>
          </w:tcPr>
          <w:p w14:paraId="332C1F8F" w14:textId="004DB323" w:rsidR="001802CD" w:rsidRPr="00187708" w:rsidRDefault="001802CD">
            <w:pPr>
              <w:spacing w:line="240" w:lineRule="auto"/>
              <w:jc w:val="both"/>
              <w:rPr>
                <w:rFonts w:ascii="Nunito" w:hAnsi="Nunito"/>
                <w:b/>
                <w:bCs/>
                <w:sz w:val="16"/>
                <w:szCs w:val="16"/>
                <w:lang w:val="ro-RO"/>
              </w:rPr>
            </w:pPr>
            <w:r w:rsidRPr="00187708">
              <w:rPr>
                <w:rFonts w:ascii="Nunito" w:hAnsi="Nunito"/>
                <w:b/>
                <w:bCs/>
                <w:sz w:val="16"/>
                <w:szCs w:val="16"/>
                <w:lang w:val="ro-RO"/>
              </w:rPr>
              <w:t>Nivel internațional</w:t>
            </w:r>
          </w:p>
        </w:tc>
      </w:tr>
      <w:tr w:rsidR="00AE673F" w:rsidRPr="00187708" w14:paraId="2C20964E" w14:textId="77777777" w:rsidTr="00A949D9">
        <w:trPr>
          <w:gridAfter w:val="2"/>
          <w:wAfter w:w="172" w:type="dxa"/>
          <w:trHeight w:val="1728"/>
        </w:trPr>
        <w:tc>
          <w:tcPr>
            <w:tcW w:w="743" w:type="dxa"/>
            <w:gridSpan w:val="2"/>
            <w:hideMark/>
          </w:tcPr>
          <w:p w14:paraId="6AC5B21D"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1</w:t>
            </w:r>
          </w:p>
        </w:tc>
        <w:tc>
          <w:tcPr>
            <w:tcW w:w="2139" w:type="dxa"/>
            <w:gridSpan w:val="4"/>
            <w:hideMark/>
          </w:tcPr>
          <w:p w14:paraId="3D4EF1F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Agenda 2030 a ONU / Obiectivele de Dezvoltare Durabila (ODD) — Rezolutia A/RES/70/1</w:t>
            </w:r>
          </w:p>
        </w:tc>
        <w:tc>
          <w:tcPr>
            <w:tcW w:w="7922" w:type="dxa"/>
            <w:gridSpan w:val="3"/>
            <w:hideMark/>
          </w:tcPr>
          <w:p w14:paraId="18A4FB6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17 ODD si 169 tinte, aplicabile universal tuturor statelor membre ONU. ODD relevante pentru PNGD: ODD 11.6 (reducerea impactului oraselor, inclusiv gestionare deseuri); ODD 12.4 (gestionare ecologica toate deseurile); ODD 12.5 (reducere substantiala generare deseuri prin prevenire, reciclare, reutilizare); ODD 14.1 (prevenire poluare marina, inclusiv deseuri marine); ODD 6.3 (calitate apa, eliminare depozitare ilegala). Indicator ODD 12.5.1: rata nationala de reciclare.</w:t>
            </w:r>
          </w:p>
        </w:tc>
        <w:tc>
          <w:tcPr>
            <w:tcW w:w="1788" w:type="dxa"/>
            <w:gridSpan w:val="4"/>
            <w:hideMark/>
          </w:tcPr>
          <w:p w14:paraId="0C4C74A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2015-2030</w:t>
            </w:r>
          </w:p>
        </w:tc>
        <w:tc>
          <w:tcPr>
            <w:tcW w:w="2434" w:type="dxa"/>
            <w:gridSpan w:val="3"/>
            <w:hideMark/>
          </w:tcPr>
          <w:p w14:paraId="6C232DC3" w14:textId="289B59BA" w:rsidR="00AE673F" w:rsidRPr="00187708" w:rsidRDefault="00AE673F">
            <w:pPr>
              <w:spacing w:before="0" w:after="0" w:line="240" w:lineRule="auto"/>
              <w:jc w:val="both"/>
              <w:rPr>
                <w:rFonts w:ascii="Nunito" w:hAnsi="Nunito"/>
                <w:sz w:val="16"/>
                <w:szCs w:val="16"/>
                <w:lang w:val="ro-RO"/>
              </w:rPr>
            </w:pPr>
            <w:hyperlink r:id="rId20" w:history="1">
              <w:r w:rsidRPr="00187708">
                <w:rPr>
                  <w:rStyle w:val="Hyperlink"/>
                  <w:rFonts w:ascii="Nunito" w:hAnsi="Nunito"/>
                  <w:color w:val="0563C1"/>
                  <w:sz w:val="16"/>
                  <w:szCs w:val="16"/>
                  <w:lang w:val="ro-RO"/>
                </w:rPr>
                <w:t>https://sdgs.un.org/goals</w:t>
              </w:r>
            </w:hyperlink>
          </w:p>
        </w:tc>
        <w:tc>
          <w:tcPr>
            <w:tcW w:w="6662" w:type="dxa"/>
            <w:hideMark/>
          </w:tcPr>
          <w:p w14:paraId="1C9F738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Agenda 2030 constituie cadrul strategic de referinta supraordonat pentru PNGD 2026-2035. Toate cele 9 instrumente internationale sunt, la randul lor, instrumente de implementare a ODD. PNGD trebuie sa demonstreze explicit contributia masurilor la atingerea ODD 11.6, 12.4, 12.5 si 14.1, in conformitate cu cerintele CE si cu angajamentele Romaniei fata de mecanismul HLPF. Indicatorul ODD 12.5.1 (rata de reciclare) este totodatta indicator-cheie al DCD.</w:t>
            </w:r>
          </w:p>
        </w:tc>
      </w:tr>
      <w:tr w:rsidR="00AE673F" w:rsidRPr="00187708" w14:paraId="7761735E" w14:textId="77777777" w:rsidTr="00A949D9">
        <w:trPr>
          <w:gridAfter w:val="2"/>
          <w:wAfter w:w="172" w:type="dxa"/>
          <w:trHeight w:val="1747"/>
        </w:trPr>
        <w:tc>
          <w:tcPr>
            <w:tcW w:w="743" w:type="dxa"/>
            <w:gridSpan w:val="2"/>
            <w:hideMark/>
          </w:tcPr>
          <w:p w14:paraId="7932FD02"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2</w:t>
            </w:r>
          </w:p>
        </w:tc>
        <w:tc>
          <w:tcPr>
            <w:tcW w:w="2139" w:type="dxa"/>
            <w:gridSpan w:val="4"/>
            <w:hideMark/>
          </w:tcPr>
          <w:p w14:paraId="34212B4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de la Basel privind controlul transportului transfrontalier al deseurilor periculoase</w:t>
            </w:r>
          </w:p>
        </w:tc>
        <w:tc>
          <w:tcPr>
            <w:tcW w:w="7922" w:type="dxa"/>
            <w:gridSpan w:val="3"/>
            <w:hideMark/>
          </w:tcPr>
          <w:p w14:paraId="77868F9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Principalul tratat international pentru controlul miscarilor transfrontaliere ale deseurilor periculoase si eliminarea acestora. 191 parti. Procedura PIC (Prior Informed Consent) obligatorie. Amendamentul plastic (2019, in vigoare iunie 2025): include deseuri de plastic contaminate/amestecate in procedura PIC. Principii: autosuficienta, proximitate, minimizare generare, gestionare ecologica (ESM). Parteneriate: PACE, ENFORCE, ghiduri tehnice BAT/BEP.</w:t>
            </w:r>
          </w:p>
        </w:tc>
        <w:tc>
          <w:tcPr>
            <w:tcW w:w="1788" w:type="dxa"/>
            <w:gridSpan w:val="4"/>
            <w:hideMark/>
          </w:tcPr>
          <w:p w14:paraId="003EBE2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1992-nedeterminat</w:t>
            </w:r>
          </w:p>
        </w:tc>
        <w:tc>
          <w:tcPr>
            <w:tcW w:w="2434" w:type="dxa"/>
            <w:gridSpan w:val="3"/>
            <w:hideMark/>
          </w:tcPr>
          <w:p w14:paraId="0211265A" w14:textId="79476AB6" w:rsidR="00AE673F" w:rsidRPr="00187708" w:rsidRDefault="00AE673F">
            <w:pPr>
              <w:spacing w:before="0" w:after="0" w:line="240" w:lineRule="auto"/>
              <w:jc w:val="both"/>
              <w:rPr>
                <w:rFonts w:ascii="Nunito" w:hAnsi="Nunito"/>
                <w:sz w:val="16"/>
                <w:szCs w:val="16"/>
                <w:lang w:val="ro-RO"/>
              </w:rPr>
            </w:pPr>
            <w:hyperlink r:id="rId21" w:history="1">
              <w:r w:rsidRPr="00187708">
                <w:rPr>
                  <w:rStyle w:val="Hyperlink"/>
                  <w:rFonts w:ascii="Nunito" w:hAnsi="Nunito"/>
                  <w:color w:val="0563C1"/>
                  <w:sz w:val="16"/>
                  <w:szCs w:val="16"/>
                  <w:lang w:val="ro-RO"/>
                </w:rPr>
                <w:t>https://www.basel.int</w:t>
              </w:r>
            </w:hyperlink>
          </w:p>
        </w:tc>
        <w:tc>
          <w:tcPr>
            <w:tcW w:w="6662" w:type="dxa"/>
            <w:hideMark/>
          </w:tcPr>
          <w:p w14:paraId="66F8F1C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Basel este relevanta pentru PNGD in contextul: (1) Transporturi transfrontaliere — Romania exporta si importa deseuri; PNGD trebuie sa reflecte conformitatea cu procedura PIC si principiul autosuficientei; (2) Amendamentul plastic — Romania trebuie sa-si consolideze capacitatea interna de reciclare a plasticului pe masura ce exporturile sunt restrictionate; (3) Deseuri periculoase — PNGD trebuie sa prevada gestionarea ecologica (ESM) conform ghidurilor tehnice Basel; (4) WSR (UE) 2024/1157 implementeaza Basel in dreptul UE.</w:t>
            </w:r>
          </w:p>
        </w:tc>
      </w:tr>
      <w:tr w:rsidR="00AE673F" w:rsidRPr="00187708" w14:paraId="612C9013" w14:textId="77777777" w:rsidTr="00A949D9">
        <w:trPr>
          <w:gridAfter w:val="2"/>
          <w:wAfter w:w="172" w:type="dxa"/>
          <w:trHeight w:val="1524"/>
        </w:trPr>
        <w:tc>
          <w:tcPr>
            <w:tcW w:w="743" w:type="dxa"/>
            <w:gridSpan w:val="2"/>
            <w:hideMark/>
          </w:tcPr>
          <w:p w14:paraId="7093CD9D"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3</w:t>
            </w:r>
          </w:p>
        </w:tc>
        <w:tc>
          <w:tcPr>
            <w:tcW w:w="2139" w:type="dxa"/>
            <w:gridSpan w:val="4"/>
            <w:hideMark/>
          </w:tcPr>
          <w:p w14:paraId="7143F29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de la Stockholm privind Poluantii Organici Persistenti (POP)</w:t>
            </w:r>
          </w:p>
        </w:tc>
        <w:tc>
          <w:tcPr>
            <w:tcW w:w="7922" w:type="dxa"/>
            <w:gridSpan w:val="3"/>
            <w:hideMark/>
          </w:tcPr>
          <w:p w14:paraId="56BECD7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Protejarea sanatatii umane si a mediului de POP. 30 substante listate (anexele A, B, C). Obligatii: eliminare productie/utilizare (Anexa A); restrictionare (Anexa B); reducere emisii (Anexa C). Gestionarea stocurilor si deseurilor cu POP: distrugere ireversibila sau transformare conforma BAT/BEP. Planuri Nationale de Implementare (NIP). Mecanismul financiar: GEF. Listare noua: PFOA (2019), PFHxS (2022), UV-328 (2023), dechlorane plus (2023).</w:t>
            </w:r>
          </w:p>
        </w:tc>
        <w:tc>
          <w:tcPr>
            <w:tcW w:w="1788" w:type="dxa"/>
            <w:gridSpan w:val="4"/>
            <w:hideMark/>
          </w:tcPr>
          <w:p w14:paraId="70DC5D9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2004-nedeterminat</w:t>
            </w:r>
          </w:p>
        </w:tc>
        <w:tc>
          <w:tcPr>
            <w:tcW w:w="2434" w:type="dxa"/>
            <w:gridSpan w:val="3"/>
            <w:hideMark/>
          </w:tcPr>
          <w:p w14:paraId="510029A6" w14:textId="7BF6FD95" w:rsidR="00AE673F" w:rsidRPr="00187708" w:rsidRDefault="00AE673F">
            <w:pPr>
              <w:spacing w:before="0" w:after="0" w:line="240" w:lineRule="auto"/>
              <w:jc w:val="both"/>
              <w:rPr>
                <w:rFonts w:ascii="Nunito" w:hAnsi="Nunito"/>
                <w:sz w:val="16"/>
                <w:szCs w:val="16"/>
                <w:lang w:val="ro-RO"/>
              </w:rPr>
            </w:pPr>
            <w:hyperlink r:id="rId22" w:history="1">
              <w:r w:rsidRPr="00187708">
                <w:rPr>
                  <w:rStyle w:val="Hyperlink"/>
                  <w:rFonts w:ascii="Nunito" w:hAnsi="Nunito"/>
                  <w:color w:val="0563C1"/>
                  <w:sz w:val="16"/>
                  <w:szCs w:val="16"/>
                  <w:lang w:val="ro-RO"/>
                </w:rPr>
                <w:t>https://www.pops.int</w:t>
              </w:r>
            </w:hyperlink>
          </w:p>
        </w:tc>
        <w:tc>
          <w:tcPr>
            <w:tcW w:w="6662" w:type="dxa"/>
            <w:hideMark/>
          </w:tcPr>
          <w:p w14:paraId="0E4AA87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Stockholm obliga Romania sa gestioneze deseurile cu POP prin distrugere ireversibila sau transformare conforma BAT/BEP. PNGD 2026-2035 trebuie sa: (1) identifice fluxurile de deseuri cu potential de POP (DEEE, vehicule scoase din uz, materiale de constructii cu ignifuganti bromati, deseuri cu PFAS); (2) asigure capacitate de tratare/eliminare conforma (incinerare la temperaturi inalte); (3) preveni reintroducerea POP in economia circulara prin materiale reciclate.</w:t>
            </w:r>
          </w:p>
        </w:tc>
      </w:tr>
      <w:tr w:rsidR="00AE673F" w:rsidRPr="00187708" w14:paraId="59A9358E" w14:textId="77777777" w:rsidTr="00A949D9">
        <w:trPr>
          <w:gridAfter w:val="2"/>
          <w:wAfter w:w="172" w:type="dxa"/>
          <w:trHeight w:val="1524"/>
        </w:trPr>
        <w:tc>
          <w:tcPr>
            <w:tcW w:w="743" w:type="dxa"/>
            <w:gridSpan w:val="2"/>
            <w:hideMark/>
          </w:tcPr>
          <w:p w14:paraId="05A01C5F"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4</w:t>
            </w:r>
          </w:p>
        </w:tc>
        <w:tc>
          <w:tcPr>
            <w:tcW w:w="2139" w:type="dxa"/>
            <w:gridSpan w:val="4"/>
            <w:hideMark/>
          </w:tcPr>
          <w:p w14:paraId="6A6D1877"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de la Minamata privind Mercurul</w:t>
            </w:r>
          </w:p>
        </w:tc>
        <w:tc>
          <w:tcPr>
            <w:tcW w:w="7922" w:type="dxa"/>
            <w:gridSpan w:val="3"/>
            <w:hideMark/>
          </w:tcPr>
          <w:p w14:paraId="765070A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Protejarea sanatatii umane si a mediului de emisiile antropice si eliberarile de mercur. Obligatii: eliminare produse cu mercur (dispozitive de masurare, lampi fluorescente, baterii, cosmetice, pesticide) conform calendarelor din Anexa A; interdictie procese de fabricatie cu mercur; gestionare ecologica deseuri cu mercur (art. 11); depozitare provizorie ecologica; reducere emisii surse (art. 8) si eliberari (art. 9).</w:t>
            </w:r>
          </w:p>
        </w:tc>
        <w:tc>
          <w:tcPr>
            <w:tcW w:w="1788" w:type="dxa"/>
            <w:gridSpan w:val="4"/>
            <w:hideMark/>
          </w:tcPr>
          <w:p w14:paraId="06FEDEA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2017-nedeterminat</w:t>
            </w:r>
          </w:p>
        </w:tc>
        <w:tc>
          <w:tcPr>
            <w:tcW w:w="2434" w:type="dxa"/>
            <w:gridSpan w:val="3"/>
            <w:hideMark/>
          </w:tcPr>
          <w:p w14:paraId="7AB0B628" w14:textId="276D086C" w:rsidR="00AE673F" w:rsidRPr="00187708" w:rsidRDefault="00AE673F">
            <w:pPr>
              <w:spacing w:before="0" w:after="0" w:line="240" w:lineRule="auto"/>
              <w:jc w:val="both"/>
              <w:rPr>
                <w:rFonts w:ascii="Nunito" w:hAnsi="Nunito"/>
                <w:sz w:val="16"/>
                <w:szCs w:val="16"/>
                <w:lang w:val="ro-RO"/>
              </w:rPr>
            </w:pPr>
            <w:hyperlink r:id="rId23" w:history="1">
              <w:r w:rsidRPr="00187708">
                <w:rPr>
                  <w:rStyle w:val="Hyperlink"/>
                  <w:rFonts w:ascii="Nunito" w:hAnsi="Nunito"/>
                  <w:color w:val="0563C1"/>
                  <w:sz w:val="16"/>
                  <w:szCs w:val="16"/>
                  <w:lang w:val="ro-RO"/>
                </w:rPr>
                <w:t>https://www.mercuryconvention.org</w:t>
              </w:r>
            </w:hyperlink>
          </w:p>
        </w:tc>
        <w:tc>
          <w:tcPr>
            <w:tcW w:w="6662" w:type="dxa"/>
            <w:hideMark/>
          </w:tcPr>
          <w:p w14:paraId="684928A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Minamata afecteaza PNGD prin obligatia de gestionare ecologica a deseurilor cu mercur (art. 11). PNGD 2026-2035 trebuie sa: (1) prevada colectarea separata a lampilor fluorescente, termometrelor si altor produse cu mercur; (2) asigure capacitate de depozitare provizorie si tratare conforma; (3) coordoneze cu tintele de colectare DEEE pentru lampile cu mercur; (4) monitorizeze emisiile de mercur din incineratoare si depozite conform cerintelor de raportare.</w:t>
            </w:r>
          </w:p>
        </w:tc>
      </w:tr>
      <w:tr w:rsidR="00AE673F" w:rsidRPr="00187708" w14:paraId="2D728A5D" w14:textId="77777777" w:rsidTr="00A949D9">
        <w:trPr>
          <w:gridAfter w:val="2"/>
          <w:wAfter w:w="172" w:type="dxa"/>
          <w:trHeight w:val="1524"/>
        </w:trPr>
        <w:tc>
          <w:tcPr>
            <w:tcW w:w="743" w:type="dxa"/>
            <w:gridSpan w:val="2"/>
            <w:hideMark/>
          </w:tcPr>
          <w:p w14:paraId="4B786CD7"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5</w:t>
            </w:r>
          </w:p>
        </w:tc>
        <w:tc>
          <w:tcPr>
            <w:tcW w:w="2139" w:type="dxa"/>
            <w:gridSpan w:val="4"/>
            <w:hideMark/>
          </w:tcPr>
          <w:p w14:paraId="65F44F4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Acordul de la Paris privind Schimbarile Climatice (UNFCCC COP21)</w:t>
            </w:r>
          </w:p>
        </w:tc>
        <w:tc>
          <w:tcPr>
            <w:tcW w:w="7922" w:type="dxa"/>
            <w:gridSpan w:val="3"/>
            <w:hideMark/>
          </w:tcPr>
          <w:p w14:paraId="6892CC4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universal de combatere a schimbarilor climatice. 196 parti. Obiectiv: limitarea incalzirii globale la 1,5°C fata de era preindustriala. Mecanisme: Contributii Nationale Determinate (NDC) revizuite la fiecare 5 ani; Bilant Global (Global Stocktake) 2023: tranzitia de la combustibili fosili; mecanisme de piata (art. 6); finantare climatica: 100 mld. USD/an. NDC-ul Romaniei (via UE): -55% GES pana in 2030 fata de 1990; neutralitate 2050.</w:t>
            </w:r>
          </w:p>
        </w:tc>
        <w:tc>
          <w:tcPr>
            <w:tcW w:w="1788" w:type="dxa"/>
            <w:gridSpan w:val="4"/>
            <w:hideMark/>
          </w:tcPr>
          <w:p w14:paraId="62B2DBE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2016-nedeterminat</w:t>
            </w:r>
          </w:p>
        </w:tc>
        <w:tc>
          <w:tcPr>
            <w:tcW w:w="2434" w:type="dxa"/>
            <w:gridSpan w:val="3"/>
            <w:hideMark/>
          </w:tcPr>
          <w:p w14:paraId="02AB74FB" w14:textId="2C1F7DFC" w:rsidR="00AE673F" w:rsidRPr="00187708" w:rsidRDefault="00AE673F">
            <w:pPr>
              <w:spacing w:before="0" w:after="0" w:line="240" w:lineRule="auto"/>
              <w:jc w:val="both"/>
              <w:rPr>
                <w:rFonts w:ascii="Nunito" w:hAnsi="Nunito"/>
                <w:sz w:val="16"/>
                <w:szCs w:val="16"/>
                <w:lang w:val="ro-RO"/>
              </w:rPr>
            </w:pPr>
            <w:hyperlink r:id="rId24" w:history="1">
              <w:r w:rsidRPr="00187708">
                <w:rPr>
                  <w:rStyle w:val="Hyperlink"/>
                  <w:rFonts w:ascii="Nunito" w:hAnsi="Nunito"/>
                  <w:color w:val="0563C1"/>
                  <w:sz w:val="16"/>
                  <w:szCs w:val="16"/>
                  <w:lang w:val="ro-RO"/>
                </w:rPr>
                <w:t>https://unfccc.int/process-and-meetings/the-paris-agreement</w:t>
              </w:r>
            </w:hyperlink>
          </w:p>
        </w:tc>
        <w:tc>
          <w:tcPr>
            <w:tcW w:w="6662" w:type="dxa"/>
            <w:hideMark/>
          </w:tcPr>
          <w:p w14:paraId="06B373E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Acordul de la Paris este relevant pentru PNGD prin contributia sectorului deseuri la emisiile nationale GES. PNGD 2026-2035 trebuie sa demonstreze ca masurile sale contribuie la NDC-ul Romaniei: (1) reducerea emisiilor de CH4 din depozite (captare biogaz, deviere deseuri biodegradabile); (2) reducerea emisiilor din transport deseuri; (3) recuperare energetica din deseuri; (4) contributia economiei circulare la decarbonizare; (5) raportare in cadrul inventarului GES national.</w:t>
            </w:r>
          </w:p>
        </w:tc>
      </w:tr>
      <w:tr w:rsidR="00AE673F" w:rsidRPr="00187708" w14:paraId="4C287562" w14:textId="77777777" w:rsidTr="00A949D9">
        <w:trPr>
          <w:gridAfter w:val="2"/>
          <w:wAfter w:w="172" w:type="dxa"/>
          <w:trHeight w:val="1728"/>
        </w:trPr>
        <w:tc>
          <w:tcPr>
            <w:tcW w:w="743" w:type="dxa"/>
            <w:gridSpan w:val="2"/>
            <w:hideMark/>
          </w:tcPr>
          <w:p w14:paraId="1E32DEA8"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6</w:t>
            </w:r>
          </w:p>
        </w:tc>
        <w:tc>
          <w:tcPr>
            <w:tcW w:w="2139" w:type="dxa"/>
            <w:gridSpan w:val="4"/>
            <w:hideMark/>
          </w:tcPr>
          <w:p w14:paraId="20948533"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Global pentru Biodiversitate Kunming-Montreal (CBD COP15)</w:t>
            </w:r>
          </w:p>
        </w:tc>
        <w:tc>
          <w:tcPr>
            <w:tcW w:w="7922" w:type="dxa"/>
            <w:gridSpan w:val="3"/>
            <w:hideMark/>
          </w:tcPr>
          <w:p w14:paraId="7CC6AD2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strategic global pentru biodiversitate post-2020, adoptat dec. 2022. 23 tinte pentru 2030: Tinta 7 — reducere poluare (inclusiv deseuri) la niveluri inofensive; Tinta 2 — restaurare 30% ecosisteme degradate; Tinta 3 — 30% arii protejate (30x30). Indicatori GBF: 26 indicatori headline, 137 indicatori componenta/complementari. Planuri Nationale de Biodiversitate si Tinte (NBSAP) revizuite pana in 2024. Mecanism de monitorizare national bazat pe UN Biodiversity Lab.</w:t>
            </w:r>
          </w:p>
        </w:tc>
        <w:tc>
          <w:tcPr>
            <w:tcW w:w="1788" w:type="dxa"/>
            <w:gridSpan w:val="4"/>
            <w:hideMark/>
          </w:tcPr>
          <w:p w14:paraId="6CEDE5D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2022-2030</w:t>
            </w:r>
          </w:p>
        </w:tc>
        <w:tc>
          <w:tcPr>
            <w:tcW w:w="2434" w:type="dxa"/>
            <w:gridSpan w:val="3"/>
            <w:hideMark/>
          </w:tcPr>
          <w:p w14:paraId="7D97F0A0" w14:textId="2630BCC0" w:rsidR="00AE673F" w:rsidRPr="00187708" w:rsidRDefault="00AE673F">
            <w:pPr>
              <w:spacing w:before="0" w:after="0" w:line="240" w:lineRule="auto"/>
              <w:jc w:val="both"/>
              <w:rPr>
                <w:rFonts w:ascii="Nunito" w:hAnsi="Nunito"/>
                <w:sz w:val="16"/>
                <w:szCs w:val="16"/>
                <w:lang w:val="ro-RO"/>
              </w:rPr>
            </w:pPr>
            <w:hyperlink r:id="rId25" w:history="1">
              <w:r w:rsidRPr="00187708">
                <w:rPr>
                  <w:rStyle w:val="Hyperlink"/>
                  <w:rFonts w:ascii="Nunito" w:hAnsi="Nunito"/>
                  <w:color w:val="0563C1"/>
                  <w:sz w:val="16"/>
                  <w:szCs w:val="16"/>
                  <w:lang w:val="ro-RO"/>
                </w:rPr>
                <w:t>https://www.cbd.int/gbf</w:t>
              </w:r>
            </w:hyperlink>
          </w:p>
        </w:tc>
        <w:tc>
          <w:tcPr>
            <w:tcW w:w="6662" w:type="dxa"/>
            <w:hideMark/>
          </w:tcPr>
          <w:p w14:paraId="48F723E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Kunming-Montreal obliga Romania sa reduca poluarea cu deseuri a ecosistemelor (Tinta 7). PNGD 2026-2035 contribuie prin: (1) reducerea deseurilor abandonate si a descarcarii ilegale in habitate naturale; (2) reducerea poluarii cu plastic a corpurilor de apa si a Marii Negre; (3) gestionarea ecologica a deseurilor in si langa ariile protejate; (4) alinierea cu NBSAP revizuit al Romaniei si cu indicatorii GBF relevanti.</w:t>
            </w:r>
          </w:p>
        </w:tc>
      </w:tr>
      <w:tr w:rsidR="00AE673F" w:rsidRPr="00187708" w14:paraId="1AB2BA26" w14:textId="77777777" w:rsidTr="00A949D9">
        <w:trPr>
          <w:gridAfter w:val="2"/>
          <w:wAfter w:w="172" w:type="dxa"/>
          <w:trHeight w:val="1524"/>
        </w:trPr>
        <w:tc>
          <w:tcPr>
            <w:tcW w:w="743" w:type="dxa"/>
            <w:gridSpan w:val="2"/>
            <w:hideMark/>
          </w:tcPr>
          <w:p w14:paraId="472C1A1A"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7</w:t>
            </w:r>
          </w:p>
        </w:tc>
        <w:tc>
          <w:tcPr>
            <w:tcW w:w="2139" w:type="dxa"/>
            <w:gridSpan w:val="4"/>
            <w:hideMark/>
          </w:tcPr>
          <w:p w14:paraId="01F227B3"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Tratatul Global privind Plasticul (negociere INC — UNEP)</w:t>
            </w:r>
          </w:p>
        </w:tc>
        <w:tc>
          <w:tcPr>
            <w:tcW w:w="7922" w:type="dxa"/>
            <w:gridSpan w:val="3"/>
            <w:hideMark/>
          </w:tcPr>
          <w:p w14:paraId="41E99FB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Instrument international juridic obligatoriu pentru combaterea poluarii cu plastic, in negociere sub egida UNEP. INC-5 (Busan, nov. 2024): nu s-a ajuns la consens; INC-5.2 planificat 2025. Optiuni: interdictii chimicale, cerinte ecodesign, obligatii colectare/reciclare, finantare, mecanism REP global, transparenta de-a lungul ciclului de viata. Romania participa prin mandatul UE comun. Potential impact semnificativ pe fluxurile de deseuri de plastic din PNGD.</w:t>
            </w:r>
          </w:p>
        </w:tc>
        <w:tc>
          <w:tcPr>
            <w:tcW w:w="1788" w:type="dxa"/>
            <w:gridSpan w:val="4"/>
            <w:hideMark/>
          </w:tcPr>
          <w:p w14:paraId="3AA2323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2025+ (in negociere)</w:t>
            </w:r>
          </w:p>
        </w:tc>
        <w:tc>
          <w:tcPr>
            <w:tcW w:w="2434" w:type="dxa"/>
            <w:gridSpan w:val="3"/>
            <w:hideMark/>
          </w:tcPr>
          <w:p w14:paraId="7B6C3712" w14:textId="61537861" w:rsidR="00AE673F" w:rsidRPr="00187708" w:rsidRDefault="00AE673F">
            <w:pPr>
              <w:spacing w:before="0" w:after="0" w:line="240" w:lineRule="auto"/>
              <w:jc w:val="both"/>
              <w:rPr>
                <w:rFonts w:ascii="Nunito" w:hAnsi="Nunito"/>
                <w:sz w:val="16"/>
                <w:szCs w:val="16"/>
                <w:lang w:val="ro-RO"/>
              </w:rPr>
            </w:pPr>
            <w:hyperlink r:id="rId26" w:history="1">
              <w:r w:rsidRPr="00187708">
                <w:rPr>
                  <w:rStyle w:val="Hyperlink"/>
                  <w:rFonts w:ascii="Nunito" w:hAnsi="Nunito"/>
                  <w:color w:val="0563C1"/>
                  <w:sz w:val="16"/>
                  <w:szCs w:val="16"/>
                  <w:lang w:val="ro-RO"/>
                </w:rPr>
                <w:t>https://www.unep.org/inc-plastic-pollution</w:t>
              </w:r>
            </w:hyperlink>
          </w:p>
        </w:tc>
        <w:tc>
          <w:tcPr>
            <w:tcW w:w="6662" w:type="dxa"/>
            <w:hideMark/>
          </w:tcPr>
          <w:p w14:paraId="0189B35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Tratatul Global Plastic va crea, odata adoptat, obligatii suplimentare pe care PNGD va trebui sa le integreze: (1) cerinte de colectare si reciclare a plasticului pe intreg ciclul de viata; (2) posibile interdictii globale ale anumitor polimeri/aditivi; (3) sisteme REP armonizate international; (4) raportare si transparenta privind fluxurile de plastic. PNGD 2026-2035 trebuie sa anticipeze aceste obligatii si sa construiasca flexibilitate pentru adaptare.</w:t>
            </w:r>
          </w:p>
        </w:tc>
      </w:tr>
      <w:tr w:rsidR="00AE673F" w:rsidRPr="00187708" w14:paraId="1F3F8F80" w14:textId="77777777" w:rsidTr="00A949D9">
        <w:trPr>
          <w:gridAfter w:val="2"/>
          <w:wAfter w:w="172" w:type="dxa"/>
          <w:trHeight w:val="1524"/>
        </w:trPr>
        <w:tc>
          <w:tcPr>
            <w:tcW w:w="743" w:type="dxa"/>
            <w:gridSpan w:val="2"/>
            <w:hideMark/>
          </w:tcPr>
          <w:p w14:paraId="559C0298"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8</w:t>
            </w:r>
          </w:p>
        </w:tc>
        <w:tc>
          <w:tcPr>
            <w:tcW w:w="2139" w:type="dxa"/>
            <w:gridSpan w:val="4"/>
            <w:hideMark/>
          </w:tcPr>
          <w:p w14:paraId="5D1C6EC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de la Bucuresti pentru protectia Marii Negre — Protocolul privind Sursele Terestre</w:t>
            </w:r>
          </w:p>
        </w:tc>
        <w:tc>
          <w:tcPr>
            <w:tcW w:w="7922" w:type="dxa"/>
            <w:gridSpan w:val="3"/>
            <w:hideMark/>
          </w:tcPr>
          <w:p w14:paraId="26D38E1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juridic international pentru protectia mediului marin al Marii Negre. 6 state riverane. Protocolul privind Sursele Terestre: obligatii de reducere a poluarii de pe uscat care ajunge in Marea Neagra, inclusiv deseuri solide si deseuri marine (marine litter). Planul Strategic al Marii Negre (BSSAP) 2009 (in revizuire): include obiective specifice pentru deseuri marine. Comisia pentru Protectia Marii Negre (BSC) coordoneaza monitorizarea.</w:t>
            </w:r>
          </w:p>
        </w:tc>
        <w:tc>
          <w:tcPr>
            <w:tcW w:w="1788" w:type="dxa"/>
            <w:gridSpan w:val="4"/>
            <w:hideMark/>
          </w:tcPr>
          <w:p w14:paraId="1CFE8CC7"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1994-nedeterminat</w:t>
            </w:r>
          </w:p>
        </w:tc>
        <w:tc>
          <w:tcPr>
            <w:tcW w:w="2434" w:type="dxa"/>
            <w:gridSpan w:val="3"/>
            <w:hideMark/>
          </w:tcPr>
          <w:p w14:paraId="6C6B7D44" w14:textId="1AC132CE" w:rsidR="00AE673F" w:rsidRPr="00187708" w:rsidRDefault="00AE673F">
            <w:pPr>
              <w:spacing w:before="0" w:after="0" w:line="240" w:lineRule="auto"/>
              <w:jc w:val="both"/>
              <w:rPr>
                <w:rFonts w:ascii="Nunito" w:hAnsi="Nunito"/>
                <w:sz w:val="16"/>
                <w:szCs w:val="16"/>
                <w:lang w:val="ro-RO"/>
              </w:rPr>
            </w:pPr>
            <w:hyperlink r:id="rId27" w:history="1">
              <w:r w:rsidRPr="00187708">
                <w:rPr>
                  <w:rStyle w:val="Hyperlink"/>
                  <w:rFonts w:ascii="Nunito" w:hAnsi="Nunito"/>
                  <w:color w:val="0563C1"/>
                  <w:sz w:val="16"/>
                  <w:szCs w:val="16"/>
                  <w:lang w:val="ro-RO"/>
                </w:rPr>
                <w:t>http://www.blacksea-commission.org</w:t>
              </w:r>
            </w:hyperlink>
          </w:p>
        </w:tc>
        <w:tc>
          <w:tcPr>
            <w:tcW w:w="6662" w:type="dxa"/>
            <w:hideMark/>
          </w:tcPr>
          <w:p w14:paraId="72B184C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Bucuresti obliga Romania sa reduca poluarea de pe uscat care ajunge in Marea Neagra. PNGD 2026-2035 contribuie prin: (1) reducerea deseurilor de plastic si a altor deseuri care ajung in Dunare si afluentii sai; (2) eliminarea depozitelor ilegale din zone riverane; (3) imbunatatirea ratelor de colectare in localitatile din bazinul Marii Negre; (4) monitorizarea contributiei sectorului de deseuri la indicatorii BSSAP privind deseurile marine.</w:t>
            </w:r>
          </w:p>
        </w:tc>
      </w:tr>
      <w:tr w:rsidR="00AE673F" w:rsidRPr="00187708" w14:paraId="730F996B" w14:textId="77777777" w:rsidTr="00A949D9">
        <w:trPr>
          <w:gridAfter w:val="2"/>
          <w:wAfter w:w="172" w:type="dxa"/>
          <w:trHeight w:val="680"/>
        </w:trPr>
        <w:tc>
          <w:tcPr>
            <w:tcW w:w="743" w:type="dxa"/>
            <w:gridSpan w:val="2"/>
            <w:hideMark/>
          </w:tcPr>
          <w:p w14:paraId="6470E6CF"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lastRenderedPageBreak/>
              <w:t>9</w:t>
            </w:r>
          </w:p>
        </w:tc>
        <w:tc>
          <w:tcPr>
            <w:tcW w:w="2139" w:type="dxa"/>
            <w:gridSpan w:val="4"/>
            <w:hideMark/>
          </w:tcPr>
          <w:p w14:paraId="5A536DB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Conventia privind Poluarea Atmosferica Transfrontaliera pe Distante Lungi (CLRTAP) / Protocolul Goteborg</w:t>
            </w:r>
          </w:p>
        </w:tc>
        <w:tc>
          <w:tcPr>
            <w:tcW w:w="7922" w:type="dxa"/>
            <w:gridSpan w:val="3"/>
            <w:hideMark/>
          </w:tcPr>
          <w:p w14:paraId="4DA4C92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Primul tratat international privind poluarea aerului (1979, UNECE). Protocolul Goteborg (1999, revizuit 2012): angajamente de reducere a emisiilor de SO2, NOx, COVnm, NH3 si PM2,5 pana in 2020 si dupa. Romania: -33% SO2, -45% NOx, -25% COVnm, -13% NH3, -28% PM2,5 (fata de 2005). Contribuie la standardele de calitate a aerului UE si la obiectivele ODD 3 (sanatate) si 11 (orase durabile).</w:t>
            </w:r>
          </w:p>
        </w:tc>
        <w:tc>
          <w:tcPr>
            <w:tcW w:w="1788" w:type="dxa"/>
            <w:gridSpan w:val="4"/>
            <w:hideMark/>
          </w:tcPr>
          <w:p w14:paraId="45C544B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1979/1999-nedeterminat</w:t>
            </w:r>
          </w:p>
        </w:tc>
        <w:tc>
          <w:tcPr>
            <w:tcW w:w="2434" w:type="dxa"/>
            <w:gridSpan w:val="3"/>
            <w:hideMark/>
          </w:tcPr>
          <w:p w14:paraId="3BEAFE9F" w14:textId="661019C1" w:rsidR="00AE673F" w:rsidRPr="00187708" w:rsidRDefault="00AE673F">
            <w:pPr>
              <w:spacing w:before="0" w:after="0" w:line="240" w:lineRule="auto"/>
              <w:jc w:val="both"/>
              <w:rPr>
                <w:rFonts w:ascii="Nunito" w:hAnsi="Nunito"/>
                <w:sz w:val="16"/>
                <w:szCs w:val="16"/>
                <w:lang w:val="ro-RO"/>
              </w:rPr>
            </w:pPr>
            <w:hyperlink r:id="rId28" w:history="1">
              <w:r w:rsidRPr="00187708">
                <w:rPr>
                  <w:rStyle w:val="Hyperlink"/>
                  <w:rFonts w:ascii="Nunito" w:hAnsi="Nunito"/>
                  <w:color w:val="0563C1"/>
                  <w:sz w:val="16"/>
                  <w:szCs w:val="16"/>
                  <w:lang w:val="ro-RO"/>
                </w:rPr>
                <w:t>https://unece.org/environment-policy/air</w:t>
              </w:r>
            </w:hyperlink>
          </w:p>
        </w:tc>
        <w:tc>
          <w:tcPr>
            <w:tcW w:w="6662" w:type="dxa"/>
            <w:hideMark/>
          </w:tcPr>
          <w:p w14:paraId="4136EC2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CLRTAP/Goteborg obliga Romania sa reduca emisiile transfrontaliere din incinerare si depozitare. PNGD 2026-2035 contribuie prin: (1) reducerea emisiilor de NH3, COVnm si PM2,5 din depozite si instalatii de compostare (prin captare biogaz, biofiltare, compostare in sisteme inchise); (2) respectarea BAT-AEL pentru incineratoare; (3) alinierea cu angajamentele PNCPA care transpune Protocolul Goteborg in legislatia nationala.</w:t>
            </w:r>
          </w:p>
        </w:tc>
      </w:tr>
      <w:tr w:rsidR="001802CD" w:rsidRPr="00187708" w14:paraId="7DDDB57B" w14:textId="77777777" w:rsidTr="004B2370">
        <w:trPr>
          <w:gridAfter w:val="2"/>
          <w:wAfter w:w="172" w:type="dxa"/>
        </w:trPr>
        <w:tc>
          <w:tcPr>
            <w:tcW w:w="21688" w:type="dxa"/>
            <w:gridSpan w:val="17"/>
            <w:shd w:val="clear" w:color="auto" w:fill="F2F2F2" w:themeFill="background1" w:themeFillShade="F2"/>
          </w:tcPr>
          <w:p w14:paraId="0EF23B68" w14:textId="632CB527" w:rsidR="001802CD" w:rsidRPr="00187708" w:rsidRDefault="001802CD">
            <w:pPr>
              <w:spacing w:before="10" w:after="10"/>
              <w:jc w:val="both"/>
              <w:rPr>
                <w:rFonts w:ascii="Nunito" w:hAnsi="Nunito"/>
                <w:b/>
                <w:bCs/>
                <w:sz w:val="16"/>
                <w:szCs w:val="16"/>
                <w:lang w:val="ro-RO"/>
              </w:rPr>
            </w:pPr>
            <w:r w:rsidRPr="00187708">
              <w:rPr>
                <w:rFonts w:ascii="Nunito" w:hAnsi="Nunito"/>
                <w:b/>
                <w:bCs/>
                <w:sz w:val="16"/>
                <w:szCs w:val="16"/>
                <w:lang w:val="ro-RO"/>
              </w:rPr>
              <w:t>Nivel european</w:t>
            </w:r>
          </w:p>
        </w:tc>
      </w:tr>
      <w:tr w:rsidR="00AE673F" w:rsidRPr="00187708" w14:paraId="100FBF85" w14:textId="77777777" w:rsidTr="004B2370">
        <w:trPr>
          <w:gridAfter w:val="2"/>
          <w:wAfter w:w="172" w:type="dxa"/>
        </w:trPr>
        <w:tc>
          <w:tcPr>
            <w:tcW w:w="743" w:type="dxa"/>
            <w:gridSpan w:val="2"/>
            <w:hideMark/>
          </w:tcPr>
          <w:p w14:paraId="6911E8BF"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w:t>
            </w:r>
          </w:p>
        </w:tc>
        <w:tc>
          <w:tcPr>
            <w:tcW w:w="2099" w:type="dxa"/>
            <w:gridSpan w:val="3"/>
            <w:hideMark/>
          </w:tcPr>
          <w:p w14:paraId="6F1AC99D"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Pactul Verde European (European Green Deal) — COM(2019) 640 final</w:t>
            </w:r>
          </w:p>
        </w:tc>
        <w:tc>
          <w:tcPr>
            <w:tcW w:w="7931" w:type="dxa"/>
            <w:gridSpan w:val="3"/>
            <w:hideMark/>
          </w:tcPr>
          <w:p w14:paraId="71B59141"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Strategia-cadru a UE pentru transformarea Uniunii intr-o economie moderna, competitiva si neutra climatic. Obiective: neutralitate climatica pana in 2050; reducere GES cu min. 55% pana in 2030 (fata de 1990); 100% ambalaje reciclabile pana in 2030; reducerea la jumatate a deseurilor municipale reziduale pana in 2030; investitii suplimentare de ~260 miliarde EUR/an; alocarea a 25% din bugetul MFF 2021-2027 pentru clima.</w:t>
            </w:r>
          </w:p>
        </w:tc>
        <w:tc>
          <w:tcPr>
            <w:tcW w:w="1701" w:type="dxa"/>
            <w:gridSpan w:val="4"/>
            <w:hideMark/>
          </w:tcPr>
          <w:p w14:paraId="5D926951"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2019-2050</w:t>
            </w:r>
          </w:p>
        </w:tc>
        <w:tc>
          <w:tcPr>
            <w:tcW w:w="2345" w:type="dxa"/>
            <w:gridSpan w:val="2"/>
            <w:hideMark/>
          </w:tcPr>
          <w:p w14:paraId="54DF2842" w14:textId="5C215855" w:rsidR="00AE673F" w:rsidRPr="00187708" w:rsidRDefault="00AE673F">
            <w:pPr>
              <w:spacing w:before="10" w:after="10"/>
              <w:jc w:val="both"/>
              <w:rPr>
                <w:rFonts w:ascii="Nunito" w:hAnsi="Nunito"/>
                <w:sz w:val="16"/>
                <w:szCs w:val="16"/>
                <w:lang w:val="ro-RO"/>
              </w:rPr>
            </w:pPr>
            <w:hyperlink r:id="rId29" w:history="1">
              <w:r w:rsidRPr="00187708">
                <w:rPr>
                  <w:rStyle w:val="Hyperlink"/>
                  <w:rFonts w:ascii="Nunito" w:hAnsi="Nunito"/>
                  <w:color w:val="0563C1"/>
                  <w:sz w:val="16"/>
                  <w:szCs w:val="16"/>
                  <w:lang w:val="ro-RO"/>
                </w:rPr>
                <w:t>https://eur-lex.europa.eu/legal-content/EN/TXT/?uri=CELEX%3A52019DC0640</w:t>
              </w:r>
            </w:hyperlink>
          </w:p>
        </w:tc>
        <w:tc>
          <w:tcPr>
            <w:tcW w:w="6869" w:type="dxa"/>
            <w:gridSpan w:val="3"/>
            <w:hideMark/>
          </w:tcPr>
          <w:p w14:paraId="10185208"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Pactul Verde European reprezinta cadrul strategic suprem in care opereaza PNGD 2026-2035. Fiecare strategie sectoriala si instrument legislativ acoperit de PNGD este o sub-componenta a Pactului Verde. PNGD trebuie sa demonstreze contributia sa la: neutralitatea climatica pana in 2050, reducerea GES cu 55% pana in 2030 si reducerea la jumatate a deseurilor municipale reziduale. Pactul Verde furnizeaza si ratiunea investitionala: Romania poate accesa fonduri UE de coeziune, Mecanismul pentru o Tranzitie Justa si InvestEU pentru finantarea infrastructurii si masurilor PNGD.</w:t>
            </w:r>
          </w:p>
        </w:tc>
      </w:tr>
      <w:tr w:rsidR="00AE673F" w:rsidRPr="00187708" w14:paraId="0E4CBFCE" w14:textId="77777777" w:rsidTr="004B2370">
        <w:trPr>
          <w:gridAfter w:val="2"/>
          <w:wAfter w:w="172" w:type="dxa"/>
        </w:trPr>
        <w:tc>
          <w:tcPr>
            <w:tcW w:w="743" w:type="dxa"/>
            <w:gridSpan w:val="2"/>
            <w:hideMark/>
          </w:tcPr>
          <w:p w14:paraId="47331726"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2</w:t>
            </w:r>
          </w:p>
        </w:tc>
        <w:tc>
          <w:tcPr>
            <w:tcW w:w="2099" w:type="dxa"/>
            <w:gridSpan w:val="3"/>
            <w:hideMark/>
          </w:tcPr>
          <w:p w14:paraId="0E0BF1BD"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Al 8-lea Program de Actiune pentru Mediu (8th EAP) — Decizia (UE) 2022/591</w:t>
            </w:r>
          </w:p>
        </w:tc>
        <w:tc>
          <w:tcPr>
            <w:tcW w:w="7931" w:type="dxa"/>
            <w:gridSpan w:val="3"/>
            <w:hideMark/>
          </w:tcPr>
          <w:p w14:paraId="7B458678"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Programul general de actiune al UE in domeniul mediului pana in 2030. Sase obiective tematice prioritare: (a) reducere GES min. 55% pana in 2030; (b) consolidare rezilienta climatica; (c) tranzitie la economia circulara netoxica; (d) poluare zero pentru aer, apa, sol; (e) stoparea pierderii biodiversitatii; (f) reducerea presiunilor de productie/consum. Finantare: min. 20 mld. EUR/an pentru natura; 10% din MFF 2026-2027 pentru biodiversitate. Viziune 2050: a trai bine in limitele planetare.</w:t>
            </w:r>
          </w:p>
        </w:tc>
        <w:tc>
          <w:tcPr>
            <w:tcW w:w="1701" w:type="dxa"/>
            <w:gridSpan w:val="4"/>
            <w:hideMark/>
          </w:tcPr>
          <w:p w14:paraId="3544AD3E"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2022-2030 (2050)</w:t>
            </w:r>
          </w:p>
        </w:tc>
        <w:tc>
          <w:tcPr>
            <w:tcW w:w="2345" w:type="dxa"/>
            <w:gridSpan w:val="2"/>
            <w:hideMark/>
          </w:tcPr>
          <w:p w14:paraId="26B702E9" w14:textId="5BF4F97B" w:rsidR="00AE673F" w:rsidRPr="00187708" w:rsidRDefault="00AE673F">
            <w:pPr>
              <w:spacing w:before="10" w:after="10"/>
              <w:jc w:val="both"/>
              <w:rPr>
                <w:rFonts w:ascii="Nunito" w:hAnsi="Nunito"/>
                <w:sz w:val="16"/>
                <w:szCs w:val="16"/>
                <w:lang w:val="ro-RO"/>
              </w:rPr>
            </w:pPr>
            <w:hyperlink r:id="rId30" w:history="1">
              <w:r w:rsidRPr="00187708">
                <w:rPr>
                  <w:rStyle w:val="Hyperlink"/>
                  <w:rFonts w:ascii="Nunito" w:hAnsi="Nunito"/>
                  <w:color w:val="0563C1"/>
                  <w:sz w:val="16"/>
                  <w:szCs w:val="16"/>
                  <w:lang w:val="ro-RO"/>
                </w:rPr>
                <w:t>https://eur-lex.europa.eu/legal-content/EN/TXT/?uri=CELEX%3A32022D0591</w:t>
              </w:r>
            </w:hyperlink>
          </w:p>
        </w:tc>
        <w:tc>
          <w:tcPr>
            <w:tcW w:w="6869" w:type="dxa"/>
            <w:gridSpan w:val="3"/>
            <w:hideMark/>
          </w:tcPr>
          <w:p w14:paraId="55F760E3"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Al 8-lea PAM serveste drept cadru de monitorizare si guvernanta pentru Pactul Verde European. PNGD 2026-2035 trebuie sa demonstreze contributia la Obiectivele (c), (d) si (f) — in special tranzitia la economia circulara, poluarea zero din fluxurile de deseuri si reducerea presiunilor de productie/consum. Tintele PNGD privind prevenirea deseurilor, reciclarea si devierea de la depozitare sunt indicatori de referinta sub cadrul de monitorizare al 8-lea PAM.</w:t>
            </w:r>
          </w:p>
        </w:tc>
      </w:tr>
      <w:tr w:rsidR="00AE673F" w:rsidRPr="00187708" w14:paraId="37351E02" w14:textId="77777777" w:rsidTr="004B2370">
        <w:trPr>
          <w:gridAfter w:val="2"/>
          <w:wAfter w:w="172" w:type="dxa"/>
        </w:trPr>
        <w:tc>
          <w:tcPr>
            <w:tcW w:w="743" w:type="dxa"/>
            <w:gridSpan w:val="2"/>
            <w:hideMark/>
          </w:tcPr>
          <w:p w14:paraId="3167056C"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3</w:t>
            </w:r>
          </w:p>
        </w:tc>
        <w:tc>
          <w:tcPr>
            <w:tcW w:w="2099" w:type="dxa"/>
            <w:gridSpan w:val="3"/>
            <w:hideMark/>
          </w:tcPr>
          <w:p w14:paraId="5847D3EE"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Planul de Actiune pentru Economia Circulara 2020 (CEAP 2.0) — COM(2020) 98 final</w:t>
            </w:r>
          </w:p>
        </w:tc>
        <w:tc>
          <w:tcPr>
            <w:tcW w:w="7931" w:type="dxa"/>
            <w:gridSpan w:val="3"/>
            <w:hideMark/>
          </w:tcPr>
          <w:p w14:paraId="569A272E"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Cadrul de politica principal al UE pentru accelerarea tranzitiei la economia circulara. Obiective: dublarea ratei de utilizare circulara a materialelor pana in ~2030; 100% ambalaje reutilizabile sau reciclabile economic pana in 2030; reducere cu 50% a deseurilor municipale reziduale pana in 2030; colectare separata obligatorie a textilelor de la 1 ianuarie 2025; +0,5% PIB si ~700.000 locuri de munca noi din economia circulara. Actiuni legislative: ESPR, PPWR, revizuire DCD, regulament transferuri deseuri.</w:t>
            </w:r>
          </w:p>
        </w:tc>
        <w:tc>
          <w:tcPr>
            <w:tcW w:w="1701" w:type="dxa"/>
            <w:gridSpan w:val="4"/>
            <w:hideMark/>
          </w:tcPr>
          <w:p w14:paraId="72DDE1C1"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2020-2030</w:t>
            </w:r>
          </w:p>
        </w:tc>
        <w:tc>
          <w:tcPr>
            <w:tcW w:w="2345" w:type="dxa"/>
            <w:gridSpan w:val="2"/>
            <w:hideMark/>
          </w:tcPr>
          <w:p w14:paraId="452AA558" w14:textId="711846D0" w:rsidR="00AE673F" w:rsidRPr="00187708" w:rsidRDefault="00AE673F">
            <w:pPr>
              <w:spacing w:before="10" w:after="10"/>
              <w:jc w:val="both"/>
              <w:rPr>
                <w:rFonts w:ascii="Nunito" w:hAnsi="Nunito"/>
                <w:sz w:val="16"/>
                <w:szCs w:val="16"/>
                <w:lang w:val="ro-RO"/>
              </w:rPr>
            </w:pPr>
            <w:hyperlink r:id="rId31" w:history="1">
              <w:r w:rsidRPr="00187708">
                <w:rPr>
                  <w:rStyle w:val="Hyperlink"/>
                  <w:rFonts w:ascii="Nunito" w:hAnsi="Nunito"/>
                  <w:color w:val="0563C1"/>
                  <w:sz w:val="16"/>
                  <w:szCs w:val="16"/>
                  <w:lang w:val="ro-RO"/>
                </w:rPr>
                <w:t>https://eur-lex.europa.eu/legal-content/EN/TXT/?uri=CELEX%3A52020DC0098</w:t>
              </w:r>
            </w:hyperlink>
          </w:p>
        </w:tc>
        <w:tc>
          <w:tcPr>
            <w:tcW w:w="6869" w:type="dxa"/>
            <w:gridSpan w:val="3"/>
            <w:hideMark/>
          </w:tcPr>
          <w:p w14:paraId="1016011B"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CEAP 2.0 este cel mai direct relevant cadru strategic UE pentru PNGD. PNGD 2026-2035 trebuie sa se alinieze la tintele CEAP: -50% deseuri municipale reziduale pana in 2030, obligatii de colectare separata (textile de la 2025, biodeseuri), reducerea deseurilor de ambalaje (prin PPWR) si transformarea lanturilor valorice cheie (textile, electronice, constructii, alimente). PNGD trebuie sa demonstreze cum sistemele REP, infrastructura de reciclare si cerintele de proiectare ecologica contribuie la dublarea ratei de circularitate.</w:t>
            </w:r>
          </w:p>
        </w:tc>
      </w:tr>
      <w:tr w:rsidR="00AE673F" w:rsidRPr="00187708" w14:paraId="357B6368" w14:textId="77777777" w:rsidTr="004B2370">
        <w:trPr>
          <w:gridAfter w:val="2"/>
          <w:wAfter w:w="172" w:type="dxa"/>
        </w:trPr>
        <w:tc>
          <w:tcPr>
            <w:tcW w:w="743" w:type="dxa"/>
            <w:gridSpan w:val="2"/>
            <w:hideMark/>
          </w:tcPr>
          <w:p w14:paraId="0BCD0B38"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4</w:t>
            </w:r>
          </w:p>
        </w:tc>
        <w:tc>
          <w:tcPr>
            <w:tcW w:w="2099" w:type="dxa"/>
            <w:gridSpan w:val="3"/>
            <w:hideMark/>
          </w:tcPr>
          <w:p w14:paraId="54342AAD"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Planul de Actiune "Zero Poluare" — COM(2021) 400 final</w:t>
            </w:r>
          </w:p>
        </w:tc>
        <w:tc>
          <w:tcPr>
            <w:tcW w:w="7931" w:type="dxa"/>
            <w:gridSpan w:val="3"/>
            <w:hideMark/>
          </w:tcPr>
          <w:p w14:paraId="705605B0"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Viziunea UE pentru reducerea poluarii aerului, apei si solului la niveluri inofensive pentru sanatate si ecosisteme pana in 2050. Tinte 2030: -55% decese premature din poluare aer; -50% deseuri municipale reziduale; -50% deseuri de plastic in mare; -30% microplastice; -50% pierderi nutritive; remedierea prioritara a ~390.000 situri contaminate la nivel UE. Actiuni: revizuire directivelor privind calitatea aerului, IED, apa uzata urbana.</w:t>
            </w:r>
          </w:p>
        </w:tc>
        <w:tc>
          <w:tcPr>
            <w:tcW w:w="1701" w:type="dxa"/>
            <w:gridSpan w:val="4"/>
            <w:hideMark/>
          </w:tcPr>
          <w:p w14:paraId="2F251EC9"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2030-2050</w:t>
            </w:r>
          </w:p>
        </w:tc>
        <w:tc>
          <w:tcPr>
            <w:tcW w:w="2345" w:type="dxa"/>
            <w:gridSpan w:val="2"/>
            <w:hideMark/>
          </w:tcPr>
          <w:p w14:paraId="3E1AC396" w14:textId="79BF4CAC" w:rsidR="00AE673F" w:rsidRPr="00187708" w:rsidRDefault="00AE673F">
            <w:pPr>
              <w:spacing w:before="10" w:after="10"/>
              <w:jc w:val="both"/>
              <w:rPr>
                <w:rFonts w:ascii="Nunito" w:hAnsi="Nunito"/>
                <w:sz w:val="16"/>
                <w:szCs w:val="16"/>
                <w:lang w:val="ro-RO"/>
              </w:rPr>
            </w:pPr>
            <w:hyperlink r:id="rId32" w:history="1">
              <w:r w:rsidRPr="00187708">
                <w:rPr>
                  <w:rStyle w:val="Hyperlink"/>
                  <w:rFonts w:ascii="Nunito" w:hAnsi="Nunito"/>
                  <w:color w:val="0563C1"/>
                  <w:sz w:val="16"/>
                  <w:szCs w:val="16"/>
                  <w:lang w:val="ro-RO"/>
                </w:rPr>
                <w:t>https://eur-lex.europa.eu/legal-content/EN/TXT/?uri=CELEX%3A52021DC0400</w:t>
              </w:r>
            </w:hyperlink>
          </w:p>
        </w:tc>
        <w:tc>
          <w:tcPr>
            <w:tcW w:w="6869" w:type="dxa"/>
            <w:gridSpan w:val="3"/>
            <w:hideMark/>
          </w:tcPr>
          <w:p w14:paraId="23CE1EAC"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Planul Zero Poluare modeleaza direct PNGD prin tintele sale privind deseurile: -50% deseuri municipale reziduale si reducerea emisiilor poluante din instalatiile de tratare a deseurilor. PNGD trebuie sa demonstreze cum masurile de gestionare a deseurilor reduc contaminarea solului (in special la siturile fostelor depozite neconforme), reduc plasticul ajuns in corpurile de apa si diminueaza poluantii atmosferici din incinerare si compostare, in conformitate cu cerintele BAT introduse prin IED (UE) 2024/1785.</w:t>
            </w:r>
          </w:p>
        </w:tc>
      </w:tr>
      <w:tr w:rsidR="00AE673F" w:rsidRPr="00187708" w14:paraId="1BC372F1" w14:textId="77777777" w:rsidTr="004B2370">
        <w:trPr>
          <w:gridAfter w:val="2"/>
          <w:wAfter w:w="172" w:type="dxa"/>
        </w:trPr>
        <w:tc>
          <w:tcPr>
            <w:tcW w:w="743" w:type="dxa"/>
            <w:gridSpan w:val="2"/>
            <w:hideMark/>
          </w:tcPr>
          <w:p w14:paraId="59A16C17"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5</w:t>
            </w:r>
          </w:p>
        </w:tc>
        <w:tc>
          <w:tcPr>
            <w:tcW w:w="2099" w:type="dxa"/>
            <w:gridSpan w:val="3"/>
            <w:hideMark/>
          </w:tcPr>
          <w:p w14:paraId="20BC89FF"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UE pentru Biodiversitate 2030 — COM(2020) 380 final</w:t>
            </w:r>
          </w:p>
        </w:tc>
        <w:tc>
          <w:tcPr>
            <w:tcW w:w="7931" w:type="dxa"/>
            <w:gridSpan w:val="3"/>
            <w:hideMark/>
          </w:tcPr>
          <w:p w14:paraId="7C06B4BB"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 cuprinzator pentru protejarea naturii si inversarea degradarii ecosistemelor. Tinte: 30% arii terestre protejate (10% strict); 30% arii marine protejate; min. 30% habitate in stare buna pana in 2030; 3 mld. copaci plantati; 25% agricultura ecologica; 25.000 km rauri cu curs liber restaurate; min. 20 mld. EUR/an pentru natura. Planuri nationale de restaurare sub Regulamentul (UE) 2024/1991 — depunere pana la 1 sept. 2026.</w:t>
            </w:r>
          </w:p>
        </w:tc>
        <w:tc>
          <w:tcPr>
            <w:tcW w:w="1701" w:type="dxa"/>
            <w:gridSpan w:val="4"/>
            <w:hideMark/>
          </w:tcPr>
          <w:p w14:paraId="28505382"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2030-2050</w:t>
            </w:r>
          </w:p>
        </w:tc>
        <w:tc>
          <w:tcPr>
            <w:tcW w:w="2345" w:type="dxa"/>
            <w:gridSpan w:val="2"/>
            <w:hideMark/>
          </w:tcPr>
          <w:p w14:paraId="2CA07985" w14:textId="3E887BED" w:rsidR="00AE673F" w:rsidRPr="00187708" w:rsidRDefault="00AE673F">
            <w:pPr>
              <w:spacing w:before="10" w:after="10"/>
              <w:jc w:val="both"/>
              <w:rPr>
                <w:rFonts w:ascii="Nunito" w:hAnsi="Nunito"/>
                <w:sz w:val="16"/>
                <w:szCs w:val="16"/>
                <w:lang w:val="ro-RO"/>
              </w:rPr>
            </w:pPr>
            <w:hyperlink r:id="rId33" w:history="1">
              <w:r w:rsidRPr="00187708">
                <w:rPr>
                  <w:rStyle w:val="Hyperlink"/>
                  <w:rFonts w:ascii="Nunito" w:hAnsi="Nunito"/>
                  <w:color w:val="0563C1"/>
                  <w:sz w:val="16"/>
                  <w:szCs w:val="16"/>
                  <w:lang w:val="ro-RO"/>
                </w:rPr>
                <w:t>https://eur-lex.europa.eu/legal-content/EN/TXT/?uri=CELEX%3A52020DC0380</w:t>
              </w:r>
            </w:hyperlink>
          </w:p>
        </w:tc>
        <w:tc>
          <w:tcPr>
            <w:tcW w:w="6869" w:type="dxa"/>
            <w:gridSpan w:val="3"/>
            <w:hideMark/>
          </w:tcPr>
          <w:p w14:paraId="2362AE3F"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Biodiversitate se conecteaza cu PNGD prin: (1) reducerea poluarii din operatiunile de gestionare a deseurilor (levigat depozite, calitatea compostului) care afecteaza habitate si corpuri de apa; (2) compostul produs prin PNGD imbunatateste biodiversitatea solului; (3) noua infrastructura de deseuri (depozite, statii transfer) trebuie sa respecte Planul National de Restaurare al Romaniei; (4) PNGD trebuie sa evite amplasarea depozitelor in/langa habitate sensibile; (5) coerenta intre Planul de Restaurare (termen sept. 2026) si abordarea PNGD privind remedierea depozitelor inchise.</w:t>
            </w:r>
          </w:p>
        </w:tc>
      </w:tr>
      <w:tr w:rsidR="00AE673F" w:rsidRPr="00187708" w14:paraId="296ED8D0" w14:textId="77777777" w:rsidTr="004B2370">
        <w:trPr>
          <w:gridAfter w:val="2"/>
          <w:wAfter w:w="172" w:type="dxa"/>
        </w:trPr>
        <w:tc>
          <w:tcPr>
            <w:tcW w:w="743" w:type="dxa"/>
            <w:gridSpan w:val="2"/>
            <w:hideMark/>
          </w:tcPr>
          <w:p w14:paraId="341D490A"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6</w:t>
            </w:r>
          </w:p>
        </w:tc>
        <w:tc>
          <w:tcPr>
            <w:tcW w:w="2099" w:type="dxa"/>
            <w:gridSpan w:val="3"/>
            <w:hideMark/>
          </w:tcPr>
          <w:p w14:paraId="6287D507"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UE pentru Sol 2030 — COM(2021) 699 final</w:t>
            </w:r>
          </w:p>
        </w:tc>
        <w:tc>
          <w:tcPr>
            <w:tcW w:w="7931" w:type="dxa"/>
            <w:gridSpan w:val="3"/>
            <w:hideMark/>
          </w:tcPr>
          <w:p w14:paraId="100469ED"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Primul cadru cuprinzator UE pentru protectia, gestionarea durabila si restaurarea solurilor. Viziune: 100% soluri UE in stare sanatoasa pana in 2050; zero ocupare neta de teren pana in 2050; neutralitate climatica terenuri pana in 2035. Progres semnificativ in remedierea siturilor contaminate (~2,8 mil. situri potential contaminate in UE, ~390.000 necesitand remediere) pana in 2030. Restrictie PFAS si microplastice prin REACH. Propunere Legea Sanatatii Solului — COM(2023) 416.</w:t>
            </w:r>
          </w:p>
        </w:tc>
        <w:tc>
          <w:tcPr>
            <w:tcW w:w="1701" w:type="dxa"/>
            <w:gridSpan w:val="4"/>
            <w:hideMark/>
          </w:tcPr>
          <w:p w14:paraId="146070A8"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2030-2050</w:t>
            </w:r>
          </w:p>
        </w:tc>
        <w:tc>
          <w:tcPr>
            <w:tcW w:w="2345" w:type="dxa"/>
            <w:gridSpan w:val="2"/>
            <w:hideMark/>
          </w:tcPr>
          <w:p w14:paraId="52CEA26A" w14:textId="49435379" w:rsidR="00AE673F" w:rsidRPr="00187708" w:rsidRDefault="00AE673F">
            <w:pPr>
              <w:spacing w:before="10" w:after="10"/>
              <w:jc w:val="both"/>
              <w:rPr>
                <w:rFonts w:ascii="Nunito" w:hAnsi="Nunito"/>
                <w:sz w:val="16"/>
                <w:szCs w:val="16"/>
                <w:lang w:val="ro-RO"/>
              </w:rPr>
            </w:pPr>
            <w:hyperlink r:id="rId34" w:history="1">
              <w:r w:rsidRPr="00187708">
                <w:rPr>
                  <w:rStyle w:val="Hyperlink"/>
                  <w:rFonts w:ascii="Nunito" w:hAnsi="Nunito"/>
                  <w:color w:val="0563C1"/>
                  <w:sz w:val="16"/>
                  <w:szCs w:val="16"/>
                  <w:lang w:val="ro-RO"/>
                </w:rPr>
                <w:t>https://eur-lex.europa.eu/legal-content/EN/TXT/?uri=CELEX%3A52021DC0699</w:t>
              </w:r>
            </w:hyperlink>
          </w:p>
        </w:tc>
        <w:tc>
          <w:tcPr>
            <w:tcW w:w="6869" w:type="dxa"/>
            <w:gridSpan w:val="3"/>
            <w:hideMark/>
          </w:tcPr>
          <w:p w14:paraId="5C399DFD"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Sol are implicatii directe pentru PNGD pe trei axe: (1) Siturile fostelor depozite neconforme — Romania are un numar semnificativ de depozite necesitand inchidere si remediere; PNGD trebuie sa includa un program de evaluare si remediere aliniat cu tintele Strategiei 2030 si viitoarea Lege a Sanatatii Solului; (2) Biodeseuri si compost — tintele PNGD pentru colectare separata si tratare a biodeseurilor produc compost care contribuie la materia organica din sol; (3) Levigat si PFAS — IED (UE) 2024/1785 introduce concluzii BAT pentru operarea depozitelor, adresand emisiile PFAS.</w:t>
            </w:r>
          </w:p>
        </w:tc>
      </w:tr>
      <w:tr w:rsidR="00AE673F" w:rsidRPr="00187708" w14:paraId="4611F9C7" w14:textId="77777777" w:rsidTr="004B2370">
        <w:trPr>
          <w:gridAfter w:val="2"/>
          <w:wAfter w:w="172" w:type="dxa"/>
        </w:trPr>
        <w:tc>
          <w:tcPr>
            <w:tcW w:w="743" w:type="dxa"/>
            <w:gridSpan w:val="2"/>
            <w:hideMark/>
          </w:tcPr>
          <w:p w14:paraId="1C807E9A"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7</w:t>
            </w:r>
          </w:p>
        </w:tc>
        <w:tc>
          <w:tcPr>
            <w:tcW w:w="2099" w:type="dxa"/>
            <w:gridSpan w:val="3"/>
            <w:hideMark/>
          </w:tcPr>
          <w:p w14:paraId="0885A806"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UE pentru Textile Durabile si Circulare — COM(2022) 141 final</w:t>
            </w:r>
          </w:p>
        </w:tc>
        <w:tc>
          <w:tcPr>
            <w:tcW w:w="7931" w:type="dxa"/>
            <w:gridSpan w:val="3"/>
            <w:hideMark/>
          </w:tcPr>
          <w:p w14:paraId="0A8BAC00"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 legislativ si de politica pentru transformarea sectorului textil UE. Textilele = al 4-lea sector cu cel mai mare impact negativ pe mediu. ~5,8 mil. tone textile aruncate anual in UE (~11 kg/persoana). Obligatii: colectare separata textilelor de la 1 ian. 2025 (DCD art. 11); cerinte ecodesign ESPR de la 2025-2026; REP armonizat UE; interzicerea distrugerii bunurilor nevandute (intreprinderi mari: 19 iul. 2026); -80% microplastice din spalare.</w:t>
            </w:r>
          </w:p>
        </w:tc>
        <w:tc>
          <w:tcPr>
            <w:tcW w:w="1701" w:type="dxa"/>
            <w:gridSpan w:val="4"/>
            <w:hideMark/>
          </w:tcPr>
          <w:p w14:paraId="2B5229DC"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2025-2030</w:t>
            </w:r>
          </w:p>
        </w:tc>
        <w:tc>
          <w:tcPr>
            <w:tcW w:w="2345" w:type="dxa"/>
            <w:gridSpan w:val="2"/>
            <w:hideMark/>
          </w:tcPr>
          <w:p w14:paraId="0A1C96B2" w14:textId="368C9560" w:rsidR="00AE673F" w:rsidRPr="00187708" w:rsidRDefault="00AE673F">
            <w:pPr>
              <w:spacing w:before="10" w:after="10"/>
              <w:jc w:val="both"/>
              <w:rPr>
                <w:rFonts w:ascii="Nunito" w:hAnsi="Nunito"/>
                <w:sz w:val="16"/>
                <w:szCs w:val="16"/>
                <w:lang w:val="ro-RO"/>
              </w:rPr>
            </w:pPr>
            <w:hyperlink r:id="rId35" w:history="1">
              <w:r w:rsidRPr="00187708">
                <w:rPr>
                  <w:rStyle w:val="Hyperlink"/>
                  <w:rFonts w:ascii="Nunito" w:hAnsi="Nunito"/>
                  <w:color w:val="0563C1"/>
                  <w:sz w:val="16"/>
                  <w:szCs w:val="16"/>
                  <w:lang w:val="ro-RO"/>
                </w:rPr>
                <w:t>https://eur-lex.europa.eu/legal-content/EN/TXT/?uri=CELEX%3A52022DC0141</w:t>
              </w:r>
            </w:hyperlink>
          </w:p>
        </w:tc>
        <w:tc>
          <w:tcPr>
            <w:tcW w:w="6869" w:type="dxa"/>
            <w:gridSpan w:val="3"/>
            <w:hideMark/>
          </w:tcPr>
          <w:p w14:paraId="05CDDFDE"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Textilelor se implementeaza direct prin PNGD: (1) Colectare separata obligatorie — Romania trebuia sa stabileasca infrastructura de colectare separata a textilelor pana la 1 ian. 2025; PNGD 2026-2035 trebuie sa includa tinte specifice, infrastructura si cadre REP; (2) Tinte de reciclare — Romania trebuie sa stabileasca tinte nationale de pregatire pentru reutilizare si reciclare textilelor; (3) Cerinte ecodesign ESPR — afecteaza compozitia deseurilor textile si reciclabilitatea; (4) Sisteme REP — Romania trebuie sa transpuna cerintele REP armonizate UE pentru textile.</w:t>
            </w:r>
          </w:p>
        </w:tc>
      </w:tr>
      <w:tr w:rsidR="00AE673F" w:rsidRPr="00187708" w14:paraId="1087BA91" w14:textId="77777777" w:rsidTr="004B2370">
        <w:trPr>
          <w:gridAfter w:val="2"/>
          <w:wAfter w:w="172" w:type="dxa"/>
        </w:trPr>
        <w:tc>
          <w:tcPr>
            <w:tcW w:w="743" w:type="dxa"/>
            <w:gridSpan w:val="2"/>
            <w:hideMark/>
          </w:tcPr>
          <w:p w14:paraId="3AA80EA0"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8</w:t>
            </w:r>
          </w:p>
        </w:tc>
        <w:tc>
          <w:tcPr>
            <w:tcW w:w="2099" w:type="dxa"/>
            <w:gridSpan w:val="3"/>
            <w:hideMark/>
          </w:tcPr>
          <w:p w14:paraId="5C45E6F7"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UE privind Adaptarea la Schimbarile Climatice — COM(2021) 82 final</w:t>
            </w:r>
          </w:p>
        </w:tc>
        <w:tc>
          <w:tcPr>
            <w:tcW w:w="7931" w:type="dxa"/>
            <w:gridSpan w:val="3"/>
            <w:hideMark/>
          </w:tcPr>
          <w:p w14:paraId="00BA7F94"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 pentru adaptarea UE la impacturile inevitabile ale schimbarilor climatice si pentru rezilienta climatica pana in 2050. Patru obiective: adaptare mai inteligenta (date si cunostinte), mai rapida (solutii accelerate), mai sistemica (integrare in toate politicile) si actiune internationala. Adaptarea reduce cu 82% pagubele din inundatii fluviale si cu 90% cele din inundatii costiere. Cerinte de climate-proofing pentru infrastructura finantata UE, inclusiv instalatii de deseuri.</w:t>
            </w:r>
          </w:p>
        </w:tc>
        <w:tc>
          <w:tcPr>
            <w:tcW w:w="1701" w:type="dxa"/>
            <w:gridSpan w:val="4"/>
            <w:hideMark/>
          </w:tcPr>
          <w:p w14:paraId="0DBD0F2F"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2021-2050</w:t>
            </w:r>
          </w:p>
        </w:tc>
        <w:tc>
          <w:tcPr>
            <w:tcW w:w="2345" w:type="dxa"/>
            <w:gridSpan w:val="2"/>
            <w:hideMark/>
          </w:tcPr>
          <w:p w14:paraId="28FC3D51" w14:textId="485FA6C4" w:rsidR="00AE673F" w:rsidRPr="00187708" w:rsidRDefault="00AE673F">
            <w:pPr>
              <w:spacing w:before="10" w:after="10"/>
              <w:jc w:val="both"/>
              <w:rPr>
                <w:rFonts w:ascii="Nunito" w:hAnsi="Nunito"/>
                <w:sz w:val="16"/>
                <w:szCs w:val="16"/>
                <w:lang w:val="ro-RO"/>
              </w:rPr>
            </w:pPr>
            <w:hyperlink r:id="rId36" w:history="1">
              <w:r w:rsidRPr="00187708">
                <w:rPr>
                  <w:rStyle w:val="Hyperlink"/>
                  <w:rFonts w:ascii="Nunito" w:hAnsi="Nunito"/>
                  <w:color w:val="0563C1"/>
                  <w:sz w:val="16"/>
                  <w:szCs w:val="16"/>
                  <w:lang w:val="ro-RO"/>
                </w:rPr>
                <w:t>https://eur-lex.europa.eu/legal-content/EN/TXT/?uri=CELEX%3A52021DC0082</w:t>
              </w:r>
            </w:hyperlink>
          </w:p>
        </w:tc>
        <w:tc>
          <w:tcPr>
            <w:tcW w:w="6869" w:type="dxa"/>
            <w:gridSpan w:val="3"/>
            <w:hideMark/>
          </w:tcPr>
          <w:p w14:paraId="6FC91717"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Adaptare afecteaza PNGD in doua moduri principale: (1) Climate-proofing infrastructura de deseuri — toate instalatiile noi si modernizate finantate din fonduri UE (depozite, composturi, TMB, incineratoare) trebuie proiectate reziliente la inundatii, canicula si seceta; (2) Biodeseuri si apa — strategia PNGD pentru colectarea si tratarea biodeseurilor contribuie la adaptare prin compost care imbunatateste retentia apei in sol si prin reutilizarea apei din digestia anaeroba; (3) Gazul de depozit — schimbarile climatice afecteaza ratele de generare; PNGD trebuie sa includa cerinte adaptive.</w:t>
            </w:r>
          </w:p>
        </w:tc>
      </w:tr>
      <w:tr w:rsidR="00AE673F" w:rsidRPr="00187708" w14:paraId="7587CF34" w14:textId="77777777" w:rsidTr="004B2370">
        <w:trPr>
          <w:gridAfter w:val="2"/>
          <w:wAfter w:w="172" w:type="dxa"/>
        </w:trPr>
        <w:tc>
          <w:tcPr>
            <w:tcW w:w="743" w:type="dxa"/>
            <w:gridSpan w:val="2"/>
            <w:hideMark/>
          </w:tcPr>
          <w:p w14:paraId="420D0971"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9</w:t>
            </w:r>
          </w:p>
        </w:tc>
        <w:tc>
          <w:tcPr>
            <w:tcW w:w="2099" w:type="dxa"/>
            <w:gridSpan w:val="3"/>
            <w:hideMark/>
          </w:tcPr>
          <w:p w14:paraId="093019CF"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pentru Sustenabilitatea Substantelor Chimice — COM(2020) 667 final</w:t>
            </w:r>
          </w:p>
        </w:tc>
        <w:tc>
          <w:tcPr>
            <w:tcW w:w="7931" w:type="dxa"/>
            <w:gridSpan w:val="3"/>
            <w:hideMark/>
          </w:tcPr>
          <w:p w14:paraId="155AC0F1"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Cadrul UE pentru un mediu fara substante toxice prin reformarea intregului sistem de reglementare a chimicalelor. Peste 70 actiuni legislative si non-legislative. Obiective: eliminarea utilizarilor neesentiale ale PFAS; noi clase de pericol CLP (PMT/vPvM, perturbatori endocrini — Reg. 2023/707); criterii de utilizare esentiala pentru SVHC; revizuire REACH; decontaminarea economiei circulare de SVHC din materiale reciclate; PFAS in levigat depozite — prin IED.</w:t>
            </w:r>
          </w:p>
        </w:tc>
        <w:tc>
          <w:tcPr>
            <w:tcW w:w="1701" w:type="dxa"/>
            <w:gridSpan w:val="4"/>
            <w:hideMark/>
          </w:tcPr>
          <w:p w14:paraId="55A88D81"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2020-2050</w:t>
            </w:r>
          </w:p>
        </w:tc>
        <w:tc>
          <w:tcPr>
            <w:tcW w:w="2345" w:type="dxa"/>
            <w:gridSpan w:val="2"/>
            <w:hideMark/>
          </w:tcPr>
          <w:p w14:paraId="3E49714B" w14:textId="0696F8C9" w:rsidR="00AE673F" w:rsidRPr="00187708" w:rsidRDefault="00AE673F">
            <w:pPr>
              <w:spacing w:before="10" w:after="10"/>
              <w:jc w:val="both"/>
              <w:rPr>
                <w:rFonts w:ascii="Nunito" w:hAnsi="Nunito"/>
                <w:sz w:val="16"/>
                <w:szCs w:val="16"/>
                <w:lang w:val="ro-RO"/>
              </w:rPr>
            </w:pPr>
            <w:hyperlink r:id="rId37" w:history="1">
              <w:r w:rsidRPr="00187708">
                <w:rPr>
                  <w:rStyle w:val="Hyperlink"/>
                  <w:rFonts w:ascii="Nunito" w:hAnsi="Nunito"/>
                  <w:color w:val="0563C1"/>
                  <w:sz w:val="16"/>
                  <w:szCs w:val="16"/>
                  <w:lang w:val="ro-RO"/>
                </w:rPr>
                <w:t>https://eur-lex.europa.eu/legal-content/EN/TXT/?uri=CELEX%3A52020DC0667</w:t>
              </w:r>
            </w:hyperlink>
          </w:p>
        </w:tc>
        <w:tc>
          <w:tcPr>
            <w:tcW w:w="6869" w:type="dxa"/>
            <w:gridSpan w:val="3"/>
            <w:hideMark/>
          </w:tcPr>
          <w:p w14:paraId="228C2583"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 xml:space="preserve">Strategia Chimicale afecteaza direct PNGD prin doua interfete cheie: (1) Deseuri periculoase si urmarirea SVHC — PNGD trebuie sa includa prevederi pentru urmarirea SVHC prin lantul deseurilor, critic pentru DEEE, baterii, textile si deseuri de constructii-demolari; (2) PFAS in depozite — programul de eliminare PFAS este consolidat prin IED (UE) 2024/1785 care impune concluzii BAT pentru gestionarea levigatului cu PFAS; PNGD trebuie sa planifice </w:t>
            </w:r>
            <w:r w:rsidRPr="00187708">
              <w:rPr>
                <w:rFonts w:ascii="Nunito" w:hAnsi="Nunito"/>
                <w:sz w:val="16"/>
                <w:szCs w:val="16"/>
                <w:lang w:val="ro-RO"/>
              </w:rPr>
              <w:lastRenderedPageBreak/>
              <w:t>monitorizarea si tratarea PFAS la depozite; (3) Circularitate fara toxice — prevenirea reintroducerii SVHC in economia circulara prin materiale reciclate.</w:t>
            </w:r>
          </w:p>
        </w:tc>
      </w:tr>
      <w:tr w:rsidR="00AE673F" w:rsidRPr="00187708" w14:paraId="71CBEBC9" w14:textId="77777777" w:rsidTr="004B2370">
        <w:trPr>
          <w:gridAfter w:val="2"/>
          <w:wAfter w:w="172" w:type="dxa"/>
        </w:trPr>
        <w:tc>
          <w:tcPr>
            <w:tcW w:w="743" w:type="dxa"/>
            <w:gridSpan w:val="2"/>
            <w:hideMark/>
          </w:tcPr>
          <w:p w14:paraId="7624FC11"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lastRenderedPageBreak/>
              <w:t>10</w:t>
            </w:r>
          </w:p>
        </w:tc>
        <w:tc>
          <w:tcPr>
            <w:tcW w:w="2099" w:type="dxa"/>
            <w:gridSpan w:val="3"/>
            <w:hideMark/>
          </w:tcPr>
          <w:p w14:paraId="03E713E3"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Directiva-Cadru privind Deseurile (DCD) — Directiva 2008/98/CE, modificata prin Directiva (UE) 2018/851</w:t>
            </w:r>
          </w:p>
        </w:tc>
        <w:tc>
          <w:tcPr>
            <w:tcW w:w="7931" w:type="dxa"/>
            <w:gridSpan w:val="3"/>
            <w:hideMark/>
          </w:tcPr>
          <w:p w14:paraId="52F29ABE"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Cadrul legislativ fundamental al UE pentru prevenirea si gestionarea deseurilor. Ierarhia deseurilor: prevenire, pregatire reutilizare, reciclare, alta valorificare, eliminare. Tinte reciclare deseuri municipale: 55% (2025), 60% (2030), 65% (2035); posibilitate de amanare cu 5 ani pentru SM cu &gt;60% depozitare in 2013. Colectare separata obligatorie: hartie, metal, plastic, sticla; textile de la 1 ian. 2025; biodeseuri. REP minim 80% costuri producatori. Revizuire plan la fiecare 6 ani.</w:t>
            </w:r>
          </w:p>
        </w:tc>
        <w:tc>
          <w:tcPr>
            <w:tcW w:w="1701" w:type="dxa"/>
            <w:gridSpan w:val="4"/>
            <w:hideMark/>
          </w:tcPr>
          <w:p w14:paraId="40275C77"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2025-2035</w:t>
            </w:r>
          </w:p>
        </w:tc>
        <w:tc>
          <w:tcPr>
            <w:tcW w:w="2345" w:type="dxa"/>
            <w:gridSpan w:val="2"/>
            <w:hideMark/>
          </w:tcPr>
          <w:p w14:paraId="41131B38" w14:textId="0088E425" w:rsidR="00AE673F" w:rsidRPr="00187708" w:rsidRDefault="00AE673F">
            <w:pPr>
              <w:spacing w:before="10" w:after="10"/>
              <w:jc w:val="both"/>
              <w:rPr>
                <w:rFonts w:ascii="Nunito" w:hAnsi="Nunito"/>
                <w:sz w:val="16"/>
                <w:szCs w:val="16"/>
                <w:lang w:val="ro-RO"/>
              </w:rPr>
            </w:pPr>
            <w:hyperlink r:id="rId38" w:history="1">
              <w:r w:rsidRPr="00187708">
                <w:rPr>
                  <w:rStyle w:val="Hyperlink"/>
                  <w:rFonts w:ascii="Nunito" w:hAnsi="Nunito"/>
                  <w:color w:val="0563C1"/>
                  <w:sz w:val="16"/>
                  <w:szCs w:val="16"/>
                  <w:lang w:val="ro-RO"/>
                </w:rPr>
                <w:t>https://eur-lex.europa.eu/legal-content/EN/TXT/?uri=CELEX%3A02008L0098-20240218</w:t>
              </w:r>
            </w:hyperlink>
          </w:p>
        </w:tc>
        <w:tc>
          <w:tcPr>
            <w:tcW w:w="6869" w:type="dxa"/>
            <w:gridSpan w:val="3"/>
            <w:hideMark/>
          </w:tcPr>
          <w:p w14:paraId="150812F5"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DCD este instrumentul legislativ central pe care PNGD il implementeaza direct. PNGD trebuie sa includa: (1) Tinte obligatorii de reciclare — Romania trebuie sa atinga 55% reciclare deseuri municipale pana in 2025, 60% in 2030, 65% in 2035 (sau 50%/55%/60% cu optiunea de amanare conform art. 11(3)); (2) Colectare separata — infrastructura, tinte si cadre REP pentru textile (2025), biodeseuri, hartie, metale, plastic, sticla; (3) Continut plan — PNGD indeplineste obligatia din art. 28, revizuire pana in 2031; (4) Program de prevenire (art. 29); (5) Sisteme REP conforme DCD.</w:t>
            </w:r>
          </w:p>
        </w:tc>
      </w:tr>
      <w:tr w:rsidR="00AE673F" w:rsidRPr="00187708" w14:paraId="1E4F5B3B" w14:textId="77777777" w:rsidTr="004B2370">
        <w:trPr>
          <w:gridAfter w:val="2"/>
          <w:wAfter w:w="172" w:type="dxa"/>
        </w:trPr>
        <w:tc>
          <w:tcPr>
            <w:tcW w:w="743" w:type="dxa"/>
            <w:gridSpan w:val="2"/>
            <w:hideMark/>
          </w:tcPr>
          <w:p w14:paraId="3721735C"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11</w:t>
            </w:r>
          </w:p>
        </w:tc>
        <w:tc>
          <w:tcPr>
            <w:tcW w:w="2099" w:type="dxa"/>
            <w:gridSpan w:val="3"/>
            <w:hideMark/>
          </w:tcPr>
          <w:p w14:paraId="19535549"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Directiva privind Depozitele de Deseuri — Directiva 1999/31/CE, modificata prin Directiva (UE) 2018/850</w:t>
            </w:r>
          </w:p>
        </w:tc>
        <w:tc>
          <w:tcPr>
            <w:tcW w:w="7931" w:type="dxa"/>
            <w:gridSpan w:val="3"/>
            <w:hideMark/>
          </w:tcPr>
          <w:p w14:paraId="2CFB8239"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Cerinte stricte operationale, tehnice si de admitere pentru depozitele de deseuri UE. Tinta principala: max. 10% din deseurile municipale generate pot fi depozitate pana in 2035 (sau 2040 pentru SM cu amanare). Deviere deseuri biodegradabile municipale de la depozitare (reduceri fata de 1995). Interdictie depozitare deseuri colectate separat adecvate reciclarii de la 2030. Doar deseuri tratate pot fi depozitate. BAT pentru depozite introdus prin IED (UE) 2024/1785.</w:t>
            </w:r>
          </w:p>
        </w:tc>
        <w:tc>
          <w:tcPr>
            <w:tcW w:w="1701" w:type="dxa"/>
            <w:gridSpan w:val="4"/>
            <w:hideMark/>
          </w:tcPr>
          <w:p w14:paraId="47BFA118"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2030-2040</w:t>
            </w:r>
          </w:p>
        </w:tc>
        <w:tc>
          <w:tcPr>
            <w:tcW w:w="2345" w:type="dxa"/>
            <w:gridSpan w:val="2"/>
            <w:hideMark/>
          </w:tcPr>
          <w:p w14:paraId="1D93EE23" w14:textId="3FB95D30" w:rsidR="00AE673F" w:rsidRPr="00187708" w:rsidRDefault="00AE673F">
            <w:pPr>
              <w:spacing w:before="10" w:after="10"/>
              <w:jc w:val="both"/>
              <w:rPr>
                <w:rFonts w:ascii="Nunito" w:hAnsi="Nunito"/>
                <w:sz w:val="16"/>
                <w:szCs w:val="16"/>
                <w:lang w:val="ro-RO"/>
              </w:rPr>
            </w:pPr>
            <w:hyperlink r:id="rId39" w:history="1">
              <w:r w:rsidRPr="00187708">
                <w:rPr>
                  <w:rStyle w:val="Hyperlink"/>
                  <w:rFonts w:ascii="Nunito" w:hAnsi="Nunito"/>
                  <w:color w:val="0563C1"/>
                  <w:sz w:val="16"/>
                  <w:szCs w:val="16"/>
                  <w:lang w:val="ro-RO"/>
                </w:rPr>
                <w:t>https://eur-lex.europa.eu/legal-content/EN/TXT/?uri=CELEX%3A32018L0850</w:t>
              </w:r>
            </w:hyperlink>
          </w:p>
        </w:tc>
        <w:tc>
          <w:tcPr>
            <w:tcW w:w="6869" w:type="dxa"/>
            <w:gridSpan w:val="3"/>
            <w:hideMark/>
          </w:tcPr>
          <w:p w14:paraId="4F237514"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Directiva Depozite este una dintre cele mai critice constrangeri legale pentru PNGD, dat fiind ca Romania are una dintre cele mai ridicate rate de depozitare din UE (~70%+ istoric). PNGD trebuie sa detalieze: (1) Traiectoria reducerii depozitarii de la nivelurile actuale la max. 10% pana in 2035 (sau 2040); (2) Tinte intermediare si jaloane anuale; (3) Programul de remediere/inchidere a depozitelor neconforme; (4) Colectare separata biodeseuri si capacitate de tratare organica; (5) Conformare cu concluziile BAT pentru depozite active/inchise (IED 2024/1785).</w:t>
            </w:r>
          </w:p>
        </w:tc>
      </w:tr>
      <w:tr w:rsidR="00AE673F" w:rsidRPr="00187708" w14:paraId="1CF858AC" w14:textId="77777777" w:rsidTr="004B2370">
        <w:trPr>
          <w:gridAfter w:val="2"/>
          <w:wAfter w:w="172" w:type="dxa"/>
        </w:trPr>
        <w:tc>
          <w:tcPr>
            <w:tcW w:w="743" w:type="dxa"/>
            <w:gridSpan w:val="2"/>
            <w:hideMark/>
          </w:tcPr>
          <w:p w14:paraId="656BAD8A"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12</w:t>
            </w:r>
          </w:p>
        </w:tc>
        <w:tc>
          <w:tcPr>
            <w:tcW w:w="2099" w:type="dxa"/>
            <w:gridSpan w:val="3"/>
            <w:hideMark/>
          </w:tcPr>
          <w:p w14:paraId="6EED6F6E"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Directiva privind Produsele din Plastic de Unica Folosinta (SUP) — Directiva (UE) 2019/904</w:t>
            </w:r>
          </w:p>
        </w:tc>
        <w:tc>
          <w:tcPr>
            <w:tcW w:w="7931" w:type="dxa"/>
            <w:gridSpan w:val="3"/>
            <w:hideMark/>
          </w:tcPr>
          <w:p w14:paraId="25D8C92C"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Reducerea impactului anumitor produse din plastic. 9 categorii produse interzise pe piata UE (de la 3 iul. 2021): tacamuri, farfurii, paie, betisoare etc. Tinte: colectare separata sticle plastic 77% (2025) si 90% (2029); continut reciclat min. 25% PET (2025) si 30% toate sticlele (2030); capace atasate (2024); REP obligatoriu; reducere semnificativa consum; 80-85% din deseurile de pe plaje = plastic.</w:t>
            </w:r>
          </w:p>
        </w:tc>
        <w:tc>
          <w:tcPr>
            <w:tcW w:w="1701" w:type="dxa"/>
            <w:gridSpan w:val="4"/>
            <w:hideMark/>
          </w:tcPr>
          <w:p w14:paraId="08AA5A5B"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2021-2030</w:t>
            </w:r>
          </w:p>
        </w:tc>
        <w:tc>
          <w:tcPr>
            <w:tcW w:w="2345" w:type="dxa"/>
            <w:gridSpan w:val="2"/>
            <w:hideMark/>
          </w:tcPr>
          <w:p w14:paraId="0A58FF79" w14:textId="30F96092" w:rsidR="00AE673F" w:rsidRPr="00187708" w:rsidRDefault="00AE673F">
            <w:pPr>
              <w:spacing w:before="10" w:after="10"/>
              <w:jc w:val="both"/>
              <w:rPr>
                <w:rFonts w:ascii="Nunito" w:hAnsi="Nunito"/>
                <w:sz w:val="16"/>
                <w:szCs w:val="16"/>
                <w:lang w:val="ro-RO"/>
              </w:rPr>
            </w:pPr>
            <w:hyperlink r:id="rId40" w:history="1">
              <w:r w:rsidRPr="00187708">
                <w:rPr>
                  <w:rStyle w:val="Hyperlink"/>
                  <w:rFonts w:ascii="Nunito" w:hAnsi="Nunito"/>
                  <w:color w:val="0563C1"/>
                  <w:sz w:val="16"/>
                  <w:szCs w:val="16"/>
                  <w:lang w:val="ro-RO"/>
                </w:rPr>
                <w:t>https://eur-lex.europa.eu/legal-content/EN/TXT/?uri=CELEX%3A32019L0904</w:t>
              </w:r>
            </w:hyperlink>
          </w:p>
        </w:tc>
        <w:tc>
          <w:tcPr>
            <w:tcW w:w="6869" w:type="dxa"/>
            <w:gridSpan w:val="3"/>
            <w:hideMark/>
          </w:tcPr>
          <w:p w14:paraId="134D7118"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Directiva SUP impune PNGD sa adreseze: (1) Colectare separata — Romania trebuie sa opereze sisteme SGR sau echivalente pentru 77% colectare sticle pana in 2025 si 90% pana in 2029; SGR-ul Romaniei (lansat 2023) trebuie reflectat in PNGD; (2) Reducere deseuri marine — PNGD trebuie sa includa masuri de monitorizare si reducere a plasticului in Marea Neagra si Dunare; (3) REP plastic — aliniere cu SUP; (4) Piata continutului reciclat — PNGD trebuie sa asigure colectare si reciclare suficienta pentru 25%/30% continut reciclat; (5) Compozitia deseurilor — interdictiile au modificat-o deja.</w:t>
            </w:r>
          </w:p>
        </w:tc>
      </w:tr>
      <w:tr w:rsidR="00AE673F" w:rsidRPr="00187708" w14:paraId="7BFBF0B9" w14:textId="77777777" w:rsidTr="004B2370">
        <w:trPr>
          <w:gridAfter w:val="2"/>
          <w:wAfter w:w="172" w:type="dxa"/>
        </w:trPr>
        <w:tc>
          <w:tcPr>
            <w:tcW w:w="743" w:type="dxa"/>
            <w:gridSpan w:val="2"/>
            <w:hideMark/>
          </w:tcPr>
          <w:p w14:paraId="7E6E85BD"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13</w:t>
            </w:r>
          </w:p>
        </w:tc>
        <w:tc>
          <w:tcPr>
            <w:tcW w:w="2099" w:type="dxa"/>
            <w:gridSpan w:val="3"/>
            <w:hideMark/>
          </w:tcPr>
          <w:p w14:paraId="710D99E5"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Regulamentul privind Transferurile de Deseuri — Regulamentul (UE) 2024/1157</w:t>
            </w:r>
          </w:p>
        </w:tc>
        <w:tc>
          <w:tcPr>
            <w:tcW w:w="7931" w:type="dxa"/>
            <w:gridSpan w:val="3"/>
            <w:hideMark/>
          </w:tcPr>
          <w:p w14:paraId="31D5D84F"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Cadrul UE complet pentru transporturile transfrontaliere de deseuri, implementand Conventia Basel si Decizia OCDE. Interdictie export deseuri plastic in tari non-OCDE de la 21 nov. 2026. Interdictie export deseuri periculoase in tari non-OCDE. Sisteme electronice obligatorii de la 21 mai 2028. Garantii financiare acoperind transport + 90 zile stocare + tratare. Aplicare completa: 21 mai 2026. Revizuire: 31 dec. 2035.</w:t>
            </w:r>
          </w:p>
        </w:tc>
        <w:tc>
          <w:tcPr>
            <w:tcW w:w="1701" w:type="dxa"/>
            <w:gridSpan w:val="4"/>
            <w:hideMark/>
          </w:tcPr>
          <w:p w14:paraId="73D81AC0"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2024-2035</w:t>
            </w:r>
          </w:p>
        </w:tc>
        <w:tc>
          <w:tcPr>
            <w:tcW w:w="2345" w:type="dxa"/>
            <w:gridSpan w:val="2"/>
            <w:hideMark/>
          </w:tcPr>
          <w:p w14:paraId="44871F9A" w14:textId="4B6E19EE" w:rsidR="00AE673F" w:rsidRPr="00187708" w:rsidRDefault="00AE673F">
            <w:pPr>
              <w:spacing w:before="10" w:after="10"/>
              <w:jc w:val="both"/>
              <w:rPr>
                <w:rFonts w:ascii="Nunito" w:hAnsi="Nunito"/>
                <w:sz w:val="16"/>
                <w:szCs w:val="16"/>
                <w:lang w:val="ro-RO"/>
              </w:rPr>
            </w:pPr>
            <w:hyperlink r:id="rId41" w:history="1">
              <w:r w:rsidRPr="00187708">
                <w:rPr>
                  <w:rStyle w:val="Hyperlink"/>
                  <w:rFonts w:ascii="Nunito" w:hAnsi="Nunito"/>
                  <w:color w:val="0563C1"/>
                  <w:sz w:val="16"/>
                  <w:szCs w:val="16"/>
                  <w:lang w:val="ro-RO"/>
                </w:rPr>
                <w:t>https://eur-lex.europa.eu/legal-content/EN/TXT/?uri=CELEX%3A32024R1157</w:t>
              </w:r>
            </w:hyperlink>
          </w:p>
        </w:tc>
        <w:tc>
          <w:tcPr>
            <w:tcW w:w="6869" w:type="dxa"/>
            <w:gridSpan w:val="3"/>
            <w:hideMark/>
          </w:tcPr>
          <w:p w14:paraId="0ED4277F"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Regulamentul Transferuri Deseuri este relevant pentru PNGD in contextul: (1) Exporturi deseuri — Romania exporta fluxuri reciclabile (plastic, hartie, metale); PNGD trebuie sa reflecte cum infrastructura nationala va absorbi mai multe deseuri pe masura restrictiilor de export, in special interdictia plasticului in tari non-OCDE din nov. 2026; (2) Deseuri periculoase — proceduri noi de notificare/consimtamant; (3) Principiul autosuficientei — PNGD trebuie sa demonstreze constructia capacitatii nationale; (4) Raportare electronica — Romania trebuie sa stabileasca sisteme conforme pana in mai 2028.</w:t>
            </w:r>
          </w:p>
        </w:tc>
      </w:tr>
      <w:tr w:rsidR="00AE673F" w:rsidRPr="00187708" w14:paraId="12F4BEA1" w14:textId="77777777" w:rsidTr="004B2370">
        <w:trPr>
          <w:gridAfter w:val="2"/>
          <w:wAfter w:w="172" w:type="dxa"/>
        </w:trPr>
        <w:tc>
          <w:tcPr>
            <w:tcW w:w="743" w:type="dxa"/>
            <w:gridSpan w:val="2"/>
            <w:hideMark/>
          </w:tcPr>
          <w:p w14:paraId="0B4EF540"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14</w:t>
            </w:r>
          </w:p>
        </w:tc>
        <w:tc>
          <w:tcPr>
            <w:tcW w:w="2099" w:type="dxa"/>
            <w:gridSpan w:val="3"/>
            <w:hideMark/>
          </w:tcPr>
          <w:p w14:paraId="6F235E75"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Regulamentul privind Proiectarea Ecologica a Produselor Durabile (ESPR) — Regulamentul (UE) 2024/1781</w:t>
            </w:r>
          </w:p>
        </w:tc>
        <w:tc>
          <w:tcPr>
            <w:tcW w:w="7931" w:type="dxa"/>
            <w:gridSpan w:val="3"/>
            <w:hideMark/>
          </w:tcPr>
          <w:p w14:paraId="3AEB8FE9"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Cadrul UE pentru cerinte obligatorii de ecodesign pentru aproape toate produsele fizice de pe piata UE. Pasaport Digital al Produsului (DPP) operational de la 19 iul. 2026. Interzicerea distrugerii bunurilor nevandute (intreprinderi mari: 19 iul. 2026; medii: 19 iul. 2030). Cerinte: durabilitate, reparabilitate, continut reciclat, reciclabilitate. Produse prioritare: fier/otel, textile, mobilier, anvelope, electronice, chimicale. Pragul SVHC: &gt;0,1% w/w.</w:t>
            </w:r>
          </w:p>
        </w:tc>
        <w:tc>
          <w:tcPr>
            <w:tcW w:w="1701" w:type="dxa"/>
            <w:gridSpan w:val="4"/>
            <w:hideMark/>
          </w:tcPr>
          <w:p w14:paraId="79FCBC93"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2024-2030</w:t>
            </w:r>
          </w:p>
        </w:tc>
        <w:tc>
          <w:tcPr>
            <w:tcW w:w="2345" w:type="dxa"/>
            <w:gridSpan w:val="2"/>
            <w:hideMark/>
          </w:tcPr>
          <w:p w14:paraId="6FDB58EC" w14:textId="5A2B1A24" w:rsidR="00AE673F" w:rsidRPr="00187708" w:rsidRDefault="00AE673F">
            <w:pPr>
              <w:spacing w:before="10" w:after="10"/>
              <w:jc w:val="both"/>
              <w:rPr>
                <w:rFonts w:ascii="Nunito" w:hAnsi="Nunito"/>
                <w:sz w:val="16"/>
                <w:szCs w:val="16"/>
                <w:lang w:val="ro-RO"/>
              </w:rPr>
            </w:pPr>
            <w:hyperlink r:id="rId42" w:history="1">
              <w:r w:rsidRPr="00187708">
                <w:rPr>
                  <w:rStyle w:val="Hyperlink"/>
                  <w:rFonts w:ascii="Nunito" w:hAnsi="Nunito"/>
                  <w:color w:val="0563C1"/>
                  <w:sz w:val="16"/>
                  <w:szCs w:val="16"/>
                  <w:lang w:val="ro-RO"/>
                </w:rPr>
                <w:t>https://eur-lex.europa.eu/legal-content/EN/TXT/?uri=CELEX%3A32024R1781</w:t>
              </w:r>
            </w:hyperlink>
          </w:p>
        </w:tc>
        <w:tc>
          <w:tcPr>
            <w:tcW w:w="6869" w:type="dxa"/>
            <w:gridSpan w:val="3"/>
            <w:hideMark/>
          </w:tcPr>
          <w:p w14:paraId="4CEF49F3"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ESPR va schimba fundamental compozitia fluxurilor de deseuri gestionate de PNGD: (1) Proiectarea imbunatatita a produselor — cerintele de durabilitate si reparabilitate vor reduce ratele de generare a deseurilor; proiectiile PNGD trebuie sa tina cont de aceste schimbari din 2026; (2) Mandate de continut reciclat — creaza cerere pentru outputurile de reciclare romanesti; (3) Pasapoarte Digitale — din 2026 vor furniza operatorilor de deseuri date de compozitie, imbunatatind sortarea si reciclarea; (4) Interzicerea distrugerii — deviaza bunuri nevandute de la incinerare/depozitare la circuite de reutilizare.</w:t>
            </w:r>
          </w:p>
        </w:tc>
      </w:tr>
      <w:tr w:rsidR="00AE673F" w:rsidRPr="00187708" w14:paraId="42881D60" w14:textId="77777777" w:rsidTr="004B2370">
        <w:trPr>
          <w:gridAfter w:val="2"/>
          <w:wAfter w:w="172" w:type="dxa"/>
        </w:trPr>
        <w:tc>
          <w:tcPr>
            <w:tcW w:w="743" w:type="dxa"/>
            <w:gridSpan w:val="2"/>
            <w:hideMark/>
          </w:tcPr>
          <w:p w14:paraId="5241E7AD"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15</w:t>
            </w:r>
          </w:p>
        </w:tc>
        <w:tc>
          <w:tcPr>
            <w:tcW w:w="2099" w:type="dxa"/>
            <w:gridSpan w:val="3"/>
            <w:hideMark/>
          </w:tcPr>
          <w:p w14:paraId="4561B2BC"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Regulamentul privind Ambalajele si Deseurile de Ambalaje (PPWR) — Regulamentul (UE) 2025/40</w:t>
            </w:r>
          </w:p>
        </w:tc>
        <w:tc>
          <w:tcPr>
            <w:tcW w:w="7931" w:type="dxa"/>
            <w:gridSpan w:val="3"/>
            <w:hideMark/>
          </w:tcPr>
          <w:p w14:paraId="5012BCCC"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Inlocuieste Directiva 94/62/CE cu un regulament direct aplicabil. Tinte prevenire per capita: -5% (2030), -10% (2035), -15% (2040) fata de 2018. Reciclabilitate: toate ambalajele min. 70% performanta (2030). Continut reciclat plastic: 30-35% (2030), 50-65% (2040). Tinte reciclare: 70% total ambalaje, 60% plastic, 95% metale, 90% hartie (2030). SGR obligatoriu — 90% colectare pana in 1 ian. 2029. Interdictie PFAS in ambalaje alimentare: 12 aug. 2026.</w:t>
            </w:r>
          </w:p>
        </w:tc>
        <w:tc>
          <w:tcPr>
            <w:tcW w:w="1701" w:type="dxa"/>
            <w:gridSpan w:val="4"/>
            <w:hideMark/>
          </w:tcPr>
          <w:p w14:paraId="79E1CA87"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2025-2040</w:t>
            </w:r>
          </w:p>
        </w:tc>
        <w:tc>
          <w:tcPr>
            <w:tcW w:w="2345" w:type="dxa"/>
            <w:gridSpan w:val="2"/>
            <w:hideMark/>
          </w:tcPr>
          <w:p w14:paraId="662396E0" w14:textId="2BC2E563" w:rsidR="00AE673F" w:rsidRPr="00187708" w:rsidRDefault="00AE673F">
            <w:pPr>
              <w:spacing w:before="10" w:after="10"/>
              <w:jc w:val="both"/>
              <w:rPr>
                <w:rFonts w:ascii="Nunito" w:hAnsi="Nunito"/>
                <w:sz w:val="16"/>
                <w:szCs w:val="16"/>
                <w:lang w:val="ro-RO"/>
              </w:rPr>
            </w:pPr>
            <w:hyperlink r:id="rId43" w:history="1">
              <w:r w:rsidRPr="00187708">
                <w:rPr>
                  <w:rStyle w:val="Hyperlink"/>
                  <w:rFonts w:ascii="Nunito" w:hAnsi="Nunito"/>
                  <w:color w:val="0563C1"/>
                  <w:sz w:val="16"/>
                  <w:szCs w:val="16"/>
                  <w:lang w:val="ro-RO"/>
                </w:rPr>
                <w:t>https://eur-lex.europa.eu/legal-content/EN/TXT/?uri=CELEX%3A32025R0040</w:t>
              </w:r>
            </w:hyperlink>
          </w:p>
        </w:tc>
        <w:tc>
          <w:tcPr>
            <w:tcW w:w="6869" w:type="dxa"/>
            <w:gridSpan w:val="3"/>
            <w:hideMark/>
          </w:tcPr>
          <w:p w14:paraId="7E5FF6B3"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PPWR este direct aplicabil in Romania din aug. 2026 si reprezinta cel mai complex instrument UE operational pentru PNGD: (1) Tinte de reciclare — Romania trebuie sa atinga 65%/70% reciclare ambalaje, 60% plastic, 95% metale, 90% hartie; (2) Sisteme SGR — 90% colectare recipiente pana in 2029; (3) Redesign REP — taxe modulate pe baza reciclabilitatii; (4) Infrastructura reutilizare — statii de refill, reutilizare HORECA; (5) Prevenire — tintele -5%/-10%/-15% per capita necesita masuri nationale; (6) PFAS — interdictie ambalaje alimentare din aug. 2026; (7) Spatiu gol max. 50%.</w:t>
            </w:r>
          </w:p>
        </w:tc>
      </w:tr>
      <w:tr w:rsidR="00AE673F" w:rsidRPr="00187708" w14:paraId="36FE9AAC" w14:textId="77777777" w:rsidTr="004B2370">
        <w:trPr>
          <w:gridAfter w:val="2"/>
          <w:wAfter w:w="172" w:type="dxa"/>
        </w:trPr>
        <w:tc>
          <w:tcPr>
            <w:tcW w:w="743" w:type="dxa"/>
            <w:gridSpan w:val="2"/>
            <w:hideMark/>
          </w:tcPr>
          <w:p w14:paraId="7ADBB886"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16</w:t>
            </w:r>
          </w:p>
        </w:tc>
        <w:tc>
          <w:tcPr>
            <w:tcW w:w="2099" w:type="dxa"/>
            <w:gridSpan w:val="3"/>
            <w:hideMark/>
          </w:tcPr>
          <w:p w14:paraId="5A42E5EA"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"De la Ferma la Consumator" (Farm to Fork) — COM(2020) 381 final</w:t>
            </w:r>
          </w:p>
        </w:tc>
        <w:tc>
          <w:tcPr>
            <w:tcW w:w="7931" w:type="dxa"/>
            <w:gridSpan w:val="3"/>
            <w:hideMark/>
          </w:tcPr>
          <w:p w14:paraId="537B17F3"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Foaie de parcurs pe 10 ani pentru transformarea sistemului alimentar UE. Tinte: -50% risipa alimentara retail/consumatori pana in 2030 (ODD 12.3); -50% pierderi alimente productie/procesare; -50% pesticide chimice; -20% utilizare ingrasaminte; -50% pierderi nutritive; 25% agricultura ecologica; 10 mld. EUR cercetare-inovare sisteme alimentare 2021-2027; min. 40% buget PAC pentru clima.</w:t>
            </w:r>
          </w:p>
        </w:tc>
        <w:tc>
          <w:tcPr>
            <w:tcW w:w="1701" w:type="dxa"/>
            <w:gridSpan w:val="4"/>
            <w:hideMark/>
          </w:tcPr>
          <w:p w14:paraId="3452AC3B"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2020-2030</w:t>
            </w:r>
          </w:p>
        </w:tc>
        <w:tc>
          <w:tcPr>
            <w:tcW w:w="2345" w:type="dxa"/>
            <w:gridSpan w:val="2"/>
            <w:hideMark/>
          </w:tcPr>
          <w:p w14:paraId="62A61CF0" w14:textId="2856E703" w:rsidR="00AE673F" w:rsidRPr="00187708" w:rsidRDefault="00AE673F">
            <w:pPr>
              <w:spacing w:before="10" w:after="10"/>
              <w:jc w:val="both"/>
              <w:rPr>
                <w:rFonts w:ascii="Nunito" w:hAnsi="Nunito"/>
                <w:sz w:val="16"/>
                <w:szCs w:val="16"/>
                <w:lang w:val="ro-RO"/>
              </w:rPr>
            </w:pPr>
            <w:hyperlink r:id="rId44" w:history="1">
              <w:r w:rsidRPr="00187708">
                <w:rPr>
                  <w:rStyle w:val="Hyperlink"/>
                  <w:rFonts w:ascii="Nunito" w:hAnsi="Nunito"/>
                  <w:color w:val="0563C1"/>
                  <w:sz w:val="16"/>
                  <w:szCs w:val="16"/>
                  <w:lang w:val="ro-RO"/>
                </w:rPr>
                <w:t>https://eur-lex.europa.eu/legal-content/EN/TXT/?uri=CELEX%3A52020DC0381</w:t>
              </w:r>
            </w:hyperlink>
          </w:p>
        </w:tc>
        <w:tc>
          <w:tcPr>
            <w:tcW w:w="6869" w:type="dxa"/>
            <w:gridSpan w:val="3"/>
            <w:hideMark/>
          </w:tcPr>
          <w:p w14:paraId="19B1044C"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Strategia Farm to Fork se conecteaza cu PNGD prin dimensiunea risipei alimentare: (1) Tinta -50% risipa alimentara — Romania trebuie sa stabileasca si sa implementeze tinte obligatorii de reducere la retail si consumatori pana in 2030; PNGD trebuie sa includa un capitol dedicat prevenirii risipei alimentare; (2) Biodeseuri — ~30-40% din deseurile municipale sunt organice/alimentare; colectarea separata a biodeseurilor este instrumentul principal de deviere de la depozitare; (3) Compost si digestat — contribuie la tinta F2F de -50% pierderi nutritive; (4) Calitatea compostului.</w:t>
            </w:r>
          </w:p>
        </w:tc>
      </w:tr>
      <w:tr w:rsidR="00AE673F" w:rsidRPr="00187708" w14:paraId="7779E037" w14:textId="77777777" w:rsidTr="004B2370">
        <w:trPr>
          <w:gridAfter w:val="2"/>
          <w:wAfter w:w="172" w:type="dxa"/>
        </w:trPr>
        <w:tc>
          <w:tcPr>
            <w:tcW w:w="743" w:type="dxa"/>
            <w:gridSpan w:val="2"/>
            <w:hideMark/>
          </w:tcPr>
          <w:p w14:paraId="608081C3"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17</w:t>
            </w:r>
          </w:p>
        </w:tc>
        <w:tc>
          <w:tcPr>
            <w:tcW w:w="2099" w:type="dxa"/>
            <w:gridSpan w:val="3"/>
            <w:hideMark/>
          </w:tcPr>
          <w:p w14:paraId="3CFF0868"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Directiva privind Emisiile Industriale (IED) — Directiva (UE) 2024/1785 (reforma)</w:t>
            </w:r>
          </w:p>
        </w:tc>
        <w:tc>
          <w:tcPr>
            <w:tcW w:w="7931" w:type="dxa"/>
            <w:gridSpan w:val="3"/>
            <w:hideMark/>
          </w:tcPr>
          <w:p w14:paraId="1EF24D35"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Modernizarea cadrului UE pentru emisiile industriale, aliniind ~75.000 instalatii la obiectivele Pactului Verde. Noutati majore: primele concluzii BAT pentru depozitele de deseuri (metan, PFAS levigat); limite de emisie la nivelul cel mai strict BAT-AEL; planuri de transformare obligatorii pentru decarbonizare pana in 2030; reducere poluanti aer cu pana la 40% fata de 2020 pana in 2050; penalitati min. 3% cifra afaceri UE; dreptul cetatenilor la compensatie. Transpunere: 1 iul. 2026.</w:t>
            </w:r>
          </w:p>
        </w:tc>
        <w:tc>
          <w:tcPr>
            <w:tcW w:w="1701" w:type="dxa"/>
            <w:gridSpan w:val="4"/>
            <w:hideMark/>
          </w:tcPr>
          <w:p w14:paraId="5088B269"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2024-2050</w:t>
            </w:r>
          </w:p>
        </w:tc>
        <w:tc>
          <w:tcPr>
            <w:tcW w:w="2345" w:type="dxa"/>
            <w:gridSpan w:val="2"/>
            <w:hideMark/>
          </w:tcPr>
          <w:p w14:paraId="27313CEA" w14:textId="143C0C58" w:rsidR="00AE673F" w:rsidRPr="00187708" w:rsidRDefault="00AE673F">
            <w:pPr>
              <w:spacing w:before="10" w:after="10"/>
              <w:jc w:val="both"/>
              <w:rPr>
                <w:rFonts w:ascii="Nunito" w:hAnsi="Nunito"/>
                <w:sz w:val="16"/>
                <w:szCs w:val="16"/>
                <w:lang w:val="ro-RO"/>
              </w:rPr>
            </w:pPr>
            <w:hyperlink r:id="rId45" w:history="1">
              <w:r w:rsidRPr="00187708">
                <w:rPr>
                  <w:rStyle w:val="Hyperlink"/>
                  <w:rFonts w:ascii="Nunito" w:hAnsi="Nunito"/>
                  <w:color w:val="0563C1"/>
                  <w:sz w:val="16"/>
                  <w:szCs w:val="16"/>
                  <w:lang w:val="ro-RO"/>
                </w:rPr>
                <w:t>https://eur-lex.europa.eu/legal-content/EN/TXT/?uri=OJ:L_202401785</w:t>
              </w:r>
            </w:hyperlink>
          </w:p>
        </w:tc>
        <w:tc>
          <w:tcPr>
            <w:tcW w:w="6869" w:type="dxa"/>
            <w:gridSpan w:val="3"/>
            <w:hideMark/>
          </w:tcPr>
          <w:p w14:paraId="26FA9D86"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IED reformat este de importanta critica pentru PNGD: (1) BAT pentru depozite — pentru prima data depozitele vor fi supuse concluziilor BAT; depozitele active din Romania vor deveni supuse limitelor de emisie obligatorii pentru metan si levigat (inclusiv PFAS); PNGD trebuie sa planifice actualizari de autorizatii si investitii de capital; (2) Incinerare si co-incinerare — instalatiile existente si planificate trebuie sa respecte BAT-AEL actualizate; (3) Transpunere pana la 1 iul. 2026 — in primul an de implementare PNGD; (4) Planuri de transformare — companiile din sectorul deseurilor trebuie sa le elaboreze.</w:t>
            </w:r>
          </w:p>
        </w:tc>
      </w:tr>
      <w:tr w:rsidR="00AE673F" w:rsidRPr="00187708" w14:paraId="78C7568A" w14:textId="77777777" w:rsidTr="004B2370">
        <w:trPr>
          <w:gridAfter w:val="2"/>
          <w:wAfter w:w="172" w:type="dxa"/>
        </w:trPr>
        <w:tc>
          <w:tcPr>
            <w:tcW w:w="743" w:type="dxa"/>
            <w:gridSpan w:val="2"/>
            <w:hideMark/>
          </w:tcPr>
          <w:p w14:paraId="199B8336" w14:textId="77777777" w:rsidR="00AE673F" w:rsidRPr="00187708" w:rsidRDefault="00AE673F" w:rsidP="00FD210F">
            <w:pPr>
              <w:spacing w:before="0" w:after="0" w:line="240" w:lineRule="auto"/>
              <w:jc w:val="center"/>
              <w:rPr>
                <w:rFonts w:ascii="Nunito" w:hAnsi="Nunito"/>
                <w:sz w:val="16"/>
                <w:szCs w:val="16"/>
                <w:lang w:val="ro-RO"/>
              </w:rPr>
            </w:pPr>
            <w:r w:rsidRPr="00187708">
              <w:rPr>
                <w:rFonts w:ascii="Nunito" w:hAnsi="Nunito"/>
                <w:sz w:val="16"/>
                <w:szCs w:val="16"/>
                <w:lang w:val="ro-RO"/>
              </w:rPr>
              <w:t>18</w:t>
            </w:r>
          </w:p>
        </w:tc>
        <w:tc>
          <w:tcPr>
            <w:tcW w:w="2099" w:type="dxa"/>
            <w:gridSpan w:val="3"/>
            <w:hideMark/>
          </w:tcPr>
          <w:p w14:paraId="7E057160"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Regulamentul privind Materiile Prime Critice (CRMA) — Regulamentul (UE) 2024/1252</w:t>
            </w:r>
          </w:p>
        </w:tc>
        <w:tc>
          <w:tcPr>
            <w:tcW w:w="7931" w:type="dxa"/>
            <w:gridSpan w:val="3"/>
            <w:hideMark/>
          </w:tcPr>
          <w:p w14:paraId="31DB6A02"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Cadru UE pentru aprovizionare sigura si durabila cu materii prime critice (MPC) si strategice (MPS). Referinte capacitate 2030: extractie min. 10%, procesare min. 40%, reciclare min. 25% din consumul UE anual. Diversificare: max. 65% din tari terte. Programe nationale de circularitate MPC pana la 24 mai 2027. Baze de date deseuri extractive pana la nov. 2026. Etichetare magneti permanenti. 17 MPS si 34 MPC acoperite.</w:t>
            </w:r>
          </w:p>
        </w:tc>
        <w:tc>
          <w:tcPr>
            <w:tcW w:w="1701" w:type="dxa"/>
            <w:gridSpan w:val="4"/>
            <w:hideMark/>
          </w:tcPr>
          <w:p w14:paraId="497EAB90"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2024-2031</w:t>
            </w:r>
          </w:p>
        </w:tc>
        <w:tc>
          <w:tcPr>
            <w:tcW w:w="2345" w:type="dxa"/>
            <w:gridSpan w:val="2"/>
            <w:hideMark/>
          </w:tcPr>
          <w:p w14:paraId="1B888F2D" w14:textId="7AB3E1FE" w:rsidR="00AE673F" w:rsidRPr="00187708" w:rsidRDefault="00AE673F">
            <w:pPr>
              <w:spacing w:before="10" w:after="10"/>
              <w:jc w:val="both"/>
              <w:rPr>
                <w:rFonts w:ascii="Nunito" w:hAnsi="Nunito"/>
                <w:sz w:val="16"/>
                <w:szCs w:val="16"/>
                <w:lang w:val="ro-RO"/>
              </w:rPr>
            </w:pPr>
            <w:hyperlink r:id="rId46" w:history="1">
              <w:r w:rsidRPr="00187708">
                <w:rPr>
                  <w:rStyle w:val="Hyperlink"/>
                  <w:rFonts w:ascii="Nunito" w:hAnsi="Nunito"/>
                  <w:color w:val="0563C1"/>
                  <w:sz w:val="16"/>
                  <w:szCs w:val="16"/>
                  <w:lang w:val="ro-RO"/>
                </w:rPr>
                <w:t>https://eur-lex.europa.eu/legal-content/EN/TXT/?uri=CELEX%3A32024R1252</w:t>
              </w:r>
            </w:hyperlink>
          </w:p>
        </w:tc>
        <w:tc>
          <w:tcPr>
            <w:tcW w:w="6869" w:type="dxa"/>
            <w:gridSpan w:val="3"/>
            <w:hideMark/>
          </w:tcPr>
          <w:p w14:paraId="60E97F59"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 xml:space="preserve">CRMA creeaza o noua dimensiune pentru PNGD — recuperarea materiilor prime critice din fluxurile de deseuri: (1) Program national de circularitate — Romania trebuie sa dezvolte un program pana la 24 mai 2027 pentru colectarea, sortarea si procesarea fluxurilor de deseuri cu potential de recuperare MPC (in special DEEE cu pamanturi rare, PGM, cobalt, litiu; baterii; deseuri constructii cu tungsten); PNGD trebuie sa se alinieze cu acest program; (2) DEEE si </w:t>
            </w:r>
            <w:r w:rsidRPr="00187708">
              <w:rPr>
                <w:rFonts w:ascii="Nunito" w:hAnsi="Nunito"/>
                <w:sz w:val="16"/>
                <w:szCs w:val="16"/>
                <w:lang w:val="ro-RO"/>
              </w:rPr>
              <w:lastRenderedPageBreak/>
              <w:t>baterii — tinta de reciclare 25% necesita colectare eficienta; (3) Deseuri extractive — Romania are industrii extractive semnificative; (4) Proiecte strategice cu autorizare rapida (15 luni).</w:t>
            </w:r>
          </w:p>
        </w:tc>
      </w:tr>
      <w:tr w:rsidR="001802CD" w:rsidRPr="00187708" w14:paraId="4E186095" w14:textId="77777777" w:rsidTr="004B2370">
        <w:tc>
          <w:tcPr>
            <w:tcW w:w="21860" w:type="dxa"/>
            <w:gridSpan w:val="19"/>
            <w:shd w:val="clear" w:color="auto" w:fill="F2F2F2" w:themeFill="background1" w:themeFillShade="F2"/>
          </w:tcPr>
          <w:p w14:paraId="1BD82537" w14:textId="2E0D9CB0" w:rsidR="001802CD" w:rsidRPr="00187708" w:rsidRDefault="001802CD">
            <w:pPr>
              <w:spacing w:line="240" w:lineRule="auto"/>
              <w:jc w:val="both"/>
              <w:rPr>
                <w:rFonts w:ascii="Nunito" w:hAnsi="Nunito"/>
                <w:b/>
                <w:bCs/>
                <w:sz w:val="16"/>
                <w:szCs w:val="16"/>
                <w:lang w:val="ro-RO"/>
              </w:rPr>
            </w:pPr>
            <w:r w:rsidRPr="00187708">
              <w:rPr>
                <w:rFonts w:ascii="Nunito" w:hAnsi="Nunito"/>
                <w:b/>
                <w:bCs/>
                <w:sz w:val="16"/>
                <w:szCs w:val="16"/>
                <w:lang w:val="ro-RO"/>
              </w:rPr>
              <w:lastRenderedPageBreak/>
              <w:t>Nivel national</w:t>
            </w:r>
          </w:p>
        </w:tc>
      </w:tr>
      <w:tr w:rsidR="00AE673F" w:rsidRPr="00187708" w14:paraId="1A4B664B" w14:textId="77777777" w:rsidTr="004B2370">
        <w:trPr>
          <w:gridAfter w:val="2"/>
          <w:wAfter w:w="172" w:type="dxa"/>
        </w:trPr>
        <w:tc>
          <w:tcPr>
            <w:tcW w:w="743" w:type="dxa"/>
            <w:gridSpan w:val="2"/>
            <w:hideMark/>
          </w:tcPr>
          <w:p w14:paraId="21AA21F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w:t>
            </w:r>
          </w:p>
        </w:tc>
        <w:tc>
          <w:tcPr>
            <w:tcW w:w="1998" w:type="dxa"/>
            <w:gridSpan w:val="2"/>
            <w:hideMark/>
          </w:tcPr>
          <w:p w14:paraId="16E5DB6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Nationala privind Economia Circulara (SNEC) - HG 1172/2022</w:t>
            </w:r>
          </w:p>
        </w:tc>
        <w:tc>
          <w:tcPr>
            <w:tcW w:w="7891" w:type="dxa"/>
            <w:gridSpan w:val="3"/>
            <w:hideMark/>
          </w:tcPr>
          <w:p w14:paraId="0B1E834B"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Documentul-cadru strategic national pentru tranzitia Romaniei de la modelul economic liniar la cel circular. 8 obiective strategice: prevenirea deseurilor, aprovizionare durabila materii prime, design circular, modele afaceri circulare, cresterea ratelor de reciclare, reducerea resurselor primare, economia apei, reducerea GES. 14 sectoare prioritare: agricultura, automotive, constructii, alimente, ambalaje, textile, EEE, deseuri (transversal), apa, sanatate, turism, energie, chimie, minerit. Jalon PNRR nr. 43 — indeplinit sept. 2022.</w:t>
            </w:r>
          </w:p>
        </w:tc>
        <w:tc>
          <w:tcPr>
            <w:tcW w:w="1145" w:type="dxa"/>
            <w:gridSpan w:val="3"/>
            <w:hideMark/>
          </w:tcPr>
          <w:p w14:paraId="2C9F804E" w14:textId="77777777" w:rsidR="00AE673F" w:rsidRPr="00187708" w:rsidRDefault="00AE673F" w:rsidP="001802CD">
            <w:pPr>
              <w:spacing w:before="0" w:after="0" w:line="240" w:lineRule="auto"/>
              <w:rPr>
                <w:rFonts w:ascii="Nunito" w:hAnsi="Nunito"/>
                <w:sz w:val="16"/>
                <w:szCs w:val="16"/>
                <w:lang w:val="ro-RO"/>
              </w:rPr>
            </w:pPr>
            <w:r w:rsidRPr="00187708">
              <w:rPr>
                <w:rFonts w:ascii="Nunito" w:hAnsi="Nunito"/>
                <w:sz w:val="16"/>
                <w:szCs w:val="16"/>
                <w:lang w:val="ro-RO"/>
              </w:rPr>
              <w:t>Termen lung (viziune 2050)</w:t>
            </w:r>
          </w:p>
        </w:tc>
        <w:tc>
          <w:tcPr>
            <w:tcW w:w="3184" w:type="dxa"/>
            <w:gridSpan w:val="5"/>
            <w:hideMark/>
          </w:tcPr>
          <w:p w14:paraId="7E0A02AE" w14:textId="1298A7C3" w:rsidR="00AE673F" w:rsidRPr="00187708" w:rsidRDefault="00AE673F">
            <w:pPr>
              <w:spacing w:before="0" w:after="0" w:line="240" w:lineRule="auto"/>
              <w:jc w:val="both"/>
              <w:rPr>
                <w:rFonts w:ascii="Nunito" w:hAnsi="Nunito"/>
                <w:sz w:val="16"/>
                <w:szCs w:val="16"/>
                <w:lang w:val="ro-RO"/>
              </w:rPr>
            </w:pPr>
            <w:hyperlink r:id="rId47" w:history="1">
              <w:r w:rsidRPr="00187708">
                <w:rPr>
                  <w:rStyle w:val="Hyperlink"/>
                  <w:rFonts w:ascii="Nunito" w:hAnsi="Nunito"/>
                  <w:color w:val="0563C1"/>
                  <w:sz w:val="16"/>
                  <w:szCs w:val="16"/>
                  <w:lang w:val="ro-RO"/>
                </w:rPr>
                <w:t>https://legislatie.just.ro/Public/DetaliiDocument/259832</w:t>
              </w:r>
            </w:hyperlink>
          </w:p>
        </w:tc>
        <w:tc>
          <w:tcPr>
            <w:tcW w:w="6727" w:type="dxa"/>
            <w:gridSpan w:val="2"/>
            <w:hideMark/>
          </w:tcPr>
          <w:p w14:paraId="6115BEF3"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SNEC este documentul de politica de nivel superior fata de care PNGD 2026-2035 se subordoneaza si pe care il operationalizeaza in domeniul gestionarii deseurilor. PNGD trebuie sa demonstreze ca obiectivele si masurile sale contribuie la atingerea celor 8 obiective strategice ale SNEC, in special privind prevenirea generarii de deseuri, cresterea reciclarii de inalta calitate si reducerea depozitarii finale. Adoptarea SNEC prin HG 1172/2022 a fost o conditie PNRR prealabila elaborarii PNGD.</w:t>
            </w:r>
          </w:p>
        </w:tc>
      </w:tr>
      <w:tr w:rsidR="00AE673F" w:rsidRPr="00187708" w14:paraId="5D74F740" w14:textId="77777777" w:rsidTr="004B2370">
        <w:trPr>
          <w:gridAfter w:val="2"/>
          <w:wAfter w:w="172" w:type="dxa"/>
        </w:trPr>
        <w:tc>
          <w:tcPr>
            <w:tcW w:w="743" w:type="dxa"/>
            <w:gridSpan w:val="2"/>
            <w:hideMark/>
          </w:tcPr>
          <w:p w14:paraId="59A001F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w:t>
            </w:r>
          </w:p>
        </w:tc>
        <w:tc>
          <w:tcPr>
            <w:tcW w:w="1998" w:type="dxa"/>
            <w:gridSpan w:val="2"/>
            <w:hideMark/>
          </w:tcPr>
          <w:p w14:paraId="6A776B5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Planul de Actiune pentru Economia Circulara (PAEC) — HG 927/2023</w:t>
            </w:r>
          </w:p>
        </w:tc>
        <w:tc>
          <w:tcPr>
            <w:tcW w:w="7891" w:type="dxa"/>
            <w:gridSpan w:val="3"/>
            <w:hideMark/>
          </w:tcPr>
          <w:p w14:paraId="025CEA6E" w14:textId="77777777" w:rsidR="00AE673F" w:rsidRPr="00187708" w:rsidRDefault="00AE673F">
            <w:pPr>
              <w:spacing w:before="10" w:after="10"/>
              <w:jc w:val="both"/>
              <w:rPr>
                <w:rFonts w:ascii="Nunito" w:hAnsi="Nunito"/>
                <w:sz w:val="16"/>
                <w:szCs w:val="16"/>
                <w:lang w:val="ro-RO"/>
              </w:rPr>
            </w:pPr>
            <w:r w:rsidRPr="00187708">
              <w:rPr>
                <w:rFonts w:ascii="Nunito" w:hAnsi="Nunito"/>
                <w:sz w:val="16"/>
                <w:szCs w:val="16"/>
                <w:lang w:val="ro-RO"/>
              </w:rPr>
              <w:t>Operationalizeaza SNEC prin 52 actiuni prioritare concrete, cu termene, responsabili si surse de finantare. 1 domeniu transversal (cadru legislativ, monitorizare, finantare) + 9 domenii sectoriale: deseuri municipale, constructii-demolari, ambalaje, EEE, textile, alimente, agricultura/silvicultura, apa/ape uzate, automotive. ~38% actiuni = modificari legislative, ~23% = investitii infrastructura, ~39% = capacitare institutionala. Sector deseuri: colectare separata, tinte reciclare DCD 2018/851, SGR, platforme reutilizare.</w:t>
            </w:r>
          </w:p>
        </w:tc>
        <w:tc>
          <w:tcPr>
            <w:tcW w:w="1145" w:type="dxa"/>
            <w:gridSpan w:val="3"/>
            <w:hideMark/>
          </w:tcPr>
          <w:p w14:paraId="419A35E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2024-2032</w:t>
            </w:r>
          </w:p>
        </w:tc>
        <w:tc>
          <w:tcPr>
            <w:tcW w:w="3184" w:type="dxa"/>
            <w:gridSpan w:val="5"/>
            <w:hideMark/>
          </w:tcPr>
          <w:p w14:paraId="5413DF9A" w14:textId="1A8FD86F" w:rsidR="00AE673F" w:rsidRPr="00187708" w:rsidRDefault="00AE673F">
            <w:pPr>
              <w:spacing w:before="0" w:after="0" w:line="240" w:lineRule="auto"/>
              <w:jc w:val="both"/>
              <w:rPr>
                <w:rFonts w:ascii="Nunito" w:hAnsi="Nunito"/>
                <w:sz w:val="16"/>
                <w:szCs w:val="16"/>
                <w:lang w:val="ro-RO"/>
              </w:rPr>
            </w:pPr>
            <w:hyperlink r:id="rId48" w:history="1">
              <w:r w:rsidRPr="00187708">
                <w:rPr>
                  <w:rStyle w:val="Hyperlink"/>
                  <w:rFonts w:ascii="Nunito" w:hAnsi="Nunito"/>
                  <w:color w:val="0563C1"/>
                  <w:sz w:val="16"/>
                  <w:szCs w:val="16"/>
                  <w:lang w:val="ro-RO"/>
                </w:rPr>
                <w:t>https://legislatie.just.ro/Public/DetaliiDocument/275218</w:t>
              </w:r>
            </w:hyperlink>
          </w:p>
        </w:tc>
        <w:tc>
          <w:tcPr>
            <w:tcW w:w="6727" w:type="dxa"/>
            <w:gridSpan w:val="2"/>
            <w:hideMark/>
          </w:tcPr>
          <w:p w14:paraId="1975F64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PAEC include un sector dedicat deseurilor municipale si ambalajelor cu actiuni prioritare numerotate si responsabili desemnati. PNGD 2026-2035 trebuie sa se alinieze la PAEC si sa implementeze actiunile relevante, inclusiv cele privind extinderea colectarii separate, infrastructura de reciclare, sistemele REP si SGR. Calendarul PAEC (2024-2032) se suprapune cu perioada PNGD, necesitand coordonare stransa in implementare.</w:t>
            </w:r>
          </w:p>
        </w:tc>
      </w:tr>
      <w:tr w:rsidR="00AE673F" w:rsidRPr="00187708" w14:paraId="7A602971" w14:textId="77777777" w:rsidTr="004B2370">
        <w:trPr>
          <w:gridAfter w:val="2"/>
          <w:wAfter w:w="172" w:type="dxa"/>
        </w:trPr>
        <w:tc>
          <w:tcPr>
            <w:tcW w:w="743" w:type="dxa"/>
            <w:gridSpan w:val="2"/>
            <w:hideMark/>
          </w:tcPr>
          <w:p w14:paraId="6B3E31B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3</w:t>
            </w:r>
          </w:p>
        </w:tc>
        <w:tc>
          <w:tcPr>
            <w:tcW w:w="1998" w:type="dxa"/>
            <w:gridSpan w:val="2"/>
            <w:hideMark/>
          </w:tcPr>
          <w:p w14:paraId="4C05D65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Planul National Integrat Energie si Schimbari Climatice 2021-2030 (PNIESC)</w:t>
            </w:r>
          </w:p>
        </w:tc>
        <w:tc>
          <w:tcPr>
            <w:tcW w:w="7891" w:type="dxa"/>
            <w:gridSpan w:val="3"/>
            <w:hideMark/>
          </w:tcPr>
          <w:p w14:paraId="16FC2BC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Planifica tranzitia energetica si climatica a Romaniei pe toate cele 5 dimensiuni ale Uniunii Energetice. Versiunea actualizata (oct. 2024): reducere GES -85% fata de 1990 pana in 2030; neutralitate climatica inainte de 2045; SRE 38,3% din consum final 2030; consum energie primara 28,7 Mtep; 89 politici si masuri suplimentare. Sector deseuri inclus in non-ETS: reducere emisii CH4 din depozite, valorificare biogaz, compostare si digestie anaeroba.</w:t>
            </w:r>
          </w:p>
        </w:tc>
        <w:tc>
          <w:tcPr>
            <w:tcW w:w="1145" w:type="dxa"/>
            <w:gridSpan w:val="3"/>
            <w:hideMark/>
          </w:tcPr>
          <w:p w14:paraId="63296F2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2021-2030 (perspectiva 2050)</w:t>
            </w:r>
          </w:p>
        </w:tc>
        <w:tc>
          <w:tcPr>
            <w:tcW w:w="3184" w:type="dxa"/>
            <w:gridSpan w:val="5"/>
            <w:hideMark/>
          </w:tcPr>
          <w:p w14:paraId="4799110A" w14:textId="06BFCD4B" w:rsidR="00AE673F" w:rsidRPr="00187708" w:rsidRDefault="00AE673F">
            <w:pPr>
              <w:spacing w:before="0" w:after="0" w:line="240" w:lineRule="auto"/>
              <w:jc w:val="both"/>
              <w:rPr>
                <w:rFonts w:ascii="Nunito" w:hAnsi="Nunito"/>
                <w:sz w:val="16"/>
                <w:szCs w:val="16"/>
                <w:lang w:val="ro-RO"/>
              </w:rPr>
            </w:pPr>
            <w:hyperlink r:id="rId49" w:history="1">
              <w:r w:rsidRPr="00187708">
                <w:rPr>
                  <w:rStyle w:val="Hyperlink"/>
                  <w:rFonts w:ascii="Nunito" w:hAnsi="Nunito"/>
                  <w:color w:val="0563C1"/>
                  <w:sz w:val="16"/>
                  <w:szCs w:val="16"/>
                  <w:lang w:val="ro-RO"/>
                </w:rPr>
                <w:t>https://energie.gov.ro/pniesc/</w:t>
              </w:r>
            </w:hyperlink>
          </w:p>
        </w:tc>
        <w:tc>
          <w:tcPr>
            <w:tcW w:w="6727" w:type="dxa"/>
            <w:gridSpan w:val="2"/>
            <w:hideMark/>
          </w:tcPr>
          <w:p w14:paraId="562F947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PNIESC include obiective de reducere a emisiilor GES pentru sectorul deseuri (non-ETS), in special reducerea emisiilor de metan (CH4) din depozite si a emisiilor de N2O din instalatiile de tratare biologica. PNGD 2026-2035 trebuie sa demonstreze ca masurile sale privind reducerea depozitarii, valorificarea energetica a biogazului si extinderea compostarii contribuie la atingerea tintelor climatice ale PNIESC. Evaluarea favorabila CE (mai 2025) confirma coerenta politicilor.</w:t>
            </w:r>
          </w:p>
        </w:tc>
      </w:tr>
      <w:tr w:rsidR="00AE673F" w:rsidRPr="00187708" w14:paraId="6E514AB7" w14:textId="77777777" w:rsidTr="004B2370">
        <w:trPr>
          <w:gridAfter w:val="2"/>
          <w:wAfter w:w="172" w:type="dxa"/>
        </w:trPr>
        <w:tc>
          <w:tcPr>
            <w:tcW w:w="743" w:type="dxa"/>
            <w:gridSpan w:val="2"/>
            <w:hideMark/>
          </w:tcPr>
          <w:p w14:paraId="5622D06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4</w:t>
            </w:r>
          </w:p>
        </w:tc>
        <w:tc>
          <w:tcPr>
            <w:tcW w:w="1998" w:type="dxa"/>
            <w:gridSpan w:val="2"/>
            <w:hideMark/>
          </w:tcPr>
          <w:p w14:paraId="10A2F9E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Programul National de Control al Poluarii Atmosferice (PNCPA) — HG 119/2023</w:t>
            </w:r>
          </w:p>
        </w:tc>
        <w:tc>
          <w:tcPr>
            <w:tcW w:w="7891" w:type="dxa"/>
            <w:gridSpan w:val="3"/>
            <w:hideMark/>
          </w:tcPr>
          <w:p w14:paraId="5759187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Transpune Directiva NEC (UE) 2016/2284. Angajamente reducere emisii fata de 2005: NOx -45% (2020-2029), -60% (din 2030); COVnm -25%/-45%; SO2 -77%/-88%; NH3 -13%/-25%; PM2,5 -28%/-58%. Contributia sectorului deseuri la emisiile nationale: NH3 4,94%, COVnm 1,24%, PM2,5 1,25%, NOx 0,26%. Politici si masuri sectoriale specifice.</w:t>
            </w:r>
          </w:p>
        </w:tc>
        <w:tc>
          <w:tcPr>
            <w:tcW w:w="1145" w:type="dxa"/>
            <w:gridSpan w:val="3"/>
            <w:hideMark/>
          </w:tcPr>
          <w:p w14:paraId="100D2E8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2020-2030+</w:t>
            </w:r>
          </w:p>
        </w:tc>
        <w:tc>
          <w:tcPr>
            <w:tcW w:w="3184" w:type="dxa"/>
            <w:gridSpan w:val="5"/>
            <w:hideMark/>
          </w:tcPr>
          <w:p w14:paraId="64BED6F2" w14:textId="59775ADF" w:rsidR="00AE673F" w:rsidRPr="00187708" w:rsidRDefault="00AE673F">
            <w:pPr>
              <w:spacing w:before="0" w:after="0" w:line="240" w:lineRule="auto"/>
              <w:jc w:val="both"/>
              <w:rPr>
                <w:rFonts w:ascii="Nunito" w:hAnsi="Nunito"/>
                <w:sz w:val="16"/>
                <w:szCs w:val="16"/>
                <w:lang w:val="ro-RO"/>
              </w:rPr>
            </w:pPr>
            <w:hyperlink r:id="rId50" w:history="1">
              <w:r w:rsidRPr="00187708">
                <w:rPr>
                  <w:rStyle w:val="Hyperlink"/>
                  <w:rFonts w:ascii="Nunito" w:hAnsi="Nunito"/>
                  <w:color w:val="0563C1"/>
                  <w:sz w:val="16"/>
                  <w:szCs w:val="16"/>
                  <w:lang w:val="ro-RO"/>
                </w:rPr>
                <w:t>https://legislatie.just.ro/Public/DetaliiDocument/273977</w:t>
              </w:r>
            </w:hyperlink>
          </w:p>
        </w:tc>
        <w:tc>
          <w:tcPr>
            <w:tcW w:w="6727" w:type="dxa"/>
            <w:gridSpan w:val="2"/>
            <w:hideMark/>
          </w:tcPr>
          <w:p w14:paraId="0848DCF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Sectorul deseuri contribuie semnificativ la emisiile de NH3 (4,94%) si COVnm (1,24%), generate de depozite, instalatii de compostare si incinerare. PNGD 2026-2035 trebuie sa includa masuri specifice de reducere a emisiilor atmosferice din sectorul deseuri, compatibile cu angajamentele PNCPA: captarea si valorificarea biogazului din depozite, biofiltare pentru instalatii de compostare, echipamente de retinere a particulelor pentru incineratoare.</w:t>
            </w:r>
          </w:p>
        </w:tc>
      </w:tr>
      <w:tr w:rsidR="00AE673F" w:rsidRPr="00187708" w14:paraId="3095707A" w14:textId="77777777" w:rsidTr="004B2370">
        <w:trPr>
          <w:gridAfter w:val="2"/>
          <w:wAfter w:w="172" w:type="dxa"/>
        </w:trPr>
        <w:tc>
          <w:tcPr>
            <w:tcW w:w="743" w:type="dxa"/>
            <w:gridSpan w:val="2"/>
            <w:hideMark/>
          </w:tcPr>
          <w:p w14:paraId="3FAC32A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5</w:t>
            </w:r>
          </w:p>
        </w:tc>
        <w:tc>
          <w:tcPr>
            <w:tcW w:w="1998" w:type="dxa"/>
            <w:gridSpan w:val="2"/>
            <w:hideMark/>
          </w:tcPr>
          <w:p w14:paraId="4C2051B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Planul National de Management al Apelor — Ciclul III (2022-2027) — HG 392/2023</w:t>
            </w:r>
          </w:p>
        </w:tc>
        <w:tc>
          <w:tcPr>
            <w:tcW w:w="7891" w:type="dxa"/>
            <w:gridSpan w:val="3"/>
            <w:hideMark/>
          </w:tcPr>
          <w:p w14:paraId="0EEAB40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Sintetizeaza cele 11 planuri de management ale bazinelor hidrografice. Obiectiv principal: starea ecologica buna pentru toate corpurile de apa. 65,72% corpuri in stare buna la elaborare; 87,73% vor atinge obiectivele DCA pana in 2027; 98,02% stare chimica buna. Buget: ~18,87 mld. EUR (64,7% fonduri UE). Masuri specifice: reducere poluare nitriti/nitrati, substante prioritare, metale grele (relevante pentru levigat depozite).</w:t>
            </w:r>
          </w:p>
        </w:tc>
        <w:tc>
          <w:tcPr>
            <w:tcW w:w="1145" w:type="dxa"/>
            <w:gridSpan w:val="3"/>
            <w:hideMark/>
          </w:tcPr>
          <w:p w14:paraId="5D09BB13"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2022-2027</w:t>
            </w:r>
          </w:p>
        </w:tc>
        <w:tc>
          <w:tcPr>
            <w:tcW w:w="3184" w:type="dxa"/>
            <w:gridSpan w:val="5"/>
            <w:hideMark/>
          </w:tcPr>
          <w:p w14:paraId="595AA0C4" w14:textId="5BEB32FA" w:rsidR="00AE673F" w:rsidRPr="00187708" w:rsidRDefault="00AE673F">
            <w:pPr>
              <w:spacing w:before="0" w:after="0" w:line="240" w:lineRule="auto"/>
              <w:jc w:val="both"/>
              <w:rPr>
                <w:rFonts w:ascii="Nunito" w:hAnsi="Nunito"/>
                <w:sz w:val="16"/>
                <w:szCs w:val="16"/>
                <w:lang w:val="ro-RO"/>
              </w:rPr>
            </w:pPr>
            <w:hyperlink r:id="rId51" w:history="1">
              <w:r w:rsidRPr="00187708">
                <w:rPr>
                  <w:rStyle w:val="Hyperlink"/>
                  <w:rFonts w:ascii="Nunito" w:hAnsi="Nunito"/>
                  <w:color w:val="0563C1"/>
                  <w:sz w:val="16"/>
                  <w:szCs w:val="16"/>
                  <w:lang w:val="ro-RO"/>
                </w:rPr>
                <w:t>https://legislatie.just.ro/Public/DetaliiDocument/271443</w:t>
              </w:r>
            </w:hyperlink>
          </w:p>
        </w:tc>
        <w:tc>
          <w:tcPr>
            <w:tcW w:w="6727" w:type="dxa"/>
            <w:gridSpan w:val="2"/>
            <w:hideMark/>
          </w:tcPr>
          <w:p w14:paraId="04D6696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Namolurile de la SEAU si levigatul din depozite sunt surse semnificative de poluare a corpurilor de apa. PNGD 2026-2035 trebuie sa prevada: (1) gestionarea conforma a namolurilor de epurare (valorificare agricola, incinerare, depozitare conforma); (2) impermeabilizarea si gestionarea levigatului din depozitele active si fostele depozite neconforme; (3) interzicerea amplasarii de noi depozite in zone de protectie a surselor de apa. Aceste obligatii sunt direct conditionate de cerintele PNM Ape.</w:t>
            </w:r>
          </w:p>
        </w:tc>
      </w:tr>
      <w:tr w:rsidR="00AE673F" w:rsidRPr="00187708" w14:paraId="6A2A6B02" w14:textId="77777777" w:rsidTr="004B2370">
        <w:trPr>
          <w:gridAfter w:val="2"/>
          <w:wAfter w:w="172" w:type="dxa"/>
        </w:trPr>
        <w:tc>
          <w:tcPr>
            <w:tcW w:w="743" w:type="dxa"/>
            <w:gridSpan w:val="2"/>
            <w:hideMark/>
          </w:tcPr>
          <w:p w14:paraId="7008C1A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6</w:t>
            </w:r>
          </w:p>
        </w:tc>
        <w:tc>
          <w:tcPr>
            <w:tcW w:w="1998" w:type="dxa"/>
            <w:gridSpan w:val="2"/>
            <w:hideMark/>
          </w:tcPr>
          <w:p w14:paraId="1AFADD0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Planurile de Management al Riscului la Inundatii — Ciclul II (2023-2027)</w:t>
            </w:r>
          </w:p>
        </w:tc>
        <w:tc>
          <w:tcPr>
            <w:tcW w:w="7891" w:type="dxa"/>
            <w:gridSpan w:val="3"/>
            <w:hideMark/>
          </w:tcPr>
          <w:p w14:paraId="24FDD44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Obiective de reducere a consecintelor negative ale inundatiilor. 526 zone cu risc potential semnificativ (APSFR) identificate national. Pagube anuale estimate: 1,72 mld. EUR. Integrarea solutiilor bazate pe natura (NBS) ca solutii preferate. Coordonare cu PNM Ape Ciclul III. Raportare CE conform calendarului Directivei 2007/60/CE.</w:t>
            </w:r>
          </w:p>
        </w:tc>
        <w:tc>
          <w:tcPr>
            <w:tcW w:w="1145" w:type="dxa"/>
            <w:gridSpan w:val="3"/>
            <w:hideMark/>
          </w:tcPr>
          <w:p w14:paraId="38C5318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2023-2027</w:t>
            </w:r>
          </w:p>
        </w:tc>
        <w:tc>
          <w:tcPr>
            <w:tcW w:w="3184" w:type="dxa"/>
            <w:gridSpan w:val="5"/>
            <w:hideMark/>
          </w:tcPr>
          <w:p w14:paraId="000A1FC7" w14:textId="14627A3B" w:rsidR="00AE673F" w:rsidRPr="00187708" w:rsidRDefault="00AE673F">
            <w:pPr>
              <w:spacing w:before="0" w:after="0" w:line="240" w:lineRule="auto"/>
              <w:jc w:val="both"/>
              <w:rPr>
                <w:rFonts w:ascii="Nunito" w:hAnsi="Nunito"/>
                <w:sz w:val="16"/>
                <w:szCs w:val="16"/>
                <w:lang w:val="ro-RO"/>
              </w:rPr>
            </w:pPr>
            <w:hyperlink r:id="rId52" w:history="1">
              <w:r w:rsidRPr="00187708">
                <w:rPr>
                  <w:rStyle w:val="Hyperlink"/>
                  <w:rFonts w:ascii="Nunito" w:hAnsi="Nunito"/>
                  <w:color w:val="0563C1"/>
                  <w:sz w:val="16"/>
                  <w:szCs w:val="16"/>
                  <w:lang w:val="ro-RO"/>
                </w:rPr>
                <w:t>https://inundatii.ro</w:t>
              </w:r>
            </w:hyperlink>
          </w:p>
        </w:tc>
        <w:tc>
          <w:tcPr>
            <w:tcW w:w="6727" w:type="dxa"/>
            <w:gridSpan w:val="2"/>
            <w:hideMark/>
          </w:tcPr>
          <w:p w14:paraId="1F71C1F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Amplasarea depozitelor in sau in apropierea zonelor inundabile reprezinta un risc major de contaminare a apelor. PNGD 2026-2035 trebuie sa: (1) identifice depozitele amplasate in zone cu risc la inundatii si sa prevada masuri de reducere a riscului (relocare, protectie, inchidere prioritara); (2) interzica amplasarea de noi facilitati de deseuri in zonele cu risc semnificativ PMRI; (3) asigure ca proiectele de infrastructura de deseuri finantat PDD/PNRR respecta hartile de hazard.</w:t>
            </w:r>
          </w:p>
        </w:tc>
      </w:tr>
      <w:tr w:rsidR="00AE673F" w:rsidRPr="00187708" w14:paraId="3BD90432" w14:textId="77777777" w:rsidTr="004B2370">
        <w:trPr>
          <w:gridAfter w:val="2"/>
          <w:wAfter w:w="172" w:type="dxa"/>
        </w:trPr>
        <w:tc>
          <w:tcPr>
            <w:tcW w:w="743" w:type="dxa"/>
            <w:gridSpan w:val="2"/>
            <w:hideMark/>
          </w:tcPr>
          <w:p w14:paraId="78580A2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7</w:t>
            </w:r>
          </w:p>
        </w:tc>
        <w:tc>
          <w:tcPr>
            <w:tcW w:w="1998" w:type="dxa"/>
            <w:gridSpan w:val="2"/>
            <w:hideMark/>
          </w:tcPr>
          <w:p w14:paraId="6489B57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Nationala si Planul National pentru Gestionarea Siturilor Contaminate — HG 683/2015</w:t>
            </w:r>
          </w:p>
        </w:tc>
        <w:tc>
          <w:tcPr>
            <w:tcW w:w="7891" w:type="dxa"/>
            <w:gridSpan w:val="3"/>
            <w:hideMark/>
          </w:tcPr>
          <w:p w14:paraId="1203342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national de politica pentru identificarea, investigarea si remedierea siturilor contaminate. Abordare bazata pe evaluarea riscului (site-specific risk assessment), principiul poluatorul plateste. Inventar (referinta 2007-2008): 1.393 situri (210 contaminate confirmate + 1.183 potential contaminate). Obiective: termen scurt (cadru legislativ), mediu 2020 (rezolvare urgente, registru national operational), lung 2050 (finalizarea completa investigare/remediere).</w:t>
            </w:r>
          </w:p>
        </w:tc>
        <w:tc>
          <w:tcPr>
            <w:tcW w:w="1145" w:type="dxa"/>
            <w:gridSpan w:val="3"/>
            <w:hideMark/>
          </w:tcPr>
          <w:p w14:paraId="1FF39BA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2015-2050</w:t>
            </w:r>
          </w:p>
        </w:tc>
        <w:tc>
          <w:tcPr>
            <w:tcW w:w="3184" w:type="dxa"/>
            <w:gridSpan w:val="5"/>
            <w:hideMark/>
          </w:tcPr>
          <w:p w14:paraId="5FA7EC79" w14:textId="6013861E" w:rsidR="00AE673F" w:rsidRPr="00187708" w:rsidRDefault="00AE673F">
            <w:pPr>
              <w:spacing w:before="0" w:after="0" w:line="240" w:lineRule="auto"/>
              <w:jc w:val="both"/>
              <w:rPr>
                <w:rFonts w:ascii="Nunito" w:hAnsi="Nunito"/>
                <w:sz w:val="16"/>
                <w:szCs w:val="16"/>
                <w:lang w:val="ro-RO"/>
              </w:rPr>
            </w:pPr>
            <w:hyperlink r:id="rId53" w:history="1">
              <w:r w:rsidRPr="00187708">
                <w:rPr>
                  <w:rStyle w:val="Hyperlink"/>
                  <w:rFonts w:ascii="Nunito" w:hAnsi="Nunito"/>
                  <w:color w:val="0563C1"/>
                  <w:sz w:val="16"/>
                  <w:szCs w:val="16"/>
                  <w:lang w:val="ro-RO"/>
                </w:rPr>
                <w:t>https://mmediu.ro/domenii/mediu/sol-si-subsol/situri-contaminate/</w:t>
              </w:r>
            </w:hyperlink>
          </w:p>
        </w:tc>
        <w:tc>
          <w:tcPr>
            <w:tcW w:w="6727" w:type="dxa"/>
            <w:gridSpan w:val="2"/>
            <w:hideMark/>
          </w:tcPr>
          <w:p w14:paraId="4827D9B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Fostele depozite de deseuri municipale si industriale neecologizate (din perioadele anterioare Directivei 1999/31/CE) constituie situri contaminate care se supun Strategiei HG 683/2015. PNGD 2026-2035 trebuie sa faca trimitere explicita la: (1) inventarul siturilor contaminate gestionat de ANPM; (2) procedura de investigare si remediere bazata pe risc; (3) surse de finantare disponibile (PDD 2021-2027, RSO2.7). Programul de inchidere a depozitelor neconforme din PNGD este direct conectat cu aceasta Strategie.</w:t>
            </w:r>
          </w:p>
        </w:tc>
      </w:tr>
      <w:tr w:rsidR="00AE673F" w:rsidRPr="00187708" w14:paraId="08681E24" w14:textId="77777777" w:rsidTr="004B2370">
        <w:trPr>
          <w:gridAfter w:val="2"/>
          <w:wAfter w:w="172" w:type="dxa"/>
        </w:trPr>
        <w:tc>
          <w:tcPr>
            <w:tcW w:w="743" w:type="dxa"/>
            <w:gridSpan w:val="2"/>
            <w:hideMark/>
          </w:tcPr>
          <w:p w14:paraId="0F82D88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8</w:t>
            </w:r>
          </w:p>
        </w:tc>
        <w:tc>
          <w:tcPr>
            <w:tcW w:w="1998" w:type="dxa"/>
            <w:gridSpan w:val="2"/>
            <w:hideMark/>
          </w:tcPr>
          <w:p w14:paraId="29B91E7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Nationala si Planul de Actiune pentru Conservarea Biodiversitatii (SNPACB 2014-2020)</w:t>
            </w:r>
          </w:p>
        </w:tc>
        <w:tc>
          <w:tcPr>
            <w:tcW w:w="7891" w:type="dxa"/>
            <w:gridSpan w:val="3"/>
            <w:hideMark/>
          </w:tcPr>
          <w:p w14:paraId="3DD18A6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Conservarea si utilizarea durabila a biodiversitatii Romaniei. 6 directii strategice: cunoasterea si monitorizarea biodiversitatii; reducerea presiunilor directe; utilizare durabila; finantare; integrarea in politicile sectoriale (inclusiv deseuri); cooperare internationala. Romania detine cea mai extinsa retea Natura 2000 ca procent (~22,7%). Versiunea 2021-2030 in revizuire, pentru aliniere la Strategia UE Biodiversitate 2030 si Cadrul Kunming-Montreal (30x30).</w:t>
            </w:r>
          </w:p>
        </w:tc>
        <w:tc>
          <w:tcPr>
            <w:tcW w:w="1145" w:type="dxa"/>
            <w:gridSpan w:val="3"/>
            <w:hideMark/>
          </w:tcPr>
          <w:p w14:paraId="2AB7517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2014-2020 (revizuire 2021-2030)</w:t>
            </w:r>
          </w:p>
        </w:tc>
        <w:tc>
          <w:tcPr>
            <w:tcW w:w="3184" w:type="dxa"/>
            <w:gridSpan w:val="5"/>
            <w:hideMark/>
          </w:tcPr>
          <w:p w14:paraId="55BDC123" w14:textId="57B6E799" w:rsidR="00AE673F" w:rsidRPr="00187708" w:rsidRDefault="00AE673F">
            <w:pPr>
              <w:spacing w:before="0" w:after="0" w:line="240" w:lineRule="auto"/>
              <w:jc w:val="both"/>
              <w:rPr>
                <w:rFonts w:ascii="Nunito" w:hAnsi="Nunito"/>
                <w:sz w:val="16"/>
                <w:szCs w:val="16"/>
                <w:lang w:val="ro-RO"/>
              </w:rPr>
            </w:pPr>
            <w:hyperlink r:id="rId54" w:history="1">
              <w:r w:rsidRPr="00187708">
                <w:rPr>
                  <w:rStyle w:val="Hyperlink"/>
                  <w:rFonts w:ascii="Nunito" w:hAnsi="Nunito"/>
                  <w:color w:val="0563C1"/>
                  <w:sz w:val="16"/>
                  <w:szCs w:val="16"/>
                  <w:lang w:val="ro-RO"/>
                </w:rPr>
                <w:t>https://mmediu.ro/domenii/mediu/biodiversitate/</w:t>
              </w:r>
            </w:hyperlink>
          </w:p>
        </w:tc>
        <w:tc>
          <w:tcPr>
            <w:tcW w:w="6727" w:type="dxa"/>
            <w:gridSpan w:val="2"/>
            <w:hideMark/>
          </w:tcPr>
          <w:p w14:paraId="6BA7334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Amplasamentele de deseuri, instalatiile de tratare si infrastructura de colectare pot afecta habitate si specii din reteaua Natura 2000. PNGD 2026-2035 trebuie sa asigure ca: (1) toate proiectele de infrastructura din sau adiacent ariilor Natura 2000 sunt supuse evaluarii adecvate (AA) conform art. 28 din OUG 57/2007; (2) masurile de colectare si reciclare reduc poluarea difuza; (3) sunt excluse amplasamente in habitate prioritare. Coerenta cu viitoarea SNPACB 2021-2030.</w:t>
            </w:r>
          </w:p>
        </w:tc>
      </w:tr>
      <w:tr w:rsidR="00AE673F" w:rsidRPr="00187708" w14:paraId="302AA500" w14:textId="77777777" w:rsidTr="004B2370">
        <w:trPr>
          <w:gridAfter w:val="2"/>
          <w:wAfter w:w="172" w:type="dxa"/>
        </w:trPr>
        <w:tc>
          <w:tcPr>
            <w:tcW w:w="743" w:type="dxa"/>
            <w:gridSpan w:val="2"/>
            <w:hideMark/>
          </w:tcPr>
          <w:p w14:paraId="1D5906A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9</w:t>
            </w:r>
          </w:p>
        </w:tc>
        <w:tc>
          <w:tcPr>
            <w:tcW w:w="1998" w:type="dxa"/>
            <w:gridSpan w:val="2"/>
            <w:hideMark/>
          </w:tcPr>
          <w:p w14:paraId="7B60D14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Nationala privind Mediul Marin — Directiva-Cadru Strategia pentru Mediul Marin (DCSMM)</w:t>
            </w:r>
          </w:p>
        </w:tc>
        <w:tc>
          <w:tcPr>
            <w:tcW w:w="7891" w:type="dxa"/>
            <w:gridSpan w:val="3"/>
            <w:hideMark/>
          </w:tcPr>
          <w:p w14:paraId="4C49EC8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Transpunere Directivei 2008/56/CE prin OUG 71/2010 si HG 432/2020. Obligatia Romaniei de a atinge si mentine starea ecologica buna (GES) a apelor marine romanesti. 11 descriptori calitativi, inclusiv D10 — deseuri marine (marine litter). Ciclul III (2024-2030): actualizare evaluare, redefinire GES, indicatori si obiective. Coordonare cu Conventia de la Bucuresti si cu statele riverane Marii Negre.</w:t>
            </w:r>
          </w:p>
        </w:tc>
        <w:tc>
          <w:tcPr>
            <w:tcW w:w="1145" w:type="dxa"/>
            <w:gridSpan w:val="3"/>
            <w:hideMark/>
          </w:tcPr>
          <w:p w14:paraId="4B04FA5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Ciclic — Ciclul III: 2024-2030</w:t>
            </w:r>
          </w:p>
        </w:tc>
        <w:tc>
          <w:tcPr>
            <w:tcW w:w="3184" w:type="dxa"/>
            <w:gridSpan w:val="5"/>
            <w:hideMark/>
          </w:tcPr>
          <w:p w14:paraId="1904FE5A" w14:textId="07370620" w:rsidR="00AE673F" w:rsidRPr="00187708" w:rsidRDefault="00AE673F">
            <w:pPr>
              <w:spacing w:before="0" w:after="0" w:line="240" w:lineRule="auto"/>
              <w:jc w:val="both"/>
              <w:rPr>
                <w:rFonts w:ascii="Nunito" w:hAnsi="Nunito"/>
                <w:sz w:val="16"/>
                <w:szCs w:val="16"/>
                <w:lang w:val="ro-RO"/>
              </w:rPr>
            </w:pPr>
            <w:hyperlink r:id="rId55" w:history="1">
              <w:r w:rsidRPr="00187708">
                <w:rPr>
                  <w:rStyle w:val="Hyperlink"/>
                  <w:rFonts w:ascii="Nunito" w:hAnsi="Nunito"/>
                  <w:color w:val="0563C1"/>
                  <w:sz w:val="16"/>
                  <w:szCs w:val="16"/>
                  <w:lang w:val="ro-RO"/>
                </w:rPr>
                <w:t>https://mmediu.ro/en/domenii/ape/directive-europene/directiva-cadru-strategia-pentru-mediul-marin-2008-56-ce-marine-strategy-framework-directive/</w:t>
              </w:r>
            </w:hyperlink>
          </w:p>
        </w:tc>
        <w:tc>
          <w:tcPr>
            <w:tcW w:w="6727" w:type="dxa"/>
            <w:gridSpan w:val="2"/>
            <w:hideMark/>
          </w:tcPr>
          <w:p w14:paraId="6F9E8A4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Descriptorul D10 (deseuri marine) este direct dependent de gestionarea deseurilor pe uscat, in special de reducerea plasticului care ajunge in Marea Neagra prin Dunare si afluenti. PNGD 2026-2035 trebuie sa includa: (1) masuri specifice de reducere a deseurilor abandonate si scurgerilor de plastic din sisteme inadecvate de colectare; (2) obiective cantitative de reducere a deseurilor marine conform D10; (3) mecanisme de raportare a contributiei sectorului de deseuri la atingerea GES.</w:t>
            </w:r>
          </w:p>
        </w:tc>
      </w:tr>
      <w:tr w:rsidR="00AE673F" w:rsidRPr="00187708" w14:paraId="425FF6F6" w14:textId="77777777" w:rsidTr="004B2370">
        <w:trPr>
          <w:gridAfter w:val="2"/>
          <w:wAfter w:w="172" w:type="dxa"/>
        </w:trPr>
        <w:tc>
          <w:tcPr>
            <w:tcW w:w="743" w:type="dxa"/>
            <w:gridSpan w:val="2"/>
            <w:hideMark/>
          </w:tcPr>
          <w:p w14:paraId="6F08AC4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10</w:t>
            </w:r>
          </w:p>
        </w:tc>
        <w:tc>
          <w:tcPr>
            <w:tcW w:w="1998" w:type="dxa"/>
            <w:gridSpan w:val="2"/>
            <w:hideMark/>
          </w:tcPr>
          <w:p w14:paraId="3AC5A08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Nationala de Gestionare a Deseurilor 2014-2020 (SNGD) — HG 870/2013</w:t>
            </w:r>
          </w:p>
        </w:tc>
        <w:tc>
          <w:tcPr>
            <w:tcW w:w="7891" w:type="dxa"/>
            <w:gridSpan w:val="3"/>
            <w:hideMark/>
          </w:tcPr>
          <w:p w14:paraId="4AACC77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national de politica pentru un sistem integrat si durabil de gestionare a deseurilor. Principiu central: ierarhia deseurilor (prevenire, reutilizare, reciclare, valorificare energetica, eliminare). Tinte: 50% reciclare deseuri municipale (2020), 70% valorificare deseuri constructii-demolari (2020). Programe specifice pentru fluxuri speciale: ambalaje, DEEE, vehicule scoase din uz, baterii, uleiuri, namoluri. Inlocuieste Strategia 2003-2013 (HG 1470/2004).</w:t>
            </w:r>
          </w:p>
        </w:tc>
        <w:tc>
          <w:tcPr>
            <w:tcW w:w="1145" w:type="dxa"/>
            <w:gridSpan w:val="3"/>
            <w:hideMark/>
          </w:tcPr>
          <w:p w14:paraId="616C16C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2014-2020 (in curs de revizuire)</w:t>
            </w:r>
          </w:p>
        </w:tc>
        <w:tc>
          <w:tcPr>
            <w:tcW w:w="3184" w:type="dxa"/>
            <w:gridSpan w:val="5"/>
            <w:hideMark/>
          </w:tcPr>
          <w:p w14:paraId="0AB3FE76" w14:textId="4CFBAF36" w:rsidR="00AE673F" w:rsidRPr="00187708" w:rsidRDefault="00AE673F">
            <w:pPr>
              <w:spacing w:before="0" w:after="0" w:line="240" w:lineRule="auto"/>
              <w:jc w:val="both"/>
              <w:rPr>
                <w:rFonts w:ascii="Nunito" w:hAnsi="Nunito"/>
                <w:sz w:val="16"/>
                <w:szCs w:val="16"/>
                <w:lang w:val="ro-RO"/>
              </w:rPr>
            </w:pPr>
            <w:hyperlink r:id="rId56" w:history="1">
              <w:r w:rsidRPr="00187708">
                <w:rPr>
                  <w:rStyle w:val="Hyperlink"/>
                  <w:rFonts w:ascii="Nunito" w:hAnsi="Nunito"/>
                  <w:color w:val="0563C1"/>
                  <w:sz w:val="16"/>
                  <w:szCs w:val="16"/>
                  <w:lang w:val="ro-RO"/>
                </w:rPr>
                <w:t>https://legislatie.just.ro/Public/DetaliiDocument/153283</w:t>
              </w:r>
            </w:hyperlink>
          </w:p>
        </w:tc>
        <w:tc>
          <w:tcPr>
            <w:tcW w:w="6727" w:type="dxa"/>
            <w:gridSpan w:val="2"/>
            <w:hideMark/>
          </w:tcPr>
          <w:p w14:paraId="3635A0A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SNGD 2014-2020 este documentul de politica de nivel superior fata de care PNGD (ca plan de implementare) se subordoneaza. PNGD 2026-2035 implementeaza, actualizeaza si extinde obiectivele SNGD pentru perioada 2026-2035, alinlindu-le la pachetul legislativ UE din 2018 (Directivele 2018/851, 2018/852, 2018/850). Actualizarea SNGD (in curs) va furniza cadrul strategic actualizat. PNGD trebuie sa asigure continuitate si coerenta cu traiectoria stabilita de SNGD.</w:t>
            </w:r>
          </w:p>
        </w:tc>
      </w:tr>
      <w:tr w:rsidR="00AE673F" w:rsidRPr="00187708" w14:paraId="33AC45F6" w14:textId="77777777" w:rsidTr="004B2370">
        <w:trPr>
          <w:gridAfter w:val="2"/>
          <w:wAfter w:w="172" w:type="dxa"/>
        </w:trPr>
        <w:tc>
          <w:tcPr>
            <w:tcW w:w="743" w:type="dxa"/>
            <w:gridSpan w:val="2"/>
            <w:hideMark/>
          </w:tcPr>
          <w:p w14:paraId="7692173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lastRenderedPageBreak/>
              <w:t>11</w:t>
            </w:r>
          </w:p>
        </w:tc>
        <w:tc>
          <w:tcPr>
            <w:tcW w:w="1998" w:type="dxa"/>
            <w:gridSpan w:val="2"/>
            <w:hideMark/>
          </w:tcPr>
          <w:p w14:paraId="5D92006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Nationala privind Adaptarea la Schimbarile Climatice (SNASC) — HG 1010/2024</w:t>
            </w:r>
          </w:p>
        </w:tc>
        <w:tc>
          <w:tcPr>
            <w:tcW w:w="7891" w:type="dxa"/>
            <w:gridSpan w:val="3"/>
            <w:hideMark/>
          </w:tcPr>
          <w:p w14:paraId="45277F9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national pentru reducerea emisiilor GES (atenuare) si adaptarea la efectele schimbarilor climatice. SNASC 2024-2030 (HG 1010/2024): 12 sectoare vulnerabile cu planuri de actiune, inclusiv gestionarea deseurilor, apa, agricultura, sanatate, infrastructura. Orizont dublu: 2024-2030 (termen scurt) si perspectiva 2050. Integrarea evaluarilor riscului climatic in planificarea infrastructurii de deseuri.</w:t>
            </w:r>
          </w:p>
        </w:tc>
        <w:tc>
          <w:tcPr>
            <w:tcW w:w="1145" w:type="dxa"/>
            <w:gridSpan w:val="3"/>
            <w:hideMark/>
          </w:tcPr>
          <w:p w14:paraId="175762F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2024-2030 (perspectiva 2050)</w:t>
            </w:r>
          </w:p>
        </w:tc>
        <w:tc>
          <w:tcPr>
            <w:tcW w:w="3184" w:type="dxa"/>
            <w:gridSpan w:val="5"/>
            <w:hideMark/>
          </w:tcPr>
          <w:p w14:paraId="0E7D12D3" w14:textId="61AB1E87" w:rsidR="00AE673F" w:rsidRPr="00187708" w:rsidRDefault="00AE673F">
            <w:pPr>
              <w:spacing w:before="0" w:after="0" w:line="240" w:lineRule="auto"/>
              <w:jc w:val="both"/>
              <w:rPr>
                <w:rFonts w:ascii="Nunito" w:hAnsi="Nunito"/>
                <w:sz w:val="16"/>
                <w:szCs w:val="16"/>
                <w:lang w:val="ro-RO"/>
              </w:rPr>
            </w:pPr>
            <w:hyperlink r:id="rId57" w:history="1">
              <w:r w:rsidRPr="00187708">
                <w:rPr>
                  <w:rStyle w:val="Hyperlink"/>
                  <w:rFonts w:ascii="Nunito" w:hAnsi="Nunito"/>
                  <w:color w:val="0563C1"/>
                  <w:sz w:val="16"/>
                  <w:szCs w:val="16"/>
                  <w:lang w:val="ro-RO"/>
                </w:rPr>
                <w:t>https://mmediu.ro/en/domenii/mediu/schimbari-climatice/adaptarea-la-schimbarile-climatice/cadrul-national/</w:t>
              </w:r>
            </w:hyperlink>
          </w:p>
        </w:tc>
        <w:tc>
          <w:tcPr>
            <w:tcW w:w="6727" w:type="dxa"/>
            <w:gridSpan w:val="2"/>
            <w:hideMark/>
          </w:tcPr>
          <w:p w14:paraId="6F47E1B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Sectorul deseuri este inclus explicit in SNASC 2024-2030. PNGD 2026-2035 trebuie sa contribuie la: (1) reducerea emisiilor de CH4 din depozite prin captare biogaz, reducerea depozitarii biodegradabilelor si TMB; (2) reducerea emisiilor de N2O din compostare si tratare namoluri; (3) adaptarea infrastructurii de deseuri la riscuri climatice (temperaturi extreme, inundatii, seceta) identificate in SNASC. Coerenta reciproca PNGD-SNASC este necesara.</w:t>
            </w:r>
          </w:p>
        </w:tc>
      </w:tr>
      <w:tr w:rsidR="00AE673F" w:rsidRPr="00187708" w14:paraId="0D49F3F4" w14:textId="77777777" w:rsidTr="004B2370">
        <w:trPr>
          <w:gridAfter w:val="2"/>
          <w:wAfter w:w="172" w:type="dxa"/>
        </w:trPr>
        <w:tc>
          <w:tcPr>
            <w:tcW w:w="743" w:type="dxa"/>
            <w:gridSpan w:val="2"/>
            <w:hideMark/>
          </w:tcPr>
          <w:p w14:paraId="7304C5A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12</w:t>
            </w:r>
          </w:p>
        </w:tc>
        <w:tc>
          <w:tcPr>
            <w:tcW w:w="1998" w:type="dxa"/>
            <w:gridSpan w:val="2"/>
            <w:hideMark/>
          </w:tcPr>
          <w:p w14:paraId="191FAF53"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de Dezvoltare Durabila a Romaniei 2030 (SDD 2030) — HG 877/2018</w:t>
            </w:r>
          </w:p>
        </w:tc>
        <w:tc>
          <w:tcPr>
            <w:tcW w:w="7891" w:type="dxa"/>
            <w:gridSpan w:val="3"/>
            <w:hideMark/>
          </w:tcPr>
          <w:p w14:paraId="6F95CF3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Cadrul national de implementare a Agendei 2030 ONU si a celor 17 ODD, adaptat contextului romanesc. Planul National de Actiune 2022: 4 directii prioritare, 22 actiuni integrate. ODD direct relevante pentru PNGD: ODD 12 (consum si productie responsabile), ODD 11 (orase durabile — acces universal la colectare deseuri), ODD 6 (apa curata — namoluri si calitate apa), ODD 13 (actiune climatica — reducere GES sector deseuri).</w:t>
            </w:r>
          </w:p>
        </w:tc>
        <w:tc>
          <w:tcPr>
            <w:tcW w:w="1145" w:type="dxa"/>
            <w:gridSpan w:val="3"/>
            <w:hideMark/>
          </w:tcPr>
          <w:p w14:paraId="613AE5B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2018-2030</w:t>
            </w:r>
          </w:p>
        </w:tc>
        <w:tc>
          <w:tcPr>
            <w:tcW w:w="3184" w:type="dxa"/>
            <w:gridSpan w:val="5"/>
            <w:hideMark/>
          </w:tcPr>
          <w:p w14:paraId="2B8C7A93" w14:textId="45A0024A" w:rsidR="00AE673F" w:rsidRPr="00187708" w:rsidRDefault="00AE673F">
            <w:pPr>
              <w:spacing w:before="0" w:after="0" w:line="240" w:lineRule="auto"/>
              <w:jc w:val="both"/>
              <w:rPr>
                <w:rFonts w:ascii="Nunito" w:hAnsi="Nunito"/>
                <w:sz w:val="16"/>
                <w:szCs w:val="16"/>
                <w:lang w:val="ro-RO"/>
              </w:rPr>
            </w:pPr>
            <w:hyperlink r:id="rId58" w:history="1">
              <w:r w:rsidRPr="00187708">
                <w:rPr>
                  <w:rStyle w:val="Hyperlink"/>
                  <w:rFonts w:ascii="Nunito" w:hAnsi="Nunito"/>
                  <w:color w:val="0563C1"/>
                  <w:sz w:val="16"/>
                  <w:szCs w:val="16"/>
                  <w:lang w:val="ro-RO"/>
                </w:rPr>
                <w:t>https://dezvoltaredurabila.gov.ro</w:t>
              </w:r>
            </w:hyperlink>
          </w:p>
        </w:tc>
        <w:tc>
          <w:tcPr>
            <w:tcW w:w="6727" w:type="dxa"/>
            <w:gridSpan w:val="2"/>
            <w:hideMark/>
          </w:tcPr>
          <w:p w14:paraId="474716F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PNGD 2026-2035 contribuie direct la atingerea ODD 12 (consum si productie responsabile, economie circulara) si ODD 11 (servicii urbane durabile, inclusiv gestionarea deseurilor) din SDD 2030. PNGD trebuie sa demonstreze alinierea la indicatorii nationali ODD relevanati si sa furnizeze date de monitorizare pentru raportarea VNR. SDD 2030 este cadrul de referinta care asigura coerenta PNGD cu alte politici nationale.</w:t>
            </w:r>
          </w:p>
        </w:tc>
      </w:tr>
      <w:tr w:rsidR="00AE673F" w:rsidRPr="00187708" w14:paraId="46CDE4A3" w14:textId="77777777" w:rsidTr="004B2370">
        <w:trPr>
          <w:gridAfter w:val="2"/>
          <w:wAfter w:w="172" w:type="dxa"/>
        </w:trPr>
        <w:tc>
          <w:tcPr>
            <w:tcW w:w="743" w:type="dxa"/>
            <w:gridSpan w:val="2"/>
            <w:hideMark/>
          </w:tcPr>
          <w:p w14:paraId="69209DC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13</w:t>
            </w:r>
          </w:p>
        </w:tc>
        <w:tc>
          <w:tcPr>
            <w:tcW w:w="1998" w:type="dxa"/>
            <w:gridSpan w:val="2"/>
            <w:hideMark/>
          </w:tcPr>
          <w:p w14:paraId="23518F5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Planul National de Redresare si Rezilienta (PNRR) — Componenta C3</w:t>
            </w:r>
          </w:p>
        </w:tc>
        <w:tc>
          <w:tcPr>
            <w:tcW w:w="7891" w:type="dxa"/>
            <w:gridSpan w:val="3"/>
            <w:hideMark/>
          </w:tcPr>
          <w:p w14:paraId="0AF5EC3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Redresare economica post-COVID-19 si cresterea rezilentei. Romania: 28,5 mld. EUR (granturi si imprumuturi). Componenta C3 - Managementul Deseurilor: buget 1.239 mil. EUR. Investitii: I1 sisteme integrate management deseuri municipale (min. 26 instalatii noi de reciclare pana la 30.06.2026); I2 gunoi de grajd; I3 capacitati institutionale. Jaloane indeplinite: SNEC (Jalonul 43), SNP30 (Jalonul 22), SGR (Jalonul 46). Contributie +4,5 pp la rata reciclare.</w:t>
            </w:r>
          </w:p>
        </w:tc>
        <w:tc>
          <w:tcPr>
            <w:tcW w:w="1145" w:type="dxa"/>
            <w:gridSpan w:val="3"/>
            <w:hideMark/>
          </w:tcPr>
          <w:p w14:paraId="177365A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2021-2026</w:t>
            </w:r>
          </w:p>
        </w:tc>
        <w:tc>
          <w:tcPr>
            <w:tcW w:w="3184" w:type="dxa"/>
            <w:gridSpan w:val="5"/>
            <w:hideMark/>
          </w:tcPr>
          <w:p w14:paraId="41106F12" w14:textId="4D0330F2" w:rsidR="00AE673F" w:rsidRPr="00187708" w:rsidRDefault="00AE673F">
            <w:pPr>
              <w:spacing w:before="0" w:after="0" w:line="240" w:lineRule="auto"/>
              <w:jc w:val="both"/>
              <w:rPr>
                <w:rFonts w:ascii="Nunito" w:hAnsi="Nunito"/>
                <w:sz w:val="16"/>
                <w:szCs w:val="16"/>
                <w:lang w:val="ro-RO"/>
              </w:rPr>
            </w:pPr>
            <w:hyperlink r:id="rId59" w:history="1">
              <w:r w:rsidRPr="00187708">
                <w:rPr>
                  <w:rStyle w:val="Hyperlink"/>
                  <w:rFonts w:ascii="Nunito" w:hAnsi="Nunito"/>
                  <w:color w:val="0563C1"/>
                  <w:sz w:val="16"/>
                  <w:szCs w:val="16"/>
                  <w:lang w:val="ro-RO"/>
                </w:rPr>
                <w:t>https://mfe.gov.ro/pnrr/</w:t>
              </w:r>
            </w:hyperlink>
          </w:p>
        </w:tc>
        <w:tc>
          <w:tcPr>
            <w:tcW w:w="6727" w:type="dxa"/>
            <w:gridSpan w:val="2"/>
            <w:hideMark/>
          </w:tcPr>
          <w:p w14:paraId="2E81DB7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PNRR finanteaza investitiile de infrastructura necesare pentru PNGD: sortare, compostare, digestie anaeroba, TMB. Jaloanele PNRR au condus la adoptarea SNEC (HG 1172/2022) si OUG 92/2021 (SGR) — baza legislativa a PNGD. PNGD trebuie sa asigure: continuitatea investitiilor PNRR dupa 2026; operarea eficienta a infrastructurii finantate; planificarea din PDD 2021-2027 pentru proiectele care depasesc capacitatea PNRR. Componenta C3 este direct integrata in masurile PNGD.</w:t>
            </w:r>
          </w:p>
        </w:tc>
      </w:tr>
      <w:tr w:rsidR="00AE673F" w:rsidRPr="00187708" w14:paraId="370C6AF1" w14:textId="77777777" w:rsidTr="004B2370">
        <w:trPr>
          <w:gridAfter w:val="2"/>
          <w:wAfter w:w="172" w:type="dxa"/>
        </w:trPr>
        <w:tc>
          <w:tcPr>
            <w:tcW w:w="743" w:type="dxa"/>
            <w:gridSpan w:val="2"/>
            <w:hideMark/>
          </w:tcPr>
          <w:p w14:paraId="63C90AB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14</w:t>
            </w:r>
          </w:p>
        </w:tc>
        <w:tc>
          <w:tcPr>
            <w:tcW w:w="1998" w:type="dxa"/>
            <w:gridSpan w:val="2"/>
            <w:hideMark/>
          </w:tcPr>
          <w:p w14:paraId="32AD15F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Programul Dezvoltare Durabila 2021-2027 (PDD) — RSO2.6 Economie circulara</w:t>
            </w:r>
          </w:p>
        </w:tc>
        <w:tc>
          <w:tcPr>
            <w:tcW w:w="7891" w:type="dxa"/>
            <w:gridSpan w:val="3"/>
            <w:hideMark/>
          </w:tcPr>
          <w:p w14:paraId="352FF4B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Principal instrument financiar UE pentru mediu in Romania. Alocare totala: ~5,25 mld. EUR. RSO2.6 Economie circulara — gestionarea deseurilor: ~500 mil. EUR. Actiuni eligibile: sisteme integrate judetene/locale (conform PNGD si PJGD), inchidere/reabilitare depozite neconforme, campanii constientizare, pregatire portofoliu post-2027. Tipuri infrastructura: sortare, compostare, TMB, centre reciclare, statii transfer, centre colectare voluntara.</w:t>
            </w:r>
          </w:p>
        </w:tc>
        <w:tc>
          <w:tcPr>
            <w:tcW w:w="1145" w:type="dxa"/>
            <w:gridSpan w:val="3"/>
            <w:hideMark/>
          </w:tcPr>
          <w:p w14:paraId="0BCB66A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2021-2027 (eligibilitate pana la 31.12.2029)</w:t>
            </w:r>
          </w:p>
        </w:tc>
        <w:tc>
          <w:tcPr>
            <w:tcW w:w="3184" w:type="dxa"/>
            <w:gridSpan w:val="5"/>
            <w:hideMark/>
          </w:tcPr>
          <w:p w14:paraId="152EA0B0" w14:textId="6703C502" w:rsidR="00AE673F" w:rsidRPr="00187708" w:rsidRDefault="00AE673F">
            <w:pPr>
              <w:spacing w:before="0" w:after="0" w:line="240" w:lineRule="auto"/>
              <w:jc w:val="both"/>
              <w:rPr>
                <w:rFonts w:ascii="Nunito" w:hAnsi="Nunito"/>
                <w:sz w:val="16"/>
                <w:szCs w:val="16"/>
                <w:lang w:val="ro-RO"/>
              </w:rPr>
            </w:pPr>
            <w:hyperlink r:id="rId60" w:history="1">
              <w:r w:rsidRPr="00187708">
                <w:rPr>
                  <w:rStyle w:val="Hyperlink"/>
                  <w:rFonts w:ascii="Nunito" w:hAnsi="Nunito"/>
                  <w:color w:val="0563C1"/>
                  <w:sz w:val="16"/>
                  <w:szCs w:val="16"/>
                  <w:lang w:val="ro-RO"/>
                </w:rPr>
                <w:t>https://mfe.gov.ro/</w:t>
              </w:r>
            </w:hyperlink>
          </w:p>
        </w:tc>
        <w:tc>
          <w:tcPr>
            <w:tcW w:w="6727" w:type="dxa"/>
            <w:gridSpan w:val="2"/>
            <w:hideMark/>
          </w:tcPr>
          <w:p w14:paraId="38D74F5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PDD 2021-2027 (RSO2.6) este principalul instrument de finantare pentru implementarea infrastructurii de deseuri prevazute in PNGD 2026-2035. Eligibilitatea proiectelor este explicit conditionata de conformitatea cu PNGD si PJGD, ceea ce inseamna ca adoptarea PNGD este un prerequisit pentru accesarea fondurilor. PNGD trebuie corelat cu criteriile si prioritatile ghidurilor PDD pentru a maximiza absorbtia fondurilor. RSO2.7 finanteaza si investigarea siturilor contaminate.</w:t>
            </w:r>
          </w:p>
        </w:tc>
      </w:tr>
      <w:tr w:rsidR="00AE673F" w:rsidRPr="00187708" w14:paraId="7C99340B" w14:textId="77777777" w:rsidTr="004B2370">
        <w:trPr>
          <w:gridAfter w:val="2"/>
          <w:wAfter w:w="172" w:type="dxa"/>
        </w:trPr>
        <w:tc>
          <w:tcPr>
            <w:tcW w:w="743" w:type="dxa"/>
            <w:gridSpan w:val="2"/>
            <w:hideMark/>
          </w:tcPr>
          <w:p w14:paraId="726F765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15</w:t>
            </w:r>
          </w:p>
        </w:tc>
        <w:tc>
          <w:tcPr>
            <w:tcW w:w="1998" w:type="dxa"/>
            <w:gridSpan w:val="2"/>
            <w:hideMark/>
          </w:tcPr>
          <w:p w14:paraId="391AE84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Strategia Nationala pentru Paduri 2030 (SNP30) — HG 1227/2022</w:t>
            </w:r>
          </w:p>
        </w:tc>
        <w:tc>
          <w:tcPr>
            <w:tcW w:w="7891" w:type="dxa"/>
            <w:gridSpan w:val="3"/>
            <w:hideMark/>
          </w:tcPr>
          <w:p w14:paraId="584EBAF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Integrarea echilibrata a functiilor sociale, ecologice si economice in gestionarea padurilor. 10% fond forestier in protectie stricta pana in 2030; cresterea suprafetei paduroase cu 5% pana in 2050; 56.000 ha noi impaduriri prin PNRR pana in 2026; 70% masa lemnoasa valorificata ca produse cu valoare adaugata; +20% accesibilitate paduri. Jalon PNRR nr. 22 — indeplinit oct. 2022. Transpune la nivel national Noua Strategie Forestiera UE 2030.</w:t>
            </w:r>
          </w:p>
        </w:tc>
        <w:tc>
          <w:tcPr>
            <w:tcW w:w="1145" w:type="dxa"/>
            <w:gridSpan w:val="3"/>
            <w:hideMark/>
          </w:tcPr>
          <w:p w14:paraId="5F66C21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2023-2030 (perspectiva 2050)</w:t>
            </w:r>
          </w:p>
        </w:tc>
        <w:tc>
          <w:tcPr>
            <w:tcW w:w="3184" w:type="dxa"/>
            <w:gridSpan w:val="5"/>
            <w:hideMark/>
          </w:tcPr>
          <w:p w14:paraId="0431911B" w14:textId="0C945212" w:rsidR="00AE673F" w:rsidRPr="00187708" w:rsidRDefault="00AE673F">
            <w:pPr>
              <w:spacing w:before="0" w:after="0" w:line="240" w:lineRule="auto"/>
              <w:jc w:val="both"/>
              <w:rPr>
                <w:rFonts w:ascii="Nunito" w:hAnsi="Nunito"/>
                <w:sz w:val="16"/>
                <w:szCs w:val="16"/>
                <w:lang w:val="ro-RO"/>
              </w:rPr>
            </w:pPr>
            <w:hyperlink r:id="rId61" w:history="1">
              <w:r w:rsidRPr="00187708">
                <w:rPr>
                  <w:rStyle w:val="Hyperlink"/>
                  <w:rFonts w:ascii="Nunito" w:hAnsi="Nunito"/>
                  <w:color w:val="0563C1"/>
                  <w:sz w:val="16"/>
                  <w:szCs w:val="16"/>
                  <w:lang w:val="ro-RO"/>
                </w:rPr>
                <w:t>https://mmediu.ro/en/despre-noi/programe-si-strategii/strategia-nationala-pentru-paduri-2030/</w:t>
              </w:r>
            </w:hyperlink>
          </w:p>
        </w:tc>
        <w:tc>
          <w:tcPr>
            <w:tcW w:w="6727" w:type="dxa"/>
            <w:gridSpan w:val="2"/>
            <w:hideMark/>
          </w:tcPr>
          <w:p w14:paraId="7C985F9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Legatura SNP30-PNGD opereaza pe mai multe niveluri: (1) Biomasa forestiera si deseuri din exploatari - PNGD trebuie sa asigure gestionarea deseurilor forestiere conform ierarhiei deseurilor; (2) Bioenergie din deseuri agricole si forestiere - PDD conditioneaza eligibilitatea proiectelor biogaz/biomasa de conformitatea cu SNP30; (3) Ambalaje din lemn si hartie/carton — obiectivele de reciclare din PNGD trebuie corelate cu disponibilitatea materiei prime; (4) SNP30 = Jalon PNRR 22, confirmand alinierea investitiilor PNRR la politica forestiera.</w:t>
            </w:r>
          </w:p>
        </w:tc>
      </w:tr>
      <w:tr w:rsidR="001802CD" w:rsidRPr="00187708" w14:paraId="4A6B9415" w14:textId="77777777" w:rsidTr="004B2370">
        <w:trPr>
          <w:gridAfter w:val="1"/>
          <w:wAfter w:w="78" w:type="dxa"/>
          <w:trHeight w:val="80"/>
        </w:trPr>
        <w:tc>
          <w:tcPr>
            <w:tcW w:w="21782" w:type="dxa"/>
            <w:gridSpan w:val="18"/>
            <w:shd w:val="clear" w:color="auto" w:fill="F2F2F2" w:themeFill="background1" w:themeFillShade="F2"/>
          </w:tcPr>
          <w:p w14:paraId="450776F6" w14:textId="42B02417" w:rsidR="001802CD" w:rsidRPr="00187708" w:rsidRDefault="001802CD" w:rsidP="001802CD">
            <w:pPr>
              <w:rPr>
                <w:rFonts w:ascii="Nunito" w:hAnsi="Nunito"/>
                <w:sz w:val="16"/>
                <w:szCs w:val="16"/>
                <w:lang w:val="ro-RO"/>
              </w:rPr>
            </w:pPr>
            <w:r w:rsidRPr="00187708">
              <w:rPr>
                <w:rFonts w:ascii="Nunito" w:eastAsia="Arial" w:hAnsi="Nunito"/>
                <w:b/>
                <w:bCs/>
                <w:color w:val="009DF0" w:themeColor="text2"/>
                <w:sz w:val="16"/>
                <w:szCs w:val="16"/>
                <w:lang w:val="ro-RO"/>
              </w:rPr>
              <w:t>Nivel regional/județean</w:t>
            </w:r>
          </w:p>
        </w:tc>
      </w:tr>
      <w:tr w:rsidR="00AE673F" w:rsidRPr="00187708" w14:paraId="3AB003D4" w14:textId="77777777" w:rsidTr="00A949D9">
        <w:trPr>
          <w:gridAfter w:val="1"/>
          <w:wAfter w:w="78" w:type="dxa"/>
        </w:trPr>
        <w:tc>
          <w:tcPr>
            <w:tcW w:w="440" w:type="dxa"/>
            <w:hideMark/>
          </w:tcPr>
          <w:p w14:paraId="26BEC74C"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1</w:t>
            </w:r>
          </w:p>
        </w:tc>
        <w:tc>
          <w:tcPr>
            <w:tcW w:w="2205" w:type="dxa"/>
            <w:gridSpan w:val="2"/>
            <w:hideMark/>
          </w:tcPr>
          <w:p w14:paraId="7FF06F7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Planuri Regionale de Gestionare a Deseurilor (PRGD) — 8 regiuni de dezvoltare</w:t>
            </w:r>
          </w:p>
        </w:tc>
        <w:tc>
          <w:tcPr>
            <w:tcW w:w="7987" w:type="dxa"/>
            <w:gridSpan w:val="4"/>
            <w:hideMark/>
          </w:tcPr>
          <w:p w14:paraId="45F2408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Instrumente de planificare strategica la nivel regional (NUTS II) pentru gestionarea deseurilor, elaborate de Agentiile de Dezvoltare Regionala (ADR) in parteneriat cu APM si CJ. Continut: inventar cantitativ si calitativ deseuri pe regiune, analiza infrastructurii existente si planificate, proiectii de generare 10 ani, obiective si tinte aliniate PNGD, analiza de deficit (gap analysis), plan de investitii prioritizat, monitorizare si evaluare. Revizuire obligatorie la fiecare actualizare a PNGD.</w:t>
            </w:r>
          </w:p>
        </w:tc>
        <w:tc>
          <w:tcPr>
            <w:tcW w:w="1275" w:type="dxa"/>
            <w:gridSpan w:val="4"/>
            <w:hideMark/>
          </w:tcPr>
          <w:p w14:paraId="79A1D8A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2020-2025 (urmatoarea generatie pe baza PNGD 2026-2035)</w:t>
            </w:r>
          </w:p>
        </w:tc>
        <w:tc>
          <w:tcPr>
            <w:tcW w:w="3119" w:type="dxa"/>
            <w:gridSpan w:val="5"/>
            <w:hideMark/>
          </w:tcPr>
          <w:p w14:paraId="51014A32" w14:textId="463B2CF9" w:rsidR="00AE673F" w:rsidRPr="00187708" w:rsidRDefault="00AE673F">
            <w:pPr>
              <w:spacing w:before="0" w:after="0" w:line="240" w:lineRule="auto"/>
              <w:jc w:val="both"/>
              <w:rPr>
                <w:rFonts w:ascii="Nunito" w:hAnsi="Nunito"/>
                <w:sz w:val="16"/>
                <w:szCs w:val="16"/>
                <w:lang w:val="ro-RO"/>
              </w:rPr>
            </w:pPr>
            <w:hyperlink r:id="rId62" w:history="1">
              <w:r w:rsidRPr="00187708">
                <w:rPr>
                  <w:rStyle w:val="Hyperlink"/>
                  <w:rFonts w:ascii="Nunito" w:hAnsi="Nunito"/>
                  <w:color w:val="0563C1"/>
                  <w:sz w:val="16"/>
                  <w:szCs w:val="16"/>
                  <w:lang w:val="ro-RO"/>
                </w:rPr>
                <w:t>https://mmediu.ro/en/domenii/mediu/deseuri/strategii-planuri-studii/</w:t>
              </w:r>
            </w:hyperlink>
          </w:p>
        </w:tc>
        <w:tc>
          <w:tcPr>
            <w:tcW w:w="6756" w:type="dxa"/>
            <w:gridSpan w:val="2"/>
            <w:hideMark/>
          </w:tcPr>
          <w:p w14:paraId="39883D9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PRGD sunt instrumentele de planificare intermediara intre PNGD (nivel national) si PJGD (nivel judetean). Adoptarea PNGD 2026-2035 va declansa obligatia de revizuire a tuturor celor 8 PRGD. PNGD trebuie sa furnizeze metodologia unitara, formatul standardizat si calendarul de elaborare a PRGD, asigurand coerenta verticala de la nivel national la nivel regional. PRGD detaliaza tintele PNGD pe cele 8 regiuni de dezvoltare si identifica proiectele de infrastructura prioritare la nivel regional.</w:t>
            </w:r>
          </w:p>
        </w:tc>
      </w:tr>
      <w:tr w:rsidR="00AE673F" w:rsidRPr="00187708" w14:paraId="44FBE113" w14:textId="77777777" w:rsidTr="00A949D9">
        <w:trPr>
          <w:gridAfter w:val="1"/>
          <w:wAfter w:w="78" w:type="dxa"/>
        </w:trPr>
        <w:tc>
          <w:tcPr>
            <w:tcW w:w="440" w:type="dxa"/>
            <w:hideMark/>
          </w:tcPr>
          <w:p w14:paraId="0D8FAF6A"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2</w:t>
            </w:r>
          </w:p>
        </w:tc>
        <w:tc>
          <w:tcPr>
            <w:tcW w:w="2205" w:type="dxa"/>
            <w:gridSpan w:val="2"/>
            <w:hideMark/>
          </w:tcPr>
          <w:p w14:paraId="5C492F5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Planuri Judetene de Gestionare a Deseurilor (PJGD) - 41 judete + Municipiul Bucuresti</w:t>
            </w:r>
          </w:p>
        </w:tc>
        <w:tc>
          <w:tcPr>
            <w:tcW w:w="7987" w:type="dxa"/>
            <w:gridSpan w:val="4"/>
            <w:hideMark/>
          </w:tcPr>
          <w:p w14:paraId="7EAA7239"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Instrumente de planificare operationala la nivel judetean, elaborate de Consiliile Judetene (CJ) in colaborare cu Agentiile de Protectia Mediului (APM) conform art. 28 din Legea 211/2011. Continut: inventar deseuri pe UAT, infrastructura existenta si planificata, analiza costuri-beneficii, obiective locale aliniate PRGD/PNGD, masuri de implementare, calendar si surse de finantare. Conditie de eligibilitate pentru proiecte PDD 2021-2027 (RSO2.6).</w:t>
            </w:r>
          </w:p>
        </w:tc>
        <w:tc>
          <w:tcPr>
            <w:tcW w:w="1275" w:type="dxa"/>
            <w:gridSpan w:val="4"/>
            <w:hideMark/>
          </w:tcPr>
          <w:p w14:paraId="6BECEF7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2020-2025 (revizuire obligatorie dupa adoptare PNGD)</w:t>
            </w:r>
          </w:p>
        </w:tc>
        <w:tc>
          <w:tcPr>
            <w:tcW w:w="3119" w:type="dxa"/>
            <w:gridSpan w:val="5"/>
            <w:hideMark/>
          </w:tcPr>
          <w:p w14:paraId="7BAA89E7" w14:textId="156B0FB3" w:rsidR="00AE673F" w:rsidRPr="00187708" w:rsidRDefault="00AE673F">
            <w:pPr>
              <w:spacing w:before="0" w:after="0" w:line="240" w:lineRule="auto"/>
              <w:jc w:val="both"/>
              <w:rPr>
                <w:rFonts w:ascii="Nunito" w:hAnsi="Nunito"/>
                <w:sz w:val="16"/>
                <w:szCs w:val="16"/>
                <w:lang w:val="ro-RO"/>
              </w:rPr>
            </w:pPr>
            <w:hyperlink r:id="rId63" w:history="1">
              <w:r w:rsidRPr="00187708">
                <w:rPr>
                  <w:rStyle w:val="Hyperlink"/>
                  <w:rFonts w:ascii="Nunito" w:hAnsi="Nunito"/>
                  <w:color w:val="0563C1"/>
                  <w:sz w:val="16"/>
                  <w:szCs w:val="16"/>
                  <w:lang w:val="ro-RO"/>
                </w:rPr>
                <w:t>https://anpm.ro/planuri-judetene-de-gestionare-a-deseurilor/</w:t>
              </w:r>
            </w:hyperlink>
          </w:p>
        </w:tc>
        <w:tc>
          <w:tcPr>
            <w:tcW w:w="6756" w:type="dxa"/>
            <w:gridSpan w:val="2"/>
            <w:hideMark/>
          </w:tcPr>
          <w:p w14:paraId="58796A9D"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PJGD transpun PNGD la nivel judetean si sunt elaborate de CJ in colaborare cu APM conform Legii 211/2011. Adoptarea PNGD 2026-2035 va declansa revizuirea tuturor celor 42 PJGD. Finalizarea PJGD actualizate este conditie de eligibilitate pentru accesarea fondurilor PDD 2021-2027 (RSO2.6) pentru proiecte de infrastructura de deseuri. PNGD trebuie sa stabileasca metodologia unitara si calendarul de revizuire a PJGD, asigurand coerenta planificarii de la nivel national la nivel local.</w:t>
            </w:r>
          </w:p>
        </w:tc>
      </w:tr>
      <w:tr w:rsidR="00AE673F" w:rsidRPr="00187708" w14:paraId="042A7372" w14:textId="77777777" w:rsidTr="00A949D9">
        <w:trPr>
          <w:gridAfter w:val="1"/>
          <w:wAfter w:w="78" w:type="dxa"/>
        </w:trPr>
        <w:tc>
          <w:tcPr>
            <w:tcW w:w="440" w:type="dxa"/>
            <w:hideMark/>
          </w:tcPr>
          <w:p w14:paraId="0DF68027"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3</w:t>
            </w:r>
          </w:p>
        </w:tc>
        <w:tc>
          <w:tcPr>
            <w:tcW w:w="2205" w:type="dxa"/>
            <w:gridSpan w:val="2"/>
            <w:hideMark/>
          </w:tcPr>
          <w:p w14:paraId="449F215F"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Sisteme de Management Integrat al Deseurilor (SMID) - 33 sisteme judetene/intercomunitare</w:t>
            </w:r>
          </w:p>
        </w:tc>
        <w:tc>
          <w:tcPr>
            <w:tcW w:w="7987" w:type="dxa"/>
            <w:gridSpan w:val="4"/>
            <w:hideMark/>
          </w:tcPr>
          <w:p w14:paraId="27D0251C"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Proiecte de infrastructura finantate prin POIM 2014-2020, PDD 2021-2027 si PNRR. 33 SMID-uri judetene/intercomunitare operationale sau in diferite stadii de implementare. Componente: statii de sortare, statii de compostare/digestie anaeroba, statii de transfer, depozite conforme, centre de colectare. Buget cumulat: ~3,5 mld. EUR (fonduri UE + cofinantare nationala). Operator: Asociatii de Dezvoltare Intercomunitara (ADI).</w:t>
            </w:r>
          </w:p>
        </w:tc>
        <w:tc>
          <w:tcPr>
            <w:tcW w:w="1275" w:type="dxa"/>
            <w:gridSpan w:val="4"/>
            <w:hideMark/>
          </w:tcPr>
          <w:p w14:paraId="772C76B7"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2018-2027+ (implementare continua)</w:t>
            </w:r>
          </w:p>
        </w:tc>
        <w:tc>
          <w:tcPr>
            <w:tcW w:w="3119" w:type="dxa"/>
            <w:gridSpan w:val="5"/>
            <w:hideMark/>
          </w:tcPr>
          <w:p w14:paraId="7FD3389F" w14:textId="643C479E" w:rsidR="00AE673F" w:rsidRPr="00187708" w:rsidRDefault="00AE673F">
            <w:pPr>
              <w:spacing w:before="0" w:after="0" w:line="240" w:lineRule="auto"/>
              <w:jc w:val="both"/>
              <w:rPr>
                <w:rFonts w:ascii="Nunito" w:hAnsi="Nunito"/>
                <w:sz w:val="16"/>
                <w:szCs w:val="16"/>
                <w:lang w:val="ro-RO"/>
              </w:rPr>
            </w:pPr>
            <w:hyperlink r:id="rId64" w:history="1">
              <w:r w:rsidRPr="00187708">
                <w:rPr>
                  <w:rStyle w:val="Hyperlink"/>
                  <w:rFonts w:ascii="Nunito" w:hAnsi="Nunito"/>
                  <w:color w:val="0563C1"/>
                  <w:sz w:val="16"/>
                  <w:szCs w:val="16"/>
                  <w:lang w:val="ro-RO"/>
                </w:rPr>
                <w:t>https://mfe.gov.ro/</w:t>
              </w:r>
            </w:hyperlink>
          </w:p>
        </w:tc>
        <w:tc>
          <w:tcPr>
            <w:tcW w:w="6756" w:type="dxa"/>
            <w:gridSpan w:val="2"/>
            <w:hideMark/>
          </w:tcPr>
          <w:p w14:paraId="65302C9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SMID-urile sunt instrumentul principal de implementare fizica a obiectivelor PNGD la nivel judetean. PNGD 2026-2035 trebuie sa: (1) inventarieze stadiul actual al celor 33 SMID-uri si deficitele de capacitate; (2) planifice investitii suplimentare pentru judetele fara SMID functional; (3) asigure ca specificatiile tehnice ale noilor investitii sunt aliniate la tintele PNGD; (4) coordoneze calendarul de implementare cu programele de finantare PDD si PNRR.</w:t>
            </w:r>
          </w:p>
        </w:tc>
      </w:tr>
      <w:tr w:rsidR="00AE673F" w:rsidRPr="00187708" w14:paraId="7CE58596" w14:textId="77777777" w:rsidTr="00A949D9">
        <w:trPr>
          <w:gridAfter w:val="1"/>
          <w:wAfter w:w="78" w:type="dxa"/>
        </w:trPr>
        <w:tc>
          <w:tcPr>
            <w:tcW w:w="440" w:type="dxa"/>
            <w:hideMark/>
          </w:tcPr>
          <w:p w14:paraId="6B9B9BCD"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4</w:t>
            </w:r>
          </w:p>
        </w:tc>
        <w:tc>
          <w:tcPr>
            <w:tcW w:w="2205" w:type="dxa"/>
            <w:gridSpan w:val="2"/>
            <w:hideMark/>
          </w:tcPr>
          <w:p w14:paraId="4BB4FAF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Planuri de Dezvoltare Regionala (PDR) 2021-2027 - 8 regiuni de dezvoltare</w:t>
            </w:r>
          </w:p>
        </w:tc>
        <w:tc>
          <w:tcPr>
            <w:tcW w:w="7987" w:type="dxa"/>
            <w:gridSpan w:val="4"/>
            <w:hideMark/>
          </w:tcPr>
          <w:p w14:paraId="790B9F9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Documente strategice elaborate de ADR-uri pentru fiecare regiune NUTS II, fundamentand Programele Regionale 2021-2027. Componente relevante: infrastructura de mediu, tranzitia verde, dezvoltare urbana durabila. Fiecare PDR include o analiza SWOT a sectorului de mediu/deseuri la nivel regional si identifica prioritati de investitii. Coordonare cu Acordul de Parteneriat 2021-2027 si cu politica de coeziune UE.</w:t>
            </w:r>
          </w:p>
        </w:tc>
        <w:tc>
          <w:tcPr>
            <w:tcW w:w="1275" w:type="dxa"/>
            <w:gridSpan w:val="4"/>
            <w:hideMark/>
          </w:tcPr>
          <w:p w14:paraId="4DF5DB2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2021-2027</w:t>
            </w:r>
          </w:p>
        </w:tc>
        <w:tc>
          <w:tcPr>
            <w:tcW w:w="3119" w:type="dxa"/>
            <w:gridSpan w:val="5"/>
            <w:hideMark/>
          </w:tcPr>
          <w:p w14:paraId="6BE5B166" w14:textId="12B32259" w:rsidR="00AE673F" w:rsidRPr="00187708" w:rsidRDefault="00AE673F">
            <w:pPr>
              <w:spacing w:before="0" w:after="0" w:line="240" w:lineRule="auto"/>
              <w:jc w:val="both"/>
              <w:rPr>
                <w:rFonts w:ascii="Nunito" w:hAnsi="Nunito"/>
                <w:sz w:val="16"/>
                <w:szCs w:val="16"/>
                <w:lang w:val="ro-RO"/>
              </w:rPr>
            </w:pPr>
            <w:hyperlink r:id="rId65" w:history="1">
              <w:r w:rsidRPr="00187708">
                <w:rPr>
                  <w:rStyle w:val="Hyperlink"/>
                  <w:rFonts w:ascii="Nunito" w:hAnsi="Nunito"/>
                  <w:color w:val="0563C1"/>
                  <w:sz w:val="16"/>
                  <w:szCs w:val="16"/>
                  <w:lang w:val="ro-RO"/>
                </w:rPr>
                <w:t>https://inforegio.ro/ro/planuri-de-dezvoltare-regionala</w:t>
              </w:r>
            </w:hyperlink>
          </w:p>
        </w:tc>
        <w:tc>
          <w:tcPr>
            <w:tcW w:w="6756" w:type="dxa"/>
            <w:gridSpan w:val="2"/>
            <w:hideMark/>
          </w:tcPr>
          <w:p w14:paraId="65D3796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PDR-urile furnizeaza contextul strategic regional in care opereaza PNGD. Componentele de infrastructura de mediu din PDR includ investitii in gestionarea deseurilor. PNGD 2026-2035 trebuie sa fie coerent cu prioritatile identificate in PDR, in special privind: deficitele de infrastructura de deseuri pe regiuni, potentialul de valorificare energetica, necesarul de investitii in colectare separata si reciclare la nivel regional.</w:t>
            </w:r>
          </w:p>
        </w:tc>
      </w:tr>
      <w:tr w:rsidR="00AE673F" w:rsidRPr="00187708" w14:paraId="43AA9B93" w14:textId="77777777" w:rsidTr="00A949D9">
        <w:trPr>
          <w:gridAfter w:val="1"/>
          <w:wAfter w:w="78" w:type="dxa"/>
        </w:trPr>
        <w:tc>
          <w:tcPr>
            <w:tcW w:w="440" w:type="dxa"/>
            <w:hideMark/>
          </w:tcPr>
          <w:p w14:paraId="0C42C089"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5</w:t>
            </w:r>
          </w:p>
        </w:tc>
        <w:tc>
          <w:tcPr>
            <w:tcW w:w="2205" w:type="dxa"/>
            <w:gridSpan w:val="2"/>
            <w:hideMark/>
          </w:tcPr>
          <w:p w14:paraId="77E0F0C1"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Programe Regionale (PR) 2021-2027 - 8 programe operationale regionale</w:t>
            </w:r>
          </w:p>
        </w:tc>
        <w:tc>
          <w:tcPr>
            <w:tcW w:w="7987" w:type="dxa"/>
            <w:gridSpan w:val="4"/>
            <w:hideMark/>
          </w:tcPr>
          <w:p w14:paraId="0B8103A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Principalele instrumente financiare ale politicii de coeziune la nivel regional, gestionate de ADR-uri in calitate de Organisme Intermediare. Buget total 8 PR: ~8,1 mld. EUR. Prioritatea 3 (Tranzitie verde) include actiuni de infrastructura verde, economie circulara si gestionare deseuri la nivel regional. Tipuri de interventii eligibile: centre de colectare, platforme reutilizare, investitii in economia circulara, campanii de constientizare.</w:t>
            </w:r>
          </w:p>
        </w:tc>
        <w:tc>
          <w:tcPr>
            <w:tcW w:w="1275" w:type="dxa"/>
            <w:gridSpan w:val="4"/>
            <w:hideMark/>
          </w:tcPr>
          <w:p w14:paraId="6F766BC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2021-2027 (eligibilitate 2029)</w:t>
            </w:r>
          </w:p>
        </w:tc>
        <w:tc>
          <w:tcPr>
            <w:tcW w:w="3119" w:type="dxa"/>
            <w:gridSpan w:val="5"/>
            <w:hideMark/>
          </w:tcPr>
          <w:p w14:paraId="2D123F30" w14:textId="2096ACC4" w:rsidR="00AE673F" w:rsidRPr="00187708" w:rsidRDefault="00AE673F">
            <w:pPr>
              <w:spacing w:before="0" w:after="0" w:line="240" w:lineRule="auto"/>
              <w:jc w:val="both"/>
              <w:rPr>
                <w:rFonts w:ascii="Nunito" w:hAnsi="Nunito"/>
                <w:sz w:val="16"/>
                <w:szCs w:val="16"/>
                <w:lang w:val="ro-RO"/>
              </w:rPr>
            </w:pPr>
            <w:hyperlink r:id="rId66" w:history="1">
              <w:r w:rsidRPr="00187708">
                <w:rPr>
                  <w:rStyle w:val="Hyperlink"/>
                  <w:rFonts w:ascii="Nunito" w:hAnsi="Nunito"/>
                  <w:color w:val="0563C1"/>
                  <w:sz w:val="16"/>
                  <w:szCs w:val="16"/>
                  <w:lang w:val="ro-RO"/>
                </w:rPr>
                <w:t>https://inforegio.ro/ro/programe-regionale-2021-2027</w:t>
              </w:r>
            </w:hyperlink>
          </w:p>
        </w:tc>
        <w:tc>
          <w:tcPr>
            <w:tcW w:w="6756" w:type="dxa"/>
            <w:gridSpan w:val="2"/>
            <w:hideMark/>
          </w:tcPr>
          <w:p w14:paraId="300ED26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PR-urile 2021-2027 finanteaza investitii complementare PDD in infrastructura de deseuri la nivel regional, in special prin Prioritatea 3 (Tranzitie verde). PNGD 2026-2035 trebuie sa identifice proiectele de infrastructura de deseuri eligibile prin PR si sa asigure complementaritatea cu PDD (RSO2.6). Coordonarea PNGD cu PR este esentiala pentru maximizarea absorbtiei fondurilor UE pentru sectorul deseuri la nivel regional.</w:t>
            </w:r>
          </w:p>
        </w:tc>
      </w:tr>
      <w:tr w:rsidR="00AE673F" w:rsidRPr="00187708" w14:paraId="3DAFC889" w14:textId="77777777" w:rsidTr="00A949D9">
        <w:trPr>
          <w:gridAfter w:val="1"/>
          <w:wAfter w:w="78" w:type="dxa"/>
        </w:trPr>
        <w:tc>
          <w:tcPr>
            <w:tcW w:w="440" w:type="dxa"/>
            <w:hideMark/>
          </w:tcPr>
          <w:p w14:paraId="031F2E4C"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6</w:t>
            </w:r>
          </w:p>
        </w:tc>
        <w:tc>
          <w:tcPr>
            <w:tcW w:w="2205" w:type="dxa"/>
            <w:gridSpan w:val="2"/>
            <w:hideMark/>
          </w:tcPr>
          <w:p w14:paraId="5E3FCF8E"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Strategii Integrate de Dezvoltare Urbana (SIDU) - municipii resedinta de judet si alte orase</w:t>
            </w:r>
          </w:p>
        </w:tc>
        <w:tc>
          <w:tcPr>
            <w:tcW w:w="7987" w:type="dxa"/>
            <w:gridSpan w:val="4"/>
            <w:hideMark/>
          </w:tcPr>
          <w:p w14:paraId="510A726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Documente de planificare strategica pentru dezvoltarea urbana durabila, elaborate de municipiile resedinta de judet si alte orase eligibile. Componente relevante: (1) infrastructura urbana de mediu, inclusiv gestionarea deseurilor menajere; (2) spatii publice si spatii verzi (compost urban); (3) mobilitate urbana (logistica colectare); (4) eficienta energetica cladiri (deseuri constructii-renovari). Conditie de eligibilitate pentru finantare prin Axa 5 a PR 2021-2027.</w:t>
            </w:r>
          </w:p>
        </w:tc>
        <w:tc>
          <w:tcPr>
            <w:tcW w:w="1275" w:type="dxa"/>
            <w:gridSpan w:val="4"/>
            <w:hideMark/>
          </w:tcPr>
          <w:p w14:paraId="18D38E8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2021-2030</w:t>
            </w:r>
          </w:p>
        </w:tc>
        <w:tc>
          <w:tcPr>
            <w:tcW w:w="3119" w:type="dxa"/>
            <w:gridSpan w:val="5"/>
            <w:hideMark/>
          </w:tcPr>
          <w:p w14:paraId="07103C06" w14:textId="6238DA4A" w:rsidR="00AE673F" w:rsidRPr="00187708" w:rsidRDefault="00AE673F">
            <w:pPr>
              <w:spacing w:before="0" w:after="0" w:line="240" w:lineRule="auto"/>
              <w:jc w:val="both"/>
              <w:rPr>
                <w:rFonts w:ascii="Nunito" w:hAnsi="Nunito"/>
                <w:sz w:val="16"/>
                <w:szCs w:val="16"/>
                <w:lang w:val="ro-RO"/>
              </w:rPr>
            </w:pPr>
            <w:hyperlink r:id="rId67" w:history="1">
              <w:r w:rsidRPr="00187708">
                <w:rPr>
                  <w:rStyle w:val="Hyperlink"/>
                  <w:rFonts w:ascii="Nunito" w:hAnsi="Nunito"/>
                  <w:color w:val="0563C1"/>
                  <w:sz w:val="16"/>
                  <w:szCs w:val="16"/>
                  <w:lang w:val="ro-RO"/>
                </w:rPr>
                <w:t>https://inforegio.ro/ro/programe-regionale-2021-2027</w:t>
              </w:r>
            </w:hyperlink>
          </w:p>
        </w:tc>
        <w:tc>
          <w:tcPr>
            <w:tcW w:w="6756" w:type="dxa"/>
            <w:gridSpan w:val="2"/>
            <w:hideMark/>
          </w:tcPr>
          <w:p w14:paraId="14DB574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SIDU-urile includ componente de gestionare a deseurilor la nivel urban si sunt sursa de finantare pentru proiecte locale de infrastructura. PNGD 2026-2035 trebuie sa fie coerent cu SIDU-urile, in special privind: infrastructura de colectare separata in mediul urban, platforme de reutilizare, centre de reciclare de proximitate si gestionarea deseurilor din constructii-renovari. Obiectivele PNGD de acoperire universala cu servicii de colectare separata depind de implementarea SIDU.</w:t>
            </w:r>
          </w:p>
        </w:tc>
      </w:tr>
      <w:tr w:rsidR="00AE673F" w:rsidRPr="00187708" w14:paraId="138719E7" w14:textId="77777777" w:rsidTr="00A949D9">
        <w:trPr>
          <w:gridAfter w:val="1"/>
          <w:wAfter w:w="78" w:type="dxa"/>
        </w:trPr>
        <w:tc>
          <w:tcPr>
            <w:tcW w:w="440" w:type="dxa"/>
            <w:hideMark/>
          </w:tcPr>
          <w:p w14:paraId="1BACFAC6"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lastRenderedPageBreak/>
              <w:t>7</w:t>
            </w:r>
          </w:p>
        </w:tc>
        <w:tc>
          <w:tcPr>
            <w:tcW w:w="2205" w:type="dxa"/>
            <w:gridSpan w:val="2"/>
            <w:hideMark/>
          </w:tcPr>
          <w:p w14:paraId="561D50F3"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Planuri de Mobilitate Urbana Durabila (PMUD) - municipii si orase</w:t>
            </w:r>
          </w:p>
        </w:tc>
        <w:tc>
          <w:tcPr>
            <w:tcW w:w="7987" w:type="dxa"/>
            <w:gridSpan w:val="4"/>
            <w:hideMark/>
          </w:tcPr>
          <w:p w14:paraId="3DB75E0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Instrumente de planificare a transportului urban durabil, integrate cu planificarea urbana si de mediu. Componente relevante pentru deseuri: (1) logistica ultimului kilometru pentru colectare deseuri; (2) zone cu emisii reduse (restrictii vehicule colectare vechi); (3) infrastructura de transport deseuri (statii transfer, rute optimizate); (4) vehicule electrice/GNC pentru colectare. Cerinte UE: Regulamentul delegat (UE) 2023/1804 (AFIR) conditii PMUD.</w:t>
            </w:r>
          </w:p>
        </w:tc>
        <w:tc>
          <w:tcPr>
            <w:tcW w:w="1275" w:type="dxa"/>
            <w:gridSpan w:val="4"/>
            <w:hideMark/>
          </w:tcPr>
          <w:p w14:paraId="3E9E438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2021-2030</w:t>
            </w:r>
          </w:p>
        </w:tc>
        <w:tc>
          <w:tcPr>
            <w:tcW w:w="3119" w:type="dxa"/>
            <w:gridSpan w:val="5"/>
            <w:hideMark/>
          </w:tcPr>
          <w:p w14:paraId="589057FF" w14:textId="4356E819" w:rsidR="00AE673F" w:rsidRPr="00187708" w:rsidRDefault="00AE673F">
            <w:pPr>
              <w:spacing w:before="0" w:after="0" w:line="240" w:lineRule="auto"/>
              <w:jc w:val="both"/>
              <w:rPr>
                <w:rFonts w:ascii="Nunito" w:hAnsi="Nunito"/>
                <w:sz w:val="16"/>
                <w:szCs w:val="16"/>
                <w:lang w:val="ro-RO"/>
              </w:rPr>
            </w:pPr>
            <w:hyperlink r:id="rId68" w:history="1">
              <w:r w:rsidRPr="00187708">
                <w:rPr>
                  <w:rStyle w:val="Hyperlink"/>
                  <w:rFonts w:ascii="Nunito" w:hAnsi="Nunito"/>
                  <w:color w:val="0563C1"/>
                  <w:sz w:val="16"/>
                  <w:szCs w:val="16"/>
                  <w:lang w:val="ro-RO"/>
                </w:rPr>
                <w:t>https://mmediu.ro/</w:t>
              </w:r>
            </w:hyperlink>
          </w:p>
        </w:tc>
        <w:tc>
          <w:tcPr>
            <w:tcW w:w="6756" w:type="dxa"/>
            <w:gridSpan w:val="2"/>
            <w:hideMark/>
          </w:tcPr>
          <w:p w14:paraId="348CAAF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PMUD-urile abordeaza transportul deseurilor in context urban si au sinergii cu logistica de colectare din PNGD. PNGD 2026-2035 trebuie sa coordoneze cu PMUD-urile: (1) optimizarea rutelor de colectare a deseurilor pentru reducerea emisiilor; (2) tranzitia la vehicule de colectare cu emisii zero/scazute; (3) amplasarea strategica a statiilor de transfer si centrelor de colectare in concordanta cu planificarea mobilitatii urbane.</w:t>
            </w:r>
          </w:p>
        </w:tc>
      </w:tr>
      <w:tr w:rsidR="00AE673F" w:rsidRPr="00187708" w14:paraId="64114390" w14:textId="77777777" w:rsidTr="00A949D9">
        <w:trPr>
          <w:gridAfter w:val="1"/>
          <w:wAfter w:w="78" w:type="dxa"/>
        </w:trPr>
        <w:tc>
          <w:tcPr>
            <w:tcW w:w="440" w:type="dxa"/>
            <w:hideMark/>
          </w:tcPr>
          <w:p w14:paraId="40F95C6E"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8</w:t>
            </w:r>
          </w:p>
        </w:tc>
        <w:tc>
          <w:tcPr>
            <w:tcW w:w="2205" w:type="dxa"/>
            <w:gridSpan w:val="2"/>
            <w:hideMark/>
          </w:tcPr>
          <w:p w14:paraId="395BB390"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Planuri Urbanistice Generale (PUG) / Planuri Urbanistice Zonale (PUZ)</w:t>
            </w:r>
          </w:p>
        </w:tc>
        <w:tc>
          <w:tcPr>
            <w:tcW w:w="7987" w:type="dxa"/>
            <w:gridSpan w:val="4"/>
            <w:hideMark/>
          </w:tcPr>
          <w:p w14:paraId="0E047FB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Instrumente de reglementare a folosintei terenurilor la nivel local, elaborate de autoritatile administratiei publice locale conform Legii 350/2001. PUG stabileste zonele functionale si regulamentul local de urbanism. PUZ detaliaza reglementarile pentru zone specifice. Relevanta pentru deseuri: amplasarea depozitelor, statiilor de sortare, compostare, centrelor de colectare, statiilor de transfer. Aviz de mediu obligatoriu (SEA) conform HG 1076/2004.</w:t>
            </w:r>
          </w:p>
        </w:tc>
        <w:tc>
          <w:tcPr>
            <w:tcW w:w="1275" w:type="dxa"/>
            <w:gridSpan w:val="4"/>
            <w:hideMark/>
          </w:tcPr>
          <w:p w14:paraId="5DA4789A"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Continuu (revizuire periodica)</w:t>
            </w:r>
          </w:p>
        </w:tc>
        <w:tc>
          <w:tcPr>
            <w:tcW w:w="3119" w:type="dxa"/>
            <w:gridSpan w:val="5"/>
            <w:hideMark/>
          </w:tcPr>
          <w:p w14:paraId="09B3A615" w14:textId="046BB085" w:rsidR="00AE673F" w:rsidRPr="00187708" w:rsidRDefault="00AE673F">
            <w:pPr>
              <w:spacing w:before="0" w:after="0" w:line="240" w:lineRule="auto"/>
              <w:jc w:val="both"/>
              <w:rPr>
                <w:rFonts w:ascii="Nunito" w:hAnsi="Nunito"/>
                <w:sz w:val="16"/>
                <w:szCs w:val="16"/>
                <w:lang w:val="ro-RO"/>
              </w:rPr>
            </w:pPr>
            <w:hyperlink r:id="rId69" w:history="1">
              <w:r w:rsidRPr="00187708">
                <w:rPr>
                  <w:rStyle w:val="Hyperlink"/>
                  <w:rFonts w:ascii="Nunito" w:hAnsi="Nunito"/>
                  <w:color w:val="0563C1"/>
                  <w:sz w:val="16"/>
                  <w:szCs w:val="16"/>
                  <w:lang w:val="ro-RO"/>
                </w:rPr>
                <w:t>https://mdlpa.ro/</w:t>
              </w:r>
            </w:hyperlink>
          </w:p>
        </w:tc>
        <w:tc>
          <w:tcPr>
            <w:tcW w:w="6756" w:type="dxa"/>
            <w:gridSpan w:val="2"/>
            <w:hideMark/>
          </w:tcPr>
          <w:p w14:paraId="4BF729F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PUG/PUZ stabilesc amplasarea instalatiilor de deseuri si zonele de colectare la nivel local. PNGD 2026-2035 trebuie sa asigure ca: (1) amplasamentele prevazute pentru noua infrastructura de deseuri sunt compatibile cu PUG/PUZ; (2) autoritatile locale actualizeaza PUG pentru a reflecta noile cerinte de infrastructura de deseuri (puncte de colectare, statii transfer, centre de reciclare); (3) procesul de SEA pentru PUG/PUZ include evaluarea impactului gestionarii deseurilor.</w:t>
            </w:r>
          </w:p>
        </w:tc>
      </w:tr>
      <w:tr w:rsidR="00AE673F" w:rsidRPr="00187708" w14:paraId="38A640B9" w14:textId="77777777" w:rsidTr="00A949D9">
        <w:trPr>
          <w:gridAfter w:val="1"/>
          <w:wAfter w:w="78" w:type="dxa"/>
        </w:trPr>
        <w:tc>
          <w:tcPr>
            <w:tcW w:w="440" w:type="dxa"/>
            <w:hideMark/>
          </w:tcPr>
          <w:p w14:paraId="0559E7EC"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9</w:t>
            </w:r>
          </w:p>
        </w:tc>
        <w:tc>
          <w:tcPr>
            <w:tcW w:w="2205" w:type="dxa"/>
            <w:gridSpan w:val="2"/>
            <w:hideMark/>
          </w:tcPr>
          <w:p w14:paraId="6522FED5"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Strategii judetene de dezvoltare durabila - 41 judete + Municipiul Bucuresti</w:t>
            </w:r>
          </w:p>
        </w:tc>
        <w:tc>
          <w:tcPr>
            <w:tcW w:w="7987" w:type="dxa"/>
            <w:gridSpan w:val="4"/>
            <w:hideMark/>
          </w:tcPr>
          <w:p w14:paraId="0A9710C4"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Documente strategice elaborate de Consiliile Judetene, stabilind viziunea si prioritatile de dezvoltare pe termen mediu si lung. Componente relevante: infrastructura de mediu, economia circulara, calitatea vietii, dezvoltare rurala. Fiecare strategie include obiective de mediu si indicatori de performanta, inclusiv rata de reciclare si acoperirea cu servicii de salubritate. Aliniate cu PDR si SDD 2030.</w:t>
            </w:r>
          </w:p>
        </w:tc>
        <w:tc>
          <w:tcPr>
            <w:tcW w:w="1275" w:type="dxa"/>
            <w:gridSpan w:val="4"/>
            <w:hideMark/>
          </w:tcPr>
          <w:p w14:paraId="606AEB7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2021-2027 (perspectiva 2030)</w:t>
            </w:r>
          </w:p>
        </w:tc>
        <w:tc>
          <w:tcPr>
            <w:tcW w:w="3119" w:type="dxa"/>
            <w:gridSpan w:val="5"/>
            <w:hideMark/>
          </w:tcPr>
          <w:p w14:paraId="00D74FC1" w14:textId="147D8C0C" w:rsidR="00AE673F" w:rsidRPr="00187708" w:rsidRDefault="00AE673F">
            <w:pPr>
              <w:spacing w:before="0" w:after="0" w:line="240" w:lineRule="auto"/>
              <w:jc w:val="both"/>
              <w:rPr>
                <w:rFonts w:ascii="Nunito" w:hAnsi="Nunito"/>
                <w:sz w:val="16"/>
                <w:szCs w:val="16"/>
                <w:lang w:val="ro-RO"/>
              </w:rPr>
            </w:pPr>
            <w:hyperlink r:id="rId70" w:history="1">
              <w:r w:rsidRPr="00187708">
                <w:rPr>
                  <w:rStyle w:val="Hyperlink"/>
                  <w:rFonts w:ascii="Nunito" w:hAnsi="Nunito"/>
                  <w:color w:val="0563C1"/>
                  <w:sz w:val="16"/>
                  <w:szCs w:val="16"/>
                  <w:lang w:val="ro-RO"/>
                </w:rPr>
                <w:t>https://www.cfrr.ro/</w:t>
              </w:r>
            </w:hyperlink>
          </w:p>
        </w:tc>
        <w:tc>
          <w:tcPr>
            <w:tcW w:w="6756" w:type="dxa"/>
            <w:gridSpan w:val="2"/>
            <w:hideMark/>
          </w:tcPr>
          <w:p w14:paraId="5F1B62B2"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Strategiile judetene includ obiective de mediu si gestionare a deseurilor complementare PJGD. PNGD 2026-2035 trebuie sa fie coerent cu aceste strategii, in special privind: (1) obiectivele de imbunatatire a ratei de reciclare la nivel judetean; (2) investitiile in infrastructura de mediu prevazute in strategii; (3) masurile de constientizare si educatie ecologica; (4) coordonarea cu planificarea de dezvoltare locala si regionala.</w:t>
            </w:r>
          </w:p>
        </w:tc>
      </w:tr>
      <w:tr w:rsidR="00AE673F" w:rsidRPr="00187708" w14:paraId="542043C2" w14:textId="77777777" w:rsidTr="00A949D9">
        <w:trPr>
          <w:gridAfter w:val="1"/>
          <w:wAfter w:w="78" w:type="dxa"/>
        </w:trPr>
        <w:tc>
          <w:tcPr>
            <w:tcW w:w="440" w:type="dxa"/>
            <w:hideMark/>
          </w:tcPr>
          <w:p w14:paraId="5D0DDA63" w14:textId="77777777" w:rsidR="00AE673F" w:rsidRPr="00187708" w:rsidRDefault="00AE673F">
            <w:pPr>
              <w:spacing w:before="0" w:after="0" w:line="240" w:lineRule="auto"/>
              <w:jc w:val="center"/>
              <w:rPr>
                <w:rFonts w:ascii="Nunito" w:hAnsi="Nunito"/>
                <w:sz w:val="16"/>
                <w:szCs w:val="16"/>
                <w:lang w:val="ro-RO"/>
              </w:rPr>
            </w:pPr>
            <w:r w:rsidRPr="00187708">
              <w:rPr>
                <w:rFonts w:ascii="Nunito" w:hAnsi="Nunito"/>
                <w:sz w:val="16"/>
                <w:szCs w:val="16"/>
                <w:lang w:val="ro-RO"/>
              </w:rPr>
              <w:t>10</w:t>
            </w:r>
          </w:p>
        </w:tc>
        <w:tc>
          <w:tcPr>
            <w:tcW w:w="2205" w:type="dxa"/>
            <w:gridSpan w:val="2"/>
            <w:hideMark/>
          </w:tcPr>
          <w:p w14:paraId="777FF85B"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Planuri de Actiune pentru Energie Durabila si Clima (PAED/SECAP)</w:t>
            </w:r>
          </w:p>
        </w:tc>
        <w:tc>
          <w:tcPr>
            <w:tcW w:w="7987" w:type="dxa"/>
            <w:gridSpan w:val="4"/>
            <w:hideMark/>
          </w:tcPr>
          <w:p w14:paraId="0367A69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Instrumente de planificare locala pentru reducerea emisiilor GES, elaborate de municipalitatile semnatare ale Conventiei Primarilor. Peste 200 municipalitati romanesti semnatare. Tinta: -40% emisii GES pana in 2030 (fata de anul de referinta). Componente relevante: emisii din sectorul deseuri (metan depozite, transport colectare), masuri de adaptare climatica, compostare comunitara, biogaz din deseuri organice.</w:t>
            </w:r>
          </w:p>
        </w:tc>
        <w:tc>
          <w:tcPr>
            <w:tcW w:w="1275" w:type="dxa"/>
            <w:gridSpan w:val="4"/>
            <w:hideMark/>
          </w:tcPr>
          <w:p w14:paraId="3A6E6EC8"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2020-2030</w:t>
            </w:r>
          </w:p>
        </w:tc>
        <w:tc>
          <w:tcPr>
            <w:tcW w:w="3119" w:type="dxa"/>
            <w:gridSpan w:val="5"/>
            <w:hideMark/>
          </w:tcPr>
          <w:p w14:paraId="399CC187" w14:textId="50C137D8" w:rsidR="00AE673F" w:rsidRPr="00187708" w:rsidRDefault="00AE673F">
            <w:pPr>
              <w:spacing w:before="0" w:after="0" w:line="240" w:lineRule="auto"/>
              <w:jc w:val="both"/>
              <w:rPr>
                <w:rFonts w:ascii="Nunito" w:hAnsi="Nunito"/>
                <w:sz w:val="16"/>
                <w:szCs w:val="16"/>
                <w:lang w:val="ro-RO"/>
              </w:rPr>
            </w:pPr>
            <w:hyperlink r:id="rId71" w:history="1">
              <w:r w:rsidRPr="00187708">
                <w:rPr>
                  <w:rStyle w:val="Hyperlink"/>
                  <w:rFonts w:ascii="Nunito" w:hAnsi="Nunito"/>
                  <w:color w:val="0563C1"/>
                  <w:sz w:val="16"/>
                  <w:szCs w:val="16"/>
                  <w:lang w:val="ro-RO"/>
                </w:rPr>
                <w:t>https://www.pfrr.ro/ro/covenant-of-mayors</w:t>
              </w:r>
            </w:hyperlink>
          </w:p>
        </w:tc>
        <w:tc>
          <w:tcPr>
            <w:tcW w:w="6756" w:type="dxa"/>
            <w:gridSpan w:val="2"/>
            <w:hideMark/>
          </w:tcPr>
          <w:p w14:paraId="4DB92DD6" w14:textId="77777777" w:rsidR="00AE673F" w:rsidRPr="00187708" w:rsidRDefault="00AE673F">
            <w:pPr>
              <w:spacing w:before="0" w:after="0" w:line="240" w:lineRule="auto"/>
              <w:jc w:val="both"/>
              <w:rPr>
                <w:rFonts w:ascii="Nunito" w:hAnsi="Nunito"/>
                <w:sz w:val="16"/>
                <w:szCs w:val="16"/>
                <w:lang w:val="ro-RO"/>
              </w:rPr>
            </w:pPr>
            <w:r w:rsidRPr="00187708">
              <w:rPr>
                <w:rFonts w:ascii="Nunito" w:hAnsi="Nunito"/>
                <w:sz w:val="16"/>
                <w:szCs w:val="16"/>
                <w:lang w:val="ro-RO"/>
              </w:rPr>
              <w:t>PAED/SECAP abordeaza emisiile GES din deseuri la nivel local si sunt complementare cu masurile PNGD. PNGD 2026-2035 trebuie sa coordoneze cu PAED: (1) reducerea emisiilor de metan din depozitele municipale prin captare biogaz si reducerea deseurilor biodegradabile depozitate; (2) promovarea compostarii comunitare si a digestiei anaerobe; (3) tranzitia la vehicule de colectare cu emisii scazute; (4) alinierea indicatorilor de monitorizare GES din sectorul deseuri.</w:t>
            </w:r>
          </w:p>
        </w:tc>
      </w:tr>
    </w:tbl>
    <w:p w14:paraId="74D43B38" w14:textId="77777777" w:rsidR="00AE673F" w:rsidRPr="00187708" w:rsidRDefault="00AE673F" w:rsidP="00AE673F">
      <w:pPr>
        <w:rPr>
          <w:lang w:val="ro-RO"/>
        </w:rPr>
      </w:pPr>
    </w:p>
    <w:p w14:paraId="6A8D8461" w14:textId="77777777" w:rsidR="001802CD" w:rsidRPr="00187708" w:rsidRDefault="00AE673F" w:rsidP="00AE673F">
      <w:pPr>
        <w:rPr>
          <w:rFonts w:ascii="Nunito" w:hAnsi="Nunito"/>
          <w:lang w:val="ro-RO"/>
        </w:rPr>
      </w:pPr>
      <w:r w:rsidRPr="00187708">
        <w:rPr>
          <w:rFonts w:ascii="Nunito" w:hAnsi="Nunito"/>
          <w:lang w:val="ro-RO"/>
        </w:rPr>
        <w:t>În tabelul următor se prezintă matricea de evaluarea sistematică a  relatiaei PNGD 2026-2035 cu toate planurile, programele si strategiile relevante la nivel european, national, regional/judetean si international. Evaluarea utilizeaza 7 criterii obiective , fiecare clasificare pe o scala de la 0 la 3</w:t>
      </w:r>
    </w:p>
    <w:p w14:paraId="25595F86" w14:textId="77777777" w:rsidR="001802CD" w:rsidRPr="00187708" w:rsidRDefault="001802CD">
      <w:pPr>
        <w:rPr>
          <w:lang w:val="ro-RO"/>
        </w:rPr>
      </w:pPr>
      <w:r w:rsidRPr="00187708">
        <w:rPr>
          <w:lang w:val="ro-RO"/>
        </w:rPr>
        <w:br w:type="page"/>
      </w:r>
    </w:p>
    <w:p w14:paraId="0CF0DA11" w14:textId="511B0485" w:rsidR="00AE673F" w:rsidRPr="00187708" w:rsidRDefault="001802CD" w:rsidP="001802CD">
      <w:pPr>
        <w:pStyle w:val="Caption"/>
        <w:rPr>
          <w:rFonts w:ascii="Arial" w:hAnsi="Arial" w:cs="Arial"/>
          <w:sz w:val="22"/>
          <w:szCs w:val="22"/>
          <w:lang w:val="ro-RO"/>
        </w:rPr>
      </w:pPr>
      <w:r w:rsidRPr="00187708">
        <w:rPr>
          <w:lang w:val="ro-RO"/>
        </w:rPr>
        <w:lastRenderedPageBreak/>
        <w:t xml:space="preserve">Tabel </w:t>
      </w:r>
      <w:r w:rsidRPr="00187708">
        <w:rPr>
          <w:lang w:val="ro-RO"/>
        </w:rPr>
        <w:fldChar w:fldCharType="begin"/>
      </w:r>
      <w:r w:rsidRPr="00187708">
        <w:rPr>
          <w:lang w:val="ro-RO"/>
        </w:rPr>
        <w:instrText xml:space="preserve"> STYLEREF 1 \s </w:instrText>
      </w:r>
      <w:r w:rsidRPr="00187708">
        <w:rPr>
          <w:lang w:val="ro-RO"/>
        </w:rPr>
        <w:fldChar w:fldCharType="separate"/>
      </w:r>
      <w:r w:rsidR="00AA044A" w:rsidRPr="00187708">
        <w:rPr>
          <w:noProof/>
          <w:lang w:val="ro-RO"/>
        </w:rPr>
        <w:t>2</w:t>
      </w:r>
      <w:r w:rsidRPr="00187708">
        <w:rPr>
          <w:lang w:val="ro-RO"/>
        </w:rPr>
        <w:fldChar w:fldCharType="end"/>
      </w:r>
      <w:r w:rsidRPr="00187708">
        <w:rPr>
          <w:lang w:val="ro-RO"/>
        </w:rPr>
        <w:noBreakHyphen/>
      </w:r>
      <w:r w:rsidRPr="00187708">
        <w:rPr>
          <w:lang w:val="ro-RO"/>
        </w:rPr>
        <w:fldChar w:fldCharType="begin"/>
      </w:r>
      <w:r w:rsidRPr="00187708">
        <w:rPr>
          <w:lang w:val="ro-RO"/>
        </w:rPr>
        <w:instrText xml:space="preserve"> SEQ Tabel \* ARABIC \s 1 </w:instrText>
      </w:r>
      <w:r w:rsidRPr="00187708">
        <w:rPr>
          <w:lang w:val="ro-RO"/>
        </w:rPr>
        <w:fldChar w:fldCharType="separate"/>
      </w:r>
      <w:r w:rsidR="00327F01" w:rsidRPr="00187708">
        <w:rPr>
          <w:noProof/>
          <w:lang w:val="ro-RO"/>
        </w:rPr>
        <w:t>23</w:t>
      </w:r>
      <w:r w:rsidRPr="00187708">
        <w:rPr>
          <w:lang w:val="ro-RO"/>
        </w:rPr>
        <w:fldChar w:fldCharType="end"/>
      </w:r>
      <w:r w:rsidRPr="00187708">
        <w:rPr>
          <w:lang w:val="ro-RO"/>
        </w:rPr>
        <w:t>:Eevaluarea sistematică a  relatiaei PNGD 2026-2035 cu toate planurile, programele si strategiile relevante la nivel european, national, regional/judetean si international</w:t>
      </w:r>
    </w:p>
    <w:tbl>
      <w:tblPr>
        <w:tblW w:w="22096" w:type="dxa"/>
        <w:jc w:val="center"/>
        <w:tblLook w:val="04A0" w:firstRow="1" w:lastRow="0" w:firstColumn="1" w:lastColumn="0" w:noHBand="0" w:noVBand="1"/>
      </w:tblPr>
      <w:tblGrid>
        <w:gridCol w:w="567"/>
        <w:gridCol w:w="988"/>
        <w:gridCol w:w="1984"/>
        <w:gridCol w:w="1559"/>
        <w:gridCol w:w="768"/>
        <w:gridCol w:w="1264"/>
        <w:gridCol w:w="914"/>
        <w:gridCol w:w="963"/>
        <w:gridCol w:w="998"/>
        <w:gridCol w:w="963"/>
        <w:gridCol w:w="920"/>
        <w:gridCol w:w="1152"/>
        <w:gridCol w:w="804"/>
        <w:gridCol w:w="916"/>
        <w:gridCol w:w="1255"/>
        <w:gridCol w:w="6081"/>
      </w:tblGrid>
      <w:tr w:rsidR="00AE673F" w:rsidRPr="00187708" w14:paraId="586934C3" w14:textId="77777777" w:rsidTr="009A442A">
        <w:trPr>
          <w:trHeight w:val="1095"/>
          <w:tblHeader/>
          <w:jc w:val="center"/>
        </w:trPr>
        <w:tc>
          <w:tcPr>
            <w:tcW w:w="567" w:type="dxa"/>
            <w:tcBorders>
              <w:bottom w:val="single" w:sz="4" w:space="0" w:color="auto"/>
            </w:tcBorders>
            <w:shd w:val="clear" w:color="auto" w:fill="00B0F0"/>
            <w:vAlign w:val="center"/>
            <w:hideMark/>
          </w:tcPr>
          <w:p w14:paraId="0EEA886F"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Nr.</w:t>
            </w:r>
          </w:p>
        </w:tc>
        <w:tc>
          <w:tcPr>
            <w:tcW w:w="988" w:type="dxa"/>
            <w:tcBorders>
              <w:bottom w:val="single" w:sz="4" w:space="0" w:color="auto"/>
            </w:tcBorders>
            <w:shd w:val="clear" w:color="auto" w:fill="00B0F0"/>
            <w:vAlign w:val="center"/>
            <w:hideMark/>
          </w:tcPr>
          <w:p w14:paraId="5680BE06"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Cod</w:t>
            </w:r>
          </w:p>
        </w:tc>
        <w:tc>
          <w:tcPr>
            <w:tcW w:w="1984" w:type="dxa"/>
            <w:tcBorders>
              <w:bottom w:val="single" w:sz="4" w:space="0" w:color="auto"/>
            </w:tcBorders>
            <w:shd w:val="clear" w:color="auto" w:fill="00B0F0"/>
            <w:vAlign w:val="center"/>
            <w:hideMark/>
          </w:tcPr>
          <w:p w14:paraId="2406D2C2"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Denumirea strategiei / planului / programului</w:t>
            </w:r>
          </w:p>
        </w:tc>
        <w:tc>
          <w:tcPr>
            <w:tcW w:w="1559" w:type="dxa"/>
            <w:tcBorders>
              <w:bottom w:val="single" w:sz="4" w:space="0" w:color="auto"/>
            </w:tcBorders>
            <w:shd w:val="clear" w:color="auto" w:fill="00B0F0"/>
            <w:vAlign w:val="center"/>
            <w:hideMark/>
          </w:tcPr>
          <w:p w14:paraId="34D02981"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Nivel</w:t>
            </w:r>
          </w:p>
        </w:tc>
        <w:tc>
          <w:tcPr>
            <w:tcW w:w="2032" w:type="dxa"/>
            <w:gridSpan w:val="2"/>
            <w:tcBorders>
              <w:bottom w:val="single" w:sz="4" w:space="0" w:color="auto"/>
            </w:tcBorders>
            <w:shd w:val="clear" w:color="auto" w:fill="00B0F0"/>
            <w:vAlign w:val="center"/>
            <w:hideMark/>
          </w:tcPr>
          <w:p w14:paraId="30D50937"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Orizont de timp</w:t>
            </w:r>
          </w:p>
        </w:tc>
        <w:tc>
          <w:tcPr>
            <w:tcW w:w="914" w:type="dxa"/>
            <w:tcBorders>
              <w:bottom w:val="single" w:sz="4" w:space="0" w:color="auto"/>
            </w:tcBorders>
            <w:shd w:val="clear" w:color="auto" w:fill="00B0F0"/>
            <w:vAlign w:val="center"/>
            <w:hideMark/>
          </w:tcPr>
          <w:p w14:paraId="77CF442A"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C1</w:t>
            </w:r>
            <w:r w:rsidRPr="00187708">
              <w:rPr>
                <w:rFonts w:ascii="Nunito" w:eastAsia="Times New Roman" w:hAnsi="Nunito" w:cs="Arial"/>
                <w:b/>
                <w:bCs/>
                <w:color w:val="FFFFFF" w:themeColor="background1"/>
                <w:sz w:val="16"/>
                <w:szCs w:val="16"/>
                <w:lang w:val="ro-RO" w:eastAsia="ro-RO"/>
              </w:rPr>
              <w:br/>
              <w:t>Obiective</w:t>
            </w:r>
            <w:r w:rsidRPr="00187708">
              <w:rPr>
                <w:rFonts w:ascii="Nunito" w:eastAsia="Times New Roman" w:hAnsi="Nunito" w:cs="Arial"/>
                <w:b/>
                <w:bCs/>
                <w:color w:val="FFFFFF" w:themeColor="background1"/>
                <w:sz w:val="16"/>
                <w:szCs w:val="16"/>
                <w:lang w:val="ro-RO" w:eastAsia="ro-RO"/>
              </w:rPr>
              <w:br/>
              <w:t>comune</w:t>
            </w:r>
          </w:p>
        </w:tc>
        <w:tc>
          <w:tcPr>
            <w:tcW w:w="963" w:type="dxa"/>
            <w:tcBorders>
              <w:bottom w:val="single" w:sz="4" w:space="0" w:color="auto"/>
            </w:tcBorders>
            <w:shd w:val="clear" w:color="auto" w:fill="00B0F0"/>
            <w:vAlign w:val="center"/>
            <w:hideMark/>
          </w:tcPr>
          <w:p w14:paraId="65770082"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C2</w:t>
            </w:r>
            <w:r w:rsidRPr="00187708">
              <w:rPr>
                <w:rFonts w:ascii="Nunito" w:eastAsia="Times New Roman" w:hAnsi="Nunito" w:cs="Arial"/>
                <w:b/>
                <w:bCs/>
                <w:color w:val="FFFFFF" w:themeColor="background1"/>
                <w:sz w:val="16"/>
                <w:szCs w:val="16"/>
                <w:lang w:val="ro-RO" w:eastAsia="ro-RO"/>
              </w:rPr>
              <w:br/>
              <w:t>Obligatii</w:t>
            </w:r>
            <w:r w:rsidRPr="00187708">
              <w:rPr>
                <w:rFonts w:ascii="Nunito" w:eastAsia="Times New Roman" w:hAnsi="Nunito" w:cs="Arial"/>
                <w:b/>
                <w:bCs/>
                <w:color w:val="FFFFFF" w:themeColor="background1"/>
                <w:sz w:val="16"/>
                <w:szCs w:val="16"/>
                <w:lang w:val="ro-RO" w:eastAsia="ro-RO"/>
              </w:rPr>
              <w:br/>
              <w:t>juridice</w:t>
            </w:r>
          </w:p>
        </w:tc>
        <w:tc>
          <w:tcPr>
            <w:tcW w:w="998" w:type="dxa"/>
            <w:tcBorders>
              <w:bottom w:val="single" w:sz="4" w:space="0" w:color="auto"/>
            </w:tcBorders>
            <w:shd w:val="clear" w:color="auto" w:fill="00B0F0"/>
            <w:vAlign w:val="center"/>
            <w:hideMark/>
          </w:tcPr>
          <w:p w14:paraId="215B61CE"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C3</w:t>
            </w:r>
            <w:r w:rsidRPr="00187708">
              <w:rPr>
                <w:rFonts w:ascii="Nunito" w:eastAsia="Times New Roman" w:hAnsi="Nunito" w:cs="Arial"/>
                <w:b/>
                <w:bCs/>
                <w:color w:val="FFFFFF" w:themeColor="background1"/>
                <w:sz w:val="16"/>
                <w:szCs w:val="16"/>
                <w:lang w:val="ro-RO" w:eastAsia="ro-RO"/>
              </w:rPr>
              <w:br/>
              <w:t>Tinte</w:t>
            </w:r>
            <w:r w:rsidRPr="00187708">
              <w:rPr>
                <w:rFonts w:ascii="Nunito" w:eastAsia="Times New Roman" w:hAnsi="Nunito" w:cs="Arial"/>
                <w:b/>
                <w:bCs/>
                <w:color w:val="FFFFFF" w:themeColor="background1"/>
                <w:sz w:val="16"/>
                <w:szCs w:val="16"/>
                <w:lang w:val="ro-RO" w:eastAsia="ro-RO"/>
              </w:rPr>
              <w:br/>
              <w:t>cantitative</w:t>
            </w:r>
            <w:r w:rsidRPr="00187708">
              <w:rPr>
                <w:rFonts w:ascii="Nunito" w:eastAsia="Times New Roman" w:hAnsi="Nunito" w:cs="Arial"/>
                <w:b/>
                <w:bCs/>
                <w:color w:val="FFFFFF" w:themeColor="background1"/>
                <w:sz w:val="16"/>
                <w:szCs w:val="16"/>
                <w:lang w:val="ro-RO" w:eastAsia="ro-RO"/>
              </w:rPr>
              <w:br/>
              <w:t>comune</w:t>
            </w:r>
          </w:p>
        </w:tc>
        <w:tc>
          <w:tcPr>
            <w:tcW w:w="963" w:type="dxa"/>
            <w:tcBorders>
              <w:bottom w:val="single" w:sz="4" w:space="0" w:color="auto"/>
            </w:tcBorders>
            <w:shd w:val="clear" w:color="auto" w:fill="00B0F0"/>
            <w:vAlign w:val="center"/>
            <w:hideMark/>
          </w:tcPr>
          <w:p w14:paraId="49C3E8DD"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C4</w:t>
            </w:r>
            <w:r w:rsidRPr="00187708">
              <w:rPr>
                <w:rFonts w:ascii="Nunito" w:eastAsia="Times New Roman" w:hAnsi="Nunito" w:cs="Arial"/>
                <w:b/>
                <w:bCs/>
                <w:color w:val="FFFFFF" w:themeColor="background1"/>
                <w:sz w:val="16"/>
                <w:szCs w:val="16"/>
                <w:lang w:val="ro-RO" w:eastAsia="ro-RO"/>
              </w:rPr>
              <w:br/>
              <w:t>Fluxuri de</w:t>
            </w:r>
            <w:r w:rsidRPr="00187708">
              <w:rPr>
                <w:rFonts w:ascii="Nunito" w:eastAsia="Times New Roman" w:hAnsi="Nunito" w:cs="Arial"/>
                <w:b/>
                <w:bCs/>
                <w:color w:val="FFFFFF" w:themeColor="background1"/>
                <w:sz w:val="16"/>
                <w:szCs w:val="16"/>
                <w:lang w:val="ro-RO" w:eastAsia="ro-RO"/>
              </w:rPr>
              <w:br/>
              <w:t>deseuri</w:t>
            </w:r>
            <w:r w:rsidRPr="00187708">
              <w:rPr>
                <w:rFonts w:ascii="Nunito" w:eastAsia="Times New Roman" w:hAnsi="Nunito" w:cs="Arial"/>
                <w:b/>
                <w:bCs/>
                <w:color w:val="FFFFFF" w:themeColor="background1"/>
                <w:sz w:val="16"/>
                <w:szCs w:val="16"/>
                <w:lang w:val="ro-RO" w:eastAsia="ro-RO"/>
              </w:rPr>
              <w:br/>
              <w:t>acoperite</w:t>
            </w:r>
          </w:p>
        </w:tc>
        <w:tc>
          <w:tcPr>
            <w:tcW w:w="920" w:type="dxa"/>
            <w:tcBorders>
              <w:bottom w:val="single" w:sz="4" w:space="0" w:color="auto"/>
            </w:tcBorders>
            <w:shd w:val="clear" w:color="auto" w:fill="00B0F0"/>
            <w:vAlign w:val="center"/>
            <w:hideMark/>
          </w:tcPr>
          <w:p w14:paraId="7BC935A2"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C5</w:t>
            </w:r>
            <w:r w:rsidRPr="00187708">
              <w:rPr>
                <w:rFonts w:ascii="Nunito" w:eastAsia="Times New Roman" w:hAnsi="Nunito" w:cs="Arial"/>
                <w:b/>
                <w:bCs/>
                <w:color w:val="FFFFFF" w:themeColor="background1"/>
                <w:sz w:val="16"/>
                <w:szCs w:val="16"/>
                <w:lang w:val="ro-RO" w:eastAsia="ro-RO"/>
              </w:rPr>
              <w:br/>
              <w:t>Finantare</w:t>
            </w:r>
            <w:r w:rsidRPr="00187708">
              <w:rPr>
                <w:rFonts w:ascii="Nunito" w:eastAsia="Times New Roman" w:hAnsi="Nunito" w:cs="Arial"/>
                <w:b/>
                <w:bCs/>
                <w:color w:val="FFFFFF" w:themeColor="background1"/>
                <w:sz w:val="16"/>
                <w:szCs w:val="16"/>
                <w:lang w:val="ro-RO" w:eastAsia="ro-RO"/>
              </w:rPr>
              <w:br/>
              <w:t>PNGD</w:t>
            </w:r>
          </w:p>
        </w:tc>
        <w:tc>
          <w:tcPr>
            <w:tcW w:w="1152" w:type="dxa"/>
            <w:tcBorders>
              <w:bottom w:val="single" w:sz="4" w:space="0" w:color="auto"/>
            </w:tcBorders>
            <w:shd w:val="clear" w:color="auto" w:fill="00B0F0"/>
            <w:vAlign w:val="center"/>
            <w:hideMark/>
          </w:tcPr>
          <w:p w14:paraId="711B6F66"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C6</w:t>
            </w:r>
            <w:r w:rsidRPr="00187708">
              <w:rPr>
                <w:rFonts w:ascii="Nunito" w:eastAsia="Times New Roman" w:hAnsi="Nunito" w:cs="Arial"/>
                <w:b/>
                <w:bCs/>
                <w:color w:val="FFFFFF" w:themeColor="background1"/>
                <w:sz w:val="16"/>
                <w:szCs w:val="16"/>
                <w:lang w:val="ro-RO" w:eastAsia="ro-RO"/>
              </w:rPr>
              <w:br/>
              <w:t>Raportare /</w:t>
            </w:r>
            <w:r w:rsidRPr="00187708">
              <w:rPr>
                <w:rFonts w:ascii="Nunito" w:eastAsia="Times New Roman" w:hAnsi="Nunito" w:cs="Arial"/>
                <w:b/>
                <w:bCs/>
                <w:color w:val="FFFFFF" w:themeColor="background1"/>
                <w:sz w:val="16"/>
                <w:szCs w:val="16"/>
                <w:lang w:val="ro-RO" w:eastAsia="ro-RO"/>
              </w:rPr>
              <w:br/>
              <w:t>Monitorizare</w:t>
            </w:r>
          </w:p>
        </w:tc>
        <w:tc>
          <w:tcPr>
            <w:tcW w:w="804" w:type="dxa"/>
            <w:tcBorders>
              <w:bottom w:val="single" w:sz="4" w:space="0" w:color="auto"/>
            </w:tcBorders>
            <w:shd w:val="clear" w:color="auto" w:fill="00B0F0"/>
            <w:vAlign w:val="center"/>
            <w:hideMark/>
          </w:tcPr>
          <w:p w14:paraId="448D9D75"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C7</w:t>
            </w:r>
            <w:r w:rsidRPr="00187708">
              <w:rPr>
                <w:rFonts w:ascii="Nunito" w:eastAsia="Times New Roman" w:hAnsi="Nunito" w:cs="Arial"/>
                <w:b/>
                <w:bCs/>
                <w:color w:val="FFFFFF" w:themeColor="background1"/>
                <w:sz w:val="16"/>
                <w:szCs w:val="16"/>
                <w:lang w:val="ro-RO" w:eastAsia="ro-RO"/>
              </w:rPr>
              <w:br/>
              <w:t>Ierarhie</w:t>
            </w:r>
            <w:r w:rsidRPr="00187708">
              <w:rPr>
                <w:rFonts w:ascii="Nunito" w:eastAsia="Times New Roman" w:hAnsi="Nunito" w:cs="Arial"/>
                <w:b/>
                <w:bCs/>
                <w:color w:val="FFFFFF" w:themeColor="background1"/>
                <w:sz w:val="16"/>
                <w:szCs w:val="16"/>
                <w:lang w:val="ro-RO" w:eastAsia="ro-RO"/>
              </w:rPr>
              <w:br/>
              <w:t>politica</w:t>
            </w:r>
          </w:p>
        </w:tc>
        <w:tc>
          <w:tcPr>
            <w:tcW w:w="916" w:type="dxa"/>
            <w:tcBorders>
              <w:bottom w:val="single" w:sz="4" w:space="0" w:color="auto"/>
            </w:tcBorders>
            <w:shd w:val="clear" w:color="auto" w:fill="00B0F0"/>
            <w:vAlign w:val="center"/>
            <w:hideMark/>
          </w:tcPr>
          <w:p w14:paraId="07DE5FA8"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SCOR</w:t>
            </w:r>
            <w:r w:rsidRPr="00187708">
              <w:rPr>
                <w:rFonts w:ascii="Nunito" w:eastAsia="Times New Roman" w:hAnsi="Nunito" w:cs="Arial"/>
                <w:b/>
                <w:bCs/>
                <w:color w:val="FFFFFF" w:themeColor="background1"/>
                <w:sz w:val="16"/>
                <w:szCs w:val="16"/>
                <w:lang w:val="ro-RO" w:eastAsia="ro-RO"/>
              </w:rPr>
              <w:br/>
              <w:t>TOTAL</w:t>
            </w:r>
            <w:r w:rsidRPr="00187708">
              <w:rPr>
                <w:rFonts w:ascii="Nunito" w:eastAsia="Times New Roman" w:hAnsi="Nunito" w:cs="Arial"/>
                <w:b/>
                <w:bCs/>
                <w:color w:val="FFFFFF" w:themeColor="background1"/>
                <w:sz w:val="16"/>
                <w:szCs w:val="16"/>
                <w:lang w:val="ro-RO" w:eastAsia="ro-RO"/>
              </w:rPr>
              <w:br/>
              <w:t>(formula)</w:t>
            </w:r>
          </w:p>
        </w:tc>
        <w:tc>
          <w:tcPr>
            <w:tcW w:w="1255" w:type="dxa"/>
            <w:tcBorders>
              <w:bottom w:val="single" w:sz="4" w:space="0" w:color="auto"/>
            </w:tcBorders>
            <w:shd w:val="clear" w:color="auto" w:fill="00B0F0"/>
            <w:vAlign w:val="center"/>
            <w:hideMark/>
          </w:tcPr>
          <w:p w14:paraId="790874D0"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INTENSITATE</w:t>
            </w:r>
            <w:r w:rsidRPr="00187708">
              <w:rPr>
                <w:rFonts w:ascii="Nunito" w:eastAsia="Times New Roman" w:hAnsi="Nunito" w:cs="Arial"/>
                <w:b/>
                <w:bCs/>
                <w:color w:val="FFFFFF" w:themeColor="background1"/>
                <w:sz w:val="16"/>
                <w:szCs w:val="16"/>
                <w:lang w:val="ro-RO" w:eastAsia="ro-RO"/>
              </w:rPr>
              <w:br/>
              <w:t>RELATIE</w:t>
            </w:r>
            <w:r w:rsidRPr="00187708">
              <w:rPr>
                <w:rFonts w:ascii="Nunito" w:eastAsia="Times New Roman" w:hAnsi="Nunito" w:cs="Arial"/>
                <w:b/>
                <w:bCs/>
                <w:color w:val="FFFFFF" w:themeColor="background1"/>
                <w:sz w:val="16"/>
                <w:szCs w:val="16"/>
                <w:lang w:val="ro-RO" w:eastAsia="ro-RO"/>
              </w:rPr>
              <w:br/>
              <w:t>(formula)</w:t>
            </w:r>
          </w:p>
        </w:tc>
        <w:tc>
          <w:tcPr>
            <w:tcW w:w="6081" w:type="dxa"/>
            <w:tcBorders>
              <w:bottom w:val="single" w:sz="4" w:space="0" w:color="auto"/>
            </w:tcBorders>
            <w:shd w:val="clear" w:color="auto" w:fill="00B0F0"/>
            <w:vAlign w:val="center"/>
            <w:hideMark/>
          </w:tcPr>
          <w:p w14:paraId="54764606" w14:textId="77777777" w:rsidR="00AE673F" w:rsidRPr="00187708" w:rsidRDefault="00AE673F">
            <w:pPr>
              <w:spacing w:line="240" w:lineRule="auto"/>
              <w:jc w:val="center"/>
              <w:rPr>
                <w:rFonts w:ascii="Nunito" w:eastAsia="Times New Roman" w:hAnsi="Nunito" w:cs="Arial"/>
                <w:b/>
                <w:bCs/>
                <w:color w:val="FFFFFF" w:themeColor="background1"/>
                <w:sz w:val="16"/>
                <w:szCs w:val="16"/>
                <w:lang w:val="ro-RO" w:eastAsia="ro-RO"/>
              </w:rPr>
            </w:pPr>
            <w:r w:rsidRPr="00187708">
              <w:rPr>
                <w:rFonts w:ascii="Nunito" w:eastAsia="Times New Roman" w:hAnsi="Nunito" w:cs="Arial"/>
                <w:b/>
                <w:bCs/>
                <w:color w:val="FFFFFF" w:themeColor="background1"/>
                <w:sz w:val="16"/>
                <w:szCs w:val="16"/>
                <w:lang w:val="ro-RO" w:eastAsia="ro-RO"/>
              </w:rPr>
              <w:t>Justificarea relatiei cu PNGD 2026-2035</w:t>
            </w:r>
          </w:p>
        </w:tc>
      </w:tr>
      <w:tr w:rsidR="00AE673F" w:rsidRPr="00187708" w14:paraId="4F111105" w14:textId="77777777">
        <w:trPr>
          <w:trHeight w:val="750"/>
          <w:jc w:val="center"/>
        </w:trPr>
        <w:tc>
          <w:tcPr>
            <w:tcW w:w="567" w:type="dxa"/>
            <w:tcBorders>
              <w:top w:val="single" w:sz="4" w:space="0" w:color="auto"/>
              <w:bottom w:val="single" w:sz="4" w:space="0" w:color="BFBFBF" w:themeColor="background1" w:themeShade="BF"/>
            </w:tcBorders>
            <w:shd w:val="clear" w:color="E8F4F8" w:fill="F2F2F2"/>
            <w:vAlign w:val="center"/>
            <w:hideMark/>
          </w:tcPr>
          <w:p w14:paraId="5719FBD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w:t>
            </w:r>
          </w:p>
        </w:tc>
        <w:tc>
          <w:tcPr>
            <w:tcW w:w="988" w:type="dxa"/>
            <w:tcBorders>
              <w:top w:val="single" w:sz="4" w:space="0" w:color="auto"/>
              <w:bottom w:val="single" w:sz="4" w:space="0" w:color="BFBFBF" w:themeColor="background1" w:themeShade="BF"/>
            </w:tcBorders>
            <w:shd w:val="clear" w:color="E8F4F8" w:fill="F2F2F2"/>
            <w:vAlign w:val="center"/>
            <w:hideMark/>
          </w:tcPr>
          <w:p w14:paraId="1ADF99F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EU-01</w:t>
            </w:r>
          </w:p>
        </w:tc>
        <w:tc>
          <w:tcPr>
            <w:tcW w:w="1984" w:type="dxa"/>
            <w:tcBorders>
              <w:top w:val="single" w:sz="4" w:space="0" w:color="auto"/>
              <w:bottom w:val="single" w:sz="4" w:space="0" w:color="BFBFBF" w:themeColor="background1" w:themeShade="BF"/>
            </w:tcBorders>
            <w:shd w:val="clear" w:color="E8F4F8" w:fill="F2F2F2"/>
            <w:vAlign w:val="center"/>
            <w:hideMark/>
          </w:tcPr>
          <w:p w14:paraId="0F223BF3"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Pactul Verde European</w:t>
            </w:r>
          </w:p>
        </w:tc>
        <w:tc>
          <w:tcPr>
            <w:tcW w:w="1559" w:type="dxa"/>
            <w:tcBorders>
              <w:top w:val="single" w:sz="4" w:space="0" w:color="auto"/>
              <w:bottom w:val="single" w:sz="4" w:space="0" w:color="BFBFBF" w:themeColor="background1" w:themeShade="BF"/>
            </w:tcBorders>
            <w:shd w:val="clear" w:color="E8F4F8" w:fill="F2F2F2"/>
            <w:vAlign w:val="center"/>
            <w:hideMark/>
          </w:tcPr>
          <w:p w14:paraId="2F629AF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auto"/>
              <w:bottom w:val="single" w:sz="4" w:space="0" w:color="BFBFBF" w:themeColor="background1" w:themeShade="BF"/>
            </w:tcBorders>
            <w:shd w:val="clear" w:color="E8F4F8" w:fill="F2F2F2"/>
            <w:vAlign w:val="center"/>
            <w:hideMark/>
          </w:tcPr>
          <w:p w14:paraId="74E0C13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2019-2050</w:t>
            </w:r>
          </w:p>
        </w:tc>
        <w:tc>
          <w:tcPr>
            <w:tcW w:w="914" w:type="dxa"/>
            <w:tcBorders>
              <w:top w:val="single" w:sz="4" w:space="0" w:color="auto"/>
              <w:bottom w:val="single" w:sz="4" w:space="0" w:color="BFBFBF" w:themeColor="background1" w:themeShade="BF"/>
            </w:tcBorders>
            <w:shd w:val="clear" w:color="auto" w:fill="FFFFFF" w:themeFill="background1"/>
            <w:vAlign w:val="center"/>
            <w:hideMark/>
          </w:tcPr>
          <w:p w14:paraId="6D6124A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auto"/>
              <w:bottom w:val="single" w:sz="4" w:space="0" w:color="BFBFBF" w:themeColor="background1" w:themeShade="BF"/>
            </w:tcBorders>
            <w:shd w:val="clear" w:color="auto" w:fill="FFFFFF" w:themeFill="background1"/>
            <w:vAlign w:val="center"/>
            <w:hideMark/>
          </w:tcPr>
          <w:p w14:paraId="42C749F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auto"/>
              <w:bottom w:val="single" w:sz="4" w:space="0" w:color="BFBFBF" w:themeColor="background1" w:themeShade="BF"/>
            </w:tcBorders>
            <w:shd w:val="clear" w:color="auto" w:fill="FFFFFF" w:themeFill="background1"/>
            <w:vAlign w:val="center"/>
            <w:hideMark/>
          </w:tcPr>
          <w:p w14:paraId="726D975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auto"/>
              <w:bottom w:val="single" w:sz="4" w:space="0" w:color="BFBFBF" w:themeColor="background1" w:themeShade="BF"/>
            </w:tcBorders>
            <w:shd w:val="clear" w:color="auto" w:fill="FFFFFF" w:themeFill="background1"/>
            <w:vAlign w:val="center"/>
            <w:hideMark/>
          </w:tcPr>
          <w:p w14:paraId="7152F1A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auto"/>
              <w:bottom w:val="single" w:sz="4" w:space="0" w:color="BFBFBF" w:themeColor="background1" w:themeShade="BF"/>
            </w:tcBorders>
            <w:shd w:val="clear" w:color="auto" w:fill="FFFFFF" w:themeFill="background1"/>
            <w:vAlign w:val="center"/>
            <w:hideMark/>
          </w:tcPr>
          <w:p w14:paraId="160DEEB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1152" w:type="dxa"/>
            <w:tcBorders>
              <w:top w:val="single" w:sz="4" w:space="0" w:color="auto"/>
              <w:bottom w:val="single" w:sz="4" w:space="0" w:color="BFBFBF" w:themeColor="background1" w:themeShade="BF"/>
            </w:tcBorders>
            <w:shd w:val="clear" w:color="auto" w:fill="FFFFFF" w:themeFill="background1"/>
            <w:vAlign w:val="center"/>
            <w:hideMark/>
          </w:tcPr>
          <w:p w14:paraId="2F8A870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auto"/>
              <w:bottom w:val="single" w:sz="4" w:space="0" w:color="BFBFBF" w:themeColor="background1" w:themeShade="BF"/>
            </w:tcBorders>
            <w:shd w:val="clear" w:color="auto" w:fill="FFFFFF" w:themeFill="background1"/>
            <w:vAlign w:val="center"/>
            <w:hideMark/>
          </w:tcPr>
          <w:p w14:paraId="706A7D5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16" w:type="dxa"/>
            <w:tcBorders>
              <w:top w:val="single" w:sz="4" w:space="0" w:color="auto"/>
              <w:bottom w:val="single" w:sz="4" w:space="0" w:color="BFBFBF" w:themeColor="background1" w:themeShade="BF"/>
            </w:tcBorders>
            <w:shd w:val="clear" w:color="auto" w:fill="FFFFFF" w:themeFill="background1"/>
            <w:vAlign w:val="center"/>
            <w:hideMark/>
          </w:tcPr>
          <w:p w14:paraId="4056769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17</w:t>
            </w:r>
          </w:p>
        </w:tc>
        <w:tc>
          <w:tcPr>
            <w:tcW w:w="1255" w:type="dxa"/>
            <w:tcBorders>
              <w:top w:val="single" w:sz="4" w:space="0" w:color="auto"/>
              <w:bottom w:val="single" w:sz="4" w:space="0" w:color="BFBFBF" w:themeColor="background1" w:themeShade="BF"/>
            </w:tcBorders>
            <w:shd w:val="clear" w:color="E8F4F8" w:fill="C00000"/>
            <w:vAlign w:val="center"/>
            <w:hideMark/>
          </w:tcPr>
          <w:p w14:paraId="5010B442"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auto"/>
              <w:bottom w:val="single" w:sz="4" w:space="0" w:color="BFBFBF" w:themeColor="background1" w:themeShade="BF"/>
            </w:tcBorders>
            <w:shd w:val="clear" w:color="E8F4F8" w:fill="F2F2F2"/>
            <w:vAlign w:val="center"/>
            <w:hideMark/>
          </w:tcPr>
          <w:p w14:paraId="2BE0184D"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Pactul Verde European reprezinta cadrul strategic suprem in care opereaza PNGD 2026-2035. Fiecare strategie sectoriala si instrument legislativ acoperit de PNGD este o sub-componenta a Pactului Verde. PNGD trebuie sa demonstreze contributia sa la: neutralitatea climatica pana in 2050, reducerea GES cu 55% pana in 2030 si reducerea la jumatate a deseurilor municipale reziduale. Pactul Verde furnizeaza si ratiunea investitionala: Romania poate accesa fonduri UE de coeziune, Mecanismul pentru o Tranzitie Justa si InvestEU pentru finantarea infrastructurii si masurilor PNGD.</w:t>
            </w:r>
          </w:p>
        </w:tc>
      </w:tr>
      <w:tr w:rsidR="00AE673F" w:rsidRPr="00187708" w14:paraId="5A9204AC"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CC6DED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46062EE"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EU-02</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0C02978"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Al 8-lea Program de Actiune pentru Mediu (8th EAP)</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7038E6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1E79D20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2022-2030 (2050)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27BA95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D1B608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E537F5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44964C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EAC124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A458AB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8E7DB1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1CD9D5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15</w:t>
            </w:r>
          </w:p>
        </w:tc>
        <w:tc>
          <w:tcPr>
            <w:tcW w:w="1255" w:type="dxa"/>
            <w:tcBorders>
              <w:top w:val="single" w:sz="4" w:space="0" w:color="BFBFBF" w:themeColor="background1" w:themeShade="BF"/>
              <w:bottom w:val="single" w:sz="4" w:space="0" w:color="BFBFBF" w:themeColor="background1" w:themeShade="BF"/>
            </w:tcBorders>
            <w:shd w:val="clear" w:color="F2F2F2" w:fill="FF6600"/>
            <w:vAlign w:val="center"/>
            <w:hideMark/>
          </w:tcPr>
          <w:p w14:paraId="7819AFE6"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RIDICATA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C7E0BA9"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Al 8-lea PAM serveste drept cadru de monitorizare si guvernanta pentru Pactul Verde European. PNGD 2026-2035 trebuie sa demonstreze contributia la Obiectivele (c), (d) si (f) — in special tranzitia la economia circulara, poluarea zero din fluxurile de deseuri si reducerea presiunilor de productie/consum. Tintele PNGD privind prevenirea deseurilor, reciclarea si devierea de la depozitare sunt indicatori de referinta sub cadrul de monitorizare al 8-lea PAM.</w:t>
            </w:r>
          </w:p>
        </w:tc>
      </w:tr>
      <w:tr w:rsidR="00AE673F" w:rsidRPr="00187708" w14:paraId="138C53A0"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ECA0FC1"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8CB2DB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EU-03</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5A58DB6"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Planul de Actiune pentru Economia Circulara (CEAP 2.0)</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B3A5CD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0908F9F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2020-2030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869C8B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D456AA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B1A14A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298735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D8E7EF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EA8BA5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A009C4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4791EF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19</w:t>
            </w:r>
          </w:p>
        </w:tc>
        <w:tc>
          <w:tcPr>
            <w:tcW w:w="1255" w:type="dxa"/>
            <w:tcBorders>
              <w:top w:val="single" w:sz="4" w:space="0" w:color="BFBFBF" w:themeColor="background1" w:themeShade="BF"/>
              <w:bottom w:val="single" w:sz="4" w:space="0" w:color="BFBFBF" w:themeColor="background1" w:themeShade="BF"/>
            </w:tcBorders>
            <w:shd w:val="clear" w:color="E8F4F8" w:fill="C00000"/>
            <w:vAlign w:val="center"/>
            <w:hideMark/>
          </w:tcPr>
          <w:p w14:paraId="65A5161C"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94E151B"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CEAP 2.0 este cel mai direct relevant cadru strategic UE pentru PNGD. PNGD 2026-2035 trebuie sa se alinieze la tintele CEAP: -50% deseuri municipale reziduale pana in 2030, obligatii de colectare separata (textile de la 2025, biodeseuri), reducerea deseurilor de ambalaje (prin PPWR) si transformarea lanturilor valorice cheie (textile, electronice, constructii, alimente). PNGD trebuie sa demonstreze cum sistemele REP, infrastructura de reciclare si cerintele de proiectare ecologica contribuie la dublarea ratei de circularitate.</w:t>
            </w:r>
          </w:p>
        </w:tc>
      </w:tr>
      <w:tr w:rsidR="00AE673F" w:rsidRPr="00187708" w14:paraId="4EA87E56"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970D80D"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91D23A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EU-04</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DEE32C1"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Planul de Actiune Poluare Zero</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61E1BF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3C22898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2030-2050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403A50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ADE462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C36D6E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EDF62B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ADAD7A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88F0A7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2913BF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8B555AE"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12</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0FA4D8D8"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21F87C6"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Planul Zero Poluare modeleaza direct PNGD prin tintele sale privind deseurile: -50% deseuri municipale reziduale si reducerea emisiilor poluante din instalatiile de tratare a deseurilor. PNGD trebuie sa demonstreze cum masurile de gestionare a deseurilor reduc contaminarea solului (in special la siturile fostelor depozite neconforme), reduc plasticul ajuns in corpurile de apa si diminueaza poluantii atmosferici din incinerare si compostare, in conformitate cu cerintele BAT introduse prin IED (UE) 2024/1785.</w:t>
            </w:r>
          </w:p>
        </w:tc>
      </w:tr>
      <w:tr w:rsidR="00AE673F" w:rsidRPr="00187708" w14:paraId="7071FBD5"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103870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5</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F60E77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EU-05</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39BE590"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UE pentru Biodiversitate 2030</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EC2CDE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52621C3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2030-2050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8E1492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5BFB7C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6FA34F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7CFDD1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C61E66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2D164B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611DC8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6471B2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9</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60E8E89A"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2304272"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Biodiversitate se conecteaza cu PNGD prin: (1) reducerea poluarii din operatiunile de gestionare a deseurilor (levigat depozite, calitatea compostului) care afecteaza habitate si corpuri de apa; (2) compostul produs prin PNGD imbunatateste biodiversitatea solului; (3) noua infrastructura de deseuri (depozite, statii transfer) trebuie sa respecte Planul National de Restaurare al Romaniei; (4) PNGD trebuie sa evite amplasarea depozitelor in/langa habitate sensibile; (5) coerenta intre Planul de Restaurare (termen sept. 2026) si abordarea PNGD privind remedierea depozitelor inchise.</w:t>
            </w:r>
          </w:p>
        </w:tc>
      </w:tr>
      <w:tr w:rsidR="00AE673F" w:rsidRPr="00187708" w14:paraId="1C58331C"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FD7143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6</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92F42F1"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EU-06</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52803E7"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UE pentru Soluri 2030</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B2A5B0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52F41362"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2030-2050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89874A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BBF697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93E6CA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ADA00E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861826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FD44CD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E956A8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525091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9</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78D9E8AD"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AC03FB0"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Sol are implicatii directe pentru PNGD pe trei axe: (1) Siturile fostelor depozite neconforme — Romania are un numar semnificativ de depozite necesitand inchidere si remediere; PNGD trebuie sa includa un program de evaluare si remediere aliniat cu tintele Strategiei 2030 si viitoarea Lege a Sanatatii Solului; (2) Biodeseuri si compost — tintele PNGD pentru colectare separata si tratare a biodeseurilor produc compost care contribuie la materia organica din sol; (3) Levigat si PFAS — IED (UE) 2024/1785 introduce concluzii BAT pentru operarea depozitelor, adresand emisiile PFAS.</w:t>
            </w:r>
          </w:p>
        </w:tc>
      </w:tr>
      <w:tr w:rsidR="00AE673F" w:rsidRPr="00187708" w14:paraId="108B4053"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EAD696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7</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DB2538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EU-07</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D3B9FFD"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UE pentru Textile Durabile</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37571F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1BA3093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2025-2030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8A685E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76C153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875883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FF84FA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415463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F335F7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0E1DD2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3EEE0BD"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12</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3E3080E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5CD5037"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Textilelor se implementeaza direct prin PNGD: (1) Colectare separata obligatorie — Romania trebuia sa stabileasca infrastructura de colectare separata a textilelor pana la 1 ian. 2025; PNGD 2026-2035 trebuie sa includa tinte specifice, infrastructura si cadre REP; (2) Tinte de reciclare — Romania trebuie sa stabileasca tinte nationale de pregatire pentru reutilizare si reciclare textilelor; (3) Cerinte ecodesign ESPR — afecteaza compozitia deseurilor textile si reciclabilitatea; (4) Sisteme REP — Romania trebuie sa transpuna cerintele REP armonizate UE pentru textile.</w:t>
            </w:r>
          </w:p>
        </w:tc>
      </w:tr>
      <w:tr w:rsidR="00AE673F" w:rsidRPr="00187708" w14:paraId="2B30DE17"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92F6AA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8</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B1C1D01"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EU-08</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0918502"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UE de Adaptare la Schimbarile Climatice</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9A868C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3CC980D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95FFE4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2AA217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3D3876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FDA5A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1C9A6F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017A97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6CC787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D3574D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6</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56CF87B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2972344"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 xml:space="preserve">Strategia Adaptare afecteaza PNGD in doua moduri principale: (1) Climate-proofing infrastructura de deseuri — toate instalatiile noi si modernizate finantate din fonduri UE (depozite, composturi, TMB, incineratoare) trebuie proiectate reziliente la inundatii, canicula si seceta; (2) Biodeseuri si apa — strategia PNGD pentru colectarea si tratarea biodeseurilor contribuie la adaptare prin compost care imbunatateste retentia apei in sol si prin reutilizarea apei din digestia anaeroba; (3) </w:t>
            </w:r>
            <w:r w:rsidRPr="00187708">
              <w:rPr>
                <w:rFonts w:ascii="Nunito" w:eastAsia="Times New Roman" w:hAnsi="Nunito" w:cs="Arial"/>
                <w:sz w:val="16"/>
                <w:szCs w:val="16"/>
                <w:lang w:val="ro-RO" w:eastAsia="ro-RO"/>
              </w:rPr>
              <w:lastRenderedPageBreak/>
              <w:t>Gazul de depozit — schimbarile climatice afecteaza ratele de generare; PNGD trebuie sa includa cerinte ad...</w:t>
            </w:r>
          </w:p>
        </w:tc>
      </w:tr>
      <w:tr w:rsidR="00AE673F" w:rsidRPr="00187708" w14:paraId="3A61CC6E"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CC4F1E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lastRenderedPageBreak/>
              <w:t>9</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A80BA5A"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EU-09</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779F892"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pentru Sustenabilitatea Chimicalelor</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D41C5D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3F4FA9EA"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2020-2050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E36438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2CA9EB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2379D5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A9BB15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1EEA92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BDB00A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BB4B9D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F4A6FA1"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7</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75A95D5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D6F8582"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Chimicale afecteaza direct PNGD prin doua interfete cheie: (1) Deseuri periculoase si urmarirea SVHC — PNGD trebuie sa includa prevederi pentru urmarirea SVHC prin lantul deseurilor, critic pentru DEEE, baterii, textile si deseuri de constructii-demolari; (2) PFAS in depozite — programul de eliminare PFAS este consolidat prin IED (UE) 2024/1785 care impune concluzii BAT pentru gestionarea levigatului cu PFAS; PNGD trebuie sa planifice monitorizarea si tratarea PFAS la depozite; (3) Circularitate fara toxice — prevenirea reintroducerii SVHC in economia circulara prin materiale reci...</w:t>
            </w:r>
          </w:p>
        </w:tc>
      </w:tr>
      <w:tr w:rsidR="00AE673F" w:rsidRPr="00187708" w14:paraId="31718B6B"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4EC69B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10</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CA0251D"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EU-10</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6BC93A3"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Directiva-Cadru Deseuri (DCD) 2008/98/CE</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B78C6B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236BD63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2025-2035</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B05A1E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220A49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956D29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2DA3C0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93EC45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7FE528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2B115F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EA416B8"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20</w:t>
            </w:r>
          </w:p>
        </w:tc>
        <w:tc>
          <w:tcPr>
            <w:tcW w:w="1255" w:type="dxa"/>
            <w:tcBorders>
              <w:top w:val="single" w:sz="4" w:space="0" w:color="BFBFBF" w:themeColor="background1" w:themeShade="BF"/>
              <w:bottom w:val="single" w:sz="4" w:space="0" w:color="BFBFBF" w:themeColor="background1" w:themeShade="BF"/>
            </w:tcBorders>
            <w:shd w:val="clear" w:color="F2F2F2" w:fill="C00000"/>
            <w:vAlign w:val="center"/>
            <w:hideMark/>
          </w:tcPr>
          <w:p w14:paraId="08086BF6"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6226B0C"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DCD este instrumentul legislativ central pe care PNGD il implementeaza direct. PNGD trebuie sa includa: (1) Tinte obligatorii de reciclare — Romania trebuie sa atinga 55% reciclare deseuri municipale pana in 2025, 60% in 2030, 65% in 2035 (sau 50%/55%/60% cu optiunea de amanare conform art. 11(3)); (2) Colectare separata — infrastructura, tinte si cadre REP pentru textile (2025), biodeseuri, hartie, metale, plastic, sticla; (3) Continut plan — PNGD indeplineste obligatia din art. 28, revizuire pana in 2031; (4) Program de prevenire (art. 29); (5) Sisteme REP conforme DCD.</w:t>
            </w:r>
          </w:p>
        </w:tc>
      </w:tr>
      <w:tr w:rsidR="00AE673F" w:rsidRPr="00187708" w14:paraId="64436F53"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BFE5C7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11</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82E1DD8"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EU-11</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C3BAE6D"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Directiva Depozitare Deseuri 1999/31/CE</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89F65F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76176A7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2030-2040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B5BC70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AEFE83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0AC12C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459D1E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4D69B2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80B1A4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CFB2FD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B66369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18</w:t>
            </w:r>
          </w:p>
        </w:tc>
        <w:tc>
          <w:tcPr>
            <w:tcW w:w="1255" w:type="dxa"/>
            <w:tcBorders>
              <w:top w:val="single" w:sz="4" w:space="0" w:color="BFBFBF" w:themeColor="background1" w:themeShade="BF"/>
              <w:bottom w:val="single" w:sz="4" w:space="0" w:color="BFBFBF" w:themeColor="background1" w:themeShade="BF"/>
            </w:tcBorders>
            <w:shd w:val="clear" w:color="E8F4F8" w:fill="C00000"/>
            <w:vAlign w:val="center"/>
            <w:hideMark/>
          </w:tcPr>
          <w:p w14:paraId="5B4964F8"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9B372AF"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Directiva Depozite este una dintre cele mai critice constrangeri legale pentru PNGD, dat fiind ca Romania are una dintre cele mai ridicate rate de depozitare din UE (~70%+ istoric). PNGD trebuie sa detalieze: (1) Traiectoria reducerii depozitarii de la nivelurile actuale la max. 10% pana in 2035 (sau 2040); (2) Tinte intermediare si jaloane anuale; (3) Programul de remediere/inchidere a depozitelor neconforme; (4) Colectare separata biodeseuri si capacitate de tratare organica; (5) Conformare cu concluziile BAT pentru depozite active/inchise (IED 2024/1785).</w:t>
            </w:r>
          </w:p>
        </w:tc>
      </w:tr>
      <w:tr w:rsidR="00AE673F" w:rsidRPr="00187708" w14:paraId="354061B3"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A12B57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12</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AC983A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EU-12</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FCC988C"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Directiva SUP (UE) 2019/904</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7052ED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3CE3C5CD"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9282A6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4F0997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D3BA24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3CE2F6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7FE3F2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FC91A1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0FC137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184A8E8"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14</w:t>
            </w:r>
          </w:p>
        </w:tc>
        <w:tc>
          <w:tcPr>
            <w:tcW w:w="1255" w:type="dxa"/>
            <w:tcBorders>
              <w:top w:val="single" w:sz="4" w:space="0" w:color="BFBFBF" w:themeColor="background1" w:themeShade="BF"/>
              <w:bottom w:val="single" w:sz="4" w:space="0" w:color="BFBFBF" w:themeColor="background1" w:themeShade="BF"/>
            </w:tcBorders>
            <w:shd w:val="clear" w:color="F2F2F2" w:fill="FF6600"/>
            <w:vAlign w:val="center"/>
            <w:hideMark/>
          </w:tcPr>
          <w:p w14:paraId="1950A7D9"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RIDICATA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643E1F6"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Directiva SUP impune PNGD sa adreseze: (1) Colectare separata — Romania trebuie sa opereze sisteme SGR sau echivalente pentru 77% colectare sticle pana in 2025 si 90% pana in 2029; SGR-ul Romaniei (lansat 2023) trebuie reflectat in PNGD; (2) Reducere deseuri marine — PNGD trebuie sa includa masuri de monitorizare si reducere a plasticului in Marea Neagra si Dunare; (3) REP plastic — aliniere cu SUP; (4) Piata continutului reciclat — PNGD trebuie sa asigure colectare si reciclare suficienta pentru 25%/30% continut reciclat; (5) Compozitia deseurilor — interdictiile au modificat-o deja.</w:t>
            </w:r>
          </w:p>
        </w:tc>
      </w:tr>
      <w:tr w:rsidR="00AE673F" w:rsidRPr="00187708" w14:paraId="5E8ED31B"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1F0E6E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13</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1D5C07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EU-13</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046868E"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Regulamentul Transferuri Deseuri (WSR) 2024/1157</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CA4CBD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192C607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2024-2035</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67E07B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BFA66F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04E1FF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02D7D6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C30D27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807680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F2F19A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CF8FE1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12</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6738253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FF9D5E0"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Regulamentul Transferuri Deseuri este relevant pentru PNGD in contextul: (1) Exporturi deseuri — Romania exporta fluxuri reciclabile (plastic, hartie, metale); PNGD trebuie sa reflecte cum infrastructura nationala va absorbi mai multe deseuri pe masura restrictiilor de export, in special interdictia plasticului in tari non-OCDE din nov. 2026; (2) Deseuri periculoase — proceduri noi de notificare/consimtamant; (3) Principiul autosuficientei — PNGD trebuie sa demonstreze constructia capacitatii nationale; (4) Raportare electronica — Romania trebuie sa stabileasca sisteme conforme pana in mai ...</w:t>
            </w:r>
          </w:p>
        </w:tc>
      </w:tr>
      <w:tr w:rsidR="00AE673F" w:rsidRPr="00187708" w14:paraId="511399C1"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8459FD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14</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2116CD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EU-14</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18A6D38"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Regulamentul Ecodesign (ESPR) 2024/1781</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68CDEB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154A4AB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2024-2030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E1FFAC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BE5ABD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FF473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05C654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3A5E2C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DFAD16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A402AB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AB3A791"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19302D8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84F9BA9"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ESPR va schimba fundamental compozitia fluxurilor de deseuri gestionate de PNGD: (1) Proiectarea imbunatatita a produselor — cerintele de durabilitate si reparabilitate vor reduce ratele de generare a deseurilor; proiectiile PNGD trebuie sa tina cont de aceste schimbari din 2026; (2) Mandate de continut reciclat — creaza cerere pentru outputurile de reciclare romanesti; (3) Pasapoarte Digitale — din 2026 vor furniza operatorilor de deseuri date de compozitie, imbunatatind sortarea si reciclarea; (4) Interzicerea distrugerii — deviaza bunuri nevandute de la incinerare/depozitare la circuite ...</w:t>
            </w:r>
          </w:p>
        </w:tc>
      </w:tr>
      <w:tr w:rsidR="00AE673F" w:rsidRPr="00187708" w14:paraId="48DB8BBD"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7FE688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15</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5FC5CE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EU-15</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D84F8BC"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Regulamentul Ambalaje (PPWR) 2025</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147370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44164B8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2025-2040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65C40E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C33977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2479CF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05E2BB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7BFDFD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6FB75E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7E6F23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1E7E76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18</w:t>
            </w:r>
          </w:p>
        </w:tc>
        <w:tc>
          <w:tcPr>
            <w:tcW w:w="1255" w:type="dxa"/>
            <w:tcBorders>
              <w:top w:val="single" w:sz="4" w:space="0" w:color="BFBFBF" w:themeColor="background1" w:themeShade="BF"/>
              <w:bottom w:val="single" w:sz="4" w:space="0" w:color="BFBFBF" w:themeColor="background1" w:themeShade="BF"/>
            </w:tcBorders>
            <w:shd w:val="clear" w:color="E8F4F8" w:fill="C00000"/>
            <w:vAlign w:val="center"/>
            <w:hideMark/>
          </w:tcPr>
          <w:p w14:paraId="68A51AC7"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10145B2"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PPWR este direct aplicabil in Romania din aug. 2026 si reprezinta cel mai complex instrument UE operational pentru PNGD: (1) Tinte de reciclare — Romania trebuie sa atinga 65%/70% reciclare ambalaje, 60% plastic, 95% metale, 90% hartie; (2) Sisteme SGR — 90% colectare recipiente pana in 2029; (3) Redesign REP — taxe modulate pe baza reciclabilitatii; (4) Infrastructura reutilizare — statii de refill, reutilizare HORECA; (5) Prevenire — tintele -5%/-10%/-15% per capita necesita masuri nationale; (6) PFAS — interdictie ambalaje alimentare din aug. 2026; (7) Spatiu gol max. 50%.</w:t>
            </w:r>
          </w:p>
        </w:tc>
      </w:tr>
      <w:tr w:rsidR="00AE673F" w:rsidRPr="00187708" w14:paraId="3F2CA50B"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98CB5D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lastRenderedPageBreak/>
              <w:t>16</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628CD5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EU-16</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659C949"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Farm to Fork</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D8BD11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67E0EB1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2020-2030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AA8CB9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8975D0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1D9F64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1CA802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0A40B8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05AF0F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BDB2A0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1E8BA9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7</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784A2D1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0B15C3E"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Farm to Fork se conecteaza cu PNGD prin dimensiunea risipei alimentare: (1) Tinta -50% risipa alimentara — Romania trebuie sa stabileasca si sa implementeze tinte obligatorii de reducere la retail si consumatori pana in 2030; PNGD trebuie sa includa un capitol dedicat prevenirii risipei alimentare; (2) Biodeseuri — ~30-40% din deseurile municipale sunt organice/alimentare; colectarea separata a biodeseurilor este instrumentul principal de deviere de la depozitare; (3) Compost si digestat — contribuie la tinta F2F de -50% pierderi nutritive; (4) Calitatea compostului.</w:t>
            </w:r>
          </w:p>
        </w:tc>
      </w:tr>
      <w:tr w:rsidR="00AE673F" w:rsidRPr="00187708" w14:paraId="073FE9AC"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EC46DC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17</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0B3B8B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EU-17</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9C22D61"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Directiva Emisii Industriale (IED) reformata</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953C77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5E18094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2024-2050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B28DBF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98B26D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A5CC71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44F7D4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886BDD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42D331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50E320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CA3131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8</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2720F2B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60C0C48"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IED reformat este de importanta critica pentru PNGD: (1) BAT pentru depozite — pentru prima data depozitele vor fi supuse concluziilor BAT; depozitele active din Romania vor deveni supuse limitelor de emisie obligatorii pentru metan si levigat (inclusiv PFAS); PNGD trebuie sa planifice actualizari de autorizatii si investitii de capital; (2) Incinerare si co-incinerare — instalatiile existente si planificate trebuie sa respecte BAT-AEL actualizate; (3) Transpunere pana la 1 iul. 2026 — in primul an de implementare PNGD; (4) Planuri de transformare — companiile din sectorul deseurilor trebui...</w:t>
            </w:r>
          </w:p>
        </w:tc>
      </w:tr>
      <w:tr w:rsidR="00AE673F" w:rsidRPr="00187708" w14:paraId="3F2DE6B3"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9F411D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18</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35D8BA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EU-18</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6C41729"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Regulamentul Materii Prime Critice (CRMA)</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BB932E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european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0AE355F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2024-2031</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E658A1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870933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1CD6C0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0B6B68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C84BB9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B1DBEA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F2850A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8AC03A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7</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5A14A20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4983B75"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CRMA creeaza o noua dimensiune pentru PNGD — recuperarea materiilor prime critice din fluxurile de deseuri: (1) Program national de circularitate — Romania trebuie sa dezvolte un program pana la 24 mai 2027 pentru colectarea, sortarea si procesarea fluxurilor de deseuri cu potential de recuperare MPC (in special DEEE cu pamanturi rare, PGM, cobalt, litiu; baterii; deseuri constructii cu tungsten); PNGD trebuie sa se alinieze cu acest program; (2) DEEE si baterii — tinta de reciclare 25% necesita colectare eficienta; (3) Deseuri extractive — Romania are industrii extractive semnificative; (4...</w:t>
            </w:r>
          </w:p>
        </w:tc>
      </w:tr>
      <w:tr w:rsidR="00AE673F" w:rsidRPr="00187708" w14:paraId="70D36358"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EF829C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19</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167C5CE"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RO-01</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51C5C1C"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Nationala Economie Circulara (SNEC)</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C0663C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3C2EBFA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Termen lung (viziune 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87C4FC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0C54E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822588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8AAB30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7A386D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778916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76F68E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8180DD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19</w:t>
            </w:r>
          </w:p>
        </w:tc>
        <w:tc>
          <w:tcPr>
            <w:tcW w:w="1255" w:type="dxa"/>
            <w:tcBorders>
              <w:top w:val="single" w:sz="4" w:space="0" w:color="BFBFBF" w:themeColor="background1" w:themeShade="BF"/>
              <w:bottom w:val="single" w:sz="4" w:space="0" w:color="BFBFBF" w:themeColor="background1" w:themeShade="BF"/>
            </w:tcBorders>
            <w:shd w:val="clear" w:color="E8F4F8" w:fill="C00000"/>
            <w:vAlign w:val="center"/>
            <w:hideMark/>
          </w:tcPr>
          <w:p w14:paraId="0DD85D48"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07F5B03"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SNEC este documentul de politica de nivel superior fata de care PNGD 2026-2035 se subordoneaza si pe care il operationalizeaza in domeniul gestionarii deseurilor. PNGD trebuie sa demonstreze ca obiectivele si masurile sale contribuie la atingerea celor 8 obiective strategice ale SNEC, in special privind prevenirea generarii de deseuri, cresterea reciclarii de inalta calitate si reducerea depozitarii finale. Adoptarea SNEC prin HG 1172/2022 a fost o conditie PNRR prealabila elaborarii PNGD.</w:t>
            </w:r>
          </w:p>
        </w:tc>
      </w:tr>
      <w:tr w:rsidR="00AE673F" w:rsidRPr="00187708" w14:paraId="36A4AC7F"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8971E5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87363FE"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RO-02</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DCFDB44"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Planul de Actiune Economia Circulara (PAEC)</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A1BB14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636D722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2024-2032</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8C1D95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FBC239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FAE463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BC8E7E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57551A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0CB1BA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AF0024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4940AE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18</w:t>
            </w:r>
          </w:p>
        </w:tc>
        <w:tc>
          <w:tcPr>
            <w:tcW w:w="1255" w:type="dxa"/>
            <w:tcBorders>
              <w:top w:val="single" w:sz="4" w:space="0" w:color="BFBFBF" w:themeColor="background1" w:themeShade="BF"/>
              <w:bottom w:val="single" w:sz="4" w:space="0" w:color="BFBFBF" w:themeColor="background1" w:themeShade="BF"/>
            </w:tcBorders>
            <w:shd w:val="clear" w:color="F2F2F2" w:fill="C00000"/>
            <w:vAlign w:val="center"/>
            <w:hideMark/>
          </w:tcPr>
          <w:p w14:paraId="1E7300E2"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CF5A416"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PAEC include un sector dedicat deseurilor municipale si ambalajelor cu actiuni prioritare numerotate si responsabili desemnati. PNGD 2026-2035 trebuie sa se alinieze la PAEC si sa implementeze actiunile relevante, inclusiv cele privind extinderea colectarii separate, infrastructura de reciclare, sistemele REP si SGR. Calendarul PAEC (2024-2032) se suprapune cu perioada PNGD, necesitand coordonare stransa in implementare.</w:t>
            </w:r>
          </w:p>
        </w:tc>
      </w:tr>
      <w:tr w:rsidR="00AE673F" w:rsidRPr="00187708" w14:paraId="1613D5A6"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67A4912"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21</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C52159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RO-03</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41280AA"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PNIESC 2021-2030</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4DEF911"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7905A5AA"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2021-2030 (perspectiva 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8B1563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644F50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E78520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8F08E2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F8AF27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084C05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D3557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981C4B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12</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4264733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2A459C0"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PNIESC include obiective de reducere a emisiilor GES pentru sectorul deseuri (non-ETS), in special reducerea emisiilor de metan (CH4) din depozite si a emisiilor de N2O din instalatiile de tratare biologica. PNGD 2026-2035 trebuie sa demonstreze ca masurile sale privind reducerea depozitarii, valorificarea energetica a biogazului si extinderea compostarii contribuie la atingerea tintelor climatice ale PNIESC. Evaluarea favorabila CE (mai 2025) confirma coerenta politicilor.</w:t>
            </w:r>
          </w:p>
        </w:tc>
      </w:tr>
      <w:tr w:rsidR="00AE673F" w:rsidRPr="00187708" w14:paraId="20F53054"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1F7EBF1"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22</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F233D9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RO-04</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5FE96CF"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Programul National Control Poluare Atmosferica (PNCPA)</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2EC4BA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3E1F384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2020-2030+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EC0051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79044C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4AA948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11C96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86848A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3B7755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01DB2E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E64D3A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7</w:t>
            </w:r>
          </w:p>
        </w:tc>
        <w:tc>
          <w:tcPr>
            <w:tcW w:w="1255" w:type="dxa"/>
            <w:tcBorders>
              <w:top w:val="single" w:sz="4" w:space="0" w:color="BFBFBF" w:themeColor="background1" w:themeShade="BF"/>
              <w:bottom w:val="single" w:sz="4" w:space="0" w:color="BFBFBF" w:themeColor="background1" w:themeShade="BF"/>
            </w:tcBorders>
            <w:shd w:val="clear" w:color="F2F2F2" w:fill="92D050"/>
            <w:vAlign w:val="center"/>
            <w:hideMark/>
          </w:tcPr>
          <w:p w14:paraId="4D19A7E8"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C4B547D"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Sectorul deseuri contribuie semnificativ la emisiile de NH3 (4,94%) si COVnm (1,24%), generate de depozite, instalatii de compostare si incinerare. PNGD 2026-2035 trebuie sa includa masuri specifice de reducere a emisiilor atmosferice din sectorul deseuri, compatibile cu angajamentele PNCPA: captarea si valorificarea biogazului din depozite, biofiltare pentru instalatii de compostare, echipamente de retinere a particulelor pentru incineratoare.</w:t>
            </w:r>
          </w:p>
        </w:tc>
      </w:tr>
      <w:tr w:rsidR="00AE673F" w:rsidRPr="00187708" w14:paraId="1EF5F4BC"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94BD62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23</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D63E651"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RO-05</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C87A258"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Planul National Management Ape (Ciclul III)</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A6BD99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46885F7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2022-2027</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8C2FC4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B54CB1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EFF298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DE8547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4FC425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C894AB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A04ED4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A10AF7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9</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1D2831D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A0BBA47"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Namolurile de la SEAU si levigatul din depozite sunt surse semnificative de poluare a corpurilor de apa. PNGD 2026-2035 trebuie sa prevada: (1) gestionarea conforma a namolurilor de epurare (valorificare agricola, incinerare, depozitare conforma); (2) impermeabilizarea si gestionarea levigatului din depozitele active si fostele depozite neconforme; (3) interzicerea amplasarii de noi depozite in zone de protectie a surselor de apa. Aceste obligatii sunt direct conditionate de cerintele PNM Ape.</w:t>
            </w:r>
          </w:p>
        </w:tc>
      </w:tr>
      <w:tr w:rsidR="00AE673F" w:rsidRPr="00187708" w14:paraId="66BE596D"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CBA99F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24</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DB0EE51"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RO-06</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7B3A0FA"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Planuri Management Risc Inundatii (Ciclul II)</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1333A9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755A727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2023-2027</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9E5218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643449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DAABF2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A7314E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BF5B98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CDA970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8E0C97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29E104E"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4</w:t>
            </w:r>
          </w:p>
        </w:tc>
        <w:tc>
          <w:tcPr>
            <w:tcW w:w="1255" w:type="dxa"/>
            <w:tcBorders>
              <w:top w:val="single" w:sz="4" w:space="0" w:color="BFBFBF" w:themeColor="background1" w:themeShade="BF"/>
              <w:bottom w:val="single" w:sz="4" w:space="0" w:color="BFBFBF" w:themeColor="background1" w:themeShade="BF"/>
            </w:tcBorders>
            <w:shd w:val="clear" w:color="F2F2F2" w:fill="92D050"/>
            <w:vAlign w:val="center"/>
            <w:hideMark/>
          </w:tcPr>
          <w:p w14:paraId="34E4690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99D687D"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 xml:space="preserve">Amplasarea depozitelor in sau in apropierea zonelor inundabile reprezinta un risc major de contaminare a apelor. PNGD 2026-2035 trebuie sa: (1) identifice depozitele amplasate in zone cu risc la inundatii si sa prevada masuri de reducere a riscului (relocare, protectie, inchidere prioritara); (2) interzica amplasarea de noi </w:t>
            </w:r>
            <w:r w:rsidRPr="00187708">
              <w:rPr>
                <w:rFonts w:ascii="Nunito" w:eastAsia="Times New Roman" w:hAnsi="Nunito" w:cs="Arial"/>
                <w:sz w:val="16"/>
                <w:szCs w:val="16"/>
                <w:lang w:val="ro-RO" w:eastAsia="ro-RO"/>
              </w:rPr>
              <w:lastRenderedPageBreak/>
              <w:t>facilitati de deseuri in zonele cu risc semnificativ PMRI; (3) asigure ca proiectele de infrastructura de deseuri finantat PDD/PNRR respecta hartile de hazard.</w:t>
            </w:r>
          </w:p>
        </w:tc>
      </w:tr>
      <w:tr w:rsidR="00AE673F" w:rsidRPr="00187708" w14:paraId="5C0834E3"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F79988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lastRenderedPageBreak/>
              <w:t>25</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6DCEBB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RO-07</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44B1382"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Situri Contaminate</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F384822"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7D33F50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2015-2050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D4BDB9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23520B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B3561B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9F2F49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89EEF0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4437CC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C17F8A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EABD8C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21A7C1D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BC3A7C6"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Fostele depozite de deseuri municipale si industriale neecologizate (din perioadele anterioare Directivei 1999/31/CE) constituie situri contaminate care se supun Strategiei HG 683/2015. PNGD 2026-2035 trebuie sa faca trimitere explicita la: (1) inventarul siturilor contaminate gestionat de ANPM; (2) procedura de investigare si remediere bazata pe risc; (3) surse de finantare disponibile (PDD 2021-2027, RSO2.7). Programul de inchidere a depozitelor neconforme din PNGD este direct conectat cu aceasta Strategie.</w:t>
            </w:r>
          </w:p>
        </w:tc>
      </w:tr>
      <w:tr w:rsidR="00AE673F" w:rsidRPr="00187708" w14:paraId="0F2FD65C"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1E1E02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26</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160088A"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RO-08</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C34529A"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SNPACB - Biodiversitate</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E51A7D2"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4DA0273D"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2014-2020 (revizuire 2021-2030)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40E240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D89FF3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210711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BCF5B4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CEE213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67D141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777CF4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A56CCD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5</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3EFD91AD"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0CA6275"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Amplasamentele de deseuri, instalatiile de tratare si infrastructura de colectare pot afecta habitate si specii din reteaua Natura 2000. PNGD 2026-2035 trebuie sa asigure ca: (1) toate proiectele de infrastructura din sau adiacent ariilor Natura 2000 sunt supuse evaluarii adecvate (AA) conform art. 28 din OUG 57/2007; (2) masurile de colectare si reciclare reduc poluarea difuza; (3) sunt excluse amplasamente in habitate prioritare. Coerenta cu viitoarea SNPACB 2021-2030.</w:t>
            </w:r>
          </w:p>
        </w:tc>
      </w:tr>
      <w:tr w:rsidR="00AE673F" w:rsidRPr="00187708" w14:paraId="6FEB26E5"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93F2F3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27</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802EF6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RO-09</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3A71284"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Mediu Marin (DCSMM/MSFD)</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B7E327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2362B0E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Ciclic — Ciclul III: 2024-2030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C299E8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3B3909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ABF9C4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3DAD69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D680CD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BC0883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367B1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91D551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11</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3556E3A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1680DED"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Descriptorul D10 (deseuri marine) este direct dependent de gestionarea deseurilor pe uscat, in special de reducerea plasticului care ajunge in Marea Neagra prin Dunare si afluenti. PNGD 2026-2035 trebuie sa includa: (1) masuri specifice de reducere a deseurilor abandonate si scurgerilor de plastic din sisteme inadecvate de colectare; (2) obiective cantitative de reducere a deseurilor marine conform D10; (3) mecanisme de raportare a contributiei sectorului de deseuri la atingerea GES.</w:t>
            </w:r>
          </w:p>
        </w:tc>
      </w:tr>
      <w:tr w:rsidR="00AE673F" w:rsidRPr="00187708" w14:paraId="77B1A4EA"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B400B51"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28</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2FEDA1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RO-10</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601C95A"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Nationala Gestionare Deseuri 2014-2020 (SNGD)</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D96341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665A6C7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2014-2020 (in curs de revizuire)</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5FFFDF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8BE429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60EA47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AC7D60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F6B776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8CFA91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196C3E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E73C8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16</w:t>
            </w:r>
          </w:p>
        </w:tc>
        <w:tc>
          <w:tcPr>
            <w:tcW w:w="1255" w:type="dxa"/>
            <w:tcBorders>
              <w:top w:val="single" w:sz="4" w:space="0" w:color="BFBFBF" w:themeColor="background1" w:themeShade="BF"/>
              <w:bottom w:val="single" w:sz="4" w:space="0" w:color="BFBFBF" w:themeColor="background1" w:themeShade="BF"/>
            </w:tcBorders>
            <w:shd w:val="clear" w:color="E8F4F8" w:fill="FF6600"/>
            <w:vAlign w:val="center"/>
            <w:hideMark/>
          </w:tcPr>
          <w:p w14:paraId="3508FFCD"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RIDICATA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54A1FC5"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SNGD 2014-2020 este documentul de politica de nivel superior fata de care PNGD (ca plan de implementare) se subordoneaza. PNGD 2026-2035 implementeaza, actualizeaza si extinde obiectivele SNGD pentru perioada 2026-2035, alinlindu-le la pachetul legislativ UE din 2018 (Directivele 2018/851, 2018/852, 2018/850). Actualizarea SNGD (in curs) va furniza cadrul strategic actualizat. PNGD trebuie sa asigure continuitate si coerenta cu traiectoria stabilita de SNGD.</w:t>
            </w:r>
          </w:p>
        </w:tc>
      </w:tr>
      <w:tr w:rsidR="00AE673F" w:rsidRPr="00187708" w14:paraId="6270722F"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5108D1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29</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702B3E8"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RO-11</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DBC966F"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Nationala Schimbari Climatice (SNASC)</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6E4014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141202A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2024-2030 (perspectiva 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1FC457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601B1B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A0A5D0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AA039F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FDDE50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EA7D48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791CFA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D74C5A"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9</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5198CBA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DC9668F"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Sectorul deseuri este inclus explicit in SNASC 2024-2030. PNGD 2026-2035 trebuie sa contribuie la: (1) reducerea emisiilor de CH4 din depozite prin captare biogaz, reducerea depozitarii biodegradabilelor si TMB; (2) reducerea emisiilor de N2O din compostare si tratare namoluri; (3) adaptarea infrastructurii de deseuri la riscuri climatice (temperaturi extreme, inundatii, seceta) identificate in SNASC. Coerenta reciproca PNGD-SNASC este necesara.</w:t>
            </w:r>
          </w:p>
        </w:tc>
      </w:tr>
      <w:tr w:rsidR="00AE673F" w:rsidRPr="00187708" w14:paraId="10B10FA7"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ED96731"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30</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5588EC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RO-12</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16A492C"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Dezvoltare Durabila 2030 (SDD)</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58617D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544E754A"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2018-2030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0F6895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CFF0F2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F4B7B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A37AC1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D196F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7996CC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3EFE3F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5095F5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11</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439C241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8214DC3"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PNGD 2026-2035 contribuie direct la atingerea ODD 12 (consum si productie responsabile, economie circulara) si ODD 11 (servicii urbane durabile, inclusiv gestionarea deseurilor) din SDD 2030. PNGD trebuie sa demonstreze alinierea la indicatorii nationali ODD relevanati si sa furnizeze date de monitorizare pentru raportarea VNR. SDD 2030 este cadrul de referinta care asigura coerenta PNGD cu alte politici nationale.</w:t>
            </w:r>
          </w:p>
        </w:tc>
      </w:tr>
      <w:tr w:rsidR="00AE673F" w:rsidRPr="00187708" w14:paraId="62FF3F82"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3B23D0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31</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7DC1AB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RO-13</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1F900E4"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PNRR - Planul National Redresare si Rezilienta</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8A4300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4DD43B1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2021-2026</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1EAB4A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2103F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1A3104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7B32D1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FD5638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8593D9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29C9F2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D915D3A"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17</w:t>
            </w:r>
          </w:p>
        </w:tc>
        <w:tc>
          <w:tcPr>
            <w:tcW w:w="1255" w:type="dxa"/>
            <w:tcBorders>
              <w:top w:val="single" w:sz="4" w:space="0" w:color="BFBFBF" w:themeColor="background1" w:themeShade="BF"/>
              <w:bottom w:val="single" w:sz="4" w:space="0" w:color="BFBFBF" w:themeColor="background1" w:themeShade="BF"/>
            </w:tcBorders>
            <w:shd w:val="clear" w:color="E8F4F8" w:fill="C00000"/>
            <w:vAlign w:val="center"/>
            <w:hideMark/>
          </w:tcPr>
          <w:p w14:paraId="0CB2424E"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DA661B6"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PNRR finanteaza investitiile de infrastructura necesare pentru PNGD: sortare, compostare, digestie anaeroba, TMB. Jaloanele PNRR au condus la adoptarea SNEC (HG 1172/2022) si OUG 92/2021 (SGR) — baza legislativa a PNGD. PNGD trebuie sa asigure: continuitatea investitiilor PNRR dupa 2026; operarea eficienta a infrastructurii finantate; planificarea din PDD 2021-2027 pentru proiectele care depasesc capacitatea PNRR. Componenta C3 este direct integrata in masurile PNGD.</w:t>
            </w:r>
          </w:p>
        </w:tc>
      </w:tr>
      <w:tr w:rsidR="00AE673F" w:rsidRPr="00187708" w14:paraId="0D9A9EB9"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534477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32</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1A7DB3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RO-14</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F9154B3"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Programul Dezvoltare Durabila 2021-2027 (PDD)</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56B25C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4A95197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2021-2027 (eligibilitate pana la 31.12.2029)</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4FE995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64E41E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344035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3408C6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E56171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7BFB8F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128F5F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B70CAB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15</w:t>
            </w:r>
          </w:p>
        </w:tc>
        <w:tc>
          <w:tcPr>
            <w:tcW w:w="1255" w:type="dxa"/>
            <w:tcBorders>
              <w:top w:val="single" w:sz="4" w:space="0" w:color="BFBFBF" w:themeColor="background1" w:themeShade="BF"/>
              <w:bottom w:val="single" w:sz="4" w:space="0" w:color="BFBFBF" w:themeColor="background1" w:themeShade="BF"/>
            </w:tcBorders>
            <w:shd w:val="clear" w:color="F2F2F2" w:fill="FF6600"/>
            <w:vAlign w:val="center"/>
            <w:hideMark/>
          </w:tcPr>
          <w:p w14:paraId="711D9AFB"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RIDICATA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7CF7A7C"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PDD 2021-2027 (RSO2.6) este principalul instrument de finantare pentru implementarea infrastructurii de deseuri prevazute in PNGD 2026-2035. Eligibilitatea proiectelor este explicit conditionata de conformitatea cu PNGD si PJGD, ceea ce inseamna ca adoptarea PNGD este un prerequisit pentru accesarea fondurilor. PNGD trebuie corelat cu criteriile si prioritatile ghidurilor PDD pentru a maximiza absorbtia fondurilor. RSO2.7 finanteaza si investigarea siturilor contaminate.</w:t>
            </w:r>
          </w:p>
        </w:tc>
      </w:tr>
      <w:tr w:rsidR="00AE673F" w:rsidRPr="00187708" w14:paraId="7C750B40"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FC7D11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33</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FADF7F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RO-15</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00E7BA6"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Strategia Nationala Paduri 2030 (SNP30)</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6AA5CA2"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50B077B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2023-2030 (perspectiva 2050)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CED583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85CDF7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DF58A4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FC6D2E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995032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A64A2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A779E5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A02908D"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4</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2F70515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2EDEBA0"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 xml:space="preserve">Legatura SNP30-PNGD opereaza pe mai multe niveluri: (1) Biomasa forestiera si deseuri din exploatari — PNGD trebuie sa asigure gestionarea deseurilor forestiere conform ierarhiei deseurilor; (2) Bioenergie din deseuri agricole si forestiere — PDD conditioneaza eligibilitatea proiectelor biogaz/biomasa de conformitatea cu SNP30; (3) Ambalaje din lemn si hartie/carton — obiectivele de reciclare din PNGD trebuie </w:t>
            </w:r>
            <w:r w:rsidRPr="00187708">
              <w:rPr>
                <w:rFonts w:ascii="Nunito" w:eastAsia="Times New Roman" w:hAnsi="Nunito" w:cs="Arial"/>
                <w:sz w:val="16"/>
                <w:szCs w:val="16"/>
                <w:lang w:val="ro-RO" w:eastAsia="ro-RO"/>
              </w:rPr>
              <w:lastRenderedPageBreak/>
              <w:t>corelate cu disponibilitatea materiei prime; (4) SNP30 = Jalon PNRR 22, confirmand alinierea investitiilor PNRR la politica forestiera.</w:t>
            </w:r>
          </w:p>
        </w:tc>
      </w:tr>
      <w:tr w:rsidR="00AE673F" w:rsidRPr="00187708" w14:paraId="2BB9D759"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13D83F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lastRenderedPageBreak/>
              <w:t>34</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FFBC8D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REG-01</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9547F21"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Planuri Regionale de Gestionare a Deseurilor (PRGD) - 8 regiuni</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99DD01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164581B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2020-2025 (urmatoarea generatie pe baza PNGD 2026-2035)</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38DFE2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95C129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C42A87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4697B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336BB7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5C3A83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E191ED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4C12EA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17</w:t>
            </w:r>
          </w:p>
        </w:tc>
        <w:tc>
          <w:tcPr>
            <w:tcW w:w="1255" w:type="dxa"/>
            <w:tcBorders>
              <w:top w:val="single" w:sz="4" w:space="0" w:color="BFBFBF" w:themeColor="background1" w:themeShade="BF"/>
              <w:bottom w:val="single" w:sz="4" w:space="0" w:color="BFBFBF" w:themeColor="background1" w:themeShade="BF"/>
            </w:tcBorders>
            <w:shd w:val="clear" w:color="F2F2F2" w:fill="C00000"/>
            <w:vAlign w:val="center"/>
            <w:hideMark/>
          </w:tcPr>
          <w:p w14:paraId="6227322D"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4BCD812"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PRGD sunt instrumentele de planificare intermediara intre PNGD (nivel national) si PJGD (nivel judetean). Adoptarea PNGD 2026-2035 va declansa obligatia de revizuire a tuturor celor 8 PRGD. PNGD trebuie sa furnizeze metodologia unitara, formatul standardizat si calendarul de elaborare a PRGD, asigurand coerenta verticala de la nivel national la nivel regional. PRGD detaliaza tintele PNGD pe cele 8 regiuni de dezvoltare si identifica proiectele de infrastructura prioritare la nivel regional.</w:t>
            </w:r>
          </w:p>
        </w:tc>
      </w:tr>
      <w:tr w:rsidR="00AE673F" w:rsidRPr="00187708" w14:paraId="111FB4D8"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3873CA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35</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62E01B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REG-02</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E05CFA1"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Planuri Judetene de Gestionare a Deseurilor (PJGD) - 41 judete + Bucuresti</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FFB4C1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16A42C3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2020-2025 (revizuire obligatorie dupa adoptare PNGD)</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33FE8B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5CF353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939EB3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E02054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E90921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B4233F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5D10F0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03A80A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18</w:t>
            </w:r>
          </w:p>
        </w:tc>
        <w:tc>
          <w:tcPr>
            <w:tcW w:w="1255" w:type="dxa"/>
            <w:tcBorders>
              <w:top w:val="single" w:sz="4" w:space="0" w:color="BFBFBF" w:themeColor="background1" w:themeShade="BF"/>
              <w:bottom w:val="single" w:sz="4" w:space="0" w:color="BFBFBF" w:themeColor="background1" w:themeShade="BF"/>
            </w:tcBorders>
            <w:shd w:val="clear" w:color="E8F4F8" w:fill="C00000"/>
            <w:vAlign w:val="center"/>
            <w:hideMark/>
          </w:tcPr>
          <w:p w14:paraId="7F661281"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CRITICA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9E0D388"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PJGD transpun PNGD la nivel judetean si sunt elaborate de CJ in colaborare cu APM conform Legii 211/2011. Adoptarea PNGD 2026-2035 va declansa revizuirea tuturor celor 42 PJGD. Finalizarea PJGD actualizate este conditie de eligibilitate pentru accesarea fondurilor PDD 2021-2027 (RSO2.6) pentru proiecte de infrastructura de deseuri. PNGD trebuie sa stabileasca metodologia unitara si calendarul de revizuire a PJGD, asigurand coerenta planificarii de la nivel national la nivel local.</w:t>
            </w:r>
          </w:p>
        </w:tc>
      </w:tr>
      <w:tr w:rsidR="00AE673F" w:rsidRPr="00187708" w14:paraId="2956C9F5"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8696AE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36</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F38099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REG-03</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3D503F5"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Sisteme de Management Integrat al Deseurilor (SMID) - 33 sisteme judetene</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E058B8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05C64C0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2018-2027+ (implementare continua)</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35F72C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FC3D62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6FC3C9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5AC2D5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95431F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E0D453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E2443B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0459D8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15</w:t>
            </w:r>
          </w:p>
        </w:tc>
        <w:tc>
          <w:tcPr>
            <w:tcW w:w="1255" w:type="dxa"/>
            <w:tcBorders>
              <w:top w:val="single" w:sz="4" w:space="0" w:color="BFBFBF" w:themeColor="background1" w:themeShade="BF"/>
              <w:bottom w:val="single" w:sz="4" w:space="0" w:color="BFBFBF" w:themeColor="background1" w:themeShade="BF"/>
            </w:tcBorders>
            <w:shd w:val="clear" w:color="F2F2F2" w:fill="FF6600"/>
            <w:vAlign w:val="center"/>
            <w:hideMark/>
          </w:tcPr>
          <w:p w14:paraId="29B89DFB"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RIDICATA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A917589"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SMID-urile sunt instrumentul principal de implementare fizica a obiectivelor PNGD la nivel judetean. PNGD 2026-2035 trebuie sa: (1) inventarieze stadiul actual al celor 33 SMID-uri si deficitele de capacitate; (2) planifice investitii suplimentare pentru judetele fara SMID functional; (3) asigure ca specificatiile tehnice ale noilor investitii sunt aliniate la tintele PNGD; (4) coordoneze calendarul de implementare cu programele de finantare PDD si PNRR.</w:t>
            </w:r>
          </w:p>
        </w:tc>
      </w:tr>
      <w:tr w:rsidR="00AE673F" w:rsidRPr="00187708" w14:paraId="42491481"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18E96E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37</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63F8F5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REG-04</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F6A75F0"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Planuri de Dezvoltare Regionala (PDR) 2021-2027 - 8 regiuni</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23B572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098A1F6D"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2021-2027</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2E43FF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9759B8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DC4C8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16FCF2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969C57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9C7FFC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8AB4D1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EB8DA6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44A0392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1BC5D03"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PDR-urile furnizeaza contextul strategic regional in care opereaza PNGD. Componentele de infrastructura de mediu din PDR includ investitii in gestionarea deseurilor. PNGD 2026-2035 trebuie sa fie coerent cu prioritatile identificate in PDR, in special privind: deficitele de infrastructura de deseuri pe regiuni, potentialul de valorificare energetica, necesarul de investitii in colectare separata si reciclare la nivel regional.</w:t>
            </w:r>
          </w:p>
        </w:tc>
      </w:tr>
      <w:tr w:rsidR="00AE673F" w:rsidRPr="00187708" w14:paraId="7A3447F5"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8A47F9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38</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9BF9ED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REG-05</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73CA566"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Programe Regionale (PR) 2021-2027 - 8 regiuni</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CA1FBF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5D4D131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2021-2027 (eligibilitate 2029)</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0E3498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A89966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B5B5105"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9400CB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935023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1A34FE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13DFD4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22B7AB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11</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2910A9F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F54FB29"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PR-urile 2021-2027 finanteaza investitii complementare PDD in infrastructura de deseuri la nivel regional, in special prin Prioritatea 3 (Tranzitie verde). PNGD 2026-2035 trebuie sa identifice proiectele de infrastructura de deseuri eligibile prin PR si sa asigure complementaritatea cu PDD (RSO2.6). Coordonarea PNGD cu PR este esentiala pentru maximizarea absorbtiei fondurilor UE pentru sectorul deseuri la nivel regional.</w:t>
            </w:r>
          </w:p>
        </w:tc>
      </w:tr>
      <w:tr w:rsidR="00AE673F" w:rsidRPr="00187708" w14:paraId="5C9532BD"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2B969C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39</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E1BE72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REG-06</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F7FF100"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Strategii Integrate de Dezvoltare Urbana (SIDU)</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A4D766D"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28C4FCF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828EFD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584C9D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241122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56341F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BE6264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757363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7C73C8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1693C5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9</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5D3CABC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B96A06B"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SIDU-urile includ componente de gestionare a deseurilor la nivel urban si sunt sursa de finantare pentru proiecte locale de infrastructura. PNGD 2026-2035 trebuie sa fie coerent cu SIDU-urile, in special privind: infrastructura de colectare separata in mediul urban, platforme de reutilizare, centre de reciclare de proximitate si gestionarea deseurilor din constructii-renovari. Obiectivele PNGD de acoperire universala cu servicii de colectare separata depind de implementarea SIDU.</w:t>
            </w:r>
          </w:p>
        </w:tc>
      </w:tr>
      <w:tr w:rsidR="00AE673F" w:rsidRPr="00187708" w14:paraId="71203CE7"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2C85EE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40</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BED2FB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REG-07</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54B4B22"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Planuri de Mobilitate Urbana Durabila (PMUD)</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48E02D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570EA68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8174F0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13F8C0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DEC6D4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229B44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4F6066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D61360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562676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B25075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4</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2696C42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0EF230C"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PMUD-urile abordeaza transportul deseurilor in context urban si au sinergii cu logistica de colectare din PNGD. PNGD 2026-2035 trebuie sa coordoneze cu PMUD-urile: (1) optimizarea rutelor de colectare a deseurilor pentru reducerea emisiilor; (2) tranzitia la vehicule de colectare cu emisii zero/scazute; (3) amplasarea strategica a statiilor de transfer si centrelor de colectare in concordanta cu planificarea mobilitatii urbane.</w:t>
            </w:r>
          </w:p>
        </w:tc>
      </w:tr>
      <w:tr w:rsidR="00AE673F" w:rsidRPr="00187708" w14:paraId="6084BBCF"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CCD56F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41</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C8D25A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REG-08</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DEA6A3B"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Planuri Urbanistice Generale (PUG) / Zonale (PUZ)</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4FA4F4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31C0E5C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Continuu (revizuire periodica)</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03D0FD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19481B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940490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23F6B3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5FFE6C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5445D8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AC578C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4B68D7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4</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6A5D996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3D29401"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PUG/PUZ stabilesc amplasarea instalatiilor de deseuri si zonele de colectare la nivel local. PNGD 2026-2035 trebuie sa asigure ca: (1) amplasamentele prevazute pentru noua infrastructura de deseuri sunt compatibile cu PUG/PUZ; (2) autoritatile locale actualizeaza PUG pentru a reflecta noile cerinte de infrastructura de deseuri (puncte de colectare, statii transfer, centre de reciclare); (3) procesul de SEA pentru PUG/PUZ include evaluarea impactului gestionarii deseurilor.</w:t>
            </w:r>
          </w:p>
        </w:tc>
      </w:tr>
      <w:tr w:rsidR="00AE673F" w:rsidRPr="00187708" w14:paraId="629B59DB"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F25DF0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42</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AEAA9F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REG-09</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78699E8"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Strategii judetene de dezvoltare durabila</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1CB2FD2"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1AF683A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2021-2027 (perspectiva 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E24602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48A6A0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D1253B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321ECF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78CB1F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B955D8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C32C2D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26A6D8E"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57F9AF2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0C28CAC"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Strategiile judetene includ obiective de mediu si gestionare a deseurilor complementare PJGD. PNGD 2026-2035 trebuie sa fie coerent cu aceste strategii, in special privind: (1) obiectivele de imbunatatire a ratei de reciclare la nivel judetean; (2) investitiile in infrastructura de mediu prevazute in strategii; (3) masurile de constientizare si educatie ecologica; (4) coordonarea cu planificarea de dezvoltare locala si regionala.</w:t>
            </w:r>
          </w:p>
        </w:tc>
      </w:tr>
      <w:tr w:rsidR="00AE673F" w:rsidRPr="00187708" w14:paraId="5D3FBFCB"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CD3095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lastRenderedPageBreak/>
              <w:t>43</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7192B5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REG-10</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BA06406"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Planuri de Actiune pentru Energie Durabila si Clima (PAED/SECAP)</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432A159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regional/judetean</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408B32C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2020-2030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727A58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7051BF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A0E548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2CDA6A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67FCFF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05A8C3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CC16D5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38BD91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6</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07148D0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A72B2BD"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PAED/SECAP abordeaza emisiile GES din deseuri la nivel local si sunt complementare cu masurile PNGD. PNGD 2026-2035 trebuie sa coordoneze cu PAED: (1) reducerea emisiilor de metan din depozitele municipale prin captare biogaz si reducerea deseurilor biodegradabile depozitate; (2) promovarea compostarii comunitare si a digestiei anaerobe; (3) tranzitia la vehicule de colectare cu emisii scazute; (4) alinierea indicatorilor de monitorizare GES din sectorul deseuri.</w:t>
            </w:r>
          </w:p>
        </w:tc>
      </w:tr>
      <w:tr w:rsidR="00AE673F" w:rsidRPr="00187708" w14:paraId="74E6C526"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71ADC55B"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44</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2792281"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INTL-01</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C2D7ECF"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Agenda 2030 / ODD (SDGs)</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866C42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097F2CCA"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2015-2030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EE5EC1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59F1CB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41DD47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76D1C0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FD9B60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E28F0D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3ABB70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D99625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15</w:t>
            </w:r>
          </w:p>
        </w:tc>
        <w:tc>
          <w:tcPr>
            <w:tcW w:w="1255" w:type="dxa"/>
            <w:tcBorders>
              <w:top w:val="single" w:sz="4" w:space="0" w:color="BFBFBF" w:themeColor="background1" w:themeShade="BF"/>
              <w:bottom w:val="single" w:sz="4" w:space="0" w:color="BFBFBF" w:themeColor="background1" w:themeShade="BF"/>
            </w:tcBorders>
            <w:shd w:val="clear" w:color="F2F2F2" w:fill="FF6600"/>
            <w:vAlign w:val="center"/>
            <w:hideMark/>
          </w:tcPr>
          <w:p w14:paraId="505F1C97"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r w:rsidRPr="00187708">
              <w:rPr>
                <w:rFonts w:ascii="Nunito" w:eastAsia="Times New Roman" w:hAnsi="Nunito" w:cs="Arial"/>
                <w:b/>
                <w:bCs/>
                <w:color w:val="FFFFFF"/>
                <w:sz w:val="16"/>
                <w:szCs w:val="16"/>
                <w:lang w:val="ro-RO" w:eastAsia="ro-RO"/>
              </w:rPr>
              <w:t>RIDICATA</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BD8BD65"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Agenda 2030 constituie cadrul strategic de referinta supraordonat pentru PNGD 2026-2035. Toate cele 9 instrumente internationale sunt, la randul lor, instrumente de implementare a ODD. PNGD trebuie sa demonstreze explicit contributia masurilor la atingerea ODD 11.6, 12.4, 12.5 si 14.1, in conformitate cu cerintele CE si cu angajamentele Romaniei fata de mecanismul HLPF. Indicatorul ODD 12.5.1 (rata de reciclare) este totodatta indicator-cheie al DCD.</w:t>
            </w:r>
          </w:p>
        </w:tc>
      </w:tr>
      <w:tr w:rsidR="00AE673F" w:rsidRPr="00187708" w14:paraId="3DAA83D9"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4262D9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45</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7AF5A7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INTL-02</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D2E3695"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de la Basel</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0F0EA89"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6562861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1992-nedeterminat</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BE6DE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78C13F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3E594C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98AB2F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901CCC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5190C71"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CFEF5F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C2FA17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12</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5A51E85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34AF520"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Basel este relevanta pentru PNGD in contextul: (1) Transporturi transfrontaliere — Romania exporta si importa deseuri; PNGD trebuie sa reflecte conformitatea cu procedura PIC si principiul autosuficientei; (2) Amendamentul plastic — Romania trebuie sa-si consolideze capacitatea interna de reciclare a plasticului pe masura ce exporturile sunt restrictionate; (3) Deseuri periculoase — PNGD trebuie sa prevada gestionarea ecologica (ESM) conform ghidurilor tehnice Basel; (4) WSR (UE) 2024/1157 implementeaza Basel in dreptul UE.</w:t>
            </w:r>
          </w:p>
        </w:tc>
      </w:tr>
      <w:tr w:rsidR="00AE673F" w:rsidRPr="00187708" w14:paraId="320B9C55"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190F0A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46</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06D01D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INTL-03</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0EBB63F"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de la Stockholm (POP)</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DBB6A5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79ECB66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2004-nedeterminat</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91E328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6847BC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38D068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440AB0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FEE360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09ADE5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05093D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E453A1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00D32BA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403E533A"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Stockholm obliga Romania sa gestioneze deseurile cu POP prin distrugere ireversibila sau transformare conforma BAT/BEP. PNGD 2026-2035 trebuie sa: (1) identifice fluxurile de deseuri cu potential de POP (DEEE, vehicule scoase din uz, materiale de constructii cu ignifuganti bromati, deseuri cu PFAS); (2) asigure capacitate de tratare/eliminare conforma (incinerare la temperaturi inalte); (3) preveni reintroducerea POP in economia circulara prin materiale reciclate.</w:t>
            </w:r>
          </w:p>
        </w:tc>
      </w:tr>
      <w:tr w:rsidR="00AE673F" w:rsidRPr="00187708" w14:paraId="33143116"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2793A0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47</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FB3ED8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INTL-04</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4ABCC07"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de la Minamata (mercur)</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3DBF08AD"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64BCB06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2017-nedeterminat</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5C884A3"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895288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D4159B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F1B15E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D22F0C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07C5AF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DBB5B1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7A1C67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9</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54477F8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55F5002A"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Minamata afecteaza PNGD prin obligatia de gestionare ecologica a deseurilor cu mercur (art. 11). PNGD 2026-2035 trebuie sa: (1) prevada colectarea separata a lampilor fluorescente, termometrelor si altor produse cu mercur; (2) asigure capacitate de depozitare provizorie si tratare conforma; (3) coordoneze cu tintele de colectare DEEE pentru lampile cu mercur; (4) monitorizeze emisiile de mercur din incineratoare si depozite conform cerintelor de raportare.</w:t>
            </w:r>
          </w:p>
        </w:tc>
      </w:tr>
      <w:tr w:rsidR="00AE673F" w:rsidRPr="00187708" w14:paraId="7B9B7C8F"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8ABED1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48</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6B2510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INTL-05</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61DA9D88"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Acordul de la Paris</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ADA4226"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42287A2E"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2016-nedeterminat</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5E4106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956032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3C3D0C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A2E15F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50CDE1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9B04DC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BA5959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A681C0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11</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5707A9B5"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C065FF1"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Acordul de la Paris este relevant pentru PNGD prin contributia sectorului deseuri la emisiile nationale GES. PNGD 2026-2035 trebuie sa demonstreze ca masurile sale contribuie la NDC-ul Romaniei: (1) reducerea emisiilor de CH4 din depozite (captare biogaz, deviere deseuri biodegradabile); (2) reducerea emisiilor din transport deseuri; (3) recuperare energetica din deseuri; (4) contributia economiei circulare la decarbonizare; (5) raportare in cadrul inventarului GES national.</w:t>
            </w:r>
          </w:p>
        </w:tc>
      </w:tr>
      <w:tr w:rsidR="00AE673F" w:rsidRPr="00187708" w14:paraId="0512ADEE"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7067C41"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49</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ED9784B"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INTL-06</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7E8B54E"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CBD / Cadrul Kunming-Montreal</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2580461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450D57D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2022-2030</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BEEABA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E3B8DB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DB7945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6C2D41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B4FC50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E45B63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36C49A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C5348B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6</w:t>
            </w:r>
          </w:p>
        </w:tc>
        <w:tc>
          <w:tcPr>
            <w:tcW w:w="1255" w:type="dxa"/>
            <w:tcBorders>
              <w:top w:val="single" w:sz="4" w:space="0" w:color="BFBFBF" w:themeColor="background1" w:themeShade="BF"/>
              <w:bottom w:val="single" w:sz="4" w:space="0" w:color="BFBFBF" w:themeColor="background1" w:themeShade="BF"/>
            </w:tcBorders>
            <w:shd w:val="clear" w:color="auto" w:fill="CDE2BF" w:themeFill="accent3" w:themeFillTint="99"/>
            <w:vAlign w:val="center"/>
            <w:hideMark/>
          </w:tcPr>
          <w:p w14:paraId="321875C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6F6B5E6F"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Cadrul Kunming-Montreal obliga Romania sa reduca poluarea cu deseuri a ecosistemelor (Tinta 7). PNGD 2026-2035 contribuie prin: (1) reducerea deseurilor abandonate si a descarcarii ilegale in habitate naturale; (2) reducerea poluarii cu plastic a corpurilor de apa si a Marii Negre; (3) gestionarea ecologica a deseurilor in si langa ariile protejate; (4) alinierea cu NBSAP revizuit al Romaniei si cu indicatorii GBF relevanti.</w:t>
            </w:r>
          </w:p>
        </w:tc>
      </w:tr>
      <w:tr w:rsidR="00AE673F" w:rsidRPr="00187708" w14:paraId="7397814F"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38A742A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50</w:t>
            </w:r>
          </w:p>
        </w:tc>
        <w:tc>
          <w:tcPr>
            <w:tcW w:w="988"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03B3D2B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INTL-07</w:t>
            </w:r>
          </w:p>
        </w:tc>
        <w:tc>
          <w:tcPr>
            <w:tcW w:w="1984"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24A66642"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Tratatul Global Plastic (negociere INC)</w:t>
            </w:r>
          </w:p>
        </w:tc>
        <w:tc>
          <w:tcPr>
            <w:tcW w:w="1559"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1EADADE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F2F2F2" w:fill="FFFFFF"/>
            <w:vAlign w:val="center"/>
            <w:hideMark/>
          </w:tcPr>
          <w:p w14:paraId="07F5F63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2025+ (in negociere)</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1F2D69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5C1F7DC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3F291F1A"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79AF0D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3</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E15BA5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299DCAB"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3B34FC9"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108865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w:t>
            </w:r>
          </w:p>
        </w:tc>
        <w:tc>
          <w:tcPr>
            <w:tcW w:w="1255" w:type="dxa"/>
            <w:tcBorders>
              <w:top w:val="single" w:sz="4" w:space="0" w:color="BFBFBF" w:themeColor="background1" w:themeShade="BF"/>
              <w:bottom w:val="single" w:sz="4" w:space="0" w:color="BFBFBF" w:themeColor="background1" w:themeShade="BF"/>
            </w:tcBorders>
            <w:shd w:val="clear" w:color="F2F2F2" w:fill="FFC000"/>
            <w:vAlign w:val="center"/>
            <w:hideMark/>
          </w:tcPr>
          <w:p w14:paraId="0F15C96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F2F2F2" w:fill="FFFFFF"/>
            <w:vAlign w:val="center"/>
            <w:hideMark/>
          </w:tcPr>
          <w:p w14:paraId="51DBAD63"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Tratatul Global Plastic va crea, odata adoptat, obligatii suplimentare pe care PNGD va trebui sa le integreze: (1) cerinte de colectare si reciclare a plasticului pe intreg ciclul de viata; (2) posibile interdictii globale ale anumitor polimeri/aditivi; (3) sisteme REP armonizate international; (4) raportare si transparenta privind fluxurile de plastic. PNGD 2026-2035 trebuie sa anticipeze aceste obligatii si sa construiasca flexibilitate pentru adaptare.</w:t>
            </w:r>
          </w:p>
        </w:tc>
      </w:tr>
      <w:tr w:rsidR="00AE673F" w:rsidRPr="00187708" w14:paraId="0EB7DABA" w14:textId="77777777">
        <w:trPr>
          <w:trHeight w:val="750"/>
          <w:jc w:val="center"/>
        </w:trPr>
        <w:tc>
          <w:tcPr>
            <w:tcW w:w="567"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648A571"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51</w:t>
            </w:r>
          </w:p>
        </w:tc>
        <w:tc>
          <w:tcPr>
            <w:tcW w:w="988"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7BFFAFB2"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INTL-08</w:t>
            </w:r>
          </w:p>
        </w:tc>
        <w:tc>
          <w:tcPr>
            <w:tcW w:w="1984"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B044317"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de la Bucuresti (Marea Neagra)</w:t>
            </w:r>
          </w:p>
        </w:tc>
        <w:tc>
          <w:tcPr>
            <w:tcW w:w="1559"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0D8E93EA"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bottom w:val="single" w:sz="4" w:space="0" w:color="BFBFBF" w:themeColor="background1" w:themeShade="BF"/>
            </w:tcBorders>
            <w:shd w:val="clear" w:color="E8F4F8" w:fill="F2F2F2"/>
            <w:vAlign w:val="center"/>
            <w:hideMark/>
          </w:tcPr>
          <w:p w14:paraId="31CD213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1994-nedeterminat</w:t>
            </w:r>
          </w:p>
        </w:tc>
        <w:tc>
          <w:tcPr>
            <w:tcW w:w="91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2580377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2DB9236"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C85093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16C07162"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20"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6FCA78C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4587F1F0"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0B594C0C"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bottom w:val="single" w:sz="4" w:space="0" w:color="BFBFBF" w:themeColor="background1" w:themeShade="BF"/>
            </w:tcBorders>
            <w:shd w:val="clear" w:color="auto" w:fill="FFFFFF" w:themeFill="background1"/>
            <w:vAlign w:val="center"/>
            <w:hideMark/>
          </w:tcPr>
          <w:p w14:paraId="7BC7234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8</w:t>
            </w:r>
          </w:p>
        </w:tc>
        <w:tc>
          <w:tcPr>
            <w:tcW w:w="1255" w:type="dxa"/>
            <w:tcBorders>
              <w:top w:val="single" w:sz="4" w:space="0" w:color="BFBFBF" w:themeColor="background1" w:themeShade="BF"/>
              <w:bottom w:val="single" w:sz="4" w:space="0" w:color="BFBFBF" w:themeColor="background1" w:themeShade="BF"/>
            </w:tcBorders>
            <w:shd w:val="clear" w:color="E8F4F8" w:fill="FFC000"/>
            <w:vAlign w:val="center"/>
            <w:hideMark/>
          </w:tcPr>
          <w:p w14:paraId="21A0459D"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MEDIE</w:t>
            </w:r>
          </w:p>
        </w:tc>
        <w:tc>
          <w:tcPr>
            <w:tcW w:w="6081" w:type="dxa"/>
            <w:tcBorders>
              <w:top w:val="single" w:sz="4" w:space="0" w:color="BFBFBF" w:themeColor="background1" w:themeShade="BF"/>
              <w:bottom w:val="single" w:sz="4" w:space="0" w:color="BFBFBF" w:themeColor="background1" w:themeShade="BF"/>
            </w:tcBorders>
            <w:shd w:val="clear" w:color="E8F4F8" w:fill="F2F2F2"/>
            <w:vAlign w:val="center"/>
            <w:hideMark/>
          </w:tcPr>
          <w:p w14:paraId="1C9B5926"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Conventia Bucuresti obliga Romania sa reduca poluarea de pe uscat care ajunge in Marea Neagra. PNGD 2026-2035 contribuie prin: (1) reducerea deseurilor de plastic si a altor deseuri care ajung in Dunare si afluentii sai; (2) eliminarea depozitelor ilegale din zone riverane; (3) imbunatatirea ratelor de colectare in localitatile din bazinul Marii Negre; (4) monitorizarea contributiei sectorului de deseuri la indicatorii BSSAP privind deseurile marine.</w:t>
            </w:r>
          </w:p>
        </w:tc>
      </w:tr>
      <w:tr w:rsidR="00AE673F" w:rsidRPr="00187708" w14:paraId="1962DD6F" w14:textId="77777777">
        <w:trPr>
          <w:trHeight w:val="1065"/>
          <w:jc w:val="center"/>
        </w:trPr>
        <w:tc>
          <w:tcPr>
            <w:tcW w:w="567" w:type="dxa"/>
            <w:tcBorders>
              <w:top w:val="single" w:sz="4" w:space="0" w:color="BFBFBF" w:themeColor="background1" w:themeShade="BF"/>
            </w:tcBorders>
            <w:shd w:val="clear" w:color="F2F2F2" w:fill="FFFFFF"/>
            <w:vAlign w:val="center"/>
            <w:hideMark/>
          </w:tcPr>
          <w:p w14:paraId="3E4ED5D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52</w:t>
            </w:r>
          </w:p>
        </w:tc>
        <w:tc>
          <w:tcPr>
            <w:tcW w:w="988" w:type="dxa"/>
            <w:tcBorders>
              <w:top w:val="single" w:sz="4" w:space="0" w:color="BFBFBF" w:themeColor="background1" w:themeShade="BF"/>
            </w:tcBorders>
            <w:shd w:val="clear" w:color="F2F2F2" w:fill="FFFFFF"/>
            <w:vAlign w:val="center"/>
            <w:hideMark/>
          </w:tcPr>
          <w:p w14:paraId="716E120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INTL-09</w:t>
            </w:r>
          </w:p>
        </w:tc>
        <w:tc>
          <w:tcPr>
            <w:tcW w:w="1984" w:type="dxa"/>
            <w:tcBorders>
              <w:top w:val="single" w:sz="4" w:space="0" w:color="BFBFBF" w:themeColor="background1" w:themeShade="BF"/>
            </w:tcBorders>
            <w:shd w:val="clear" w:color="F2F2F2" w:fill="FFFFFF"/>
            <w:vAlign w:val="center"/>
            <w:hideMark/>
          </w:tcPr>
          <w:p w14:paraId="26B7C6CE" w14:textId="77777777" w:rsidR="00AE673F" w:rsidRPr="00187708" w:rsidRDefault="00AE673F">
            <w:pPr>
              <w:spacing w:line="240" w:lineRule="auto"/>
              <w:ind w:firstLineChars="27" w:firstLine="43"/>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CLRTAP / Protocolul Goteborg</w:t>
            </w:r>
          </w:p>
        </w:tc>
        <w:tc>
          <w:tcPr>
            <w:tcW w:w="1559" w:type="dxa"/>
            <w:tcBorders>
              <w:top w:val="single" w:sz="4" w:space="0" w:color="BFBFBF" w:themeColor="background1" w:themeShade="BF"/>
            </w:tcBorders>
            <w:shd w:val="clear" w:color="F2F2F2" w:fill="FFFFFF"/>
            <w:vAlign w:val="center"/>
            <w:hideMark/>
          </w:tcPr>
          <w:p w14:paraId="7352A254"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Nivel international</w:t>
            </w:r>
          </w:p>
        </w:tc>
        <w:tc>
          <w:tcPr>
            <w:tcW w:w="2032" w:type="dxa"/>
            <w:gridSpan w:val="2"/>
            <w:tcBorders>
              <w:top w:val="single" w:sz="4" w:space="0" w:color="BFBFBF" w:themeColor="background1" w:themeShade="BF"/>
            </w:tcBorders>
            <w:shd w:val="clear" w:color="F2F2F2" w:fill="FFFFFF"/>
            <w:vAlign w:val="center"/>
            <w:hideMark/>
          </w:tcPr>
          <w:p w14:paraId="442A5405"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1979/1999-nedeterminat</w:t>
            </w:r>
          </w:p>
        </w:tc>
        <w:tc>
          <w:tcPr>
            <w:tcW w:w="914" w:type="dxa"/>
            <w:tcBorders>
              <w:top w:val="single" w:sz="4" w:space="0" w:color="BFBFBF" w:themeColor="background1" w:themeShade="BF"/>
            </w:tcBorders>
            <w:shd w:val="clear" w:color="auto" w:fill="FFFFFF" w:themeFill="background1"/>
            <w:vAlign w:val="center"/>
            <w:hideMark/>
          </w:tcPr>
          <w:p w14:paraId="26E6260D"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tcBorders>
            <w:shd w:val="clear" w:color="auto" w:fill="FFFFFF" w:themeFill="background1"/>
            <w:vAlign w:val="center"/>
            <w:hideMark/>
          </w:tcPr>
          <w:p w14:paraId="664E7937"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2</w:t>
            </w:r>
          </w:p>
        </w:tc>
        <w:tc>
          <w:tcPr>
            <w:tcW w:w="998" w:type="dxa"/>
            <w:tcBorders>
              <w:top w:val="single" w:sz="4" w:space="0" w:color="BFBFBF" w:themeColor="background1" w:themeShade="BF"/>
            </w:tcBorders>
            <w:shd w:val="clear" w:color="auto" w:fill="FFFFFF" w:themeFill="background1"/>
            <w:vAlign w:val="center"/>
            <w:hideMark/>
          </w:tcPr>
          <w:p w14:paraId="6B8D318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63" w:type="dxa"/>
            <w:tcBorders>
              <w:top w:val="single" w:sz="4" w:space="0" w:color="BFBFBF" w:themeColor="background1" w:themeShade="BF"/>
            </w:tcBorders>
            <w:shd w:val="clear" w:color="auto" w:fill="FFFFFF" w:themeFill="background1"/>
            <w:vAlign w:val="center"/>
            <w:hideMark/>
          </w:tcPr>
          <w:p w14:paraId="22B22698"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20" w:type="dxa"/>
            <w:tcBorders>
              <w:top w:val="single" w:sz="4" w:space="0" w:color="BFBFBF" w:themeColor="background1" w:themeShade="BF"/>
            </w:tcBorders>
            <w:shd w:val="clear" w:color="auto" w:fill="FFFFFF" w:themeFill="background1"/>
            <w:vAlign w:val="center"/>
            <w:hideMark/>
          </w:tcPr>
          <w:p w14:paraId="277F562F"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0</w:t>
            </w:r>
          </w:p>
        </w:tc>
        <w:tc>
          <w:tcPr>
            <w:tcW w:w="1152" w:type="dxa"/>
            <w:tcBorders>
              <w:top w:val="single" w:sz="4" w:space="0" w:color="BFBFBF" w:themeColor="background1" w:themeShade="BF"/>
            </w:tcBorders>
            <w:shd w:val="clear" w:color="auto" w:fill="FFFFFF" w:themeFill="background1"/>
            <w:vAlign w:val="center"/>
            <w:hideMark/>
          </w:tcPr>
          <w:p w14:paraId="5B1A0F0E"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804" w:type="dxa"/>
            <w:tcBorders>
              <w:top w:val="single" w:sz="4" w:space="0" w:color="BFBFBF" w:themeColor="background1" w:themeShade="BF"/>
            </w:tcBorders>
            <w:shd w:val="clear" w:color="auto" w:fill="FFFFFF" w:themeFill="background1"/>
            <w:vAlign w:val="center"/>
            <w:hideMark/>
          </w:tcPr>
          <w:p w14:paraId="11C07EF4" w14:textId="77777777" w:rsidR="00AE673F" w:rsidRPr="00187708" w:rsidRDefault="00AE673F">
            <w:pPr>
              <w:spacing w:line="240" w:lineRule="auto"/>
              <w:jc w:val="center"/>
              <w:rPr>
                <w:rFonts w:ascii="Nunito" w:eastAsia="Times New Roman" w:hAnsi="Nunito" w:cs="Arial"/>
                <w:b/>
                <w:bCs/>
                <w:color w:val="0000FF"/>
                <w:sz w:val="16"/>
                <w:szCs w:val="16"/>
                <w:lang w:val="ro-RO" w:eastAsia="ro-RO"/>
              </w:rPr>
            </w:pPr>
            <w:r w:rsidRPr="00187708">
              <w:rPr>
                <w:rFonts w:ascii="Nunito" w:eastAsia="Times New Roman" w:hAnsi="Nunito" w:cs="Arial"/>
                <w:b/>
                <w:bCs/>
                <w:color w:val="0000FF"/>
                <w:sz w:val="16"/>
                <w:szCs w:val="16"/>
                <w:lang w:val="ro-RO" w:eastAsia="ro-RO"/>
              </w:rPr>
              <w:t>1</w:t>
            </w:r>
          </w:p>
        </w:tc>
        <w:tc>
          <w:tcPr>
            <w:tcW w:w="916" w:type="dxa"/>
            <w:tcBorders>
              <w:top w:val="single" w:sz="4" w:space="0" w:color="BFBFBF" w:themeColor="background1" w:themeShade="BF"/>
            </w:tcBorders>
            <w:shd w:val="clear" w:color="auto" w:fill="FFFFFF" w:themeFill="background1"/>
            <w:vAlign w:val="center"/>
            <w:hideMark/>
          </w:tcPr>
          <w:p w14:paraId="20D31B9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7</w:t>
            </w:r>
          </w:p>
        </w:tc>
        <w:tc>
          <w:tcPr>
            <w:tcW w:w="1255" w:type="dxa"/>
            <w:tcBorders>
              <w:top w:val="single" w:sz="4" w:space="0" w:color="BFBFBF" w:themeColor="background1" w:themeShade="BF"/>
            </w:tcBorders>
            <w:shd w:val="clear" w:color="auto" w:fill="CDE2BF" w:themeFill="accent3" w:themeFillTint="99"/>
            <w:vAlign w:val="center"/>
            <w:hideMark/>
          </w:tcPr>
          <w:p w14:paraId="5DD5B47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SCAZUTA</w:t>
            </w:r>
          </w:p>
        </w:tc>
        <w:tc>
          <w:tcPr>
            <w:tcW w:w="6081" w:type="dxa"/>
            <w:tcBorders>
              <w:top w:val="single" w:sz="4" w:space="0" w:color="BFBFBF" w:themeColor="background1" w:themeShade="BF"/>
            </w:tcBorders>
            <w:shd w:val="clear" w:color="F2F2F2" w:fill="FFFFFF"/>
            <w:vAlign w:val="center"/>
            <w:hideMark/>
          </w:tcPr>
          <w:p w14:paraId="6A7804F3" w14:textId="77777777" w:rsidR="00AE673F" w:rsidRPr="00187708" w:rsidRDefault="00AE673F">
            <w:pPr>
              <w:spacing w:line="240" w:lineRule="auto"/>
              <w:jc w:val="both"/>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 xml:space="preserve">CLRTAP/Goteborg obliga Romania sa reduca emisiile transfrontaliere din incinerare si depozitare. PNGD 2026-2035 contribuie prin: (1) reducerea emisiilor de NH3, COVnm si PM2,5 din depozite si instalatii de compostare (prin captare biogaz, biofiltare, compostare in sisteme inchise); (2) respectarea BAT-AEL pentru </w:t>
            </w:r>
            <w:r w:rsidRPr="00187708">
              <w:rPr>
                <w:rFonts w:ascii="Nunito" w:eastAsia="Times New Roman" w:hAnsi="Nunito" w:cs="Arial"/>
                <w:sz w:val="16"/>
                <w:szCs w:val="16"/>
                <w:lang w:val="ro-RO" w:eastAsia="ro-RO"/>
              </w:rPr>
              <w:lastRenderedPageBreak/>
              <w:t>incineratoare; (3) alinierea cu angajamentele PNCPA care transpune Protocolul Goteborg in legislatia nationala.</w:t>
            </w:r>
          </w:p>
        </w:tc>
      </w:tr>
      <w:tr w:rsidR="00AE673F" w:rsidRPr="00187708" w14:paraId="2964A47F" w14:textId="77777777">
        <w:trPr>
          <w:trHeight w:val="300"/>
          <w:jc w:val="center"/>
        </w:trPr>
        <w:tc>
          <w:tcPr>
            <w:tcW w:w="567" w:type="dxa"/>
            <w:noWrap/>
            <w:vAlign w:val="bottom"/>
            <w:hideMark/>
          </w:tcPr>
          <w:p w14:paraId="00D5A82C" w14:textId="77777777" w:rsidR="00AE673F" w:rsidRPr="00187708" w:rsidRDefault="00AE673F">
            <w:pPr>
              <w:spacing w:line="240" w:lineRule="auto"/>
              <w:ind w:firstLineChars="100" w:firstLine="180"/>
              <w:rPr>
                <w:rFonts w:ascii="Arial" w:eastAsia="Times New Roman" w:hAnsi="Arial" w:cs="Arial"/>
                <w:lang w:val="ro-RO" w:eastAsia="ro-RO"/>
              </w:rPr>
            </w:pPr>
          </w:p>
        </w:tc>
        <w:tc>
          <w:tcPr>
            <w:tcW w:w="988" w:type="dxa"/>
            <w:noWrap/>
            <w:vAlign w:val="bottom"/>
            <w:hideMark/>
          </w:tcPr>
          <w:p w14:paraId="1FA13FFB"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3543" w:type="dxa"/>
            <w:gridSpan w:val="2"/>
            <w:noWrap/>
            <w:vAlign w:val="bottom"/>
            <w:hideMark/>
          </w:tcPr>
          <w:p w14:paraId="0820492B"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768" w:type="dxa"/>
            <w:noWrap/>
            <w:vAlign w:val="bottom"/>
            <w:hideMark/>
          </w:tcPr>
          <w:p w14:paraId="59A3B273"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1264" w:type="dxa"/>
            <w:noWrap/>
            <w:vAlign w:val="bottom"/>
            <w:hideMark/>
          </w:tcPr>
          <w:p w14:paraId="7801D455"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14" w:type="dxa"/>
            <w:noWrap/>
            <w:vAlign w:val="bottom"/>
            <w:hideMark/>
          </w:tcPr>
          <w:p w14:paraId="793BAE45"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63" w:type="dxa"/>
            <w:noWrap/>
            <w:vAlign w:val="bottom"/>
            <w:hideMark/>
          </w:tcPr>
          <w:p w14:paraId="019994C4"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98" w:type="dxa"/>
            <w:noWrap/>
            <w:vAlign w:val="bottom"/>
            <w:hideMark/>
          </w:tcPr>
          <w:p w14:paraId="7BECD4E1"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63" w:type="dxa"/>
            <w:noWrap/>
            <w:vAlign w:val="bottom"/>
            <w:hideMark/>
          </w:tcPr>
          <w:p w14:paraId="47AFA5FD"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20" w:type="dxa"/>
            <w:noWrap/>
            <w:vAlign w:val="bottom"/>
            <w:hideMark/>
          </w:tcPr>
          <w:p w14:paraId="387FAFA8"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1152" w:type="dxa"/>
            <w:noWrap/>
            <w:vAlign w:val="bottom"/>
            <w:hideMark/>
          </w:tcPr>
          <w:p w14:paraId="15828438"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804" w:type="dxa"/>
            <w:noWrap/>
            <w:vAlign w:val="bottom"/>
            <w:hideMark/>
          </w:tcPr>
          <w:p w14:paraId="4B17170F"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16" w:type="dxa"/>
            <w:noWrap/>
            <w:vAlign w:val="bottom"/>
            <w:hideMark/>
          </w:tcPr>
          <w:p w14:paraId="4FDC7590"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1255" w:type="dxa"/>
            <w:noWrap/>
            <w:vAlign w:val="bottom"/>
            <w:hideMark/>
          </w:tcPr>
          <w:p w14:paraId="5796EA5B"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6081" w:type="dxa"/>
            <w:noWrap/>
            <w:vAlign w:val="bottom"/>
            <w:hideMark/>
          </w:tcPr>
          <w:p w14:paraId="53A9851E"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r>
      <w:tr w:rsidR="00AE673F" w:rsidRPr="00187708" w14:paraId="77F47CFB" w14:textId="77777777" w:rsidTr="001802CD">
        <w:trPr>
          <w:trHeight w:val="119"/>
          <w:jc w:val="center"/>
        </w:trPr>
        <w:tc>
          <w:tcPr>
            <w:tcW w:w="7130" w:type="dxa"/>
            <w:gridSpan w:val="6"/>
            <w:noWrap/>
            <w:vAlign w:val="bottom"/>
            <w:hideMark/>
          </w:tcPr>
          <w:p w14:paraId="15075263" w14:textId="77777777" w:rsidR="00AE673F" w:rsidRPr="00187708" w:rsidRDefault="00AE673F">
            <w:pPr>
              <w:spacing w:line="240" w:lineRule="auto"/>
              <w:rPr>
                <w:rFonts w:ascii="Arial" w:eastAsia="Times New Roman" w:hAnsi="Arial" w:cs="Arial"/>
                <w:b/>
                <w:bCs/>
                <w:sz w:val="20"/>
                <w:szCs w:val="20"/>
                <w:lang w:val="ro-RO" w:eastAsia="ro-RO"/>
              </w:rPr>
            </w:pPr>
            <w:r w:rsidRPr="00187708">
              <w:rPr>
                <w:rFonts w:ascii="Arial" w:eastAsia="Times New Roman" w:hAnsi="Arial" w:cs="Arial"/>
                <w:b/>
                <w:bCs/>
                <w:sz w:val="20"/>
                <w:szCs w:val="20"/>
                <w:lang w:val="ro-RO" w:eastAsia="ro-RO"/>
              </w:rPr>
              <w:t>TOTAL / MEDIE</w:t>
            </w:r>
          </w:p>
        </w:tc>
        <w:tc>
          <w:tcPr>
            <w:tcW w:w="914" w:type="dxa"/>
            <w:shd w:val="clear" w:color="D9E2F3" w:fill="D6E4F0"/>
            <w:vAlign w:val="center"/>
            <w:hideMark/>
          </w:tcPr>
          <w:p w14:paraId="54F066EC"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2,0</w:t>
            </w:r>
          </w:p>
        </w:tc>
        <w:tc>
          <w:tcPr>
            <w:tcW w:w="963" w:type="dxa"/>
            <w:shd w:val="clear" w:color="D9E2F3" w:fill="D6E4F0"/>
            <w:vAlign w:val="center"/>
            <w:hideMark/>
          </w:tcPr>
          <w:p w14:paraId="25A9461A"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1,7</w:t>
            </w:r>
          </w:p>
        </w:tc>
        <w:tc>
          <w:tcPr>
            <w:tcW w:w="998" w:type="dxa"/>
            <w:shd w:val="clear" w:color="D9E2F3" w:fill="D6E4F0"/>
            <w:vAlign w:val="center"/>
            <w:hideMark/>
          </w:tcPr>
          <w:p w14:paraId="69F3092B"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1,4</w:t>
            </w:r>
          </w:p>
        </w:tc>
        <w:tc>
          <w:tcPr>
            <w:tcW w:w="963" w:type="dxa"/>
            <w:shd w:val="clear" w:color="D9E2F3" w:fill="D6E4F0"/>
            <w:vAlign w:val="center"/>
            <w:hideMark/>
          </w:tcPr>
          <w:p w14:paraId="2BB39987"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2,1</w:t>
            </w:r>
          </w:p>
        </w:tc>
        <w:tc>
          <w:tcPr>
            <w:tcW w:w="920" w:type="dxa"/>
            <w:shd w:val="clear" w:color="D9E2F3" w:fill="D6E4F0"/>
            <w:vAlign w:val="center"/>
            <w:hideMark/>
          </w:tcPr>
          <w:p w14:paraId="2415A0E5"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1,0</w:t>
            </w:r>
          </w:p>
        </w:tc>
        <w:tc>
          <w:tcPr>
            <w:tcW w:w="1152" w:type="dxa"/>
            <w:shd w:val="clear" w:color="D9E2F3" w:fill="D6E4F0"/>
            <w:vAlign w:val="center"/>
            <w:hideMark/>
          </w:tcPr>
          <w:p w14:paraId="6CCA244A"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1,6</w:t>
            </w:r>
          </w:p>
        </w:tc>
        <w:tc>
          <w:tcPr>
            <w:tcW w:w="804" w:type="dxa"/>
            <w:shd w:val="clear" w:color="D9E2F3" w:fill="D6E4F0"/>
            <w:vAlign w:val="center"/>
            <w:hideMark/>
          </w:tcPr>
          <w:p w14:paraId="21DF2671"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1,4</w:t>
            </w:r>
          </w:p>
        </w:tc>
        <w:tc>
          <w:tcPr>
            <w:tcW w:w="916" w:type="dxa"/>
            <w:shd w:val="clear" w:color="D9E2F3" w:fill="D6E4F0"/>
            <w:vAlign w:val="center"/>
            <w:hideMark/>
          </w:tcPr>
          <w:p w14:paraId="08D284C3" w14:textId="77777777" w:rsidR="00AE673F" w:rsidRPr="00187708" w:rsidRDefault="00AE673F">
            <w:pPr>
              <w:spacing w:line="240" w:lineRule="auto"/>
              <w:jc w:val="center"/>
              <w:rPr>
                <w:rFonts w:ascii="Arial" w:eastAsia="Times New Roman" w:hAnsi="Arial" w:cs="Arial"/>
                <w:b/>
                <w:bCs/>
                <w:sz w:val="22"/>
                <w:szCs w:val="22"/>
                <w:lang w:val="ro-RO" w:eastAsia="ro-RO"/>
              </w:rPr>
            </w:pPr>
            <w:r w:rsidRPr="00187708">
              <w:rPr>
                <w:rFonts w:ascii="Arial" w:eastAsia="Times New Roman" w:hAnsi="Arial" w:cs="Arial"/>
                <w:b/>
                <w:bCs/>
                <w:sz w:val="22"/>
                <w:szCs w:val="22"/>
                <w:lang w:val="ro-RO" w:eastAsia="ro-RO"/>
              </w:rPr>
              <w:t>11,1</w:t>
            </w:r>
          </w:p>
        </w:tc>
        <w:tc>
          <w:tcPr>
            <w:tcW w:w="1255" w:type="dxa"/>
            <w:noWrap/>
            <w:vAlign w:val="bottom"/>
            <w:hideMark/>
          </w:tcPr>
          <w:p w14:paraId="0F3BD9CD" w14:textId="77777777" w:rsidR="00AE673F" w:rsidRPr="00187708" w:rsidRDefault="00AE673F">
            <w:pPr>
              <w:spacing w:line="240" w:lineRule="auto"/>
              <w:jc w:val="center"/>
              <w:rPr>
                <w:rFonts w:ascii="Arial" w:eastAsia="Times New Roman" w:hAnsi="Arial" w:cs="Arial"/>
                <w:b/>
                <w:bCs/>
                <w:sz w:val="22"/>
                <w:szCs w:val="22"/>
                <w:lang w:val="ro-RO" w:eastAsia="ro-RO"/>
              </w:rPr>
            </w:pPr>
          </w:p>
        </w:tc>
        <w:tc>
          <w:tcPr>
            <w:tcW w:w="6081" w:type="dxa"/>
            <w:noWrap/>
            <w:vAlign w:val="bottom"/>
            <w:hideMark/>
          </w:tcPr>
          <w:p w14:paraId="061F405A"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r>
      <w:tr w:rsidR="00AE673F" w:rsidRPr="00187708" w14:paraId="027E168D" w14:textId="77777777">
        <w:trPr>
          <w:trHeight w:val="300"/>
          <w:jc w:val="center"/>
        </w:trPr>
        <w:tc>
          <w:tcPr>
            <w:tcW w:w="7130" w:type="dxa"/>
            <w:gridSpan w:val="6"/>
            <w:noWrap/>
            <w:vAlign w:val="bottom"/>
            <w:hideMark/>
          </w:tcPr>
          <w:p w14:paraId="796BA38A" w14:textId="77777777" w:rsidR="00AE673F" w:rsidRPr="00187708" w:rsidRDefault="00AE673F">
            <w:pPr>
              <w:spacing w:line="240" w:lineRule="auto"/>
              <w:rPr>
                <w:rFonts w:ascii="Arial" w:eastAsia="Times New Roman" w:hAnsi="Arial" w:cs="Arial"/>
                <w:b/>
                <w:bCs/>
                <w:lang w:val="ro-RO" w:eastAsia="ro-RO"/>
              </w:rPr>
            </w:pPr>
            <w:r w:rsidRPr="00187708">
              <w:rPr>
                <w:rFonts w:ascii="Arial" w:eastAsia="Times New Roman" w:hAnsi="Arial" w:cs="Arial"/>
                <w:b/>
                <w:bCs/>
                <w:lang w:val="ro-RO" w:eastAsia="ro-RO"/>
              </w:rPr>
              <w:t>DISTRIBUTIE</w:t>
            </w:r>
          </w:p>
        </w:tc>
        <w:tc>
          <w:tcPr>
            <w:tcW w:w="914" w:type="dxa"/>
            <w:vAlign w:val="center"/>
            <w:hideMark/>
          </w:tcPr>
          <w:p w14:paraId="316DD6CD"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10</w:t>
            </w:r>
          </w:p>
        </w:tc>
        <w:tc>
          <w:tcPr>
            <w:tcW w:w="963" w:type="dxa"/>
            <w:vAlign w:val="center"/>
            <w:hideMark/>
          </w:tcPr>
          <w:p w14:paraId="5DD63F14"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6</w:t>
            </w:r>
          </w:p>
        </w:tc>
        <w:tc>
          <w:tcPr>
            <w:tcW w:w="998" w:type="dxa"/>
            <w:vAlign w:val="center"/>
            <w:hideMark/>
          </w:tcPr>
          <w:p w14:paraId="7F3EBC7A"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23</w:t>
            </w:r>
          </w:p>
        </w:tc>
        <w:tc>
          <w:tcPr>
            <w:tcW w:w="963" w:type="dxa"/>
            <w:vAlign w:val="center"/>
            <w:hideMark/>
          </w:tcPr>
          <w:p w14:paraId="24D188D6"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13</w:t>
            </w:r>
          </w:p>
        </w:tc>
        <w:tc>
          <w:tcPr>
            <w:tcW w:w="920" w:type="dxa"/>
            <w:vAlign w:val="center"/>
            <w:hideMark/>
          </w:tcPr>
          <w:p w14:paraId="157B3E9B" w14:textId="77777777" w:rsidR="00AE673F" w:rsidRPr="00187708" w:rsidRDefault="00AE673F">
            <w:pPr>
              <w:spacing w:line="240" w:lineRule="auto"/>
              <w:jc w:val="center"/>
              <w:rPr>
                <w:rFonts w:ascii="Arial" w:eastAsia="Times New Roman" w:hAnsi="Arial" w:cs="Arial"/>
                <w:b/>
                <w:bCs/>
                <w:lang w:val="ro-RO" w:eastAsia="ro-RO"/>
              </w:rPr>
            </w:pPr>
            <w:r w:rsidRPr="00187708">
              <w:rPr>
                <w:rFonts w:ascii="Arial" w:eastAsia="Times New Roman" w:hAnsi="Arial" w:cs="Arial"/>
                <w:b/>
                <w:bCs/>
                <w:lang w:val="ro-RO" w:eastAsia="ro-RO"/>
              </w:rPr>
              <w:t>0</w:t>
            </w:r>
          </w:p>
        </w:tc>
        <w:tc>
          <w:tcPr>
            <w:tcW w:w="1152" w:type="dxa"/>
            <w:noWrap/>
            <w:vAlign w:val="bottom"/>
            <w:hideMark/>
          </w:tcPr>
          <w:p w14:paraId="341D7103" w14:textId="77777777" w:rsidR="00AE673F" w:rsidRPr="00187708" w:rsidRDefault="00AE673F">
            <w:pPr>
              <w:spacing w:line="240" w:lineRule="auto"/>
              <w:jc w:val="center"/>
              <w:rPr>
                <w:rFonts w:ascii="Arial" w:eastAsia="Times New Roman" w:hAnsi="Arial" w:cs="Arial"/>
                <w:b/>
                <w:bCs/>
                <w:lang w:val="ro-RO" w:eastAsia="ro-RO"/>
              </w:rPr>
            </w:pPr>
          </w:p>
        </w:tc>
        <w:tc>
          <w:tcPr>
            <w:tcW w:w="804" w:type="dxa"/>
            <w:noWrap/>
            <w:vAlign w:val="bottom"/>
            <w:hideMark/>
          </w:tcPr>
          <w:p w14:paraId="68855C79"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16" w:type="dxa"/>
            <w:noWrap/>
            <w:vAlign w:val="bottom"/>
            <w:hideMark/>
          </w:tcPr>
          <w:p w14:paraId="5F398CBC"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1255" w:type="dxa"/>
            <w:noWrap/>
            <w:vAlign w:val="bottom"/>
            <w:hideMark/>
          </w:tcPr>
          <w:p w14:paraId="3DD8EF06"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6081" w:type="dxa"/>
            <w:noWrap/>
            <w:vAlign w:val="bottom"/>
            <w:hideMark/>
          </w:tcPr>
          <w:p w14:paraId="46569424"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r>
      <w:tr w:rsidR="00AE673F" w:rsidRPr="00187708" w14:paraId="260564F0" w14:textId="77777777">
        <w:trPr>
          <w:trHeight w:val="300"/>
          <w:jc w:val="center"/>
        </w:trPr>
        <w:tc>
          <w:tcPr>
            <w:tcW w:w="567" w:type="dxa"/>
            <w:noWrap/>
            <w:vAlign w:val="bottom"/>
            <w:hideMark/>
          </w:tcPr>
          <w:p w14:paraId="3A33E129"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88" w:type="dxa"/>
            <w:noWrap/>
            <w:vAlign w:val="bottom"/>
            <w:hideMark/>
          </w:tcPr>
          <w:p w14:paraId="7351B5BD"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3543" w:type="dxa"/>
            <w:gridSpan w:val="2"/>
            <w:noWrap/>
            <w:vAlign w:val="bottom"/>
            <w:hideMark/>
          </w:tcPr>
          <w:p w14:paraId="20B60E52"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768" w:type="dxa"/>
            <w:noWrap/>
            <w:vAlign w:val="bottom"/>
            <w:hideMark/>
          </w:tcPr>
          <w:p w14:paraId="0350209B"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1264" w:type="dxa"/>
            <w:noWrap/>
            <w:vAlign w:val="bottom"/>
            <w:hideMark/>
          </w:tcPr>
          <w:p w14:paraId="33FF925B"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14" w:type="dxa"/>
            <w:vAlign w:val="center"/>
            <w:hideMark/>
          </w:tcPr>
          <w:p w14:paraId="6E9E81CD" w14:textId="77777777" w:rsidR="00AE673F" w:rsidRPr="00187708" w:rsidRDefault="00AE673F">
            <w:pPr>
              <w:spacing w:line="240" w:lineRule="auto"/>
              <w:jc w:val="center"/>
              <w:rPr>
                <w:rFonts w:ascii="Arial" w:eastAsia="Times New Roman" w:hAnsi="Arial" w:cs="Arial"/>
                <w:i/>
                <w:iCs/>
                <w:sz w:val="16"/>
                <w:szCs w:val="16"/>
                <w:lang w:val="ro-RO" w:eastAsia="ro-RO"/>
              </w:rPr>
            </w:pPr>
            <w:r w:rsidRPr="00187708">
              <w:rPr>
                <w:rFonts w:ascii="Arial" w:eastAsia="Times New Roman" w:hAnsi="Arial" w:cs="Arial"/>
                <w:i/>
                <w:iCs/>
                <w:sz w:val="16"/>
                <w:szCs w:val="16"/>
                <w:lang w:val="ro-RO" w:eastAsia="ro-RO"/>
              </w:rPr>
              <w:t>CRITICA</w:t>
            </w:r>
          </w:p>
        </w:tc>
        <w:tc>
          <w:tcPr>
            <w:tcW w:w="963" w:type="dxa"/>
            <w:vAlign w:val="center"/>
            <w:hideMark/>
          </w:tcPr>
          <w:p w14:paraId="51E69706" w14:textId="77777777" w:rsidR="00AE673F" w:rsidRPr="00187708" w:rsidRDefault="00AE673F">
            <w:pPr>
              <w:spacing w:line="240" w:lineRule="auto"/>
              <w:jc w:val="center"/>
              <w:rPr>
                <w:rFonts w:ascii="Arial" w:eastAsia="Times New Roman" w:hAnsi="Arial" w:cs="Arial"/>
                <w:i/>
                <w:iCs/>
                <w:sz w:val="16"/>
                <w:szCs w:val="16"/>
                <w:lang w:val="ro-RO" w:eastAsia="ro-RO"/>
              </w:rPr>
            </w:pPr>
            <w:r w:rsidRPr="00187708">
              <w:rPr>
                <w:rFonts w:ascii="Arial" w:eastAsia="Times New Roman" w:hAnsi="Arial" w:cs="Arial"/>
                <w:i/>
                <w:iCs/>
                <w:sz w:val="16"/>
                <w:szCs w:val="16"/>
                <w:lang w:val="ro-RO" w:eastAsia="ro-RO"/>
              </w:rPr>
              <w:t>RIDICATA</w:t>
            </w:r>
          </w:p>
        </w:tc>
        <w:tc>
          <w:tcPr>
            <w:tcW w:w="998" w:type="dxa"/>
            <w:vAlign w:val="center"/>
            <w:hideMark/>
          </w:tcPr>
          <w:p w14:paraId="163C9D45" w14:textId="77777777" w:rsidR="00AE673F" w:rsidRPr="00187708" w:rsidRDefault="00AE673F">
            <w:pPr>
              <w:spacing w:line="240" w:lineRule="auto"/>
              <w:jc w:val="center"/>
              <w:rPr>
                <w:rFonts w:ascii="Arial" w:eastAsia="Times New Roman" w:hAnsi="Arial" w:cs="Arial"/>
                <w:i/>
                <w:iCs/>
                <w:sz w:val="16"/>
                <w:szCs w:val="16"/>
                <w:lang w:val="ro-RO" w:eastAsia="ro-RO"/>
              </w:rPr>
            </w:pPr>
            <w:r w:rsidRPr="00187708">
              <w:rPr>
                <w:rFonts w:ascii="Arial" w:eastAsia="Times New Roman" w:hAnsi="Arial" w:cs="Arial"/>
                <w:i/>
                <w:iCs/>
                <w:sz w:val="16"/>
                <w:szCs w:val="16"/>
                <w:lang w:val="ro-RO" w:eastAsia="ro-RO"/>
              </w:rPr>
              <w:t>MEDIE</w:t>
            </w:r>
          </w:p>
        </w:tc>
        <w:tc>
          <w:tcPr>
            <w:tcW w:w="963" w:type="dxa"/>
            <w:vAlign w:val="center"/>
            <w:hideMark/>
          </w:tcPr>
          <w:p w14:paraId="2E6A1C9C" w14:textId="77777777" w:rsidR="00AE673F" w:rsidRPr="00187708" w:rsidRDefault="00AE673F">
            <w:pPr>
              <w:spacing w:line="240" w:lineRule="auto"/>
              <w:jc w:val="center"/>
              <w:rPr>
                <w:rFonts w:ascii="Arial" w:eastAsia="Times New Roman" w:hAnsi="Arial" w:cs="Arial"/>
                <w:i/>
                <w:iCs/>
                <w:sz w:val="16"/>
                <w:szCs w:val="16"/>
                <w:lang w:val="ro-RO" w:eastAsia="ro-RO"/>
              </w:rPr>
            </w:pPr>
            <w:r w:rsidRPr="00187708">
              <w:rPr>
                <w:rFonts w:ascii="Arial" w:eastAsia="Times New Roman" w:hAnsi="Arial" w:cs="Arial"/>
                <w:i/>
                <w:iCs/>
                <w:sz w:val="16"/>
                <w:szCs w:val="16"/>
                <w:lang w:val="ro-RO" w:eastAsia="ro-RO"/>
              </w:rPr>
              <w:t>SCAZUTA</w:t>
            </w:r>
          </w:p>
        </w:tc>
        <w:tc>
          <w:tcPr>
            <w:tcW w:w="920" w:type="dxa"/>
            <w:vAlign w:val="center"/>
            <w:hideMark/>
          </w:tcPr>
          <w:p w14:paraId="37D85D85" w14:textId="77777777" w:rsidR="00AE673F" w:rsidRPr="00187708" w:rsidRDefault="00AE673F">
            <w:pPr>
              <w:spacing w:line="240" w:lineRule="auto"/>
              <w:jc w:val="center"/>
              <w:rPr>
                <w:rFonts w:ascii="Arial" w:eastAsia="Times New Roman" w:hAnsi="Arial" w:cs="Arial"/>
                <w:i/>
                <w:iCs/>
                <w:sz w:val="16"/>
                <w:szCs w:val="16"/>
                <w:lang w:val="ro-RO" w:eastAsia="ro-RO"/>
              </w:rPr>
            </w:pPr>
            <w:r w:rsidRPr="00187708">
              <w:rPr>
                <w:rFonts w:ascii="Arial" w:eastAsia="Times New Roman" w:hAnsi="Arial" w:cs="Arial"/>
                <w:i/>
                <w:iCs/>
                <w:sz w:val="16"/>
                <w:szCs w:val="16"/>
                <w:lang w:val="ro-RO" w:eastAsia="ro-RO"/>
              </w:rPr>
              <w:t>MINIMA</w:t>
            </w:r>
          </w:p>
        </w:tc>
        <w:tc>
          <w:tcPr>
            <w:tcW w:w="1152" w:type="dxa"/>
            <w:noWrap/>
            <w:vAlign w:val="bottom"/>
            <w:hideMark/>
          </w:tcPr>
          <w:p w14:paraId="028890C9" w14:textId="77777777" w:rsidR="00AE673F" w:rsidRPr="00187708" w:rsidRDefault="00AE673F">
            <w:pPr>
              <w:spacing w:line="240" w:lineRule="auto"/>
              <w:jc w:val="center"/>
              <w:rPr>
                <w:rFonts w:ascii="Arial" w:eastAsia="Times New Roman" w:hAnsi="Arial" w:cs="Arial"/>
                <w:i/>
                <w:iCs/>
                <w:sz w:val="16"/>
                <w:szCs w:val="16"/>
                <w:lang w:val="ro-RO" w:eastAsia="ro-RO"/>
              </w:rPr>
            </w:pPr>
          </w:p>
        </w:tc>
        <w:tc>
          <w:tcPr>
            <w:tcW w:w="804" w:type="dxa"/>
            <w:noWrap/>
            <w:vAlign w:val="bottom"/>
            <w:hideMark/>
          </w:tcPr>
          <w:p w14:paraId="4C271DD9"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916" w:type="dxa"/>
            <w:noWrap/>
            <w:vAlign w:val="bottom"/>
            <w:hideMark/>
          </w:tcPr>
          <w:p w14:paraId="13B0FBD5"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1255" w:type="dxa"/>
            <w:noWrap/>
            <w:vAlign w:val="bottom"/>
            <w:hideMark/>
          </w:tcPr>
          <w:p w14:paraId="07B9D760"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c>
          <w:tcPr>
            <w:tcW w:w="6081" w:type="dxa"/>
            <w:noWrap/>
            <w:vAlign w:val="bottom"/>
            <w:hideMark/>
          </w:tcPr>
          <w:p w14:paraId="7F882BCD" w14:textId="77777777" w:rsidR="00AE673F" w:rsidRPr="00187708" w:rsidRDefault="00AE673F">
            <w:pPr>
              <w:spacing w:line="240" w:lineRule="auto"/>
              <w:rPr>
                <w:rFonts w:ascii="Times New Roman" w:eastAsia="Times New Roman" w:hAnsi="Times New Roman" w:cs="Times New Roman"/>
                <w:sz w:val="20"/>
                <w:szCs w:val="20"/>
                <w:lang w:val="ro-RO" w:eastAsia="ro-RO"/>
              </w:rPr>
            </w:pPr>
          </w:p>
        </w:tc>
      </w:tr>
    </w:tbl>
    <w:p w14:paraId="37FE22A1" w14:textId="77777777" w:rsidR="00AE673F" w:rsidRPr="00187708" w:rsidRDefault="00AE673F" w:rsidP="00AE673F">
      <w:pPr>
        <w:rPr>
          <w:rFonts w:ascii="Arial" w:hAnsi="Arial" w:cs="Arial"/>
          <w:sz w:val="22"/>
          <w:szCs w:val="22"/>
          <w:lang w:val="ro-RO"/>
        </w:rPr>
      </w:pPr>
    </w:p>
    <w:tbl>
      <w:tblPr>
        <w:tblStyle w:val="Ramboll-Table"/>
        <w:tblW w:w="22539" w:type="dxa"/>
        <w:jc w:val="center"/>
        <w:tblLook w:val="04A0" w:firstRow="1" w:lastRow="0" w:firstColumn="1" w:lastColumn="0" w:noHBand="0" w:noVBand="1"/>
      </w:tblPr>
      <w:tblGrid>
        <w:gridCol w:w="1728"/>
        <w:gridCol w:w="652"/>
        <w:gridCol w:w="1287"/>
        <w:gridCol w:w="429"/>
        <w:gridCol w:w="1066"/>
        <w:gridCol w:w="5282"/>
        <w:gridCol w:w="2568"/>
        <w:gridCol w:w="1507"/>
        <w:gridCol w:w="1281"/>
        <w:gridCol w:w="1314"/>
        <w:gridCol w:w="1674"/>
        <w:gridCol w:w="3863"/>
      </w:tblGrid>
      <w:tr w:rsidR="00AE673F" w:rsidRPr="00187708" w14:paraId="68218DDE" w14:textId="77777777">
        <w:trPr>
          <w:cnfStyle w:val="100000000000" w:firstRow="1" w:lastRow="0" w:firstColumn="0" w:lastColumn="0" w:oddVBand="0" w:evenVBand="0" w:oddHBand="0" w:evenHBand="0" w:firstRowFirstColumn="0" w:firstRowLastColumn="0" w:lastRowFirstColumn="0" w:lastRowLastColumn="0"/>
          <w:trHeight w:val="330"/>
          <w:jc w:val="center"/>
        </w:trPr>
        <w:tc>
          <w:tcPr>
            <w:tcW w:w="22539" w:type="dxa"/>
            <w:gridSpan w:val="12"/>
            <w:noWrap/>
            <w:hideMark/>
          </w:tcPr>
          <w:p w14:paraId="2B83535B" w14:textId="77777777" w:rsidR="00AE673F" w:rsidRPr="00187708" w:rsidRDefault="00AE673F">
            <w:pPr>
              <w:spacing w:line="240" w:lineRule="auto"/>
              <w:rPr>
                <w:rFonts w:ascii="Nunito" w:eastAsia="Times New Roman" w:hAnsi="Nunito" w:cs="Arial"/>
                <w:b/>
                <w:bCs/>
                <w:color w:val="1F3864"/>
                <w:sz w:val="16"/>
                <w:szCs w:val="16"/>
                <w:lang w:val="ro-RO" w:eastAsia="ro-RO"/>
              </w:rPr>
            </w:pPr>
            <w:r w:rsidRPr="00187708">
              <w:rPr>
                <w:rFonts w:ascii="Nunito" w:eastAsia="Times New Roman" w:hAnsi="Nunito" w:cs="Arial"/>
                <w:b/>
                <w:bCs/>
                <w:color w:val="1F3864"/>
                <w:sz w:val="16"/>
                <w:szCs w:val="16"/>
                <w:lang w:val="ro-RO" w:eastAsia="ro-RO"/>
              </w:rPr>
              <w:t>LEGENDA - CRITERII DE EVALUARE A RELATIEI CU PNGD 2026-2035</w:t>
            </w:r>
          </w:p>
        </w:tc>
      </w:tr>
      <w:tr w:rsidR="00AE673F" w:rsidRPr="00187708" w14:paraId="27C2FF83" w14:textId="77777777">
        <w:trPr>
          <w:trHeight w:val="300"/>
          <w:jc w:val="center"/>
        </w:trPr>
        <w:tc>
          <w:tcPr>
            <w:tcW w:w="1712" w:type="dxa"/>
            <w:noWrap/>
            <w:hideMark/>
          </w:tcPr>
          <w:p w14:paraId="6A4C663F" w14:textId="77777777" w:rsidR="00AE673F" w:rsidRPr="00187708" w:rsidRDefault="00AE673F">
            <w:pPr>
              <w:spacing w:line="240" w:lineRule="auto"/>
              <w:rPr>
                <w:rFonts w:ascii="Nunito" w:eastAsia="Times New Roman" w:hAnsi="Nunito" w:cs="Arial"/>
                <w:b/>
                <w:bCs/>
                <w:color w:val="1F3864"/>
                <w:sz w:val="16"/>
                <w:szCs w:val="16"/>
                <w:lang w:val="ro-RO" w:eastAsia="ro-RO"/>
              </w:rPr>
            </w:pPr>
          </w:p>
        </w:tc>
        <w:tc>
          <w:tcPr>
            <w:tcW w:w="2352" w:type="dxa"/>
            <w:gridSpan w:val="3"/>
            <w:noWrap/>
            <w:hideMark/>
          </w:tcPr>
          <w:p w14:paraId="0FFB6E9C"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6332" w:type="dxa"/>
            <w:gridSpan w:val="2"/>
            <w:noWrap/>
            <w:hideMark/>
          </w:tcPr>
          <w:p w14:paraId="3BCF037B"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552" w:type="dxa"/>
            <w:noWrap/>
            <w:hideMark/>
          </w:tcPr>
          <w:p w14:paraId="0FC550FD"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772" w:type="dxa"/>
            <w:gridSpan w:val="2"/>
            <w:noWrap/>
            <w:hideMark/>
          </w:tcPr>
          <w:p w14:paraId="1FC0C271"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40F03C4C"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5B4601E1"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10CCD0CC" w14:textId="77777777">
        <w:trPr>
          <w:trHeight w:val="840"/>
          <w:jc w:val="center"/>
        </w:trPr>
        <w:tc>
          <w:tcPr>
            <w:tcW w:w="1712" w:type="dxa"/>
            <w:shd w:val="clear" w:color="auto" w:fill="D9D9D9" w:themeFill="background1" w:themeFillShade="D9"/>
            <w:hideMark/>
          </w:tcPr>
          <w:p w14:paraId="7ED11835"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Cod</w:t>
            </w:r>
          </w:p>
        </w:tc>
        <w:tc>
          <w:tcPr>
            <w:tcW w:w="2352" w:type="dxa"/>
            <w:gridSpan w:val="3"/>
            <w:shd w:val="clear" w:color="auto" w:fill="D9D9D9" w:themeFill="background1" w:themeFillShade="D9"/>
            <w:hideMark/>
          </w:tcPr>
          <w:p w14:paraId="369A9E5E"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Denumire</w:t>
            </w:r>
          </w:p>
        </w:tc>
        <w:tc>
          <w:tcPr>
            <w:tcW w:w="6332" w:type="dxa"/>
            <w:gridSpan w:val="2"/>
            <w:shd w:val="clear" w:color="auto" w:fill="D9D9D9" w:themeFill="background1" w:themeFillShade="D9"/>
            <w:hideMark/>
          </w:tcPr>
          <w:p w14:paraId="64BA5264"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Descriere / Definitie</w:t>
            </w:r>
          </w:p>
        </w:tc>
        <w:tc>
          <w:tcPr>
            <w:tcW w:w="2552" w:type="dxa"/>
            <w:shd w:val="clear" w:color="auto" w:fill="D9D9D9" w:themeFill="background1" w:themeFillShade="D9"/>
            <w:hideMark/>
          </w:tcPr>
          <w:p w14:paraId="5AF7A2CA"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Scor 0</w:t>
            </w:r>
          </w:p>
        </w:tc>
        <w:tc>
          <w:tcPr>
            <w:tcW w:w="2772" w:type="dxa"/>
            <w:gridSpan w:val="2"/>
            <w:shd w:val="clear" w:color="auto" w:fill="D9D9D9" w:themeFill="background1" w:themeFillShade="D9"/>
            <w:hideMark/>
          </w:tcPr>
          <w:p w14:paraId="692CFEC4"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Scor 1</w:t>
            </w:r>
          </w:p>
        </w:tc>
        <w:tc>
          <w:tcPr>
            <w:tcW w:w="2972" w:type="dxa"/>
            <w:gridSpan w:val="2"/>
            <w:shd w:val="clear" w:color="auto" w:fill="D9D9D9" w:themeFill="background1" w:themeFillShade="D9"/>
            <w:hideMark/>
          </w:tcPr>
          <w:p w14:paraId="7E3687CE"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Scor 2</w:t>
            </w:r>
          </w:p>
        </w:tc>
        <w:tc>
          <w:tcPr>
            <w:tcW w:w="3847" w:type="dxa"/>
            <w:shd w:val="clear" w:color="auto" w:fill="D9D9D9" w:themeFill="background1" w:themeFillShade="D9"/>
            <w:hideMark/>
          </w:tcPr>
          <w:p w14:paraId="0D04EB8A"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Scor 3</w:t>
            </w:r>
          </w:p>
        </w:tc>
      </w:tr>
      <w:tr w:rsidR="00AE673F" w:rsidRPr="00187708" w14:paraId="2D3DBB12" w14:textId="77777777">
        <w:trPr>
          <w:trHeight w:val="82"/>
          <w:jc w:val="center"/>
        </w:trPr>
        <w:tc>
          <w:tcPr>
            <w:tcW w:w="1712" w:type="dxa"/>
            <w:hideMark/>
          </w:tcPr>
          <w:p w14:paraId="1C72D66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C1</w:t>
            </w:r>
          </w:p>
        </w:tc>
        <w:tc>
          <w:tcPr>
            <w:tcW w:w="2352" w:type="dxa"/>
            <w:gridSpan w:val="3"/>
            <w:hideMark/>
          </w:tcPr>
          <w:p w14:paraId="7C984BBD"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Obiective comune</w:t>
            </w:r>
          </w:p>
        </w:tc>
        <w:tc>
          <w:tcPr>
            <w:tcW w:w="6332" w:type="dxa"/>
            <w:gridSpan w:val="2"/>
            <w:hideMark/>
          </w:tcPr>
          <w:p w14:paraId="799E8A71"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Gradul de suprapunere intre obiectivele documentului si obiectivele PNGD</w:t>
            </w:r>
          </w:p>
        </w:tc>
        <w:tc>
          <w:tcPr>
            <w:tcW w:w="2552" w:type="dxa"/>
            <w:hideMark/>
          </w:tcPr>
          <w:p w14:paraId="523209C2"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Nicio suprapunere</w:t>
            </w:r>
          </w:p>
        </w:tc>
        <w:tc>
          <w:tcPr>
            <w:tcW w:w="2772" w:type="dxa"/>
            <w:gridSpan w:val="2"/>
            <w:hideMark/>
          </w:tcPr>
          <w:p w14:paraId="64AD494A"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Suprapunere tangentiala</w:t>
            </w:r>
          </w:p>
        </w:tc>
        <w:tc>
          <w:tcPr>
            <w:tcW w:w="2972" w:type="dxa"/>
            <w:gridSpan w:val="2"/>
            <w:hideMark/>
          </w:tcPr>
          <w:p w14:paraId="66E198B6"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Suprapunere semnificativa</w:t>
            </w:r>
          </w:p>
        </w:tc>
        <w:tc>
          <w:tcPr>
            <w:tcW w:w="3847" w:type="dxa"/>
            <w:hideMark/>
          </w:tcPr>
          <w:p w14:paraId="77AC6F7B"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Aceleasi obiective / derivare directa</w:t>
            </w:r>
          </w:p>
        </w:tc>
      </w:tr>
      <w:tr w:rsidR="00AE673F" w:rsidRPr="00187708" w14:paraId="395E8C96" w14:textId="77777777">
        <w:trPr>
          <w:trHeight w:val="82"/>
          <w:jc w:val="center"/>
        </w:trPr>
        <w:tc>
          <w:tcPr>
            <w:tcW w:w="1712" w:type="dxa"/>
            <w:hideMark/>
          </w:tcPr>
          <w:p w14:paraId="343E5EE8"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C2</w:t>
            </w:r>
          </w:p>
        </w:tc>
        <w:tc>
          <w:tcPr>
            <w:tcW w:w="2352" w:type="dxa"/>
            <w:gridSpan w:val="3"/>
            <w:hideMark/>
          </w:tcPr>
          <w:p w14:paraId="57CBBB0E"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Obligatii juridice</w:t>
            </w:r>
          </w:p>
        </w:tc>
        <w:tc>
          <w:tcPr>
            <w:tcW w:w="6332" w:type="dxa"/>
            <w:gridSpan w:val="2"/>
            <w:hideMark/>
          </w:tcPr>
          <w:p w14:paraId="3DD3DA95"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Masura in care PNGD are obligatii legale de conformare</w:t>
            </w:r>
          </w:p>
        </w:tc>
        <w:tc>
          <w:tcPr>
            <w:tcW w:w="2552" w:type="dxa"/>
            <w:hideMark/>
          </w:tcPr>
          <w:p w14:paraId="03755F73"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Nicio obligatie</w:t>
            </w:r>
          </w:p>
        </w:tc>
        <w:tc>
          <w:tcPr>
            <w:tcW w:w="2772" w:type="dxa"/>
            <w:gridSpan w:val="2"/>
            <w:hideMark/>
          </w:tcPr>
          <w:p w14:paraId="48DB5FAC"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Recomandari soft-law</w:t>
            </w:r>
          </w:p>
        </w:tc>
        <w:tc>
          <w:tcPr>
            <w:tcW w:w="2972" w:type="dxa"/>
            <w:gridSpan w:val="2"/>
            <w:hideMark/>
          </w:tcPr>
          <w:p w14:paraId="22F2195C"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Transpunere indirecta</w:t>
            </w:r>
          </w:p>
        </w:tc>
        <w:tc>
          <w:tcPr>
            <w:tcW w:w="3847" w:type="dxa"/>
            <w:hideMark/>
          </w:tcPr>
          <w:p w14:paraId="3CC3AA06"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Obligatie legala directa</w:t>
            </w:r>
          </w:p>
        </w:tc>
      </w:tr>
      <w:tr w:rsidR="00AE673F" w:rsidRPr="00187708" w14:paraId="4FF4ACAD" w14:textId="77777777">
        <w:trPr>
          <w:trHeight w:val="181"/>
          <w:jc w:val="center"/>
        </w:trPr>
        <w:tc>
          <w:tcPr>
            <w:tcW w:w="1712" w:type="dxa"/>
            <w:hideMark/>
          </w:tcPr>
          <w:p w14:paraId="7B441940"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C3</w:t>
            </w:r>
          </w:p>
        </w:tc>
        <w:tc>
          <w:tcPr>
            <w:tcW w:w="2352" w:type="dxa"/>
            <w:gridSpan w:val="3"/>
            <w:hideMark/>
          </w:tcPr>
          <w:p w14:paraId="7E89A661"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Tinte cantitative comune</w:t>
            </w:r>
          </w:p>
        </w:tc>
        <w:tc>
          <w:tcPr>
            <w:tcW w:w="6332" w:type="dxa"/>
            <w:gridSpan w:val="2"/>
            <w:hideMark/>
          </w:tcPr>
          <w:p w14:paraId="01C0DA71"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Documentul stabileste tinte numerice pe care PNGD le preia/transpune</w:t>
            </w:r>
          </w:p>
        </w:tc>
        <w:tc>
          <w:tcPr>
            <w:tcW w:w="2552" w:type="dxa"/>
            <w:hideMark/>
          </w:tcPr>
          <w:p w14:paraId="5E88D69F"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Fara tinte comune</w:t>
            </w:r>
          </w:p>
        </w:tc>
        <w:tc>
          <w:tcPr>
            <w:tcW w:w="2772" w:type="dxa"/>
            <w:gridSpan w:val="2"/>
            <w:hideMark/>
          </w:tcPr>
          <w:p w14:paraId="429E8D19"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Tinte complementare indirecte</w:t>
            </w:r>
          </w:p>
        </w:tc>
        <w:tc>
          <w:tcPr>
            <w:tcW w:w="2972" w:type="dxa"/>
            <w:gridSpan w:val="2"/>
            <w:hideMark/>
          </w:tcPr>
          <w:p w14:paraId="5797C1CF"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Tinte partajate semnificative</w:t>
            </w:r>
          </w:p>
        </w:tc>
        <w:tc>
          <w:tcPr>
            <w:tcW w:w="3847" w:type="dxa"/>
            <w:hideMark/>
          </w:tcPr>
          <w:p w14:paraId="73F31835"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Tinte identice transpuse direct</w:t>
            </w:r>
          </w:p>
        </w:tc>
      </w:tr>
      <w:tr w:rsidR="00AE673F" w:rsidRPr="00187708" w14:paraId="7FB85F56" w14:textId="77777777">
        <w:trPr>
          <w:trHeight w:val="82"/>
          <w:jc w:val="center"/>
        </w:trPr>
        <w:tc>
          <w:tcPr>
            <w:tcW w:w="1712" w:type="dxa"/>
            <w:hideMark/>
          </w:tcPr>
          <w:p w14:paraId="789159C3"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C4</w:t>
            </w:r>
          </w:p>
        </w:tc>
        <w:tc>
          <w:tcPr>
            <w:tcW w:w="2352" w:type="dxa"/>
            <w:gridSpan w:val="3"/>
            <w:hideMark/>
          </w:tcPr>
          <w:p w14:paraId="7B2D83C6"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Fluxuri de deseuri acoperite</w:t>
            </w:r>
          </w:p>
        </w:tc>
        <w:tc>
          <w:tcPr>
            <w:tcW w:w="6332" w:type="dxa"/>
            <w:gridSpan w:val="2"/>
            <w:hideMark/>
          </w:tcPr>
          <w:p w14:paraId="1C253F8A"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Documentul vizeaza fluxuri de deseuri pe care PNGD le gestioneaza</w:t>
            </w:r>
          </w:p>
        </w:tc>
        <w:tc>
          <w:tcPr>
            <w:tcW w:w="2552" w:type="dxa"/>
            <w:hideMark/>
          </w:tcPr>
          <w:p w14:paraId="5C03474E"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Niciun flux comun</w:t>
            </w:r>
          </w:p>
        </w:tc>
        <w:tc>
          <w:tcPr>
            <w:tcW w:w="2772" w:type="dxa"/>
            <w:gridSpan w:val="2"/>
            <w:hideMark/>
          </w:tcPr>
          <w:p w14:paraId="04D361B1"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Fluxuri marginale</w:t>
            </w:r>
          </w:p>
        </w:tc>
        <w:tc>
          <w:tcPr>
            <w:tcW w:w="2972" w:type="dxa"/>
            <w:gridSpan w:val="2"/>
            <w:hideMark/>
          </w:tcPr>
          <w:p w14:paraId="3C577B6C"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Fluxuri importante acoperite</w:t>
            </w:r>
          </w:p>
        </w:tc>
        <w:tc>
          <w:tcPr>
            <w:tcW w:w="3847" w:type="dxa"/>
            <w:hideMark/>
          </w:tcPr>
          <w:p w14:paraId="0326B9F3"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Fluxuri principale reglementate</w:t>
            </w:r>
          </w:p>
        </w:tc>
      </w:tr>
      <w:tr w:rsidR="00AE673F" w:rsidRPr="00187708" w14:paraId="7CD0A568" w14:textId="77777777">
        <w:trPr>
          <w:trHeight w:val="82"/>
          <w:jc w:val="center"/>
        </w:trPr>
        <w:tc>
          <w:tcPr>
            <w:tcW w:w="1712" w:type="dxa"/>
            <w:hideMark/>
          </w:tcPr>
          <w:p w14:paraId="5F2E720F"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C5</w:t>
            </w:r>
          </w:p>
        </w:tc>
        <w:tc>
          <w:tcPr>
            <w:tcW w:w="2352" w:type="dxa"/>
            <w:gridSpan w:val="3"/>
            <w:hideMark/>
          </w:tcPr>
          <w:p w14:paraId="13DA981F"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Finantare PNGD</w:t>
            </w:r>
          </w:p>
        </w:tc>
        <w:tc>
          <w:tcPr>
            <w:tcW w:w="6332" w:type="dxa"/>
            <w:gridSpan w:val="2"/>
            <w:hideMark/>
          </w:tcPr>
          <w:p w14:paraId="440A9B9A"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Documentul ofera surse/mecanisme de finantare pentru masurile PNGD</w:t>
            </w:r>
          </w:p>
        </w:tc>
        <w:tc>
          <w:tcPr>
            <w:tcW w:w="2552" w:type="dxa"/>
            <w:hideMark/>
          </w:tcPr>
          <w:p w14:paraId="66004194"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Fara legatura financiara</w:t>
            </w:r>
          </w:p>
        </w:tc>
        <w:tc>
          <w:tcPr>
            <w:tcW w:w="2772" w:type="dxa"/>
            <w:gridSpan w:val="2"/>
            <w:hideMark/>
          </w:tcPr>
          <w:p w14:paraId="32E0B46A"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Finantare indirecta posibila</w:t>
            </w:r>
          </w:p>
        </w:tc>
        <w:tc>
          <w:tcPr>
            <w:tcW w:w="2972" w:type="dxa"/>
            <w:gridSpan w:val="2"/>
            <w:hideMark/>
          </w:tcPr>
          <w:p w14:paraId="717624B1"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Surse de finantare dedicate</w:t>
            </w:r>
          </w:p>
        </w:tc>
        <w:tc>
          <w:tcPr>
            <w:tcW w:w="3847" w:type="dxa"/>
            <w:hideMark/>
          </w:tcPr>
          <w:p w14:paraId="5C6A8080"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Finantare directa si substantiala</w:t>
            </w:r>
          </w:p>
        </w:tc>
      </w:tr>
      <w:tr w:rsidR="00AE673F" w:rsidRPr="00187708" w14:paraId="7AD50369" w14:textId="77777777">
        <w:trPr>
          <w:trHeight w:val="107"/>
          <w:jc w:val="center"/>
        </w:trPr>
        <w:tc>
          <w:tcPr>
            <w:tcW w:w="1712" w:type="dxa"/>
            <w:hideMark/>
          </w:tcPr>
          <w:p w14:paraId="6B66911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C6</w:t>
            </w:r>
          </w:p>
        </w:tc>
        <w:tc>
          <w:tcPr>
            <w:tcW w:w="2352" w:type="dxa"/>
            <w:gridSpan w:val="3"/>
            <w:hideMark/>
          </w:tcPr>
          <w:p w14:paraId="58D951E9"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Raportare / Monitorizare</w:t>
            </w:r>
          </w:p>
        </w:tc>
        <w:tc>
          <w:tcPr>
            <w:tcW w:w="6332" w:type="dxa"/>
            <w:gridSpan w:val="2"/>
            <w:hideMark/>
          </w:tcPr>
          <w:p w14:paraId="24282BCB"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PNGD raporteaza progresul in cadrul documentului sau utilizeaza indicatorii</w:t>
            </w:r>
          </w:p>
        </w:tc>
        <w:tc>
          <w:tcPr>
            <w:tcW w:w="2552" w:type="dxa"/>
            <w:hideMark/>
          </w:tcPr>
          <w:p w14:paraId="3424BD8C"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Fara raportare</w:t>
            </w:r>
          </w:p>
        </w:tc>
        <w:tc>
          <w:tcPr>
            <w:tcW w:w="2772" w:type="dxa"/>
            <w:gridSpan w:val="2"/>
            <w:hideMark/>
          </w:tcPr>
          <w:p w14:paraId="0088838C"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Indicatori similari</w:t>
            </w:r>
          </w:p>
        </w:tc>
        <w:tc>
          <w:tcPr>
            <w:tcW w:w="2972" w:type="dxa"/>
            <w:gridSpan w:val="2"/>
            <w:hideMark/>
          </w:tcPr>
          <w:p w14:paraId="102B439D"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Raportare periodica necesara</w:t>
            </w:r>
          </w:p>
        </w:tc>
        <w:tc>
          <w:tcPr>
            <w:tcW w:w="3847" w:type="dxa"/>
            <w:hideMark/>
          </w:tcPr>
          <w:p w14:paraId="66CDA8E3"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Raportare obligatorie/evaluare CE</w:t>
            </w:r>
          </w:p>
        </w:tc>
      </w:tr>
      <w:tr w:rsidR="00AE673F" w:rsidRPr="00187708" w14:paraId="66D25179" w14:textId="77777777">
        <w:trPr>
          <w:trHeight w:val="254"/>
          <w:jc w:val="center"/>
        </w:trPr>
        <w:tc>
          <w:tcPr>
            <w:tcW w:w="1712" w:type="dxa"/>
            <w:hideMark/>
          </w:tcPr>
          <w:p w14:paraId="58F0CDBA"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C7</w:t>
            </w:r>
          </w:p>
        </w:tc>
        <w:tc>
          <w:tcPr>
            <w:tcW w:w="2352" w:type="dxa"/>
            <w:gridSpan w:val="3"/>
            <w:hideMark/>
          </w:tcPr>
          <w:p w14:paraId="291138B4"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Ierarhie politica</w:t>
            </w:r>
          </w:p>
        </w:tc>
        <w:tc>
          <w:tcPr>
            <w:tcW w:w="6332" w:type="dxa"/>
            <w:gridSpan w:val="2"/>
            <w:hideMark/>
          </w:tcPr>
          <w:p w14:paraId="14B92CF5"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Documentul este cadru de politica supraordonat care ghideaza PNGD</w:t>
            </w:r>
          </w:p>
        </w:tc>
        <w:tc>
          <w:tcPr>
            <w:tcW w:w="2552" w:type="dxa"/>
            <w:hideMark/>
          </w:tcPr>
          <w:p w14:paraId="1EFE6522"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Fara relatie ierarhica</w:t>
            </w:r>
          </w:p>
        </w:tc>
        <w:tc>
          <w:tcPr>
            <w:tcW w:w="2772" w:type="dxa"/>
            <w:gridSpan w:val="2"/>
            <w:hideMark/>
          </w:tcPr>
          <w:p w14:paraId="207A90B0"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Context general</w:t>
            </w:r>
          </w:p>
        </w:tc>
        <w:tc>
          <w:tcPr>
            <w:tcW w:w="2972" w:type="dxa"/>
            <w:gridSpan w:val="2"/>
            <w:hideMark/>
          </w:tcPr>
          <w:p w14:paraId="190D606B"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Cadru de referinta</w:t>
            </w:r>
          </w:p>
        </w:tc>
        <w:tc>
          <w:tcPr>
            <w:tcW w:w="3847" w:type="dxa"/>
            <w:hideMark/>
          </w:tcPr>
          <w:p w14:paraId="3138B05B"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Cadru supraordonat direct</w:t>
            </w:r>
          </w:p>
        </w:tc>
      </w:tr>
      <w:tr w:rsidR="00AE673F" w:rsidRPr="00187708" w14:paraId="7963746B" w14:textId="77777777">
        <w:trPr>
          <w:trHeight w:val="300"/>
          <w:jc w:val="center"/>
        </w:trPr>
        <w:tc>
          <w:tcPr>
            <w:tcW w:w="1712" w:type="dxa"/>
            <w:noWrap/>
            <w:hideMark/>
          </w:tcPr>
          <w:p w14:paraId="2D8C7490"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p>
        </w:tc>
        <w:tc>
          <w:tcPr>
            <w:tcW w:w="2352" w:type="dxa"/>
            <w:gridSpan w:val="3"/>
            <w:noWrap/>
            <w:hideMark/>
          </w:tcPr>
          <w:p w14:paraId="0060777B"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6332" w:type="dxa"/>
            <w:gridSpan w:val="2"/>
            <w:noWrap/>
            <w:hideMark/>
          </w:tcPr>
          <w:p w14:paraId="0FD461E2"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552" w:type="dxa"/>
            <w:noWrap/>
            <w:hideMark/>
          </w:tcPr>
          <w:p w14:paraId="61BBD76B"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772" w:type="dxa"/>
            <w:gridSpan w:val="2"/>
            <w:noWrap/>
            <w:hideMark/>
          </w:tcPr>
          <w:p w14:paraId="7E44148B"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14D50166"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4AA364EB"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71DE3767" w14:textId="77777777">
        <w:trPr>
          <w:trHeight w:val="300"/>
          <w:jc w:val="center"/>
        </w:trPr>
        <w:tc>
          <w:tcPr>
            <w:tcW w:w="1712" w:type="dxa"/>
            <w:noWrap/>
            <w:hideMark/>
          </w:tcPr>
          <w:p w14:paraId="77762008"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352" w:type="dxa"/>
            <w:gridSpan w:val="3"/>
            <w:noWrap/>
            <w:hideMark/>
          </w:tcPr>
          <w:p w14:paraId="09B7DA28"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6332" w:type="dxa"/>
            <w:gridSpan w:val="2"/>
            <w:noWrap/>
            <w:hideMark/>
          </w:tcPr>
          <w:p w14:paraId="6D38DEC2"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552" w:type="dxa"/>
            <w:noWrap/>
            <w:hideMark/>
          </w:tcPr>
          <w:p w14:paraId="39C6BB74"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772" w:type="dxa"/>
            <w:gridSpan w:val="2"/>
            <w:noWrap/>
            <w:hideMark/>
          </w:tcPr>
          <w:p w14:paraId="1812181A"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09335173"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10C85E81"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2AAE3707" w14:textId="77777777">
        <w:trPr>
          <w:trHeight w:val="315"/>
          <w:jc w:val="center"/>
        </w:trPr>
        <w:tc>
          <w:tcPr>
            <w:tcW w:w="22539" w:type="dxa"/>
            <w:gridSpan w:val="12"/>
            <w:noWrap/>
            <w:hideMark/>
          </w:tcPr>
          <w:p w14:paraId="750061A0" w14:textId="77777777" w:rsidR="00AE673F" w:rsidRPr="00187708" w:rsidRDefault="00AE673F">
            <w:pPr>
              <w:spacing w:line="240" w:lineRule="auto"/>
              <w:rPr>
                <w:rFonts w:ascii="Nunito" w:eastAsia="Times New Roman" w:hAnsi="Nunito" w:cs="Arial"/>
                <w:b/>
                <w:bCs/>
                <w:color w:val="1F3864"/>
                <w:sz w:val="16"/>
                <w:szCs w:val="16"/>
                <w:lang w:val="ro-RO" w:eastAsia="ro-RO"/>
              </w:rPr>
            </w:pPr>
            <w:r w:rsidRPr="00187708">
              <w:rPr>
                <w:rFonts w:ascii="Nunito" w:eastAsia="Times New Roman" w:hAnsi="Nunito" w:cs="Arial"/>
                <w:b/>
                <w:bCs/>
                <w:color w:val="1F3864"/>
                <w:sz w:val="16"/>
                <w:szCs w:val="16"/>
                <w:lang w:val="ro-RO" w:eastAsia="ro-RO"/>
              </w:rPr>
              <w:t>SCALA DE INTENSITATE A RELATIEI</w:t>
            </w:r>
          </w:p>
        </w:tc>
      </w:tr>
      <w:tr w:rsidR="00AE673F" w:rsidRPr="00187708" w14:paraId="152D8CC5" w14:textId="77777777">
        <w:trPr>
          <w:trHeight w:val="300"/>
          <w:jc w:val="center"/>
        </w:trPr>
        <w:tc>
          <w:tcPr>
            <w:tcW w:w="1712" w:type="dxa"/>
            <w:hideMark/>
          </w:tcPr>
          <w:p w14:paraId="7881E3C7"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Intensitate</w:t>
            </w:r>
          </w:p>
        </w:tc>
        <w:tc>
          <w:tcPr>
            <w:tcW w:w="2352" w:type="dxa"/>
            <w:gridSpan w:val="3"/>
            <w:hideMark/>
          </w:tcPr>
          <w:p w14:paraId="2A0C3A23"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Interval Scor</w:t>
            </w:r>
          </w:p>
        </w:tc>
        <w:tc>
          <w:tcPr>
            <w:tcW w:w="6332" w:type="dxa"/>
            <w:gridSpan w:val="2"/>
            <w:hideMark/>
          </w:tcPr>
          <w:p w14:paraId="321F1979"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Semnificatie</w:t>
            </w:r>
          </w:p>
        </w:tc>
        <w:tc>
          <w:tcPr>
            <w:tcW w:w="2552" w:type="dxa"/>
            <w:noWrap/>
            <w:hideMark/>
          </w:tcPr>
          <w:p w14:paraId="6E20F8BE" w14:textId="77777777" w:rsidR="00AE673F" w:rsidRPr="00187708" w:rsidRDefault="00AE673F">
            <w:pPr>
              <w:spacing w:line="240" w:lineRule="auto"/>
              <w:jc w:val="center"/>
              <w:rPr>
                <w:rFonts w:ascii="Nunito" w:eastAsia="Times New Roman" w:hAnsi="Nunito" w:cs="Arial"/>
                <w:b/>
                <w:bCs/>
                <w:color w:val="FFFFFF"/>
                <w:sz w:val="16"/>
                <w:szCs w:val="16"/>
                <w:lang w:val="ro-RO" w:eastAsia="ro-RO"/>
              </w:rPr>
            </w:pPr>
          </w:p>
        </w:tc>
        <w:tc>
          <w:tcPr>
            <w:tcW w:w="2772" w:type="dxa"/>
            <w:gridSpan w:val="2"/>
            <w:noWrap/>
            <w:hideMark/>
          </w:tcPr>
          <w:p w14:paraId="01F37D4D"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751A9237"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17683E5F"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31755314" w14:textId="77777777">
        <w:trPr>
          <w:trHeight w:val="300"/>
          <w:jc w:val="center"/>
        </w:trPr>
        <w:tc>
          <w:tcPr>
            <w:tcW w:w="1712" w:type="dxa"/>
            <w:shd w:val="clear" w:color="auto" w:fill="AA3200" w:themeFill="accent5" w:themeFillShade="80"/>
            <w:hideMark/>
          </w:tcPr>
          <w:p w14:paraId="0F7E1545" w14:textId="77777777" w:rsidR="00AE673F" w:rsidRPr="00187708" w:rsidRDefault="00AE673F">
            <w:pPr>
              <w:spacing w:line="240" w:lineRule="auto"/>
              <w:jc w:val="center"/>
              <w:rPr>
                <w:rFonts w:ascii="Nunito" w:eastAsia="Times New Roman" w:hAnsi="Nunito" w:cs="Arial"/>
                <w:b/>
                <w:bCs/>
                <w:color w:val="000000" w:themeColor="text1"/>
                <w:sz w:val="16"/>
                <w:szCs w:val="16"/>
                <w:lang w:val="ro-RO" w:eastAsia="ro-RO"/>
              </w:rPr>
            </w:pPr>
            <w:r w:rsidRPr="00187708">
              <w:rPr>
                <w:rFonts w:ascii="Nunito" w:eastAsia="Times New Roman" w:hAnsi="Nunito" w:cs="Arial"/>
                <w:b/>
                <w:bCs/>
                <w:color w:val="000000" w:themeColor="text1"/>
                <w:sz w:val="16"/>
                <w:szCs w:val="16"/>
                <w:lang w:val="ro-RO" w:eastAsia="ro-RO"/>
              </w:rPr>
              <w:t>CRITICA</w:t>
            </w:r>
          </w:p>
        </w:tc>
        <w:tc>
          <w:tcPr>
            <w:tcW w:w="2352" w:type="dxa"/>
            <w:gridSpan w:val="3"/>
            <w:hideMark/>
          </w:tcPr>
          <w:p w14:paraId="7302B847"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17-21</w:t>
            </w:r>
          </w:p>
        </w:tc>
        <w:tc>
          <w:tcPr>
            <w:tcW w:w="6332" w:type="dxa"/>
            <w:gridSpan w:val="2"/>
            <w:hideMark/>
          </w:tcPr>
          <w:p w14:paraId="4A646F2F"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Relatie esentiala; PNGD este direct determinat</w:t>
            </w:r>
          </w:p>
        </w:tc>
        <w:tc>
          <w:tcPr>
            <w:tcW w:w="2552" w:type="dxa"/>
            <w:noWrap/>
            <w:hideMark/>
          </w:tcPr>
          <w:p w14:paraId="0A0A2D6D"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p>
        </w:tc>
        <w:tc>
          <w:tcPr>
            <w:tcW w:w="2772" w:type="dxa"/>
            <w:gridSpan w:val="2"/>
            <w:noWrap/>
            <w:hideMark/>
          </w:tcPr>
          <w:p w14:paraId="437D6FC9"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3E364CE8"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443146C9"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26BF5D11" w14:textId="77777777">
        <w:trPr>
          <w:trHeight w:val="300"/>
          <w:jc w:val="center"/>
        </w:trPr>
        <w:tc>
          <w:tcPr>
            <w:tcW w:w="1712" w:type="dxa"/>
            <w:shd w:val="clear" w:color="auto" w:fill="FE4B00" w:themeFill="accent5" w:themeFillShade="BF"/>
            <w:hideMark/>
          </w:tcPr>
          <w:p w14:paraId="7D00F9BB" w14:textId="77777777" w:rsidR="00AE673F" w:rsidRPr="00187708" w:rsidRDefault="00AE673F">
            <w:pPr>
              <w:spacing w:line="240" w:lineRule="auto"/>
              <w:jc w:val="center"/>
              <w:rPr>
                <w:rFonts w:ascii="Nunito" w:eastAsia="Times New Roman" w:hAnsi="Nunito" w:cs="Arial"/>
                <w:b/>
                <w:bCs/>
                <w:color w:val="000000" w:themeColor="text1"/>
                <w:sz w:val="16"/>
                <w:szCs w:val="16"/>
                <w:lang w:val="ro-RO" w:eastAsia="ro-RO"/>
              </w:rPr>
            </w:pPr>
            <w:r w:rsidRPr="00187708">
              <w:rPr>
                <w:rFonts w:ascii="Nunito" w:eastAsia="Times New Roman" w:hAnsi="Nunito" w:cs="Arial"/>
                <w:b/>
                <w:bCs/>
                <w:color w:val="000000" w:themeColor="text1"/>
                <w:sz w:val="16"/>
                <w:szCs w:val="16"/>
                <w:lang w:val="ro-RO" w:eastAsia="ro-RO"/>
              </w:rPr>
              <w:t>RIDICATA</w:t>
            </w:r>
          </w:p>
        </w:tc>
        <w:tc>
          <w:tcPr>
            <w:tcW w:w="2352" w:type="dxa"/>
            <w:gridSpan w:val="3"/>
            <w:hideMark/>
          </w:tcPr>
          <w:p w14:paraId="2979887A"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13-16</w:t>
            </w:r>
          </w:p>
        </w:tc>
        <w:tc>
          <w:tcPr>
            <w:tcW w:w="6332" w:type="dxa"/>
            <w:gridSpan w:val="2"/>
            <w:hideMark/>
          </w:tcPr>
          <w:p w14:paraId="36756871"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Relatie puternica; document de referinta majora</w:t>
            </w:r>
          </w:p>
        </w:tc>
        <w:tc>
          <w:tcPr>
            <w:tcW w:w="2552" w:type="dxa"/>
            <w:noWrap/>
            <w:hideMark/>
          </w:tcPr>
          <w:p w14:paraId="513492C3"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p>
        </w:tc>
        <w:tc>
          <w:tcPr>
            <w:tcW w:w="2772" w:type="dxa"/>
            <w:gridSpan w:val="2"/>
            <w:noWrap/>
            <w:hideMark/>
          </w:tcPr>
          <w:p w14:paraId="68EF2944"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3A0EFB28"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6BC6051F"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2DC35FCD" w14:textId="77777777">
        <w:trPr>
          <w:trHeight w:val="300"/>
          <w:jc w:val="center"/>
        </w:trPr>
        <w:tc>
          <w:tcPr>
            <w:tcW w:w="1712" w:type="dxa"/>
            <w:shd w:val="clear" w:color="auto" w:fill="FCBC7C"/>
            <w:hideMark/>
          </w:tcPr>
          <w:p w14:paraId="166210BF" w14:textId="77777777" w:rsidR="00AE673F" w:rsidRPr="00187708" w:rsidRDefault="00AE673F">
            <w:pPr>
              <w:spacing w:line="240" w:lineRule="auto"/>
              <w:jc w:val="center"/>
              <w:rPr>
                <w:rFonts w:ascii="Nunito" w:eastAsia="Times New Roman" w:hAnsi="Nunito" w:cs="Arial"/>
                <w:b/>
                <w:bCs/>
                <w:color w:val="000000"/>
                <w:sz w:val="16"/>
                <w:szCs w:val="16"/>
                <w:lang w:val="ro-RO" w:eastAsia="ro-RO"/>
              </w:rPr>
            </w:pPr>
            <w:r w:rsidRPr="00187708">
              <w:rPr>
                <w:rFonts w:ascii="Nunito" w:eastAsia="Times New Roman" w:hAnsi="Nunito" w:cs="Arial"/>
                <w:b/>
                <w:bCs/>
                <w:color w:val="000000"/>
                <w:sz w:val="16"/>
                <w:szCs w:val="16"/>
                <w:lang w:val="ro-RO" w:eastAsia="ro-RO"/>
              </w:rPr>
              <w:t>MEDIE</w:t>
            </w:r>
          </w:p>
        </w:tc>
        <w:tc>
          <w:tcPr>
            <w:tcW w:w="2352" w:type="dxa"/>
            <w:gridSpan w:val="3"/>
            <w:hideMark/>
          </w:tcPr>
          <w:p w14:paraId="4B29325F"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8-12</w:t>
            </w:r>
          </w:p>
        </w:tc>
        <w:tc>
          <w:tcPr>
            <w:tcW w:w="6332" w:type="dxa"/>
            <w:gridSpan w:val="2"/>
            <w:hideMark/>
          </w:tcPr>
          <w:p w14:paraId="067E4F31"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Relatie semnificativa; contributii importante</w:t>
            </w:r>
          </w:p>
        </w:tc>
        <w:tc>
          <w:tcPr>
            <w:tcW w:w="2552" w:type="dxa"/>
            <w:noWrap/>
            <w:hideMark/>
          </w:tcPr>
          <w:p w14:paraId="36B0B4C3"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p>
        </w:tc>
        <w:tc>
          <w:tcPr>
            <w:tcW w:w="2772" w:type="dxa"/>
            <w:gridSpan w:val="2"/>
            <w:noWrap/>
            <w:hideMark/>
          </w:tcPr>
          <w:p w14:paraId="34136BE4"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681ED581"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01F1A13D"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76EBB63A" w14:textId="77777777">
        <w:trPr>
          <w:trHeight w:val="300"/>
          <w:jc w:val="center"/>
        </w:trPr>
        <w:tc>
          <w:tcPr>
            <w:tcW w:w="1712" w:type="dxa"/>
            <w:shd w:val="clear" w:color="auto" w:fill="CDE2BF" w:themeFill="accent3" w:themeFillTint="99"/>
            <w:hideMark/>
          </w:tcPr>
          <w:p w14:paraId="3B3F0F9F" w14:textId="77777777" w:rsidR="00AE673F" w:rsidRPr="00187708" w:rsidRDefault="00AE673F">
            <w:pPr>
              <w:spacing w:line="240" w:lineRule="auto"/>
              <w:jc w:val="center"/>
              <w:rPr>
                <w:rFonts w:ascii="Nunito" w:eastAsia="Times New Roman" w:hAnsi="Nunito" w:cs="Arial"/>
                <w:b/>
                <w:bCs/>
                <w:color w:val="000000"/>
                <w:sz w:val="16"/>
                <w:szCs w:val="16"/>
                <w:lang w:val="ro-RO" w:eastAsia="ro-RO"/>
              </w:rPr>
            </w:pPr>
            <w:r w:rsidRPr="00187708">
              <w:rPr>
                <w:rFonts w:ascii="Nunito" w:eastAsia="Times New Roman" w:hAnsi="Nunito" w:cs="Arial"/>
                <w:b/>
                <w:bCs/>
                <w:color w:val="000000"/>
                <w:sz w:val="16"/>
                <w:szCs w:val="16"/>
                <w:lang w:val="ro-RO" w:eastAsia="ro-RO"/>
              </w:rPr>
              <w:t>SCAZUTA</w:t>
            </w:r>
          </w:p>
        </w:tc>
        <w:tc>
          <w:tcPr>
            <w:tcW w:w="2352" w:type="dxa"/>
            <w:gridSpan w:val="3"/>
            <w:hideMark/>
          </w:tcPr>
          <w:p w14:paraId="7D47109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4-7</w:t>
            </w:r>
          </w:p>
        </w:tc>
        <w:tc>
          <w:tcPr>
            <w:tcW w:w="6332" w:type="dxa"/>
            <w:gridSpan w:val="2"/>
            <w:hideMark/>
          </w:tcPr>
          <w:p w14:paraId="2A53614B"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Relatie complementara; sinergii limitate</w:t>
            </w:r>
          </w:p>
        </w:tc>
        <w:tc>
          <w:tcPr>
            <w:tcW w:w="2552" w:type="dxa"/>
            <w:noWrap/>
            <w:hideMark/>
          </w:tcPr>
          <w:p w14:paraId="5BC8532F"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p>
        </w:tc>
        <w:tc>
          <w:tcPr>
            <w:tcW w:w="2772" w:type="dxa"/>
            <w:gridSpan w:val="2"/>
            <w:noWrap/>
            <w:hideMark/>
          </w:tcPr>
          <w:p w14:paraId="2F2C2338"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4B4FD975"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51564D99"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21055427" w14:textId="77777777">
        <w:trPr>
          <w:trHeight w:val="300"/>
          <w:jc w:val="center"/>
        </w:trPr>
        <w:tc>
          <w:tcPr>
            <w:tcW w:w="1712" w:type="dxa"/>
            <w:shd w:val="clear" w:color="auto" w:fill="D9D9D9" w:themeFill="background1" w:themeFillShade="D9"/>
            <w:hideMark/>
          </w:tcPr>
          <w:p w14:paraId="4BBAD27F" w14:textId="77777777" w:rsidR="00AE673F" w:rsidRPr="00187708" w:rsidRDefault="00AE673F">
            <w:pPr>
              <w:spacing w:line="240" w:lineRule="auto"/>
              <w:jc w:val="center"/>
              <w:rPr>
                <w:rFonts w:ascii="Nunito" w:eastAsia="Times New Roman" w:hAnsi="Nunito" w:cs="Arial"/>
                <w:b/>
                <w:bCs/>
                <w:color w:val="000000"/>
                <w:sz w:val="16"/>
                <w:szCs w:val="16"/>
                <w:lang w:val="ro-RO" w:eastAsia="ro-RO"/>
              </w:rPr>
            </w:pPr>
            <w:r w:rsidRPr="00187708">
              <w:rPr>
                <w:rFonts w:ascii="Nunito" w:eastAsia="Times New Roman" w:hAnsi="Nunito" w:cs="Arial"/>
                <w:b/>
                <w:bCs/>
                <w:color w:val="000000"/>
                <w:sz w:val="16"/>
                <w:szCs w:val="16"/>
                <w:lang w:val="ro-RO" w:eastAsia="ro-RO"/>
              </w:rPr>
              <w:t>Fără intensitate</w:t>
            </w:r>
          </w:p>
        </w:tc>
        <w:tc>
          <w:tcPr>
            <w:tcW w:w="2352" w:type="dxa"/>
            <w:gridSpan w:val="3"/>
            <w:hideMark/>
          </w:tcPr>
          <w:p w14:paraId="592A1CB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0-3</w:t>
            </w:r>
          </w:p>
        </w:tc>
        <w:tc>
          <w:tcPr>
            <w:tcW w:w="6332" w:type="dxa"/>
            <w:gridSpan w:val="2"/>
            <w:hideMark/>
          </w:tcPr>
          <w:p w14:paraId="3F9B81E0"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Relatie marginala; context general</w:t>
            </w:r>
          </w:p>
        </w:tc>
        <w:tc>
          <w:tcPr>
            <w:tcW w:w="2552" w:type="dxa"/>
            <w:noWrap/>
            <w:hideMark/>
          </w:tcPr>
          <w:p w14:paraId="4BD24478" w14:textId="77777777" w:rsidR="00AE673F" w:rsidRPr="00187708" w:rsidRDefault="00AE673F">
            <w:pPr>
              <w:spacing w:line="240" w:lineRule="auto"/>
              <w:ind w:firstLineChars="100" w:firstLine="160"/>
              <w:rPr>
                <w:rFonts w:ascii="Nunito" w:eastAsia="Times New Roman" w:hAnsi="Nunito" w:cs="Arial"/>
                <w:sz w:val="16"/>
                <w:szCs w:val="16"/>
                <w:lang w:val="ro-RO" w:eastAsia="ro-RO"/>
              </w:rPr>
            </w:pPr>
          </w:p>
        </w:tc>
        <w:tc>
          <w:tcPr>
            <w:tcW w:w="2772" w:type="dxa"/>
            <w:gridSpan w:val="2"/>
            <w:noWrap/>
            <w:hideMark/>
          </w:tcPr>
          <w:p w14:paraId="5C997E1E"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2972" w:type="dxa"/>
            <w:gridSpan w:val="2"/>
            <w:noWrap/>
            <w:hideMark/>
          </w:tcPr>
          <w:p w14:paraId="07882C87" w14:textId="77777777" w:rsidR="00AE673F" w:rsidRPr="00187708" w:rsidRDefault="00AE673F">
            <w:pPr>
              <w:spacing w:line="240" w:lineRule="auto"/>
              <w:rPr>
                <w:rFonts w:ascii="Nunito" w:eastAsia="Times New Roman" w:hAnsi="Nunito" w:cs="Times New Roman"/>
                <w:sz w:val="16"/>
                <w:szCs w:val="16"/>
                <w:lang w:val="ro-RO" w:eastAsia="ro-RO"/>
              </w:rPr>
            </w:pPr>
          </w:p>
        </w:tc>
        <w:tc>
          <w:tcPr>
            <w:tcW w:w="3847" w:type="dxa"/>
            <w:noWrap/>
            <w:hideMark/>
          </w:tcPr>
          <w:p w14:paraId="0E20F28A" w14:textId="77777777" w:rsidR="00AE673F" w:rsidRPr="00187708" w:rsidRDefault="00AE673F">
            <w:pPr>
              <w:spacing w:line="240" w:lineRule="auto"/>
              <w:rPr>
                <w:rFonts w:ascii="Nunito" w:eastAsia="Times New Roman" w:hAnsi="Nunito" w:cs="Times New Roman"/>
                <w:sz w:val="16"/>
                <w:szCs w:val="16"/>
                <w:lang w:val="ro-RO" w:eastAsia="ro-RO"/>
              </w:rPr>
            </w:pPr>
          </w:p>
        </w:tc>
      </w:tr>
      <w:tr w:rsidR="00AE673F" w:rsidRPr="00187708" w14:paraId="1B2DEE0C" w14:textId="77777777">
        <w:trPr>
          <w:gridAfter w:val="2"/>
          <w:wAfter w:w="5519" w:type="dxa"/>
          <w:trHeight w:val="300"/>
          <w:jc w:val="center"/>
        </w:trPr>
        <w:tc>
          <w:tcPr>
            <w:tcW w:w="2360" w:type="dxa"/>
            <w:gridSpan w:val="2"/>
            <w:shd w:val="clear" w:color="auto" w:fill="D9D9D9" w:themeFill="background1" w:themeFillShade="D9"/>
            <w:hideMark/>
          </w:tcPr>
          <w:p w14:paraId="647A2299"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Nivel</w:t>
            </w:r>
          </w:p>
        </w:tc>
        <w:tc>
          <w:tcPr>
            <w:tcW w:w="1278" w:type="dxa"/>
            <w:shd w:val="clear" w:color="auto" w:fill="D9D9D9" w:themeFill="background1" w:themeFillShade="D9"/>
            <w:hideMark/>
          </w:tcPr>
          <w:p w14:paraId="3C8E3DE5"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Nr. doc.</w:t>
            </w:r>
          </w:p>
        </w:tc>
        <w:tc>
          <w:tcPr>
            <w:tcW w:w="1489" w:type="dxa"/>
            <w:gridSpan w:val="2"/>
            <w:shd w:val="clear" w:color="auto" w:fill="D9D9D9" w:themeFill="background1" w:themeFillShade="D9"/>
            <w:hideMark/>
          </w:tcPr>
          <w:p w14:paraId="37E94CC3" w14:textId="77777777" w:rsidR="00AE673F" w:rsidRPr="00187708" w:rsidRDefault="00AE673F">
            <w:pPr>
              <w:spacing w:line="240" w:lineRule="auto"/>
              <w:jc w:val="center"/>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Scor mediu</w:t>
            </w:r>
          </w:p>
        </w:tc>
        <w:tc>
          <w:tcPr>
            <w:tcW w:w="5269" w:type="dxa"/>
            <w:shd w:val="clear" w:color="auto" w:fill="D9D9D9" w:themeFill="background1" w:themeFillShade="D9"/>
            <w:hideMark/>
          </w:tcPr>
          <w:p w14:paraId="0C32B520" w14:textId="77777777" w:rsidR="00AE673F" w:rsidRPr="00187708" w:rsidRDefault="00AE673F">
            <w:pPr>
              <w:spacing w:line="240" w:lineRule="auto"/>
              <w:jc w:val="right"/>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Critica</w:t>
            </w:r>
          </w:p>
        </w:tc>
        <w:tc>
          <w:tcPr>
            <w:tcW w:w="2552" w:type="dxa"/>
            <w:shd w:val="clear" w:color="auto" w:fill="D9D9D9" w:themeFill="background1" w:themeFillShade="D9"/>
            <w:hideMark/>
          </w:tcPr>
          <w:p w14:paraId="105B4FC4" w14:textId="77777777" w:rsidR="00AE673F" w:rsidRPr="00187708" w:rsidRDefault="00AE673F">
            <w:pPr>
              <w:spacing w:line="240" w:lineRule="auto"/>
              <w:jc w:val="right"/>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Ridicata</w:t>
            </w:r>
          </w:p>
        </w:tc>
        <w:tc>
          <w:tcPr>
            <w:tcW w:w="1498" w:type="dxa"/>
            <w:shd w:val="clear" w:color="auto" w:fill="D9D9D9" w:themeFill="background1" w:themeFillShade="D9"/>
            <w:hideMark/>
          </w:tcPr>
          <w:p w14:paraId="1A0FBC17" w14:textId="77777777" w:rsidR="00AE673F" w:rsidRPr="00187708" w:rsidRDefault="00AE673F">
            <w:pPr>
              <w:spacing w:line="240" w:lineRule="auto"/>
              <w:jc w:val="right"/>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Medie</w:t>
            </w:r>
          </w:p>
        </w:tc>
        <w:tc>
          <w:tcPr>
            <w:tcW w:w="1274" w:type="dxa"/>
            <w:shd w:val="clear" w:color="auto" w:fill="D9D9D9" w:themeFill="background1" w:themeFillShade="D9"/>
            <w:hideMark/>
          </w:tcPr>
          <w:p w14:paraId="68AF866F" w14:textId="77777777" w:rsidR="00AE673F" w:rsidRPr="00187708" w:rsidRDefault="00AE673F">
            <w:pPr>
              <w:spacing w:line="240" w:lineRule="auto"/>
              <w:jc w:val="right"/>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Scazuta</w:t>
            </w:r>
          </w:p>
        </w:tc>
        <w:tc>
          <w:tcPr>
            <w:tcW w:w="1300" w:type="dxa"/>
            <w:shd w:val="clear" w:color="auto" w:fill="D9D9D9" w:themeFill="background1" w:themeFillShade="D9"/>
            <w:hideMark/>
          </w:tcPr>
          <w:p w14:paraId="30C5467D" w14:textId="77777777" w:rsidR="00AE673F" w:rsidRPr="00187708" w:rsidRDefault="00AE673F">
            <w:pPr>
              <w:spacing w:line="240" w:lineRule="auto"/>
              <w:jc w:val="right"/>
              <w:rPr>
                <w:rFonts w:ascii="Nunito" w:eastAsia="Times New Roman" w:hAnsi="Nunito" w:cs="Arial"/>
                <w:b/>
                <w:bCs/>
                <w:color w:val="009DF0" w:themeColor="text2"/>
                <w:sz w:val="16"/>
                <w:szCs w:val="16"/>
                <w:lang w:val="ro-RO" w:eastAsia="ro-RO"/>
              </w:rPr>
            </w:pPr>
            <w:r w:rsidRPr="00187708">
              <w:rPr>
                <w:rFonts w:ascii="Nunito" w:eastAsia="Times New Roman" w:hAnsi="Nunito" w:cs="Arial"/>
                <w:b/>
                <w:bCs/>
                <w:color w:val="009DF0" w:themeColor="text2"/>
                <w:sz w:val="16"/>
                <w:szCs w:val="16"/>
                <w:lang w:val="ro-RO" w:eastAsia="ro-RO"/>
              </w:rPr>
              <w:t>Minima</w:t>
            </w:r>
          </w:p>
        </w:tc>
      </w:tr>
      <w:tr w:rsidR="00AE673F" w:rsidRPr="00187708" w14:paraId="7548E062" w14:textId="77777777">
        <w:trPr>
          <w:gridAfter w:val="2"/>
          <w:wAfter w:w="5519" w:type="dxa"/>
          <w:trHeight w:val="300"/>
          <w:jc w:val="center"/>
        </w:trPr>
        <w:tc>
          <w:tcPr>
            <w:tcW w:w="2360" w:type="dxa"/>
            <w:gridSpan w:val="2"/>
            <w:hideMark/>
          </w:tcPr>
          <w:p w14:paraId="4C120485" w14:textId="77777777" w:rsidR="00AE673F" w:rsidRPr="00187708" w:rsidRDefault="00AE673F">
            <w:pPr>
              <w:spacing w:line="240" w:lineRule="auto"/>
              <w:ind w:firstLineChars="100" w:firstLine="161"/>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Nivel european</w:t>
            </w:r>
          </w:p>
        </w:tc>
        <w:tc>
          <w:tcPr>
            <w:tcW w:w="1278" w:type="dxa"/>
            <w:hideMark/>
          </w:tcPr>
          <w:p w14:paraId="6A444B10"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18</w:t>
            </w:r>
          </w:p>
        </w:tc>
        <w:tc>
          <w:tcPr>
            <w:tcW w:w="1489" w:type="dxa"/>
            <w:gridSpan w:val="2"/>
            <w:hideMark/>
          </w:tcPr>
          <w:p w14:paraId="5900A277"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12,2</w:t>
            </w:r>
          </w:p>
        </w:tc>
        <w:tc>
          <w:tcPr>
            <w:tcW w:w="5269" w:type="dxa"/>
            <w:hideMark/>
          </w:tcPr>
          <w:p w14:paraId="0865A087"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5</w:t>
            </w:r>
          </w:p>
        </w:tc>
        <w:tc>
          <w:tcPr>
            <w:tcW w:w="2552" w:type="dxa"/>
            <w:hideMark/>
          </w:tcPr>
          <w:p w14:paraId="3DCC00BB"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w:t>
            </w:r>
          </w:p>
        </w:tc>
        <w:tc>
          <w:tcPr>
            <w:tcW w:w="1498" w:type="dxa"/>
            <w:hideMark/>
          </w:tcPr>
          <w:p w14:paraId="5644EDC8"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7</w:t>
            </w:r>
          </w:p>
        </w:tc>
        <w:tc>
          <w:tcPr>
            <w:tcW w:w="1274" w:type="dxa"/>
            <w:hideMark/>
          </w:tcPr>
          <w:p w14:paraId="2D63086B"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w:t>
            </w:r>
          </w:p>
        </w:tc>
        <w:tc>
          <w:tcPr>
            <w:tcW w:w="1300" w:type="dxa"/>
            <w:hideMark/>
          </w:tcPr>
          <w:p w14:paraId="4B46C6E3"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0</w:t>
            </w:r>
          </w:p>
        </w:tc>
      </w:tr>
      <w:tr w:rsidR="00AE673F" w:rsidRPr="00187708" w14:paraId="254DB6B1" w14:textId="77777777">
        <w:trPr>
          <w:gridAfter w:val="2"/>
          <w:wAfter w:w="5519" w:type="dxa"/>
          <w:trHeight w:val="300"/>
          <w:jc w:val="center"/>
        </w:trPr>
        <w:tc>
          <w:tcPr>
            <w:tcW w:w="2360" w:type="dxa"/>
            <w:gridSpan w:val="2"/>
            <w:hideMark/>
          </w:tcPr>
          <w:p w14:paraId="07D4FB5A" w14:textId="77777777" w:rsidR="00AE673F" w:rsidRPr="00187708" w:rsidRDefault="00AE673F">
            <w:pPr>
              <w:spacing w:line="240" w:lineRule="auto"/>
              <w:ind w:firstLineChars="100" w:firstLine="161"/>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Nivel national</w:t>
            </w:r>
          </w:p>
        </w:tc>
        <w:tc>
          <w:tcPr>
            <w:tcW w:w="1278" w:type="dxa"/>
            <w:hideMark/>
          </w:tcPr>
          <w:p w14:paraId="10BB66F8"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15</w:t>
            </w:r>
          </w:p>
        </w:tc>
        <w:tc>
          <w:tcPr>
            <w:tcW w:w="1489" w:type="dxa"/>
            <w:gridSpan w:val="2"/>
            <w:hideMark/>
          </w:tcPr>
          <w:p w14:paraId="0069DF36"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11,1</w:t>
            </w:r>
          </w:p>
        </w:tc>
        <w:tc>
          <w:tcPr>
            <w:tcW w:w="5269" w:type="dxa"/>
            <w:hideMark/>
          </w:tcPr>
          <w:p w14:paraId="78A4C70C"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w:t>
            </w:r>
          </w:p>
        </w:tc>
        <w:tc>
          <w:tcPr>
            <w:tcW w:w="2552" w:type="dxa"/>
            <w:hideMark/>
          </w:tcPr>
          <w:p w14:paraId="64750C8C"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w:t>
            </w:r>
          </w:p>
        </w:tc>
        <w:tc>
          <w:tcPr>
            <w:tcW w:w="1498" w:type="dxa"/>
            <w:hideMark/>
          </w:tcPr>
          <w:p w14:paraId="796F4261"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6</w:t>
            </w:r>
          </w:p>
        </w:tc>
        <w:tc>
          <w:tcPr>
            <w:tcW w:w="1274" w:type="dxa"/>
            <w:hideMark/>
          </w:tcPr>
          <w:p w14:paraId="3C52762E"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w:t>
            </w:r>
          </w:p>
        </w:tc>
        <w:tc>
          <w:tcPr>
            <w:tcW w:w="1300" w:type="dxa"/>
            <w:hideMark/>
          </w:tcPr>
          <w:p w14:paraId="428C8EC3"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0</w:t>
            </w:r>
          </w:p>
        </w:tc>
      </w:tr>
      <w:tr w:rsidR="00AE673F" w:rsidRPr="00187708" w14:paraId="32B95E8A" w14:textId="77777777">
        <w:trPr>
          <w:gridAfter w:val="2"/>
          <w:wAfter w:w="5519" w:type="dxa"/>
          <w:trHeight w:val="300"/>
          <w:jc w:val="center"/>
        </w:trPr>
        <w:tc>
          <w:tcPr>
            <w:tcW w:w="2360" w:type="dxa"/>
            <w:gridSpan w:val="2"/>
            <w:hideMark/>
          </w:tcPr>
          <w:p w14:paraId="316674B3" w14:textId="77777777" w:rsidR="00AE673F" w:rsidRPr="00187708" w:rsidRDefault="00AE673F">
            <w:pPr>
              <w:spacing w:line="240" w:lineRule="auto"/>
              <w:ind w:firstLineChars="100" w:firstLine="161"/>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Nivel regional/judetean</w:t>
            </w:r>
          </w:p>
        </w:tc>
        <w:tc>
          <w:tcPr>
            <w:tcW w:w="1278" w:type="dxa"/>
            <w:hideMark/>
          </w:tcPr>
          <w:p w14:paraId="4297CD0C"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10</w:t>
            </w:r>
          </w:p>
        </w:tc>
        <w:tc>
          <w:tcPr>
            <w:tcW w:w="1489" w:type="dxa"/>
            <w:gridSpan w:val="2"/>
            <w:hideMark/>
          </w:tcPr>
          <w:p w14:paraId="54A20CEA"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10,4</w:t>
            </w:r>
          </w:p>
        </w:tc>
        <w:tc>
          <w:tcPr>
            <w:tcW w:w="5269" w:type="dxa"/>
            <w:hideMark/>
          </w:tcPr>
          <w:p w14:paraId="67D658C1"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w:t>
            </w:r>
          </w:p>
        </w:tc>
        <w:tc>
          <w:tcPr>
            <w:tcW w:w="2552" w:type="dxa"/>
            <w:hideMark/>
          </w:tcPr>
          <w:p w14:paraId="2517C599"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w:t>
            </w:r>
          </w:p>
        </w:tc>
        <w:tc>
          <w:tcPr>
            <w:tcW w:w="1498" w:type="dxa"/>
            <w:hideMark/>
          </w:tcPr>
          <w:p w14:paraId="1C043E20"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4</w:t>
            </w:r>
          </w:p>
        </w:tc>
        <w:tc>
          <w:tcPr>
            <w:tcW w:w="1274" w:type="dxa"/>
            <w:hideMark/>
          </w:tcPr>
          <w:p w14:paraId="69D0064C"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3</w:t>
            </w:r>
          </w:p>
        </w:tc>
        <w:tc>
          <w:tcPr>
            <w:tcW w:w="1300" w:type="dxa"/>
            <w:hideMark/>
          </w:tcPr>
          <w:p w14:paraId="6C8E860C"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0</w:t>
            </w:r>
          </w:p>
        </w:tc>
      </w:tr>
      <w:tr w:rsidR="00AE673F" w:rsidRPr="00187708" w14:paraId="08E4D8FC" w14:textId="77777777">
        <w:trPr>
          <w:gridAfter w:val="2"/>
          <w:wAfter w:w="5519" w:type="dxa"/>
          <w:trHeight w:val="300"/>
          <w:jc w:val="center"/>
        </w:trPr>
        <w:tc>
          <w:tcPr>
            <w:tcW w:w="2360" w:type="dxa"/>
            <w:gridSpan w:val="2"/>
            <w:hideMark/>
          </w:tcPr>
          <w:p w14:paraId="0C6CA86E" w14:textId="77777777" w:rsidR="00AE673F" w:rsidRPr="00187708" w:rsidRDefault="00AE673F">
            <w:pPr>
              <w:spacing w:line="240" w:lineRule="auto"/>
              <w:ind w:firstLineChars="100" w:firstLine="161"/>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Nivel international</w:t>
            </w:r>
          </w:p>
        </w:tc>
        <w:tc>
          <w:tcPr>
            <w:tcW w:w="1278" w:type="dxa"/>
            <w:hideMark/>
          </w:tcPr>
          <w:p w14:paraId="3F8644B3" w14:textId="77777777" w:rsidR="00AE673F" w:rsidRPr="00187708" w:rsidRDefault="00AE673F">
            <w:pPr>
              <w:spacing w:line="240" w:lineRule="auto"/>
              <w:jc w:val="center"/>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9</w:t>
            </w:r>
          </w:p>
        </w:tc>
        <w:tc>
          <w:tcPr>
            <w:tcW w:w="1489" w:type="dxa"/>
            <w:gridSpan w:val="2"/>
            <w:hideMark/>
          </w:tcPr>
          <w:p w14:paraId="1D065E79"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9,8</w:t>
            </w:r>
          </w:p>
        </w:tc>
        <w:tc>
          <w:tcPr>
            <w:tcW w:w="5269" w:type="dxa"/>
            <w:hideMark/>
          </w:tcPr>
          <w:p w14:paraId="1862FA76"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0</w:t>
            </w:r>
          </w:p>
        </w:tc>
        <w:tc>
          <w:tcPr>
            <w:tcW w:w="2552" w:type="dxa"/>
            <w:hideMark/>
          </w:tcPr>
          <w:p w14:paraId="282F44AE"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1</w:t>
            </w:r>
          </w:p>
        </w:tc>
        <w:tc>
          <w:tcPr>
            <w:tcW w:w="1498" w:type="dxa"/>
            <w:hideMark/>
          </w:tcPr>
          <w:p w14:paraId="386A8973"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6</w:t>
            </w:r>
          </w:p>
        </w:tc>
        <w:tc>
          <w:tcPr>
            <w:tcW w:w="1274" w:type="dxa"/>
            <w:hideMark/>
          </w:tcPr>
          <w:p w14:paraId="6A27CA21"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2</w:t>
            </w:r>
          </w:p>
        </w:tc>
        <w:tc>
          <w:tcPr>
            <w:tcW w:w="1300" w:type="dxa"/>
            <w:hideMark/>
          </w:tcPr>
          <w:p w14:paraId="13824D86" w14:textId="77777777" w:rsidR="00AE673F" w:rsidRPr="00187708" w:rsidRDefault="00AE673F">
            <w:pPr>
              <w:spacing w:line="240" w:lineRule="auto"/>
              <w:jc w:val="right"/>
              <w:rPr>
                <w:rFonts w:ascii="Nunito" w:eastAsia="Times New Roman" w:hAnsi="Nunito" w:cs="Arial"/>
                <w:sz w:val="16"/>
                <w:szCs w:val="16"/>
                <w:lang w:val="ro-RO" w:eastAsia="ro-RO"/>
              </w:rPr>
            </w:pPr>
            <w:r w:rsidRPr="00187708">
              <w:rPr>
                <w:rFonts w:ascii="Nunito" w:eastAsia="Times New Roman" w:hAnsi="Nunito" w:cs="Arial"/>
                <w:sz w:val="16"/>
                <w:szCs w:val="16"/>
                <w:lang w:val="ro-RO" w:eastAsia="ro-RO"/>
              </w:rPr>
              <w:t>0</w:t>
            </w:r>
          </w:p>
        </w:tc>
      </w:tr>
      <w:tr w:rsidR="00AE673F" w:rsidRPr="00187708" w14:paraId="6486CE47" w14:textId="77777777">
        <w:trPr>
          <w:gridAfter w:val="2"/>
          <w:wAfter w:w="5519" w:type="dxa"/>
          <w:trHeight w:val="300"/>
          <w:jc w:val="center"/>
        </w:trPr>
        <w:tc>
          <w:tcPr>
            <w:tcW w:w="2360" w:type="dxa"/>
            <w:gridSpan w:val="2"/>
            <w:noWrap/>
            <w:hideMark/>
          </w:tcPr>
          <w:p w14:paraId="4E650414" w14:textId="77777777" w:rsidR="00AE673F" w:rsidRPr="00187708" w:rsidRDefault="00AE673F">
            <w:pPr>
              <w:spacing w:line="240" w:lineRule="auto"/>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TOTAL</w:t>
            </w:r>
          </w:p>
        </w:tc>
        <w:tc>
          <w:tcPr>
            <w:tcW w:w="1278" w:type="dxa"/>
            <w:hideMark/>
          </w:tcPr>
          <w:p w14:paraId="145A4684"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52</w:t>
            </w:r>
          </w:p>
        </w:tc>
        <w:tc>
          <w:tcPr>
            <w:tcW w:w="1489" w:type="dxa"/>
            <w:gridSpan w:val="2"/>
            <w:hideMark/>
          </w:tcPr>
          <w:p w14:paraId="664FE1DC" w14:textId="77777777" w:rsidR="00AE673F" w:rsidRPr="00187708" w:rsidRDefault="00AE673F">
            <w:pPr>
              <w:spacing w:line="240" w:lineRule="auto"/>
              <w:jc w:val="center"/>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11,1</w:t>
            </w:r>
          </w:p>
        </w:tc>
        <w:tc>
          <w:tcPr>
            <w:tcW w:w="5269" w:type="dxa"/>
            <w:hideMark/>
          </w:tcPr>
          <w:p w14:paraId="21989FB2" w14:textId="77777777" w:rsidR="00AE673F" w:rsidRPr="00187708" w:rsidRDefault="00AE673F">
            <w:pPr>
              <w:spacing w:line="240" w:lineRule="auto"/>
              <w:jc w:val="right"/>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10</w:t>
            </w:r>
          </w:p>
        </w:tc>
        <w:tc>
          <w:tcPr>
            <w:tcW w:w="2552" w:type="dxa"/>
            <w:hideMark/>
          </w:tcPr>
          <w:p w14:paraId="77334348" w14:textId="77777777" w:rsidR="00AE673F" w:rsidRPr="00187708" w:rsidRDefault="00AE673F">
            <w:pPr>
              <w:spacing w:line="240" w:lineRule="auto"/>
              <w:jc w:val="right"/>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6</w:t>
            </w:r>
          </w:p>
        </w:tc>
        <w:tc>
          <w:tcPr>
            <w:tcW w:w="1498" w:type="dxa"/>
            <w:hideMark/>
          </w:tcPr>
          <w:p w14:paraId="04A91646" w14:textId="77777777" w:rsidR="00AE673F" w:rsidRPr="00187708" w:rsidRDefault="00AE673F">
            <w:pPr>
              <w:spacing w:line="240" w:lineRule="auto"/>
              <w:jc w:val="right"/>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23</w:t>
            </w:r>
          </w:p>
        </w:tc>
        <w:tc>
          <w:tcPr>
            <w:tcW w:w="1274" w:type="dxa"/>
            <w:hideMark/>
          </w:tcPr>
          <w:p w14:paraId="65C82B4F" w14:textId="77777777" w:rsidR="00AE673F" w:rsidRPr="00187708" w:rsidRDefault="00AE673F">
            <w:pPr>
              <w:spacing w:line="240" w:lineRule="auto"/>
              <w:jc w:val="right"/>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13</w:t>
            </w:r>
          </w:p>
        </w:tc>
        <w:tc>
          <w:tcPr>
            <w:tcW w:w="1300" w:type="dxa"/>
            <w:hideMark/>
          </w:tcPr>
          <w:p w14:paraId="4B325229" w14:textId="77777777" w:rsidR="00AE673F" w:rsidRPr="00187708" w:rsidRDefault="00AE673F">
            <w:pPr>
              <w:spacing w:line="240" w:lineRule="auto"/>
              <w:jc w:val="right"/>
              <w:rPr>
                <w:rFonts w:ascii="Nunito" w:eastAsia="Times New Roman" w:hAnsi="Nunito" w:cs="Arial"/>
                <w:b/>
                <w:bCs/>
                <w:sz w:val="16"/>
                <w:szCs w:val="16"/>
                <w:lang w:val="ro-RO" w:eastAsia="ro-RO"/>
              </w:rPr>
            </w:pPr>
            <w:r w:rsidRPr="00187708">
              <w:rPr>
                <w:rFonts w:ascii="Nunito" w:eastAsia="Times New Roman" w:hAnsi="Nunito" w:cs="Arial"/>
                <w:b/>
                <w:bCs/>
                <w:sz w:val="16"/>
                <w:szCs w:val="16"/>
                <w:lang w:val="ro-RO" w:eastAsia="ro-RO"/>
              </w:rPr>
              <w:t>0</w:t>
            </w:r>
          </w:p>
        </w:tc>
      </w:tr>
    </w:tbl>
    <w:p w14:paraId="22A45C67" w14:textId="77777777" w:rsidR="00AE673F" w:rsidRPr="00187708" w:rsidRDefault="00AE673F" w:rsidP="00AE673F">
      <w:pPr>
        <w:pStyle w:val="Heading1"/>
        <w:numPr>
          <w:ilvl w:val="0"/>
          <w:numId w:val="0"/>
        </w:numPr>
        <w:rPr>
          <w:rFonts w:ascii="Nunito" w:hAnsi="Nunito"/>
          <w:bCs w:val="0"/>
          <w:sz w:val="16"/>
          <w:szCs w:val="16"/>
          <w:lang w:val="ro-RO"/>
        </w:rPr>
      </w:pPr>
    </w:p>
    <w:bookmarkEnd w:id="5"/>
    <w:p w14:paraId="6BD4B384" w14:textId="77777777" w:rsidR="008A6FDD" w:rsidRPr="00187708" w:rsidRDefault="008A6FDD">
      <w:pPr>
        <w:rPr>
          <w:rFonts w:ascii="Nunito" w:eastAsiaTheme="majorEastAsia" w:hAnsi="Nunito" w:cstheme="majorBidi"/>
          <w:b/>
          <w:bCs/>
          <w:color w:val="00B0F0"/>
          <w:sz w:val="16"/>
          <w:szCs w:val="16"/>
          <w:lang w:val="ro-RO"/>
        </w:rPr>
      </w:pPr>
    </w:p>
    <w:sectPr w:rsidR="008A6FDD" w:rsidRPr="00187708" w:rsidSect="00D403B0">
      <w:footerReference w:type="even" r:id="rId72"/>
      <w:footerReference w:type="default" r:id="rId73"/>
      <w:footerReference w:type="first" r:id="rId74"/>
      <w:pgSz w:w="23811" w:h="16838" w:orient="landscape" w:code="8"/>
      <w:pgMar w:top="1191" w:right="1839" w:bottom="1133" w:left="1418" w:header="83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FFF6F" w14:textId="77777777" w:rsidR="00DF2200" w:rsidRDefault="00DF2200" w:rsidP="009E4B94">
      <w:pPr>
        <w:spacing w:line="240" w:lineRule="auto"/>
      </w:pPr>
      <w:r>
        <w:separator/>
      </w:r>
    </w:p>
  </w:endnote>
  <w:endnote w:type="continuationSeparator" w:id="0">
    <w:p w14:paraId="44A6D723" w14:textId="77777777" w:rsidR="00DF2200" w:rsidRDefault="00DF2200" w:rsidP="009E4B94">
      <w:pPr>
        <w:spacing w:line="240" w:lineRule="auto"/>
      </w:pPr>
      <w:r>
        <w:continuationSeparator/>
      </w:r>
    </w:p>
  </w:endnote>
  <w:endnote w:type="continuationNotice" w:id="1">
    <w:p w14:paraId="1B2CF536" w14:textId="77777777" w:rsidR="00DF2200" w:rsidRDefault="00DF220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NunitoCustom">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5D42" w14:textId="77777777" w:rsidR="004B5860" w:rsidRDefault="004B5860">
    <w:pPr>
      <w:pStyle w:val="Footer"/>
    </w:pPr>
    <w:r>
      <w:rPr>
        <w:noProof/>
      </w:rPr>
      <mc:AlternateContent>
        <mc:Choice Requires="wps">
          <w:drawing>
            <wp:anchor distT="0" distB="0" distL="0" distR="0" simplePos="0" relativeHeight="251658242" behindDoc="0" locked="0" layoutInCell="1" allowOverlap="1" wp14:anchorId="65B7797C" wp14:editId="4ABC78A4">
              <wp:simplePos x="635" y="635"/>
              <wp:positionH relativeFrom="page">
                <wp:align>center</wp:align>
              </wp:positionH>
              <wp:positionV relativeFrom="page">
                <wp:align>bottom</wp:align>
              </wp:positionV>
              <wp:extent cx="443865" cy="443865"/>
              <wp:effectExtent l="0" t="0" r="3175" b="0"/>
              <wp:wrapNone/>
              <wp:docPr id="1151790847"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6722F2" w14:textId="77777777" w:rsidR="004B5860" w:rsidRPr="00B10C6D" w:rsidRDefault="004B5860"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5B7797C" id="_x0000_t202" coordsize="21600,21600" o:spt="202" path="m,l,21600r21600,l21600,xe">
              <v:stroke joinstyle="miter"/>
              <v:path gradientshapeok="t" o:connecttype="rect"/>
            </v:shapetype>
            <v:shape id="Text Box 23" o:spid="_x0000_s1041" type="#_x0000_t202" alt="Confidential"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026722F2" w14:textId="77777777" w:rsidR="004B5860" w:rsidRPr="00B10C6D" w:rsidRDefault="004B5860"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982485"/>
      <w:docPartObj>
        <w:docPartGallery w:val="Page Numbers (Bottom of Page)"/>
        <w:docPartUnique/>
      </w:docPartObj>
    </w:sdtPr>
    <w:sdtEndPr>
      <w:rPr>
        <w:noProof/>
      </w:rPr>
    </w:sdtEndPr>
    <w:sdtContent>
      <w:p w14:paraId="03904F34" w14:textId="77777777" w:rsidR="004B5860" w:rsidRDefault="004B58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3B393C" w14:textId="77777777" w:rsidR="004B5860" w:rsidRDefault="004B58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C442" w14:textId="77777777" w:rsidR="004B5860" w:rsidRDefault="004B5860">
    <w:pPr>
      <w:pStyle w:val="Footer"/>
    </w:pPr>
    <w:r>
      <w:rPr>
        <w:noProof/>
      </w:rPr>
      <mc:AlternateContent>
        <mc:Choice Requires="wps">
          <w:drawing>
            <wp:anchor distT="0" distB="0" distL="0" distR="0" simplePos="0" relativeHeight="251658243" behindDoc="0" locked="0" layoutInCell="1" allowOverlap="1" wp14:anchorId="43567489" wp14:editId="66C1793E">
              <wp:simplePos x="635" y="635"/>
              <wp:positionH relativeFrom="page">
                <wp:align>center</wp:align>
              </wp:positionH>
              <wp:positionV relativeFrom="page">
                <wp:align>bottom</wp:align>
              </wp:positionV>
              <wp:extent cx="443865" cy="443865"/>
              <wp:effectExtent l="0" t="0" r="3175" b="0"/>
              <wp:wrapNone/>
              <wp:docPr id="2138359222"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C42432" w14:textId="77777777" w:rsidR="004B5860" w:rsidRPr="00B10C6D" w:rsidRDefault="004B5860"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43567489" id="_x0000_t202" coordsize="21600,21600" o:spt="202" path="m,l,21600r21600,l21600,xe">
              <v:stroke joinstyle="miter"/>
              <v:path gradientshapeok="t" o:connecttype="rect"/>
            </v:shapetype>
            <v:shape id="Text Box 22" o:spid="_x0000_s1042" type="#_x0000_t202" alt="Confidential"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FC42432" w14:textId="77777777" w:rsidR="004B5860" w:rsidRPr="00B10C6D" w:rsidRDefault="004B5860"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26B3" w14:textId="77777777" w:rsidR="00AE673F" w:rsidRDefault="00AE673F">
    <w:pPr>
      <w:pStyle w:val="Footer"/>
    </w:pPr>
    <w:r>
      <w:rPr>
        <w:noProof/>
      </w:rPr>
      <mc:AlternateContent>
        <mc:Choice Requires="wps">
          <w:drawing>
            <wp:anchor distT="0" distB="0" distL="0" distR="0" simplePos="0" relativeHeight="251658246" behindDoc="0" locked="0" layoutInCell="1" allowOverlap="1" wp14:anchorId="754FCE0C" wp14:editId="11A0863E">
              <wp:simplePos x="635" y="635"/>
              <wp:positionH relativeFrom="page">
                <wp:align>center</wp:align>
              </wp:positionH>
              <wp:positionV relativeFrom="page">
                <wp:align>bottom</wp:align>
              </wp:positionV>
              <wp:extent cx="443865" cy="443865"/>
              <wp:effectExtent l="0" t="0" r="3175" b="0"/>
              <wp:wrapNone/>
              <wp:docPr id="890393642"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0157C" w14:textId="77777777" w:rsidR="00AE673F" w:rsidRPr="00B10C6D" w:rsidRDefault="00AE673F"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754FCE0C" id="_x0000_t202" coordsize="21600,21600" o:spt="202" path="m,l,21600r21600,l21600,xe">
              <v:stroke joinstyle="miter"/>
              <v:path gradientshapeok="t" o:connecttype="rect"/>
            </v:shapetype>
            <v:shape id="_x0000_s1043" type="#_x0000_t202" alt="Confidential" style="position:absolute;margin-left:0;margin-top:0;width:34.95pt;height:34.9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D20157C" w14:textId="77777777" w:rsidR="00AE673F" w:rsidRPr="00B10C6D" w:rsidRDefault="00AE673F"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098505"/>
      <w:docPartObj>
        <w:docPartGallery w:val="Page Numbers (Bottom of Page)"/>
        <w:docPartUnique/>
      </w:docPartObj>
    </w:sdtPr>
    <w:sdtEndPr>
      <w:rPr>
        <w:noProof/>
      </w:rPr>
    </w:sdtEndPr>
    <w:sdtContent>
      <w:p w14:paraId="2F5ECAE9" w14:textId="77777777" w:rsidR="00AE673F" w:rsidRDefault="00AE67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B1A1E" w14:textId="77777777" w:rsidR="00AE673F" w:rsidRDefault="00AE67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1046" w14:textId="77777777" w:rsidR="00AE673F" w:rsidRDefault="00AE673F">
    <w:pPr>
      <w:pStyle w:val="Footer"/>
    </w:pPr>
    <w:r>
      <w:rPr>
        <w:noProof/>
      </w:rPr>
      <mc:AlternateContent>
        <mc:Choice Requires="wps">
          <w:drawing>
            <wp:anchor distT="0" distB="0" distL="0" distR="0" simplePos="0" relativeHeight="251658245" behindDoc="0" locked="0" layoutInCell="1" allowOverlap="1" wp14:anchorId="564AB0F2" wp14:editId="0A730524">
              <wp:simplePos x="635" y="635"/>
              <wp:positionH relativeFrom="page">
                <wp:align>center</wp:align>
              </wp:positionH>
              <wp:positionV relativeFrom="page">
                <wp:align>bottom</wp:align>
              </wp:positionV>
              <wp:extent cx="443865" cy="443865"/>
              <wp:effectExtent l="0" t="0" r="3175" b="0"/>
              <wp:wrapNone/>
              <wp:docPr id="239731093"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C0EE09" w14:textId="77777777" w:rsidR="00AE673F" w:rsidRPr="00B10C6D" w:rsidRDefault="00AE673F"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564AB0F2" id="_x0000_t202" coordsize="21600,21600" o:spt="202" path="m,l,21600r21600,l21600,xe">
              <v:stroke joinstyle="miter"/>
              <v:path gradientshapeok="t" o:connecttype="rect"/>
            </v:shapetype>
            <v:shape id="_x0000_s1044" type="#_x0000_t202" alt="Confidential"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2DC0EE09" w14:textId="77777777" w:rsidR="00AE673F" w:rsidRPr="00B10C6D" w:rsidRDefault="00AE673F"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338C" w14:textId="56B13FCD" w:rsidR="00B10C6D" w:rsidRDefault="00B10C6D">
    <w:pPr>
      <w:pStyle w:val="Footer"/>
    </w:pPr>
    <w:r>
      <w:rPr>
        <w:noProof/>
      </w:rPr>
      <mc:AlternateContent>
        <mc:Choice Requires="wps">
          <w:drawing>
            <wp:anchor distT="0" distB="0" distL="0" distR="0" simplePos="0" relativeHeight="251658241" behindDoc="0" locked="0" layoutInCell="1" allowOverlap="1" wp14:anchorId="68E99035" wp14:editId="1DA708A5">
              <wp:simplePos x="635" y="635"/>
              <wp:positionH relativeFrom="page">
                <wp:align>center</wp:align>
              </wp:positionH>
              <wp:positionV relativeFrom="page">
                <wp:align>bottom</wp:align>
              </wp:positionV>
              <wp:extent cx="443865" cy="443865"/>
              <wp:effectExtent l="0" t="0" r="3175" b="0"/>
              <wp:wrapNone/>
              <wp:docPr id="1864615065" name="Text Box 2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577EF4" w14:textId="52AE4A7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8E99035" id="_x0000_t202" coordsize="21600,21600" o:spt="202" path="m,l,21600r21600,l21600,xe">
              <v:stroke joinstyle="miter"/>
              <v:path gradientshapeok="t" o:connecttype="rect"/>
            </v:shapetype>
            <v:shape id="_x0000_s1045" type="#_x0000_t202" alt="Confidential"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57577EF4" w14:textId="52AE4A7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994682"/>
      <w:docPartObj>
        <w:docPartGallery w:val="Page Numbers (Bottom of Page)"/>
        <w:docPartUnique/>
      </w:docPartObj>
    </w:sdtPr>
    <w:sdtEndPr>
      <w:rPr>
        <w:noProof/>
      </w:rPr>
    </w:sdtEndPr>
    <w:sdtContent>
      <w:p w14:paraId="4438679C" w14:textId="77777777" w:rsidR="00C8792F" w:rsidRDefault="00C879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23640B" w14:textId="77777777" w:rsidR="00845BCE" w:rsidRDefault="00845BC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01A9" w14:textId="7CD5A2B9" w:rsidR="00B10C6D" w:rsidRDefault="00B10C6D">
    <w:pPr>
      <w:pStyle w:val="Footer"/>
    </w:pPr>
    <w:r>
      <w:rPr>
        <w:noProof/>
      </w:rPr>
      <mc:AlternateContent>
        <mc:Choice Requires="wps">
          <w:drawing>
            <wp:anchor distT="0" distB="0" distL="0" distR="0" simplePos="0" relativeHeight="251658240" behindDoc="0" locked="0" layoutInCell="1" allowOverlap="1" wp14:anchorId="2AD08985" wp14:editId="7F2B1549">
              <wp:simplePos x="635" y="635"/>
              <wp:positionH relativeFrom="page">
                <wp:align>center</wp:align>
              </wp:positionH>
              <wp:positionV relativeFrom="page">
                <wp:align>bottom</wp:align>
              </wp:positionV>
              <wp:extent cx="443865" cy="443865"/>
              <wp:effectExtent l="0" t="0" r="3175" b="0"/>
              <wp:wrapNone/>
              <wp:docPr id="2124007739" name="Text Box 2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5E233C7" w14:textId="11E929E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2AD08985" id="_x0000_t202" coordsize="21600,21600" o:spt="202" path="m,l,21600r21600,l21600,xe">
              <v:stroke joinstyle="miter"/>
              <v:path gradientshapeok="t" o:connecttype="rect"/>
            </v:shapetype>
            <v:shape id="_x0000_s1046"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45E233C7" w14:textId="11E929EB" w:rsidR="00B10C6D" w:rsidRPr="00B10C6D" w:rsidRDefault="00B10C6D" w:rsidP="00B10C6D">
                    <w:pPr>
                      <w:rPr>
                        <w:rFonts w:eastAsia="Verdana" w:cs="Verdana"/>
                        <w:noProof/>
                        <w:color w:val="000000"/>
                        <w:sz w:val="14"/>
                        <w:szCs w:val="14"/>
                      </w:rPr>
                    </w:pPr>
                    <w:r w:rsidRPr="00B10C6D">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A2BE" w14:textId="77777777" w:rsidR="00DF2200" w:rsidRDefault="00DF2200" w:rsidP="009E4B94">
      <w:pPr>
        <w:spacing w:line="240" w:lineRule="auto"/>
      </w:pPr>
    </w:p>
  </w:footnote>
  <w:footnote w:type="continuationSeparator" w:id="0">
    <w:p w14:paraId="5BEC739A" w14:textId="77777777" w:rsidR="00DF2200" w:rsidRDefault="00DF2200" w:rsidP="009E4B94">
      <w:pPr>
        <w:spacing w:line="240" w:lineRule="auto"/>
      </w:pPr>
    </w:p>
  </w:footnote>
  <w:footnote w:type="continuationNotice" w:id="1">
    <w:p w14:paraId="59D33395" w14:textId="77777777" w:rsidR="00DF2200" w:rsidRDefault="00DF220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F941" w14:textId="273BE37D" w:rsidR="00023275" w:rsidRPr="00FF5F2C" w:rsidRDefault="00023275">
    <w:pPr>
      <w:pStyle w:val="Header"/>
      <w:rPr>
        <w:lang w:val="pt-PT"/>
      </w:rPr>
    </w:pPr>
    <w:r>
      <w:rPr>
        <w:noProof/>
      </w:rPr>
      <w:drawing>
        <wp:anchor distT="0" distB="0" distL="0" distR="0" simplePos="0" relativeHeight="251658244" behindDoc="0" locked="0" layoutInCell="1" allowOverlap="1" wp14:anchorId="07E05770" wp14:editId="44870CF9">
          <wp:simplePos x="0" y="0"/>
          <wp:positionH relativeFrom="margin">
            <wp:posOffset>0</wp:posOffset>
          </wp:positionH>
          <wp:positionV relativeFrom="page">
            <wp:posOffset>532130</wp:posOffset>
          </wp:positionV>
          <wp:extent cx="590550" cy="161925"/>
          <wp:effectExtent l="0" t="0" r="0" b="0"/>
          <wp:wrapNone/>
          <wp:docPr id="1406938647" name="Picture 1406938647"/>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
                  <a:srcRect r="67511" b="59109"/>
                  <a:stretch>
                    <a:fillRect/>
                  </a:stretch>
                </pic:blipFill>
                <pic:spPr>
                  <a:xfrm>
                    <a:off x="0" y="0"/>
                    <a:ext cx="590550" cy="161925"/>
                  </a:xfrm>
                  <a:prstGeom prst="rect">
                    <a:avLst/>
                  </a:prstGeom>
                  <a:ln>
                    <a:noFill/>
                  </a:ln>
                </pic:spPr>
              </pic:pic>
            </a:graphicData>
          </a:graphic>
        </wp:anchor>
      </w:drawing>
    </w:r>
    <w:r w:rsidRPr="00FF5F2C">
      <w:rPr>
        <w:lang w:val="pt-PT"/>
      </w:rPr>
      <w:t xml:space="preserve">              Raport Mediu – PLANUL NAȚIONAL DE GESTIUNE A DEȘERILOR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B0DD5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03A92D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6EC75C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C08CF4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D60DF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148C66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D2936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14849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02A4CC9"/>
    <w:multiLevelType w:val="hybridMultilevel"/>
    <w:tmpl w:val="E3DA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3E58BA"/>
    <w:multiLevelType w:val="hybridMultilevel"/>
    <w:tmpl w:val="F836C02C"/>
    <w:lvl w:ilvl="0" w:tplc="556A558A">
      <w:start w:val="1"/>
      <w:numFmt w:val="decimal"/>
      <w:lvlText w:val="%1."/>
      <w:lvlJc w:val="left"/>
      <w:pPr>
        <w:ind w:left="1665" w:hanging="13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F41C92"/>
    <w:multiLevelType w:val="multilevel"/>
    <w:tmpl w:val="15FE1764"/>
    <w:lvl w:ilvl="0">
      <w:start w:val="1"/>
      <w:numFmt w:val="decimal"/>
      <w:pStyle w:val="Heading1"/>
      <w:suff w:val="space"/>
      <w:lvlText w:val="%1."/>
      <w:lvlJc w:val="left"/>
      <w:pPr>
        <w:ind w:left="3403" w:firstLine="0"/>
      </w:pPr>
      <w:rPr>
        <w:rFonts w:hint="default"/>
        <w:b/>
        <w:bCs w:val="0"/>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360" w:firstLine="0"/>
      </w:pPr>
      <w:rPr>
        <w:rFonts w:hint="default"/>
      </w:rPr>
    </w:lvl>
    <w:lvl w:ilvl="3">
      <w:start w:val="1"/>
      <w:numFmt w:val="decimal"/>
      <w:pStyle w:val="Heading4"/>
      <w:suff w:val="space"/>
      <w:lvlText w:val="%1.%2.%3.%4"/>
      <w:lvlJc w:val="left"/>
      <w:pPr>
        <w:ind w:left="5954" w:firstLine="0"/>
      </w:pPr>
      <w:rPr>
        <w:rFonts w:hint="default"/>
      </w:rPr>
    </w:lvl>
    <w:lvl w:ilvl="4">
      <w:start w:val="1"/>
      <w:numFmt w:val="none"/>
      <w:pStyle w:val="Heading5"/>
      <w:suff w:val="space"/>
      <w:lvlText w:val=""/>
      <w:lvlJc w:val="left"/>
      <w:pPr>
        <w:ind w:left="0" w:firstLine="0"/>
      </w:pPr>
      <w:rPr>
        <w:rFonts w:hint="default"/>
      </w:rPr>
    </w:lvl>
    <w:lvl w:ilvl="5">
      <w:start w:val="1"/>
      <w:numFmt w:val="none"/>
      <w:pStyle w:val="Heading6"/>
      <w:suff w:val="space"/>
      <w:lvlText w:val=""/>
      <w:lvlJc w:val="left"/>
      <w:pPr>
        <w:ind w:left="0" w:firstLine="0"/>
      </w:pPr>
      <w:rPr>
        <w:rFonts w:hint="default"/>
      </w:rPr>
    </w:lvl>
    <w:lvl w:ilvl="6">
      <w:start w:val="1"/>
      <w:numFmt w:val="none"/>
      <w:pStyle w:val="Heading7"/>
      <w:suff w:val="space"/>
      <w:lvlText w:val=""/>
      <w:lvlJc w:val="left"/>
      <w:pPr>
        <w:ind w:left="0" w:firstLine="0"/>
      </w:pPr>
      <w:rPr>
        <w:rFonts w:hint="default"/>
      </w:rPr>
    </w:lvl>
    <w:lvl w:ilvl="7">
      <w:start w:val="1"/>
      <w:numFmt w:val="none"/>
      <w:pStyle w:val="Heading8"/>
      <w:suff w:val="space"/>
      <w:lvlText w:val=""/>
      <w:lvlJc w:val="left"/>
      <w:pPr>
        <w:ind w:left="0" w:firstLine="0"/>
      </w:pPr>
      <w:rPr>
        <w:rFonts w:hint="default"/>
      </w:rPr>
    </w:lvl>
    <w:lvl w:ilvl="8">
      <w:start w:val="1"/>
      <w:numFmt w:val="none"/>
      <w:pStyle w:val="Heading9"/>
      <w:suff w:val="space"/>
      <w:lvlText w:val=""/>
      <w:lvlJc w:val="left"/>
      <w:pPr>
        <w:ind w:left="0" w:firstLine="0"/>
      </w:pPr>
      <w:rPr>
        <w:rFonts w:hint="default"/>
      </w:rPr>
    </w:lvl>
  </w:abstractNum>
  <w:abstractNum w:abstractNumId="11" w15:restartNumberingAfterBreak="0">
    <w:nsid w:val="2A8F6388"/>
    <w:multiLevelType w:val="hybridMultilevel"/>
    <w:tmpl w:val="5CF468F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2" w15:restartNumberingAfterBreak="0">
    <w:nsid w:val="33115170"/>
    <w:multiLevelType w:val="multilevel"/>
    <w:tmpl w:val="C126842E"/>
    <w:lvl w:ilvl="0">
      <w:start w:val="1"/>
      <w:numFmt w:val="decimal"/>
      <w:pStyle w:val="H1-NOTTOC"/>
      <w:suff w:val="space"/>
      <w:lvlText w:val="%1."/>
      <w:lvlJc w:val="left"/>
      <w:pPr>
        <w:ind w:left="0" w:firstLine="0"/>
      </w:pPr>
      <w:rPr>
        <w:rFonts w:ascii="Verdana" w:hAnsi="Verdana" w:hint="default"/>
        <w:b w:val="0"/>
        <w:i w:val="0"/>
        <w:color w:val="009DE0"/>
        <w:sz w:val="28"/>
      </w:rPr>
    </w:lvl>
    <w:lvl w:ilvl="1">
      <w:start w:val="1"/>
      <w:numFmt w:val="decimal"/>
      <w:pStyle w:val="H2-NOTTOC"/>
      <w:suff w:val="space"/>
      <w:lvlText w:val="%1.%2"/>
      <w:lvlJc w:val="left"/>
      <w:pPr>
        <w:ind w:left="0" w:firstLine="0"/>
      </w:pPr>
      <w:rPr>
        <w:rFonts w:ascii="Verdana" w:hAnsi="Verdana" w:hint="default"/>
        <w:b w:val="0"/>
        <w:i w:val="0"/>
        <w:color w:val="000000"/>
        <w:sz w:val="18"/>
      </w:rPr>
    </w:lvl>
    <w:lvl w:ilvl="2">
      <w:start w:val="1"/>
      <w:numFmt w:val="decimal"/>
      <w:pStyle w:val="H3-NOTTOC"/>
      <w:suff w:val="space"/>
      <w:lvlText w:val="%1.%2.%3"/>
      <w:lvlJc w:val="left"/>
      <w:pPr>
        <w:ind w:left="0" w:firstLine="0"/>
      </w:pPr>
      <w:rPr>
        <w:rFonts w:ascii="Verdana" w:hAnsi="Verdana" w:hint="default"/>
        <w:b w:val="0"/>
        <w:i w:val="0"/>
        <w:color w:val="000000"/>
        <w:sz w:val="18"/>
      </w:rPr>
    </w:lvl>
    <w:lvl w:ilvl="3">
      <w:start w:val="1"/>
      <w:numFmt w:val="decimal"/>
      <w:pStyle w:val="H4-NOTTOC"/>
      <w:suff w:val="space"/>
      <w:lvlText w:val="%1.%2.%3.%4"/>
      <w:lvlJc w:val="left"/>
      <w:pPr>
        <w:ind w:left="0" w:firstLine="0"/>
      </w:pPr>
      <w:rPr>
        <w:rFonts w:ascii="Verdana" w:hAnsi="Verdana" w:hint="default"/>
        <w:b w:val="0"/>
        <w:i w:val="0"/>
        <w:color w:val="auto"/>
        <w:sz w:val="18"/>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13" w15:restartNumberingAfterBreak="0">
    <w:nsid w:val="450F211B"/>
    <w:multiLevelType w:val="hybridMultilevel"/>
    <w:tmpl w:val="8A6E3FB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4" w15:restartNumberingAfterBreak="0">
    <w:nsid w:val="4C883E05"/>
    <w:multiLevelType w:val="hybridMultilevel"/>
    <w:tmpl w:val="E9446624"/>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5" w15:restartNumberingAfterBreak="0">
    <w:nsid w:val="65390C94"/>
    <w:multiLevelType w:val="hybridMultilevel"/>
    <w:tmpl w:val="00E6B752"/>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16" w15:restartNumberingAfterBreak="0">
    <w:nsid w:val="6D8E3F33"/>
    <w:multiLevelType w:val="multilevel"/>
    <w:tmpl w:val="930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0588C"/>
    <w:multiLevelType w:val="multilevel"/>
    <w:tmpl w:val="F1EA2C2E"/>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18" w15:restartNumberingAfterBreak="0">
    <w:nsid w:val="7FB354B8"/>
    <w:multiLevelType w:val="multilevel"/>
    <w:tmpl w:val="B52AAC72"/>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25644482">
    <w:abstractNumId w:val="12"/>
  </w:num>
  <w:num w:numId="2" w16cid:durableId="1205021078">
    <w:abstractNumId w:val="10"/>
  </w:num>
  <w:num w:numId="3" w16cid:durableId="522015526">
    <w:abstractNumId w:val="18"/>
  </w:num>
  <w:num w:numId="4" w16cid:durableId="639001854">
    <w:abstractNumId w:val="7"/>
  </w:num>
  <w:num w:numId="5" w16cid:durableId="877857891">
    <w:abstractNumId w:val="6"/>
  </w:num>
  <w:num w:numId="6" w16cid:durableId="1450007267">
    <w:abstractNumId w:val="5"/>
  </w:num>
  <w:num w:numId="7" w16cid:durableId="313991465">
    <w:abstractNumId w:val="4"/>
  </w:num>
  <w:num w:numId="8" w16cid:durableId="1712224518">
    <w:abstractNumId w:val="17"/>
  </w:num>
  <w:num w:numId="9" w16cid:durableId="652562637">
    <w:abstractNumId w:val="3"/>
  </w:num>
  <w:num w:numId="10" w16cid:durableId="422260272">
    <w:abstractNumId w:val="2"/>
  </w:num>
  <w:num w:numId="11" w16cid:durableId="898321517">
    <w:abstractNumId w:val="1"/>
  </w:num>
  <w:num w:numId="12" w16cid:durableId="678585821">
    <w:abstractNumId w:val="0"/>
  </w:num>
  <w:num w:numId="13" w16cid:durableId="449056615">
    <w:abstractNumId w:val="15"/>
  </w:num>
  <w:num w:numId="14" w16cid:durableId="149299052">
    <w:abstractNumId w:val="16"/>
  </w:num>
  <w:num w:numId="15" w16cid:durableId="368144175">
    <w:abstractNumId w:val="11"/>
  </w:num>
  <w:num w:numId="16" w16cid:durableId="1390423731">
    <w:abstractNumId w:val="14"/>
  </w:num>
  <w:num w:numId="17" w16cid:durableId="1951159456">
    <w:abstractNumId w:val="13"/>
  </w:num>
  <w:num w:numId="18" w16cid:durableId="591470192">
    <w:abstractNumId w:val="10"/>
    <w:lvlOverride w:ilvl="0">
      <w:startOverride w:val="13"/>
    </w:lvlOverride>
    <w:lvlOverride w:ilvl="1">
      <w:startOverride w:val="5"/>
    </w:lvlOverride>
  </w:num>
  <w:num w:numId="19" w16cid:durableId="962005719">
    <w:abstractNumId w:val="10"/>
    <w:lvlOverride w:ilvl="0">
      <w:startOverride w:val="1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2188136">
    <w:abstractNumId w:val="10"/>
    <w:lvlOverride w:ilvl="0">
      <w:startOverride w:val="1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8626621">
    <w:abstractNumId w:val="8"/>
  </w:num>
  <w:num w:numId="22" w16cid:durableId="1564681896">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66"/>
    <w:rsid w:val="000008C8"/>
    <w:rsid w:val="00000F4B"/>
    <w:rsid w:val="000011BB"/>
    <w:rsid w:val="00001BF9"/>
    <w:rsid w:val="00002019"/>
    <w:rsid w:val="0000208F"/>
    <w:rsid w:val="0000217D"/>
    <w:rsid w:val="00002383"/>
    <w:rsid w:val="000023F8"/>
    <w:rsid w:val="00002490"/>
    <w:rsid w:val="000026E3"/>
    <w:rsid w:val="00002869"/>
    <w:rsid w:val="00002EDA"/>
    <w:rsid w:val="00003175"/>
    <w:rsid w:val="00003A0C"/>
    <w:rsid w:val="00003B68"/>
    <w:rsid w:val="00004865"/>
    <w:rsid w:val="00005318"/>
    <w:rsid w:val="0000565D"/>
    <w:rsid w:val="000059D0"/>
    <w:rsid w:val="00005B88"/>
    <w:rsid w:val="00005CA2"/>
    <w:rsid w:val="00006015"/>
    <w:rsid w:val="00006719"/>
    <w:rsid w:val="0000694B"/>
    <w:rsid w:val="00007261"/>
    <w:rsid w:val="000101EC"/>
    <w:rsid w:val="00010804"/>
    <w:rsid w:val="0001088B"/>
    <w:rsid w:val="000117D6"/>
    <w:rsid w:val="00011B5D"/>
    <w:rsid w:val="00011EC0"/>
    <w:rsid w:val="00012259"/>
    <w:rsid w:val="0001265E"/>
    <w:rsid w:val="000126CE"/>
    <w:rsid w:val="0001306E"/>
    <w:rsid w:val="00014E8D"/>
    <w:rsid w:val="00014FD3"/>
    <w:rsid w:val="000150A8"/>
    <w:rsid w:val="000154EC"/>
    <w:rsid w:val="000155D5"/>
    <w:rsid w:val="0001586C"/>
    <w:rsid w:val="000162D0"/>
    <w:rsid w:val="00016958"/>
    <w:rsid w:val="00016AD9"/>
    <w:rsid w:val="00016D91"/>
    <w:rsid w:val="00016DBD"/>
    <w:rsid w:val="000178B0"/>
    <w:rsid w:val="00017967"/>
    <w:rsid w:val="000179E8"/>
    <w:rsid w:val="00017A04"/>
    <w:rsid w:val="00017AF0"/>
    <w:rsid w:val="00017BC5"/>
    <w:rsid w:val="00020124"/>
    <w:rsid w:val="000212EB"/>
    <w:rsid w:val="000216CC"/>
    <w:rsid w:val="000221FC"/>
    <w:rsid w:val="00022442"/>
    <w:rsid w:val="00022BAC"/>
    <w:rsid w:val="00023269"/>
    <w:rsid w:val="00023275"/>
    <w:rsid w:val="00023626"/>
    <w:rsid w:val="00023EDA"/>
    <w:rsid w:val="0002411E"/>
    <w:rsid w:val="00024BDD"/>
    <w:rsid w:val="00024CF7"/>
    <w:rsid w:val="00025411"/>
    <w:rsid w:val="00025683"/>
    <w:rsid w:val="00025817"/>
    <w:rsid w:val="0002587F"/>
    <w:rsid w:val="00025B0D"/>
    <w:rsid w:val="000265CD"/>
    <w:rsid w:val="000266E4"/>
    <w:rsid w:val="00026783"/>
    <w:rsid w:val="00027189"/>
    <w:rsid w:val="000275D6"/>
    <w:rsid w:val="00027911"/>
    <w:rsid w:val="0002796A"/>
    <w:rsid w:val="000305CC"/>
    <w:rsid w:val="00030DE7"/>
    <w:rsid w:val="0003213E"/>
    <w:rsid w:val="00032498"/>
    <w:rsid w:val="0003273D"/>
    <w:rsid w:val="00034046"/>
    <w:rsid w:val="00034181"/>
    <w:rsid w:val="000354F4"/>
    <w:rsid w:val="00035C76"/>
    <w:rsid w:val="00035F3E"/>
    <w:rsid w:val="000360C6"/>
    <w:rsid w:val="00036754"/>
    <w:rsid w:val="00036861"/>
    <w:rsid w:val="0003686F"/>
    <w:rsid w:val="0003784F"/>
    <w:rsid w:val="00040799"/>
    <w:rsid w:val="000408D6"/>
    <w:rsid w:val="00040F5F"/>
    <w:rsid w:val="0004102A"/>
    <w:rsid w:val="0004196B"/>
    <w:rsid w:val="00041B19"/>
    <w:rsid w:val="00041B76"/>
    <w:rsid w:val="00042393"/>
    <w:rsid w:val="00042E64"/>
    <w:rsid w:val="0004321D"/>
    <w:rsid w:val="000439ED"/>
    <w:rsid w:val="00043DCE"/>
    <w:rsid w:val="00043E86"/>
    <w:rsid w:val="00044048"/>
    <w:rsid w:val="0004498F"/>
    <w:rsid w:val="00044A18"/>
    <w:rsid w:val="00045C01"/>
    <w:rsid w:val="000473E6"/>
    <w:rsid w:val="00047667"/>
    <w:rsid w:val="00047F19"/>
    <w:rsid w:val="00050588"/>
    <w:rsid w:val="00050A13"/>
    <w:rsid w:val="00051AE8"/>
    <w:rsid w:val="00051D7B"/>
    <w:rsid w:val="00051DFD"/>
    <w:rsid w:val="00052797"/>
    <w:rsid w:val="0005351C"/>
    <w:rsid w:val="000536BA"/>
    <w:rsid w:val="00053E7C"/>
    <w:rsid w:val="000542D2"/>
    <w:rsid w:val="00054910"/>
    <w:rsid w:val="00054B8D"/>
    <w:rsid w:val="00054F6C"/>
    <w:rsid w:val="000550A3"/>
    <w:rsid w:val="000553B5"/>
    <w:rsid w:val="000557F2"/>
    <w:rsid w:val="000559DC"/>
    <w:rsid w:val="00055AAE"/>
    <w:rsid w:val="00056428"/>
    <w:rsid w:val="000567EE"/>
    <w:rsid w:val="0005683E"/>
    <w:rsid w:val="00056CA3"/>
    <w:rsid w:val="000571B0"/>
    <w:rsid w:val="000572BC"/>
    <w:rsid w:val="00057D86"/>
    <w:rsid w:val="00057E5D"/>
    <w:rsid w:val="00057F31"/>
    <w:rsid w:val="00060946"/>
    <w:rsid w:val="00061068"/>
    <w:rsid w:val="00061C3B"/>
    <w:rsid w:val="00061C92"/>
    <w:rsid w:val="00062A2B"/>
    <w:rsid w:val="00062E02"/>
    <w:rsid w:val="00062E65"/>
    <w:rsid w:val="00062E7E"/>
    <w:rsid w:val="000633CA"/>
    <w:rsid w:val="00063798"/>
    <w:rsid w:val="00063E48"/>
    <w:rsid w:val="00064226"/>
    <w:rsid w:val="000642B5"/>
    <w:rsid w:val="000644F0"/>
    <w:rsid w:val="0006492C"/>
    <w:rsid w:val="00064938"/>
    <w:rsid w:val="00064BDC"/>
    <w:rsid w:val="00064C16"/>
    <w:rsid w:val="0006515B"/>
    <w:rsid w:val="00065C32"/>
    <w:rsid w:val="00065C3C"/>
    <w:rsid w:val="00065E66"/>
    <w:rsid w:val="0006626D"/>
    <w:rsid w:val="00066424"/>
    <w:rsid w:val="00066591"/>
    <w:rsid w:val="00066747"/>
    <w:rsid w:val="00067B64"/>
    <w:rsid w:val="0007148D"/>
    <w:rsid w:val="00071497"/>
    <w:rsid w:val="000715D7"/>
    <w:rsid w:val="0007167E"/>
    <w:rsid w:val="00071851"/>
    <w:rsid w:val="00071A87"/>
    <w:rsid w:val="000721E6"/>
    <w:rsid w:val="0007237C"/>
    <w:rsid w:val="00072838"/>
    <w:rsid w:val="000731B3"/>
    <w:rsid w:val="00073EF9"/>
    <w:rsid w:val="000751C2"/>
    <w:rsid w:val="00075228"/>
    <w:rsid w:val="000752BA"/>
    <w:rsid w:val="00075388"/>
    <w:rsid w:val="00075452"/>
    <w:rsid w:val="00075596"/>
    <w:rsid w:val="00076780"/>
    <w:rsid w:val="00076D04"/>
    <w:rsid w:val="000778F1"/>
    <w:rsid w:val="00077C1A"/>
    <w:rsid w:val="00077E97"/>
    <w:rsid w:val="000802F7"/>
    <w:rsid w:val="00081679"/>
    <w:rsid w:val="00081BC8"/>
    <w:rsid w:val="00081DE3"/>
    <w:rsid w:val="00081F91"/>
    <w:rsid w:val="0008223F"/>
    <w:rsid w:val="00082A0A"/>
    <w:rsid w:val="00082C30"/>
    <w:rsid w:val="00082EE8"/>
    <w:rsid w:val="00082FE9"/>
    <w:rsid w:val="00083566"/>
    <w:rsid w:val="00083780"/>
    <w:rsid w:val="00083931"/>
    <w:rsid w:val="000839E4"/>
    <w:rsid w:val="00083D17"/>
    <w:rsid w:val="00084285"/>
    <w:rsid w:val="00084AB9"/>
    <w:rsid w:val="00084D74"/>
    <w:rsid w:val="00084E83"/>
    <w:rsid w:val="00085044"/>
    <w:rsid w:val="0008537F"/>
    <w:rsid w:val="000854C0"/>
    <w:rsid w:val="00085FB4"/>
    <w:rsid w:val="00085FE3"/>
    <w:rsid w:val="00086990"/>
    <w:rsid w:val="00086BA6"/>
    <w:rsid w:val="00086D33"/>
    <w:rsid w:val="00087563"/>
    <w:rsid w:val="000877BE"/>
    <w:rsid w:val="00087A73"/>
    <w:rsid w:val="00090843"/>
    <w:rsid w:val="0009128C"/>
    <w:rsid w:val="0009156F"/>
    <w:rsid w:val="00091B1B"/>
    <w:rsid w:val="00092C74"/>
    <w:rsid w:val="000933B2"/>
    <w:rsid w:val="0009353C"/>
    <w:rsid w:val="000937A1"/>
    <w:rsid w:val="00093AEE"/>
    <w:rsid w:val="00093AFD"/>
    <w:rsid w:val="00094165"/>
    <w:rsid w:val="000944D6"/>
    <w:rsid w:val="000948AF"/>
    <w:rsid w:val="00094A0E"/>
    <w:rsid w:val="00094ABD"/>
    <w:rsid w:val="00094B6A"/>
    <w:rsid w:val="00094D11"/>
    <w:rsid w:val="00095648"/>
    <w:rsid w:val="00096E8A"/>
    <w:rsid w:val="00096FA0"/>
    <w:rsid w:val="0009730F"/>
    <w:rsid w:val="0009750A"/>
    <w:rsid w:val="000A0A52"/>
    <w:rsid w:val="000A0BED"/>
    <w:rsid w:val="000A142E"/>
    <w:rsid w:val="000A1547"/>
    <w:rsid w:val="000A1894"/>
    <w:rsid w:val="000A1A2D"/>
    <w:rsid w:val="000A20F7"/>
    <w:rsid w:val="000A2AB5"/>
    <w:rsid w:val="000A2D9D"/>
    <w:rsid w:val="000A39C0"/>
    <w:rsid w:val="000A4502"/>
    <w:rsid w:val="000A492D"/>
    <w:rsid w:val="000A4DDD"/>
    <w:rsid w:val="000A5F02"/>
    <w:rsid w:val="000A67CB"/>
    <w:rsid w:val="000A68D1"/>
    <w:rsid w:val="000A69BC"/>
    <w:rsid w:val="000A775F"/>
    <w:rsid w:val="000A7CA6"/>
    <w:rsid w:val="000B020B"/>
    <w:rsid w:val="000B06E4"/>
    <w:rsid w:val="000B287B"/>
    <w:rsid w:val="000B2E75"/>
    <w:rsid w:val="000B3CAD"/>
    <w:rsid w:val="000B40FD"/>
    <w:rsid w:val="000B4E56"/>
    <w:rsid w:val="000B4E9D"/>
    <w:rsid w:val="000B4FE1"/>
    <w:rsid w:val="000B58E9"/>
    <w:rsid w:val="000B5E9B"/>
    <w:rsid w:val="000B6D60"/>
    <w:rsid w:val="000B7619"/>
    <w:rsid w:val="000B7ADA"/>
    <w:rsid w:val="000B7BC1"/>
    <w:rsid w:val="000B7E47"/>
    <w:rsid w:val="000C02B4"/>
    <w:rsid w:val="000C05A4"/>
    <w:rsid w:val="000C0EE8"/>
    <w:rsid w:val="000C15B8"/>
    <w:rsid w:val="000C170D"/>
    <w:rsid w:val="000C21E7"/>
    <w:rsid w:val="000C2358"/>
    <w:rsid w:val="000C2378"/>
    <w:rsid w:val="000C35CF"/>
    <w:rsid w:val="000C362B"/>
    <w:rsid w:val="000C3A1E"/>
    <w:rsid w:val="000C3BE7"/>
    <w:rsid w:val="000C3F99"/>
    <w:rsid w:val="000C4A7A"/>
    <w:rsid w:val="000C50A0"/>
    <w:rsid w:val="000C51B6"/>
    <w:rsid w:val="000C5E04"/>
    <w:rsid w:val="000C608F"/>
    <w:rsid w:val="000C6A96"/>
    <w:rsid w:val="000C6B85"/>
    <w:rsid w:val="000C6E56"/>
    <w:rsid w:val="000C6FDD"/>
    <w:rsid w:val="000C75A2"/>
    <w:rsid w:val="000C76CC"/>
    <w:rsid w:val="000C7974"/>
    <w:rsid w:val="000D0AD1"/>
    <w:rsid w:val="000D0F78"/>
    <w:rsid w:val="000D2738"/>
    <w:rsid w:val="000D3B26"/>
    <w:rsid w:val="000D40C9"/>
    <w:rsid w:val="000D49DE"/>
    <w:rsid w:val="000D4AAE"/>
    <w:rsid w:val="000D4E53"/>
    <w:rsid w:val="000D4E9C"/>
    <w:rsid w:val="000D5085"/>
    <w:rsid w:val="000D5465"/>
    <w:rsid w:val="000D5630"/>
    <w:rsid w:val="000D566B"/>
    <w:rsid w:val="000D56D8"/>
    <w:rsid w:val="000D5A7D"/>
    <w:rsid w:val="000D626A"/>
    <w:rsid w:val="000D6329"/>
    <w:rsid w:val="000D634C"/>
    <w:rsid w:val="000D64FB"/>
    <w:rsid w:val="000D6509"/>
    <w:rsid w:val="000D6E4E"/>
    <w:rsid w:val="000D6FC8"/>
    <w:rsid w:val="000D71B5"/>
    <w:rsid w:val="000D7470"/>
    <w:rsid w:val="000D77AD"/>
    <w:rsid w:val="000E00CD"/>
    <w:rsid w:val="000E0606"/>
    <w:rsid w:val="000E07B0"/>
    <w:rsid w:val="000E1190"/>
    <w:rsid w:val="000E13BE"/>
    <w:rsid w:val="000E13D8"/>
    <w:rsid w:val="000E258B"/>
    <w:rsid w:val="000E284A"/>
    <w:rsid w:val="000E295D"/>
    <w:rsid w:val="000E2AAD"/>
    <w:rsid w:val="000E2D04"/>
    <w:rsid w:val="000E30EA"/>
    <w:rsid w:val="000E3763"/>
    <w:rsid w:val="000E38C4"/>
    <w:rsid w:val="000E39C2"/>
    <w:rsid w:val="000E3E6D"/>
    <w:rsid w:val="000E3F44"/>
    <w:rsid w:val="000E40B3"/>
    <w:rsid w:val="000E47E7"/>
    <w:rsid w:val="000E5DA9"/>
    <w:rsid w:val="000E6791"/>
    <w:rsid w:val="000E694D"/>
    <w:rsid w:val="000E73B7"/>
    <w:rsid w:val="000E744C"/>
    <w:rsid w:val="000E75F6"/>
    <w:rsid w:val="000E7C59"/>
    <w:rsid w:val="000F0BCB"/>
    <w:rsid w:val="000F1007"/>
    <w:rsid w:val="000F119B"/>
    <w:rsid w:val="000F1247"/>
    <w:rsid w:val="000F1B17"/>
    <w:rsid w:val="000F1D86"/>
    <w:rsid w:val="000F22C7"/>
    <w:rsid w:val="000F22CD"/>
    <w:rsid w:val="000F27DE"/>
    <w:rsid w:val="000F2E6C"/>
    <w:rsid w:val="000F31B1"/>
    <w:rsid w:val="000F3679"/>
    <w:rsid w:val="000F3FF4"/>
    <w:rsid w:val="000F48A1"/>
    <w:rsid w:val="000F4DE8"/>
    <w:rsid w:val="000F4E10"/>
    <w:rsid w:val="000F4EE1"/>
    <w:rsid w:val="000F556D"/>
    <w:rsid w:val="000F5818"/>
    <w:rsid w:val="000F5CF1"/>
    <w:rsid w:val="000F6497"/>
    <w:rsid w:val="000F65D1"/>
    <w:rsid w:val="000F685F"/>
    <w:rsid w:val="000F6A42"/>
    <w:rsid w:val="000F6D98"/>
    <w:rsid w:val="000F6DA3"/>
    <w:rsid w:val="000F774E"/>
    <w:rsid w:val="000F7C61"/>
    <w:rsid w:val="001006BD"/>
    <w:rsid w:val="001008D0"/>
    <w:rsid w:val="001009D3"/>
    <w:rsid w:val="0010101B"/>
    <w:rsid w:val="0010113F"/>
    <w:rsid w:val="0010125E"/>
    <w:rsid w:val="001016DB"/>
    <w:rsid w:val="00101B29"/>
    <w:rsid w:val="00101E69"/>
    <w:rsid w:val="0010215A"/>
    <w:rsid w:val="00102425"/>
    <w:rsid w:val="00102743"/>
    <w:rsid w:val="0010284B"/>
    <w:rsid w:val="001035B6"/>
    <w:rsid w:val="0010362B"/>
    <w:rsid w:val="00103A8E"/>
    <w:rsid w:val="00103E3F"/>
    <w:rsid w:val="00103F0B"/>
    <w:rsid w:val="0010439A"/>
    <w:rsid w:val="001043A6"/>
    <w:rsid w:val="00104989"/>
    <w:rsid w:val="00104B4E"/>
    <w:rsid w:val="00104C79"/>
    <w:rsid w:val="00104CA9"/>
    <w:rsid w:val="00105CA7"/>
    <w:rsid w:val="00105DCF"/>
    <w:rsid w:val="001065AC"/>
    <w:rsid w:val="0010698A"/>
    <w:rsid w:val="00106B3D"/>
    <w:rsid w:val="001072F3"/>
    <w:rsid w:val="00107B56"/>
    <w:rsid w:val="00107C80"/>
    <w:rsid w:val="0011040B"/>
    <w:rsid w:val="00110F9C"/>
    <w:rsid w:val="00111096"/>
    <w:rsid w:val="001117EB"/>
    <w:rsid w:val="00111A18"/>
    <w:rsid w:val="00111FED"/>
    <w:rsid w:val="001126E1"/>
    <w:rsid w:val="00112EDD"/>
    <w:rsid w:val="00113390"/>
    <w:rsid w:val="00113A47"/>
    <w:rsid w:val="00113FC2"/>
    <w:rsid w:val="001144FA"/>
    <w:rsid w:val="001149A1"/>
    <w:rsid w:val="00114EF2"/>
    <w:rsid w:val="001151CE"/>
    <w:rsid w:val="0011527A"/>
    <w:rsid w:val="001159A4"/>
    <w:rsid w:val="0011633B"/>
    <w:rsid w:val="001163BA"/>
    <w:rsid w:val="00116C0F"/>
    <w:rsid w:val="00117C84"/>
    <w:rsid w:val="00117DFE"/>
    <w:rsid w:val="001203F6"/>
    <w:rsid w:val="001207E0"/>
    <w:rsid w:val="00120B0D"/>
    <w:rsid w:val="00120C9A"/>
    <w:rsid w:val="00121A0C"/>
    <w:rsid w:val="00121CCB"/>
    <w:rsid w:val="001228F8"/>
    <w:rsid w:val="00122A44"/>
    <w:rsid w:val="00122B3D"/>
    <w:rsid w:val="00122C6A"/>
    <w:rsid w:val="00122F31"/>
    <w:rsid w:val="0012301D"/>
    <w:rsid w:val="00123154"/>
    <w:rsid w:val="001235C2"/>
    <w:rsid w:val="0012397A"/>
    <w:rsid w:val="00123BB8"/>
    <w:rsid w:val="00123E2D"/>
    <w:rsid w:val="001250DC"/>
    <w:rsid w:val="001251C9"/>
    <w:rsid w:val="0012534C"/>
    <w:rsid w:val="00125F09"/>
    <w:rsid w:val="0012689E"/>
    <w:rsid w:val="001269B4"/>
    <w:rsid w:val="001275F8"/>
    <w:rsid w:val="00130A06"/>
    <w:rsid w:val="00130AC0"/>
    <w:rsid w:val="00130E3D"/>
    <w:rsid w:val="00130F67"/>
    <w:rsid w:val="00131209"/>
    <w:rsid w:val="00131DB6"/>
    <w:rsid w:val="00131E46"/>
    <w:rsid w:val="001323E0"/>
    <w:rsid w:val="0013244F"/>
    <w:rsid w:val="00132BDD"/>
    <w:rsid w:val="00132CCC"/>
    <w:rsid w:val="00132D45"/>
    <w:rsid w:val="00132EAE"/>
    <w:rsid w:val="00133086"/>
    <w:rsid w:val="00133115"/>
    <w:rsid w:val="001338CB"/>
    <w:rsid w:val="0013403A"/>
    <w:rsid w:val="001341AB"/>
    <w:rsid w:val="001344B2"/>
    <w:rsid w:val="00134622"/>
    <w:rsid w:val="00134B61"/>
    <w:rsid w:val="00134F89"/>
    <w:rsid w:val="00135DF2"/>
    <w:rsid w:val="0013628F"/>
    <w:rsid w:val="00136EB2"/>
    <w:rsid w:val="00137898"/>
    <w:rsid w:val="00137BCA"/>
    <w:rsid w:val="001402E7"/>
    <w:rsid w:val="00140356"/>
    <w:rsid w:val="001404FE"/>
    <w:rsid w:val="001407A2"/>
    <w:rsid w:val="00140926"/>
    <w:rsid w:val="00140967"/>
    <w:rsid w:val="00140B33"/>
    <w:rsid w:val="00140E1F"/>
    <w:rsid w:val="001412B5"/>
    <w:rsid w:val="0014191D"/>
    <w:rsid w:val="00141CF4"/>
    <w:rsid w:val="00142AA1"/>
    <w:rsid w:val="00142CD9"/>
    <w:rsid w:val="00142D64"/>
    <w:rsid w:val="00142ED0"/>
    <w:rsid w:val="00142F21"/>
    <w:rsid w:val="001433B0"/>
    <w:rsid w:val="001437C0"/>
    <w:rsid w:val="0014451A"/>
    <w:rsid w:val="001447F2"/>
    <w:rsid w:val="0014537A"/>
    <w:rsid w:val="001453FA"/>
    <w:rsid w:val="00145F49"/>
    <w:rsid w:val="001464FF"/>
    <w:rsid w:val="00146903"/>
    <w:rsid w:val="00146EAD"/>
    <w:rsid w:val="00146F1E"/>
    <w:rsid w:val="00147140"/>
    <w:rsid w:val="00147BF1"/>
    <w:rsid w:val="00147D1B"/>
    <w:rsid w:val="001501FB"/>
    <w:rsid w:val="001502DF"/>
    <w:rsid w:val="00150678"/>
    <w:rsid w:val="001527B3"/>
    <w:rsid w:val="001529BD"/>
    <w:rsid w:val="00152EC3"/>
    <w:rsid w:val="001533E7"/>
    <w:rsid w:val="0015375C"/>
    <w:rsid w:val="001537F8"/>
    <w:rsid w:val="00153B18"/>
    <w:rsid w:val="0015482E"/>
    <w:rsid w:val="00155E97"/>
    <w:rsid w:val="001562D8"/>
    <w:rsid w:val="00156B08"/>
    <w:rsid w:val="00156BA2"/>
    <w:rsid w:val="00156CD2"/>
    <w:rsid w:val="00157E67"/>
    <w:rsid w:val="00160495"/>
    <w:rsid w:val="00160733"/>
    <w:rsid w:val="0016081F"/>
    <w:rsid w:val="00160A55"/>
    <w:rsid w:val="00160D9E"/>
    <w:rsid w:val="001610BB"/>
    <w:rsid w:val="00161FD6"/>
    <w:rsid w:val="0016209C"/>
    <w:rsid w:val="001627F7"/>
    <w:rsid w:val="00163516"/>
    <w:rsid w:val="00163641"/>
    <w:rsid w:val="00163C4E"/>
    <w:rsid w:val="00164251"/>
    <w:rsid w:val="001644E4"/>
    <w:rsid w:val="0016490E"/>
    <w:rsid w:val="0016507B"/>
    <w:rsid w:val="00165991"/>
    <w:rsid w:val="00165B31"/>
    <w:rsid w:val="00165CED"/>
    <w:rsid w:val="00165E17"/>
    <w:rsid w:val="00165E26"/>
    <w:rsid w:val="00166676"/>
    <w:rsid w:val="00166E8D"/>
    <w:rsid w:val="001673CD"/>
    <w:rsid w:val="001674E0"/>
    <w:rsid w:val="00167658"/>
    <w:rsid w:val="00167775"/>
    <w:rsid w:val="00167E65"/>
    <w:rsid w:val="001709AD"/>
    <w:rsid w:val="00171484"/>
    <w:rsid w:val="001714CC"/>
    <w:rsid w:val="0017191F"/>
    <w:rsid w:val="001720CC"/>
    <w:rsid w:val="00172328"/>
    <w:rsid w:val="00172C70"/>
    <w:rsid w:val="00173217"/>
    <w:rsid w:val="00173BDB"/>
    <w:rsid w:val="00173DE1"/>
    <w:rsid w:val="00173E96"/>
    <w:rsid w:val="001743C6"/>
    <w:rsid w:val="00174472"/>
    <w:rsid w:val="001745D3"/>
    <w:rsid w:val="00174EEF"/>
    <w:rsid w:val="00175A1A"/>
    <w:rsid w:val="001764EB"/>
    <w:rsid w:val="00176635"/>
    <w:rsid w:val="00177201"/>
    <w:rsid w:val="0018007F"/>
    <w:rsid w:val="001802CD"/>
    <w:rsid w:val="0018088D"/>
    <w:rsid w:val="00180A24"/>
    <w:rsid w:val="00181556"/>
    <w:rsid w:val="001818F6"/>
    <w:rsid w:val="00181AC6"/>
    <w:rsid w:val="00181B3E"/>
    <w:rsid w:val="00181D89"/>
    <w:rsid w:val="00182212"/>
    <w:rsid w:val="00182651"/>
    <w:rsid w:val="00182813"/>
    <w:rsid w:val="00183470"/>
    <w:rsid w:val="00183DE7"/>
    <w:rsid w:val="001846C3"/>
    <w:rsid w:val="001848F7"/>
    <w:rsid w:val="001849D8"/>
    <w:rsid w:val="001859C1"/>
    <w:rsid w:val="00185BA5"/>
    <w:rsid w:val="001870D4"/>
    <w:rsid w:val="00187708"/>
    <w:rsid w:val="00190300"/>
    <w:rsid w:val="0019034B"/>
    <w:rsid w:val="001908BB"/>
    <w:rsid w:val="00190D69"/>
    <w:rsid w:val="00190F59"/>
    <w:rsid w:val="00191239"/>
    <w:rsid w:val="00191C15"/>
    <w:rsid w:val="00191DA9"/>
    <w:rsid w:val="00191E45"/>
    <w:rsid w:val="00191FA2"/>
    <w:rsid w:val="0019264E"/>
    <w:rsid w:val="00193076"/>
    <w:rsid w:val="00194114"/>
    <w:rsid w:val="00195045"/>
    <w:rsid w:val="00196218"/>
    <w:rsid w:val="001968CD"/>
    <w:rsid w:val="00196CC6"/>
    <w:rsid w:val="00197039"/>
    <w:rsid w:val="00197147"/>
    <w:rsid w:val="00197792"/>
    <w:rsid w:val="00197C80"/>
    <w:rsid w:val="00197D3F"/>
    <w:rsid w:val="001A0936"/>
    <w:rsid w:val="001A0997"/>
    <w:rsid w:val="001A0DF2"/>
    <w:rsid w:val="001A0FF0"/>
    <w:rsid w:val="001A18E5"/>
    <w:rsid w:val="001A19E5"/>
    <w:rsid w:val="001A222C"/>
    <w:rsid w:val="001A22AD"/>
    <w:rsid w:val="001A26E5"/>
    <w:rsid w:val="001A2EC6"/>
    <w:rsid w:val="001A32CF"/>
    <w:rsid w:val="001A377E"/>
    <w:rsid w:val="001A3C4A"/>
    <w:rsid w:val="001A4126"/>
    <w:rsid w:val="001A43CE"/>
    <w:rsid w:val="001A46BA"/>
    <w:rsid w:val="001A4805"/>
    <w:rsid w:val="001A4869"/>
    <w:rsid w:val="001A5023"/>
    <w:rsid w:val="001A5131"/>
    <w:rsid w:val="001A5462"/>
    <w:rsid w:val="001A5694"/>
    <w:rsid w:val="001A5CB8"/>
    <w:rsid w:val="001A5EFF"/>
    <w:rsid w:val="001A61FD"/>
    <w:rsid w:val="001A622A"/>
    <w:rsid w:val="001A62C9"/>
    <w:rsid w:val="001A63F5"/>
    <w:rsid w:val="001A6577"/>
    <w:rsid w:val="001A6BDB"/>
    <w:rsid w:val="001A6C77"/>
    <w:rsid w:val="001A6EF9"/>
    <w:rsid w:val="001A73EC"/>
    <w:rsid w:val="001A792B"/>
    <w:rsid w:val="001A7D2D"/>
    <w:rsid w:val="001B0334"/>
    <w:rsid w:val="001B0531"/>
    <w:rsid w:val="001B053E"/>
    <w:rsid w:val="001B09A2"/>
    <w:rsid w:val="001B1099"/>
    <w:rsid w:val="001B17FD"/>
    <w:rsid w:val="001B1B64"/>
    <w:rsid w:val="001B20AF"/>
    <w:rsid w:val="001B2187"/>
    <w:rsid w:val="001B2341"/>
    <w:rsid w:val="001B2688"/>
    <w:rsid w:val="001B28F6"/>
    <w:rsid w:val="001B2BFF"/>
    <w:rsid w:val="001B323E"/>
    <w:rsid w:val="001B3332"/>
    <w:rsid w:val="001B36F6"/>
    <w:rsid w:val="001B3960"/>
    <w:rsid w:val="001B3B20"/>
    <w:rsid w:val="001B40B7"/>
    <w:rsid w:val="001B4AE7"/>
    <w:rsid w:val="001B4F39"/>
    <w:rsid w:val="001B622B"/>
    <w:rsid w:val="001B69A9"/>
    <w:rsid w:val="001B6CF4"/>
    <w:rsid w:val="001B7F09"/>
    <w:rsid w:val="001C0044"/>
    <w:rsid w:val="001C0B42"/>
    <w:rsid w:val="001C0C53"/>
    <w:rsid w:val="001C0C66"/>
    <w:rsid w:val="001C10F9"/>
    <w:rsid w:val="001C1290"/>
    <w:rsid w:val="001C168A"/>
    <w:rsid w:val="001C1EBE"/>
    <w:rsid w:val="001C2147"/>
    <w:rsid w:val="001C2786"/>
    <w:rsid w:val="001C2E6A"/>
    <w:rsid w:val="001C2F81"/>
    <w:rsid w:val="001C3EF4"/>
    <w:rsid w:val="001C4240"/>
    <w:rsid w:val="001C4618"/>
    <w:rsid w:val="001C489D"/>
    <w:rsid w:val="001C4A7A"/>
    <w:rsid w:val="001C54C8"/>
    <w:rsid w:val="001C5DBD"/>
    <w:rsid w:val="001C5F36"/>
    <w:rsid w:val="001C5FFF"/>
    <w:rsid w:val="001C7831"/>
    <w:rsid w:val="001C7E26"/>
    <w:rsid w:val="001D033A"/>
    <w:rsid w:val="001D0686"/>
    <w:rsid w:val="001D11AF"/>
    <w:rsid w:val="001D161E"/>
    <w:rsid w:val="001D328D"/>
    <w:rsid w:val="001D3583"/>
    <w:rsid w:val="001D3917"/>
    <w:rsid w:val="001D4507"/>
    <w:rsid w:val="001D4947"/>
    <w:rsid w:val="001D4A35"/>
    <w:rsid w:val="001D4BD5"/>
    <w:rsid w:val="001D5BB5"/>
    <w:rsid w:val="001D6151"/>
    <w:rsid w:val="001D651F"/>
    <w:rsid w:val="001D653B"/>
    <w:rsid w:val="001D6C29"/>
    <w:rsid w:val="001D7042"/>
    <w:rsid w:val="001D78C4"/>
    <w:rsid w:val="001D7A18"/>
    <w:rsid w:val="001E0530"/>
    <w:rsid w:val="001E09E4"/>
    <w:rsid w:val="001E1164"/>
    <w:rsid w:val="001E1303"/>
    <w:rsid w:val="001E1890"/>
    <w:rsid w:val="001E1B37"/>
    <w:rsid w:val="001E1B95"/>
    <w:rsid w:val="001E292A"/>
    <w:rsid w:val="001E3272"/>
    <w:rsid w:val="001E3AA8"/>
    <w:rsid w:val="001E3DD3"/>
    <w:rsid w:val="001E3DEA"/>
    <w:rsid w:val="001E416B"/>
    <w:rsid w:val="001E43C4"/>
    <w:rsid w:val="001E44DF"/>
    <w:rsid w:val="001E4788"/>
    <w:rsid w:val="001E50C3"/>
    <w:rsid w:val="001E50F4"/>
    <w:rsid w:val="001E63BA"/>
    <w:rsid w:val="001E6781"/>
    <w:rsid w:val="001E6785"/>
    <w:rsid w:val="001E6B7B"/>
    <w:rsid w:val="001E6EFF"/>
    <w:rsid w:val="001E71BC"/>
    <w:rsid w:val="001E7B2B"/>
    <w:rsid w:val="001F017B"/>
    <w:rsid w:val="001F093A"/>
    <w:rsid w:val="001F0B3D"/>
    <w:rsid w:val="001F12B0"/>
    <w:rsid w:val="001F139C"/>
    <w:rsid w:val="001F1859"/>
    <w:rsid w:val="001F245F"/>
    <w:rsid w:val="001F2A5A"/>
    <w:rsid w:val="001F2A78"/>
    <w:rsid w:val="001F2BD5"/>
    <w:rsid w:val="001F3C90"/>
    <w:rsid w:val="001F477C"/>
    <w:rsid w:val="001F50CC"/>
    <w:rsid w:val="001F54CC"/>
    <w:rsid w:val="001F59AA"/>
    <w:rsid w:val="001F5A05"/>
    <w:rsid w:val="001F5B5A"/>
    <w:rsid w:val="001F68F5"/>
    <w:rsid w:val="001F7511"/>
    <w:rsid w:val="001F77BD"/>
    <w:rsid w:val="001F7909"/>
    <w:rsid w:val="001F7A89"/>
    <w:rsid w:val="001F7CF1"/>
    <w:rsid w:val="00200046"/>
    <w:rsid w:val="00200077"/>
    <w:rsid w:val="0020052F"/>
    <w:rsid w:val="00201656"/>
    <w:rsid w:val="00201713"/>
    <w:rsid w:val="00201780"/>
    <w:rsid w:val="00202BBE"/>
    <w:rsid w:val="00204160"/>
    <w:rsid w:val="0020426C"/>
    <w:rsid w:val="002045D7"/>
    <w:rsid w:val="00205529"/>
    <w:rsid w:val="00205839"/>
    <w:rsid w:val="002058DE"/>
    <w:rsid w:val="00205A43"/>
    <w:rsid w:val="00205AC9"/>
    <w:rsid w:val="00205D7F"/>
    <w:rsid w:val="00205F89"/>
    <w:rsid w:val="00205F96"/>
    <w:rsid w:val="00206730"/>
    <w:rsid w:val="00206EC3"/>
    <w:rsid w:val="00206EF3"/>
    <w:rsid w:val="0020747B"/>
    <w:rsid w:val="00207DCF"/>
    <w:rsid w:val="00207F12"/>
    <w:rsid w:val="00207F3C"/>
    <w:rsid w:val="002109BA"/>
    <w:rsid w:val="00211082"/>
    <w:rsid w:val="00211723"/>
    <w:rsid w:val="00212771"/>
    <w:rsid w:val="002132EE"/>
    <w:rsid w:val="0021395A"/>
    <w:rsid w:val="00214335"/>
    <w:rsid w:val="00214642"/>
    <w:rsid w:val="0021556B"/>
    <w:rsid w:val="00215572"/>
    <w:rsid w:val="002156A6"/>
    <w:rsid w:val="0021644B"/>
    <w:rsid w:val="002164C1"/>
    <w:rsid w:val="0021654F"/>
    <w:rsid w:val="00216771"/>
    <w:rsid w:val="002167E9"/>
    <w:rsid w:val="00216988"/>
    <w:rsid w:val="002170DE"/>
    <w:rsid w:val="0021735E"/>
    <w:rsid w:val="00217446"/>
    <w:rsid w:val="002176E5"/>
    <w:rsid w:val="00217832"/>
    <w:rsid w:val="00220379"/>
    <w:rsid w:val="00221023"/>
    <w:rsid w:val="0022110C"/>
    <w:rsid w:val="00222799"/>
    <w:rsid w:val="00222C92"/>
    <w:rsid w:val="00222DAA"/>
    <w:rsid w:val="00223163"/>
    <w:rsid w:val="002236EF"/>
    <w:rsid w:val="00223B95"/>
    <w:rsid w:val="00224435"/>
    <w:rsid w:val="002246C2"/>
    <w:rsid w:val="00224AAC"/>
    <w:rsid w:val="00224B6E"/>
    <w:rsid w:val="00224C64"/>
    <w:rsid w:val="00226622"/>
    <w:rsid w:val="00227213"/>
    <w:rsid w:val="00227296"/>
    <w:rsid w:val="002274B7"/>
    <w:rsid w:val="002308BB"/>
    <w:rsid w:val="00230A53"/>
    <w:rsid w:val="002314A9"/>
    <w:rsid w:val="00231974"/>
    <w:rsid w:val="002319F3"/>
    <w:rsid w:val="00231A6B"/>
    <w:rsid w:val="00231F82"/>
    <w:rsid w:val="00232137"/>
    <w:rsid w:val="0023227F"/>
    <w:rsid w:val="002323C4"/>
    <w:rsid w:val="00232D0F"/>
    <w:rsid w:val="00232EC9"/>
    <w:rsid w:val="00233198"/>
    <w:rsid w:val="002336B6"/>
    <w:rsid w:val="0023378B"/>
    <w:rsid w:val="0023410F"/>
    <w:rsid w:val="0023431D"/>
    <w:rsid w:val="0023461C"/>
    <w:rsid w:val="00234720"/>
    <w:rsid w:val="00234762"/>
    <w:rsid w:val="00234B95"/>
    <w:rsid w:val="00234CF0"/>
    <w:rsid w:val="00234FEB"/>
    <w:rsid w:val="002352C6"/>
    <w:rsid w:val="00235F64"/>
    <w:rsid w:val="002360DD"/>
    <w:rsid w:val="00236138"/>
    <w:rsid w:val="00236307"/>
    <w:rsid w:val="00236357"/>
    <w:rsid w:val="00236383"/>
    <w:rsid w:val="002363EC"/>
    <w:rsid w:val="0023683B"/>
    <w:rsid w:val="002378C5"/>
    <w:rsid w:val="00237976"/>
    <w:rsid w:val="00240825"/>
    <w:rsid w:val="00240D99"/>
    <w:rsid w:val="00240E83"/>
    <w:rsid w:val="00241411"/>
    <w:rsid w:val="002415B7"/>
    <w:rsid w:val="00241C7E"/>
    <w:rsid w:val="00241D6A"/>
    <w:rsid w:val="00241D99"/>
    <w:rsid w:val="002423CD"/>
    <w:rsid w:val="00242830"/>
    <w:rsid w:val="00242A6E"/>
    <w:rsid w:val="002434ED"/>
    <w:rsid w:val="00243A55"/>
    <w:rsid w:val="00243DE5"/>
    <w:rsid w:val="002445BD"/>
    <w:rsid w:val="002449BB"/>
    <w:rsid w:val="00244D70"/>
    <w:rsid w:val="00245BF8"/>
    <w:rsid w:val="00245C61"/>
    <w:rsid w:val="00245DDF"/>
    <w:rsid w:val="00246312"/>
    <w:rsid w:val="0024725B"/>
    <w:rsid w:val="002476FF"/>
    <w:rsid w:val="00247895"/>
    <w:rsid w:val="00247B28"/>
    <w:rsid w:val="00250237"/>
    <w:rsid w:val="002516A8"/>
    <w:rsid w:val="002518D1"/>
    <w:rsid w:val="00251B01"/>
    <w:rsid w:val="00251B4D"/>
    <w:rsid w:val="0025216A"/>
    <w:rsid w:val="002523A5"/>
    <w:rsid w:val="00252C37"/>
    <w:rsid w:val="002537E4"/>
    <w:rsid w:val="00253CCD"/>
    <w:rsid w:val="002542A8"/>
    <w:rsid w:val="00254C41"/>
    <w:rsid w:val="002550B8"/>
    <w:rsid w:val="002551D1"/>
    <w:rsid w:val="00255ADB"/>
    <w:rsid w:val="002560AF"/>
    <w:rsid w:val="002572AB"/>
    <w:rsid w:val="00257602"/>
    <w:rsid w:val="002577BE"/>
    <w:rsid w:val="00257FDB"/>
    <w:rsid w:val="002603A1"/>
    <w:rsid w:val="002603E0"/>
    <w:rsid w:val="00261211"/>
    <w:rsid w:val="002613C9"/>
    <w:rsid w:val="00261C4E"/>
    <w:rsid w:val="00261E9A"/>
    <w:rsid w:val="00261FC8"/>
    <w:rsid w:val="0026203C"/>
    <w:rsid w:val="002620FC"/>
    <w:rsid w:val="00262315"/>
    <w:rsid w:val="00262407"/>
    <w:rsid w:val="00262E3A"/>
    <w:rsid w:val="002634FE"/>
    <w:rsid w:val="00263606"/>
    <w:rsid w:val="0026449E"/>
    <w:rsid w:val="00264516"/>
    <w:rsid w:val="00264638"/>
    <w:rsid w:val="00264744"/>
    <w:rsid w:val="00264F4E"/>
    <w:rsid w:val="00264F95"/>
    <w:rsid w:val="0026558A"/>
    <w:rsid w:val="00265C84"/>
    <w:rsid w:val="00265D25"/>
    <w:rsid w:val="00266899"/>
    <w:rsid w:val="002668A9"/>
    <w:rsid w:val="002668B4"/>
    <w:rsid w:val="00266EAC"/>
    <w:rsid w:val="0026709F"/>
    <w:rsid w:val="0026796D"/>
    <w:rsid w:val="00270115"/>
    <w:rsid w:val="00270A46"/>
    <w:rsid w:val="00270C04"/>
    <w:rsid w:val="00270CC6"/>
    <w:rsid w:val="00272473"/>
    <w:rsid w:val="00272980"/>
    <w:rsid w:val="00272B8A"/>
    <w:rsid w:val="002730D2"/>
    <w:rsid w:val="0027348B"/>
    <w:rsid w:val="002737FC"/>
    <w:rsid w:val="00273C77"/>
    <w:rsid w:val="00273F92"/>
    <w:rsid w:val="002743F2"/>
    <w:rsid w:val="00274750"/>
    <w:rsid w:val="00274837"/>
    <w:rsid w:val="00275035"/>
    <w:rsid w:val="00275CCA"/>
    <w:rsid w:val="00275D35"/>
    <w:rsid w:val="00275E16"/>
    <w:rsid w:val="00275F5E"/>
    <w:rsid w:val="002762F5"/>
    <w:rsid w:val="00276A9F"/>
    <w:rsid w:val="00277879"/>
    <w:rsid w:val="00277C0A"/>
    <w:rsid w:val="00280B8B"/>
    <w:rsid w:val="00280D93"/>
    <w:rsid w:val="00281160"/>
    <w:rsid w:val="00281AB5"/>
    <w:rsid w:val="00281E53"/>
    <w:rsid w:val="00282B3B"/>
    <w:rsid w:val="00284385"/>
    <w:rsid w:val="002848C8"/>
    <w:rsid w:val="00284CC2"/>
    <w:rsid w:val="00284CE9"/>
    <w:rsid w:val="00284CF5"/>
    <w:rsid w:val="0028522C"/>
    <w:rsid w:val="0028527D"/>
    <w:rsid w:val="00285A15"/>
    <w:rsid w:val="00285D29"/>
    <w:rsid w:val="00285D61"/>
    <w:rsid w:val="00286313"/>
    <w:rsid w:val="00286347"/>
    <w:rsid w:val="00287191"/>
    <w:rsid w:val="00287B90"/>
    <w:rsid w:val="002901A3"/>
    <w:rsid w:val="00290808"/>
    <w:rsid w:val="002912BB"/>
    <w:rsid w:val="002916EA"/>
    <w:rsid w:val="00291A97"/>
    <w:rsid w:val="0029246D"/>
    <w:rsid w:val="00292536"/>
    <w:rsid w:val="00292630"/>
    <w:rsid w:val="002935F6"/>
    <w:rsid w:val="002943C3"/>
    <w:rsid w:val="00295B06"/>
    <w:rsid w:val="0029658B"/>
    <w:rsid w:val="00296BEA"/>
    <w:rsid w:val="00297493"/>
    <w:rsid w:val="00297787"/>
    <w:rsid w:val="002979BA"/>
    <w:rsid w:val="00297CE0"/>
    <w:rsid w:val="002A0039"/>
    <w:rsid w:val="002A0E02"/>
    <w:rsid w:val="002A0E9D"/>
    <w:rsid w:val="002A1463"/>
    <w:rsid w:val="002A1612"/>
    <w:rsid w:val="002A3043"/>
    <w:rsid w:val="002A310F"/>
    <w:rsid w:val="002A33A3"/>
    <w:rsid w:val="002A4917"/>
    <w:rsid w:val="002A521B"/>
    <w:rsid w:val="002A5334"/>
    <w:rsid w:val="002A56FD"/>
    <w:rsid w:val="002A6A7B"/>
    <w:rsid w:val="002A7116"/>
    <w:rsid w:val="002A7572"/>
    <w:rsid w:val="002A78B6"/>
    <w:rsid w:val="002A78D4"/>
    <w:rsid w:val="002A7B3A"/>
    <w:rsid w:val="002B0B92"/>
    <w:rsid w:val="002B19A6"/>
    <w:rsid w:val="002B1B07"/>
    <w:rsid w:val="002B23B0"/>
    <w:rsid w:val="002B2863"/>
    <w:rsid w:val="002B3399"/>
    <w:rsid w:val="002B3634"/>
    <w:rsid w:val="002B4250"/>
    <w:rsid w:val="002B44D5"/>
    <w:rsid w:val="002B4A12"/>
    <w:rsid w:val="002B4C06"/>
    <w:rsid w:val="002B4E79"/>
    <w:rsid w:val="002B4E99"/>
    <w:rsid w:val="002B4FC2"/>
    <w:rsid w:val="002B5167"/>
    <w:rsid w:val="002B5852"/>
    <w:rsid w:val="002B62BD"/>
    <w:rsid w:val="002B6528"/>
    <w:rsid w:val="002B71E2"/>
    <w:rsid w:val="002B76F5"/>
    <w:rsid w:val="002B7C2C"/>
    <w:rsid w:val="002B7E3C"/>
    <w:rsid w:val="002B7F2D"/>
    <w:rsid w:val="002B7FD2"/>
    <w:rsid w:val="002C276E"/>
    <w:rsid w:val="002C3110"/>
    <w:rsid w:val="002C315A"/>
    <w:rsid w:val="002C3931"/>
    <w:rsid w:val="002C402E"/>
    <w:rsid w:val="002C42ED"/>
    <w:rsid w:val="002C5297"/>
    <w:rsid w:val="002C53C6"/>
    <w:rsid w:val="002C5734"/>
    <w:rsid w:val="002C5A77"/>
    <w:rsid w:val="002C5C6C"/>
    <w:rsid w:val="002C5FD9"/>
    <w:rsid w:val="002C6059"/>
    <w:rsid w:val="002C6073"/>
    <w:rsid w:val="002C69E7"/>
    <w:rsid w:val="002C6C1F"/>
    <w:rsid w:val="002C7003"/>
    <w:rsid w:val="002D06A8"/>
    <w:rsid w:val="002D0742"/>
    <w:rsid w:val="002D0F01"/>
    <w:rsid w:val="002D10F4"/>
    <w:rsid w:val="002D1FCD"/>
    <w:rsid w:val="002D2A5B"/>
    <w:rsid w:val="002D2D86"/>
    <w:rsid w:val="002D4133"/>
    <w:rsid w:val="002D4521"/>
    <w:rsid w:val="002D4CF3"/>
    <w:rsid w:val="002D51B2"/>
    <w:rsid w:val="002D5275"/>
    <w:rsid w:val="002D539E"/>
    <w:rsid w:val="002D5562"/>
    <w:rsid w:val="002D5617"/>
    <w:rsid w:val="002D57C4"/>
    <w:rsid w:val="002D5983"/>
    <w:rsid w:val="002D5E0E"/>
    <w:rsid w:val="002D60BA"/>
    <w:rsid w:val="002D63F7"/>
    <w:rsid w:val="002D6464"/>
    <w:rsid w:val="002D64C3"/>
    <w:rsid w:val="002D670C"/>
    <w:rsid w:val="002D7BE0"/>
    <w:rsid w:val="002E17BB"/>
    <w:rsid w:val="002E1821"/>
    <w:rsid w:val="002E2157"/>
    <w:rsid w:val="002E2465"/>
    <w:rsid w:val="002E27B6"/>
    <w:rsid w:val="002E4314"/>
    <w:rsid w:val="002E484D"/>
    <w:rsid w:val="002E53B4"/>
    <w:rsid w:val="002E576B"/>
    <w:rsid w:val="002E5EC9"/>
    <w:rsid w:val="002E65B7"/>
    <w:rsid w:val="002E74A4"/>
    <w:rsid w:val="002E7A0A"/>
    <w:rsid w:val="002F026F"/>
    <w:rsid w:val="002F02B5"/>
    <w:rsid w:val="002F0527"/>
    <w:rsid w:val="002F0791"/>
    <w:rsid w:val="002F0872"/>
    <w:rsid w:val="002F0942"/>
    <w:rsid w:val="002F0C4D"/>
    <w:rsid w:val="002F1EAE"/>
    <w:rsid w:val="002F1ED2"/>
    <w:rsid w:val="002F22BA"/>
    <w:rsid w:val="002F2435"/>
    <w:rsid w:val="002F2474"/>
    <w:rsid w:val="002F2C78"/>
    <w:rsid w:val="002F35FD"/>
    <w:rsid w:val="002F38F3"/>
    <w:rsid w:val="002F3985"/>
    <w:rsid w:val="002F3CCD"/>
    <w:rsid w:val="002F3DAD"/>
    <w:rsid w:val="002F3E6A"/>
    <w:rsid w:val="002F4301"/>
    <w:rsid w:val="002F4384"/>
    <w:rsid w:val="002F447F"/>
    <w:rsid w:val="002F46F4"/>
    <w:rsid w:val="002F488E"/>
    <w:rsid w:val="002F4DE5"/>
    <w:rsid w:val="002F50DA"/>
    <w:rsid w:val="002F5844"/>
    <w:rsid w:val="002F5B54"/>
    <w:rsid w:val="002F5F2E"/>
    <w:rsid w:val="002F66D9"/>
    <w:rsid w:val="002F6AC0"/>
    <w:rsid w:val="002F6CCB"/>
    <w:rsid w:val="002F6DF5"/>
    <w:rsid w:val="00300AF9"/>
    <w:rsid w:val="0030113C"/>
    <w:rsid w:val="00301547"/>
    <w:rsid w:val="00301E86"/>
    <w:rsid w:val="00301EE6"/>
    <w:rsid w:val="0030221C"/>
    <w:rsid w:val="0030227E"/>
    <w:rsid w:val="00302628"/>
    <w:rsid w:val="00304404"/>
    <w:rsid w:val="0030448F"/>
    <w:rsid w:val="003047D7"/>
    <w:rsid w:val="00304A46"/>
    <w:rsid w:val="00305018"/>
    <w:rsid w:val="0030526E"/>
    <w:rsid w:val="003054DE"/>
    <w:rsid w:val="00305820"/>
    <w:rsid w:val="003104F8"/>
    <w:rsid w:val="0031076D"/>
    <w:rsid w:val="003109D3"/>
    <w:rsid w:val="003109D5"/>
    <w:rsid w:val="00310B68"/>
    <w:rsid w:val="00311438"/>
    <w:rsid w:val="00311BE7"/>
    <w:rsid w:val="00312122"/>
    <w:rsid w:val="00312237"/>
    <w:rsid w:val="0031290B"/>
    <w:rsid w:val="00312BD2"/>
    <w:rsid w:val="00312F8A"/>
    <w:rsid w:val="00313835"/>
    <w:rsid w:val="00313AAA"/>
    <w:rsid w:val="00313DE7"/>
    <w:rsid w:val="00314D2B"/>
    <w:rsid w:val="003167C1"/>
    <w:rsid w:val="00316B0F"/>
    <w:rsid w:val="00316D19"/>
    <w:rsid w:val="00316DA1"/>
    <w:rsid w:val="00316FA1"/>
    <w:rsid w:val="00317712"/>
    <w:rsid w:val="003206D1"/>
    <w:rsid w:val="00320821"/>
    <w:rsid w:val="00320DB1"/>
    <w:rsid w:val="0032140B"/>
    <w:rsid w:val="003215BE"/>
    <w:rsid w:val="003217F9"/>
    <w:rsid w:val="003226A7"/>
    <w:rsid w:val="00322D79"/>
    <w:rsid w:val="00322EF5"/>
    <w:rsid w:val="00323519"/>
    <w:rsid w:val="00323915"/>
    <w:rsid w:val="00323ABD"/>
    <w:rsid w:val="00323ABF"/>
    <w:rsid w:val="00324180"/>
    <w:rsid w:val="00324B49"/>
    <w:rsid w:val="00324D4B"/>
    <w:rsid w:val="00324E28"/>
    <w:rsid w:val="00325527"/>
    <w:rsid w:val="003256FD"/>
    <w:rsid w:val="003259AB"/>
    <w:rsid w:val="0032649B"/>
    <w:rsid w:val="00326543"/>
    <w:rsid w:val="00326956"/>
    <w:rsid w:val="00326A19"/>
    <w:rsid w:val="00326C38"/>
    <w:rsid w:val="00326D0B"/>
    <w:rsid w:val="003271C5"/>
    <w:rsid w:val="00327611"/>
    <w:rsid w:val="00327F01"/>
    <w:rsid w:val="00330497"/>
    <w:rsid w:val="003304AD"/>
    <w:rsid w:val="00330543"/>
    <w:rsid w:val="00330B28"/>
    <w:rsid w:val="00331263"/>
    <w:rsid w:val="00331DFE"/>
    <w:rsid w:val="00332159"/>
    <w:rsid w:val="003327D9"/>
    <w:rsid w:val="00332838"/>
    <w:rsid w:val="00333208"/>
    <w:rsid w:val="00333254"/>
    <w:rsid w:val="003336F7"/>
    <w:rsid w:val="00333789"/>
    <w:rsid w:val="003338E9"/>
    <w:rsid w:val="00336DE2"/>
    <w:rsid w:val="003374B0"/>
    <w:rsid w:val="003377A6"/>
    <w:rsid w:val="00337F1E"/>
    <w:rsid w:val="00340510"/>
    <w:rsid w:val="003405CD"/>
    <w:rsid w:val="003407A2"/>
    <w:rsid w:val="00340932"/>
    <w:rsid w:val="003409FF"/>
    <w:rsid w:val="00340B08"/>
    <w:rsid w:val="00340E12"/>
    <w:rsid w:val="00340FE3"/>
    <w:rsid w:val="003410B6"/>
    <w:rsid w:val="003411AB"/>
    <w:rsid w:val="00341BBB"/>
    <w:rsid w:val="003420D6"/>
    <w:rsid w:val="0034222A"/>
    <w:rsid w:val="0034238F"/>
    <w:rsid w:val="00342652"/>
    <w:rsid w:val="00342BCC"/>
    <w:rsid w:val="00343819"/>
    <w:rsid w:val="00343A15"/>
    <w:rsid w:val="003440CA"/>
    <w:rsid w:val="00344134"/>
    <w:rsid w:val="0034448F"/>
    <w:rsid w:val="0034450D"/>
    <w:rsid w:val="003453D9"/>
    <w:rsid w:val="0034571D"/>
    <w:rsid w:val="00345A9C"/>
    <w:rsid w:val="00346B73"/>
    <w:rsid w:val="00346C66"/>
    <w:rsid w:val="00347354"/>
    <w:rsid w:val="0034752E"/>
    <w:rsid w:val="00347EAC"/>
    <w:rsid w:val="00350CC9"/>
    <w:rsid w:val="00350E32"/>
    <w:rsid w:val="00351558"/>
    <w:rsid w:val="0035177E"/>
    <w:rsid w:val="00351869"/>
    <w:rsid w:val="003518AF"/>
    <w:rsid w:val="00351C1D"/>
    <w:rsid w:val="00351DF1"/>
    <w:rsid w:val="0035202A"/>
    <w:rsid w:val="00352062"/>
    <w:rsid w:val="003523BC"/>
    <w:rsid w:val="003525C9"/>
    <w:rsid w:val="003526EC"/>
    <w:rsid w:val="00352EF9"/>
    <w:rsid w:val="003534D2"/>
    <w:rsid w:val="0035377C"/>
    <w:rsid w:val="00353DDB"/>
    <w:rsid w:val="00354044"/>
    <w:rsid w:val="003543D0"/>
    <w:rsid w:val="003545CA"/>
    <w:rsid w:val="00354746"/>
    <w:rsid w:val="0035484E"/>
    <w:rsid w:val="00355131"/>
    <w:rsid w:val="003552F2"/>
    <w:rsid w:val="0035570D"/>
    <w:rsid w:val="00356100"/>
    <w:rsid w:val="0035634F"/>
    <w:rsid w:val="003566FE"/>
    <w:rsid w:val="00356D50"/>
    <w:rsid w:val="00356ED8"/>
    <w:rsid w:val="00357929"/>
    <w:rsid w:val="00357B25"/>
    <w:rsid w:val="00357DEF"/>
    <w:rsid w:val="00360929"/>
    <w:rsid w:val="0036122F"/>
    <w:rsid w:val="003614B4"/>
    <w:rsid w:val="003621FE"/>
    <w:rsid w:val="00362373"/>
    <w:rsid w:val="00362876"/>
    <w:rsid w:val="00362E65"/>
    <w:rsid w:val="003633F2"/>
    <w:rsid w:val="00363597"/>
    <w:rsid w:val="00363A3E"/>
    <w:rsid w:val="00366156"/>
    <w:rsid w:val="00366A6F"/>
    <w:rsid w:val="00367633"/>
    <w:rsid w:val="00367EFB"/>
    <w:rsid w:val="00370998"/>
    <w:rsid w:val="00370B45"/>
    <w:rsid w:val="00370C4B"/>
    <w:rsid w:val="00371041"/>
    <w:rsid w:val="00371A0B"/>
    <w:rsid w:val="00371E0E"/>
    <w:rsid w:val="00372610"/>
    <w:rsid w:val="003728B8"/>
    <w:rsid w:val="003728FE"/>
    <w:rsid w:val="00372AB5"/>
    <w:rsid w:val="00372B29"/>
    <w:rsid w:val="003731BF"/>
    <w:rsid w:val="00373625"/>
    <w:rsid w:val="00373A3F"/>
    <w:rsid w:val="00373A69"/>
    <w:rsid w:val="0037412A"/>
    <w:rsid w:val="00374432"/>
    <w:rsid w:val="00374805"/>
    <w:rsid w:val="00374944"/>
    <w:rsid w:val="00374B12"/>
    <w:rsid w:val="00374BF7"/>
    <w:rsid w:val="00374F9B"/>
    <w:rsid w:val="0037536F"/>
    <w:rsid w:val="0037567A"/>
    <w:rsid w:val="00375A76"/>
    <w:rsid w:val="00375D54"/>
    <w:rsid w:val="00375DC2"/>
    <w:rsid w:val="0037607E"/>
    <w:rsid w:val="00376288"/>
    <w:rsid w:val="00376A05"/>
    <w:rsid w:val="00376E9C"/>
    <w:rsid w:val="0037710D"/>
    <w:rsid w:val="0037759E"/>
    <w:rsid w:val="00377F0E"/>
    <w:rsid w:val="00377F3A"/>
    <w:rsid w:val="00377FCC"/>
    <w:rsid w:val="0038085F"/>
    <w:rsid w:val="00380CA3"/>
    <w:rsid w:val="0038194E"/>
    <w:rsid w:val="003819D8"/>
    <w:rsid w:val="00381CB9"/>
    <w:rsid w:val="00381F72"/>
    <w:rsid w:val="003835D4"/>
    <w:rsid w:val="00383739"/>
    <w:rsid w:val="00383AFB"/>
    <w:rsid w:val="00383BF1"/>
    <w:rsid w:val="00383D27"/>
    <w:rsid w:val="00383DC3"/>
    <w:rsid w:val="0038418E"/>
    <w:rsid w:val="0038448D"/>
    <w:rsid w:val="00384541"/>
    <w:rsid w:val="003848E2"/>
    <w:rsid w:val="00384953"/>
    <w:rsid w:val="00384BE5"/>
    <w:rsid w:val="00384C81"/>
    <w:rsid w:val="00384F17"/>
    <w:rsid w:val="00385C2A"/>
    <w:rsid w:val="00385FB1"/>
    <w:rsid w:val="00386037"/>
    <w:rsid w:val="00386478"/>
    <w:rsid w:val="003869C5"/>
    <w:rsid w:val="00386E37"/>
    <w:rsid w:val="00387540"/>
    <w:rsid w:val="00387911"/>
    <w:rsid w:val="003879B2"/>
    <w:rsid w:val="00387C79"/>
    <w:rsid w:val="00387E72"/>
    <w:rsid w:val="00390076"/>
    <w:rsid w:val="0039072F"/>
    <w:rsid w:val="003907F2"/>
    <w:rsid w:val="00390AA1"/>
    <w:rsid w:val="00390F87"/>
    <w:rsid w:val="00391123"/>
    <w:rsid w:val="00391583"/>
    <w:rsid w:val="00391623"/>
    <w:rsid w:val="0039231E"/>
    <w:rsid w:val="0039269D"/>
    <w:rsid w:val="00392739"/>
    <w:rsid w:val="00393659"/>
    <w:rsid w:val="00393A07"/>
    <w:rsid w:val="0039418C"/>
    <w:rsid w:val="00394192"/>
    <w:rsid w:val="003941C8"/>
    <w:rsid w:val="003956C9"/>
    <w:rsid w:val="003968BC"/>
    <w:rsid w:val="00396B36"/>
    <w:rsid w:val="00397822"/>
    <w:rsid w:val="0039794D"/>
    <w:rsid w:val="00397DA3"/>
    <w:rsid w:val="00397E78"/>
    <w:rsid w:val="003A0A4F"/>
    <w:rsid w:val="003A0C28"/>
    <w:rsid w:val="003A1059"/>
    <w:rsid w:val="003A14DE"/>
    <w:rsid w:val="003A14F2"/>
    <w:rsid w:val="003A19E0"/>
    <w:rsid w:val="003A2845"/>
    <w:rsid w:val="003A2AA4"/>
    <w:rsid w:val="003A31C2"/>
    <w:rsid w:val="003A357F"/>
    <w:rsid w:val="003A3D2B"/>
    <w:rsid w:val="003A42F0"/>
    <w:rsid w:val="003A4740"/>
    <w:rsid w:val="003A4BEB"/>
    <w:rsid w:val="003A57D9"/>
    <w:rsid w:val="003A668D"/>
    <w:rsid w:val="003A6B4A"/>
    <w:rsid w:val="003A722C"/>
    <w:rsid w:val="003A767B"/>
    <w:rsid w:val="003B00D6"/>
    <w:rsid w:val="003B0673"/>
    <w:rsid w:val="003B0F22"/>
    <w:rsid w:val="003B12D1"/>
    <w:rsid w:val="003B153F"/>
    <w:rsid w:val="003B1869"/>
    <w:rsid w:val="003B204D"/>
    <w:rsid w:val="003B34A3"/>
    <w:rsid w:val="003B35B0"/>
    <w:rsid w:val="003B373A"/>
    <w:rsid w:val="003B3850"/>
    <w:rsid w:val="003B391B"/>
    <w:rsid w:val="003B3BF2"/>
    <w:rsid w:val="003B3D9E"/>
    <w:rsid w:val="003B4BB5"/>
    <w:rsid w:val="003B4E66"/>
    <w:rsid w:val="003B4FB3"/>
    <w:rsid w:val="003B52C3"/>
    <w:rsid w:val="003B66FA"/>
    <w:rsid w:val="003B6C20"/>
    <w:rsid w:val="003B6F75"/>
    <w:rsid w:val="003B7184"/>
    <w:rsid w:val="003B7DC3"/>
    <w:rsid w:val="003C0255"/>
    <w:rsid w:val="003C037C"/>
    <w:rsid w:val="003C076F"/>
    <w:rsid w:val="003C095F"/>
    <w:rsid w:val="003C0CC5"/>
    <w:rsid w:val="003C0FDB"/>
    <w:rsid w:val="003C109D"/>
    <w:rsid w:val="003C15F1"/>
    <w:rsid w:val="003C17CF"/>
    <w:rsid w:val="003C1854"/>
    <w:rsid w:val="003C1D8E"/>
    <w:rsid w:val="003C239D"/>
    <w:rsid w:val="003C3041"/>
    <w:rsid w:val="003C37C7"/>
    <w:rsid w:val="003C3B80"/>
    <w:rsid w:val="003C422D"/>
    <w:rsid w:val="003C474A"/>
    <w:rsid w:val="003C4E18"/>
    <w:rsid w:val="003C4F9F"/>
    <w:rsid w:val="003C50EC"/>
    <w:rsid w:val="003C5463"/>
    <w:rsid w:val="003C60F1"/>
    <w:rsid w:val="003C6AFF"/>
    <w:rsid w:val="003C6EAE"/>
    <w:rsid w:val="003C744B"/>
    <w:rsid w:val="003C7748"/>
    <w:rsid w:val="003C77F3"/>
    <w:rsid w:val="003C78A3"/>
    <w:rsid w:val="003C7E35"/>
    <w:rsid w:val="003D0891"/>
    <w:rsid w:val="003D0975"/>
    <w:rsid w:val="003D0E00"/>
    <w:rsid w:val="003D1116"/>
    <w:rsid w:val="003D12B1"/>
    <w:rsid w:val="003D1B38"/>
    <w:rsid w:val="003D2119"/>
    <w:rsid w:val="003D217E"/>
    <w:rsid w:val="003D269A"/>
    <w:rsid w:val="003D2D79"/>
    <w:rsid w:val="003D3383"/>
    <w:rsid w:val="003D3A95"/>
    <w:rsid w:val="003D3CB3"/>
    <w:rsid w:val="003D45C4"/>
    <w:rsid w:val="003D4694"/>
    <w:rsid w:val="003D562B"/>
    <w:rsid w:val="003D6456"/>
    <w:rsid w:val="003D73C7"/>
    <w:rsid w:val="003D79A6"/>
    <w:rsid w:val="003D7A06"/>
    <w:rsid w:val="003D7A27"/>
    <w:rsid w:val="003D7EBA"/>
    <w:rsid w:val="003E01C7"/>
    <w:rsid w:val="003E04E3"/>
    <w:rsid w:val="003E053C"/>
    <w:rsid w:val="003E06D5"/>
    <w:rsid w:val="003E0AE8"/>
    <w:rsid w:val="003E0B62"/>
    <w:rsid w:val="003E0F5E"/>
    <w:rsid w:val="003E1F35"/>
    <w:rsid w:val="003E2137"/>
    <w:rsid w:val="003E23C1"/>
    <w:rsid w:val="003E26F5"/>
    <w:rsid w:val="003E2850"/>
    <w:rsid w:val="003E2C30"/>
    <w:rsid w:val="003E2E80"/>
    <w:rsid w:val="003E36A0"/>
    <w:rsid w:val="003E374E"/>
    <w:rsid w:val="003E3F60"/>
    <w:rsid w:val="003E4566"/>
    <w:rsid w:val="003E4920"/>
    <w:rsid w:val="003E49AC"/>
    <w:rsid w:val="003E4B1B"/>
    <w:rsid w:val="003E4B2E"/>
    <w:rsid w:val="003E5118"/>
    <w:rsid w:val="003E6021"/>
    <w:rsid w:val="003E6303"/>
    <w:rsid w:val="003E6ABA"/>
    <w:rsid w:val="003E6BA6"/>
    <w:rsid w:val="003E6BE4"/>
    <w:rsid w:val="003E7450"/>
    <w:rsid w:val="003E7AD9"/>
    <w:rsid w:val="003E7FA3"/>
    <w:rsid w:val="003F00B1"/>
    <w:rsid w:val="003F0621"/>
    <w:rsid w:val="003F08B0"/>
    <w:rsid w:val="003F0A74"/>
    <w:rsid w:val="003F1F49"/>
    <w:rsid w:val="003F2363"/>
    <w:rsid w:val="003F24C0"/>
    <w:rsid w:val="003F2AFA"/>
    <w:rsid w:val="003F2F53"/>
    <w:rsid w:val="003F319F"/>
    <w:rsid w:val="003F4DC2"/>
    <w:rsid w:val="003F4EB7"/>
    <w:rsid w:val="003F4F80"/>
    <w:rsid w:val="003F5389"/>
    <w:rsid w:val="003F5393"/>
    <w:rsid w:val="003F558C"/>
    <w:rsid w:val="003F561A"/>
    <w:rsid w:val="003F574A"/>
    <w:rsid w:val="003F59BD"/>
    <w:rsid w:val="003F59C8"/>
    <w:rsid w:val="003F6049"/>
    <w:rsid w:val="003F6388"/>
    <w:rsid w:val="003F63F4"/>
    <w:rsid w:val="003F6895"/>
    <w:rsid w:val="003F7609"/>
    <w:rsid w:val="003F7D0D"/>
    <w:rsid w:val="003F7DA0"/>
    <w:rsid w:val="003F7FF1"/>
    <w:rsid w:val="004007FC"/>
    <w:rsid w:val="00400D7E"/>
    <w:rsid w:val="0040228E"/>
    <w:rsid w:val="0040248E"/>
    <w:rsid w:val="00402748"/>
    <w:rsid w:val="004029A4"/>
    <w:rsid w:val="0040325D"/>
    <w:rsid w:val="00404693"/>
    <w:rsid w:val="0040480F"/>
    <w:rsid w:val="00405084"/>
    <w:rsid w:val="0040515A"/>
    <w:rsid w:val="004054B8"/>
    <w:rsid w:val="00405D1F"/>
    <w:rsid w:val="0040653D"/>
    <w:rsid w:val="00406651"/>
    <w:rsid w:val="00406D06"/>
    <w:rsid w:val="00406E97"/>
    <w:rsid w:val="0040705D"/>
    <w:rsid w:val="004071A4"/>
    <w:rsid w:val="00407D48"/>
    <w:rsid w:val="00407FCE"/>
    <w:rsid w:val="004105B8"/>
    <w:rsid w:val="00410C38"/>
    <w:rsid w:val="00410F22"/>
    <w:rsid w:val="00410F62"/>
    <w:rsid w:val="0041142D"/>
    <w:rsid w:val="00411504"/>
    <w:rsid w:val="004117A1"/>
    <w:rsid w:val="00412000"/>
    <w:rsid w:val="004120A6"/>
    <w:rsid w:val="004124C5"/>
    <w:rsid w:val="00412983"/>
    <w:rsid w:val="0041367F"/>
    <w:rsid w:val="0041381E"/>
    <w:rsid w:val="00413944"/>
    <w:rsid w:val="00413B14"/>
    <w:rsid w:val="00413FBC"/>
    <w:rsid w:val="00414021"/>
    <w:rsid w:val="00414049"/>
    <w:rsid w:val="00414E2F"/>
    <w:rsid w:val="00414EFF"/>
    <w:rsid w:val="00415210"/>
    <w:rsid w:val="00415557"/>
    <w:rsid w:val="00415DFF"/>
    <w:rsid w:val="0041634C"/>
    <w:rsid w:val="00416DE3"/>
    <w:rsid w:val="004170D1"/>
    <w:rsid w:val="004171BF"/>
    <w:rsid w:val="00417B80"/>
    <w:rsid w:val="00417D07"/>
    <w:rsid w:val="00420155"/>
    <w:rsid w:val="004201E5"/>
    <w:rsid w:val="0042023E"/>
    <w:rsid w:val="004203AA"/>
    <w:rsid w:val="00420890"/>
    <w:rsid w:val="00420B6E"/>
    <w:rsid w:val="00420FDF"/>
    <w:rsid w:val="00421075"/>
    <w:rsid w:val="00421219"/>
    <w:rsid w:val="0042170A"/>
    <w:rsid w:val="00421C94"/>
    <w:rsid w:val="00422416"/>
    <w:rsid w:val="004224B7"/>
    <w:rsid w:val="00422632"/>
    <w:rsid w:val="00422D94"/>
    <w:rsid w:val="00423275"/>
    <w:rsid w:val="004236DD"/>
    <w:rsid w:val="00423BBE"/>
    <w:rsid w:val="00423CC4"/>
    <w:rsid w:val="00423F82"/>
    <w:rsid w:val="00424047"/>
    <w:rsid w:val="00424373"/>
    <w:rsid w:val="00424709"/>
    <w:rsid w:val="004248F6"/>
    <w:rsid w:val="00424AD9"/>
    <w:rsid w:val="00424E09"/>
    <w:rsid w:val="00425380"/>
    <w:rsid w:val="0042761A"/>
    <w:rsid w:val="00430730"/>
    <w:rsid w:val="00430A0F"/>
    <w:rsid w:val="00430CEB"/>
    <w:rsid w:val="00430DA0"/>
    <w:rsid w:val="00431C94"/>
    <w:rsid w:val="004327EC"/>
    <w:rsid w:val="00432A20"/>
    <w:rsid w:val="0043301C"/>
    <w:rsid w:val="004337A3"/>
    <w:rsid w:val="00433DE8"/>
    <w:rsid w:val="0043408B"/>
    <w:rsid w:val="0043440B"/>
    <w:rsid w:val="00434FBF"/>
    <w:rsid w:val="00435695"/>
    <w:rsid w:val="004359AE"/>
    <w:rsid w:val="004364FA"/>
    <w:rsid w:val="00437A4E"/>
    <w:rsid w:val="00437E4F"/>
    <w:rsid w:val="004404D8"/>
    <w:rsid w:val="004405A2"/>
    <w:rsid w:val="00440717"/>
    <w:rsid w:val="0044123D"/>
    <w:rsid w:val="0044177B"/>
    <w:rsid w:val="00441F9C"/>
    <w:rsid w:val="004420B2"/>
    <w:rsid w:val="0044270A"/>
    <w:rsid w:val="0044277F"/>
    <w:rsid w:val="00442CD0"/>
    <w:rsid w:val="00442E6E"/>
    <w:rsid w:val="004432A1"/>
    <w:rsid w:val="0044376F"/>
    <w:rsid w:val="00443A70"/>
    <w:rsid w:val="00443D04"/>
    <w:rsid w:val="004441CD"/>
    <w:rsid w:val="004443FE"/>
    <w:rsid w:val="00444C91"/>
    <w:rsid w:val="00445796"/>
    <w:rsid w:val="00445ECD"/>
    <w:rsid w:val="0044658D"/>
    <w:rsid w:val="004465CD"/>
    <w:rsid w:val="00446B9B"/>
    <w:rsid w:val="00447646"/>
    <w:rsid w:val="00447942"/>
    <w:rsid w:val="004506AE"/>
    <w:rsid w:val="00450788"/>
    <w:rsid w:val="00450C21"/>
    <w:rsid w:val="00450DC1"/>
    <w:rsid w:val="004511E7"/>
    <w:rsid w:val="004518BC"/>
    <w:rsid w:val="00451E10"/>
    <w:rsid w:val="00452447"/>
    <w:rsid w:val="00453014"/>
    <w:rsid w:val="004530BD"/>
    <w:rsid w:val="0045331D"/>
    <w:rsid w:val="00453658"/>
    <w:rsid w:val="00453CA2"/>
    <w:rsid w:val="0045404F"/>
    <w:rsid w:val="00454779"/>
    <w:rsid w:val="0045493C"/>
    <w:rsid w:val="00454942"/>
    <w:rsid w:val="00455283"/>
    <w:rsid w:val="00455365"/>
    <w:rsid w:val="0045545F"/>
    <w:rsid w:val="004559EC"/>
    <w:rsid w:val="00455B6F"/>
    <w:rsid w:val="00455CE9"/>
    <w:rsid w:val="00456070"/>
    <w:rsid w:val="0045618F"/>
    <w:rsid w:val="00456BB7"/>
    <w:rsid w:val="00456E1C"/>
    <w:rsid w:val="00456F06"/>
    <w:rsid w:val="0045719A"/>
    <w:rsid w:val="004575CB"/>
    <w:rsid w:val="00457644"/>
    <w:rsid w:val="00460007"/>
    <w:rsid w:val="00460C0D"/>
    <w:rsid w:val="00460F22"/>
    <w:rsid w:val="00460F5D"/>
    <w:rsid w:val="004624F6"/>
    <w:rsid w:val="0046251D"/>
    <w:rsid w:val="00462E4B"/>
    <w:rsid w:val="0046353B"/>
    <w:rsid w:val="00463E39"/>
    <w:rsid w:val="00464701"/>
    <w:rsid w:val="00464823"/>
    <w:rsid w:val="00464B10"/>
    <w:rsid w:val="00464EEC"/>
    <w:rsid w:val="00465D99"/>
    <w:rsid w:val="00465E04"/>
    <w:rsid w:val="0046669B"/>
    <w:rsid w:val="0046677C"/>
    <w:rsid w:val="00467126"/>
    <w:rsid w:val="00471144"/>
    <w:rsid w:val="004712D8"/>
    <w:rsid w:val="00471740"/>
    <w:rsid w:val="00471AA2"/>
    <w:rsid w:val="00471D95"/>
    <w:rsid w:val="00471F4E"/>
    <w:rsid w:val="00472694"/>
    <w:rsid w:val="00473495"/>
    <w:rsid w:val="00473517"/>
    <w:rsid w:val="00473654"/>
    <w:rsid w:val="00473BCF"/>
    <w:rsid w:val="00474259"/>
    <w:rsid w:val="00474B34"/>
    <w:rsid w:val="00474F99"/>
    <w:rsid w:val="0047526D"/>
    <w:rsid w:val="004757C2"/>
    <w:rsid w:val="004758D0"/>
    <w:rsid w:val="00475CAB"/>
    <w:rsid w:val="00476795"/>
    <w:rsid w:val="00476C52"/>
    <w:rsid w:val="00481553"/>
    <w:rsid w:val="00481EAF"/>
    <w:rsid w:val="0048235C"/>
    <w:rsid w:val="00483235"/>
    <w:rsid w:val="0048537C"/>
    <w:rsid w:val="00485679"/>
    <w:rsid w:val="004859DD"/>
    <w:rsid w:val="00486017"/>
    <w:rsid w:val="00486080"/>
    <w:rsid w:val="0048635B"/>
    <w:rsid w:val="004864F6"/>
    <w:rsid w:val="00486D97"/>
    <w:rsid w:val="00486F02"/>
    <w:rsid w:val="004871C2"/>
    <w:rsid w:val="004879C9"/>
    <w:rsid w:val="0049162C"/>
    <w:rsid w:val="00491F55"/>
    <w:rsid w:val="00492A18"/>
    <w:rsid w:val="00492BE1"/>
    <w:rsid w:val="00492C63"/>
    <w:rsid w:val="004932DC"/>
    <w:rsid w:val="00493357"/>
    <w:rsid w:val="00493730"/>
    <w:rsid w:val="00493987"/>
    <w:rsid w:val="00493C16"/>
    <w:rsid w:val="00493C58"/>
    <w:rsid w:val="004940E2"/>
    <w:rsid w:val="004944DC"/>
    <w:rsid w:val="0049498D"/>
    <w:rsid w:val="00494ACB"/>
    <w:rsid w:val="00494F1D"/>
    <w:rsid w:val="00495441"/>
    <w:rsid w:val="00495F16"/>
    <w:rsid w:val="00496448"/>
    <w:rsid w:val="004969C4"/>
    <w:rsid w:val="00496BA8"/>
    <w:rsid w:val="00496D95"/>
    <w:rsid w:val="00496F82"/>
    <w:rsid w:val="00497708"/>
    <w:rsid w:val="00497992"/>
    <w:rsid w:val="004979F3"/>
    <w:rsid w:val="00497B2B"/>
    <w:rsid w:val="00497F03"/>
    <w:rsid w:val="004A090B"/>
    <w:rsid w:val="004A0A58"/>
    <w:rsid w:val="004A0B8B"/>
    <w:rsid w:val="004A0C91"/>
    <w:rsid w:val="004A1081"/>
    <w:rsid w:val="004A1511"/>
    <w:rsid w:val="004A1969"/>
    <w:rsid w:val="004A1B47"/>
    <w:rsid w:val="004A227D"/>
    <w:rsid w:val="004A2AD7"/>
    <w:rsid w:val="004A3C46"/>
    <w:rsid w:val="004A42BB"/>
    <w:rsid w:val="004A4327"/>
    <w:rsid w:val="004A47EA"/>
    <w:rsid w:val="004A4A8C"/>
    <w:rsid w:val="004A5138"/>
    <w:rsid w:val="004A5311"/>
    <w:rsid w:val="004A5967"/>
    <w:rsid w:val="004A5FFD"/>
    <w:rsid w:val="004A6B71"/>
    <w:rsid w:val="004A77FA"/>
    <w:rsid w:val="004A78D4"/>
    <w:rsid w:val="004A79CF"/>
    <w:rsid w:val="004A7B70"/>
    <w:rsid w:val="004A7BC1"/>
    <w:rsid w:val="004A7C16"/>
    <w:rsid w:val="004B0157"/>
    <w:rsid w:val="004B0933"/>
    <w:rsid w:val="004B098F"/>
    <w:rsid w:val="004B09EC"/>
    <w:rsid w:val="004B15AC"/>
    <w:rsid w:val="004B1627"/>
    <w:rsid w:val="004B22ED"/>
    <w:rsid w:val="004B2370"/>
    <w:rsid w:val="004B29C7"/>
    <w:rsid w:val="004B2A88"/>
    <w:rsid w:val="004B3789"/>
    <w:rsid w:val="004B37EB"/>
    <w:rsid w:val="004B3802"/>
    <w:rsid w:val="004B3AB6"/>
    <w:rsid w:val="004B400B"/>
    <w:rsid w:val="004B43A1"/>
    <w:rsid w:val="004B4910"/>
    <w:rsid w:val="004B50F0"/>
    <w:rsid w:val="004B5502"/>
    <w:rsid w:val="004B57AB"/>
    <w:rsid w:val="004B5860"/>
    <w:rsid w:val="004B5DD0"/>
    <w:rsid w:val="004B5E99"/>
    <w:rsid w:val="004B61A3"/>
    <w:rsid w:val="004B62F7"/>
    <w:rsid w:val="004B6653"/>
    <w:rsid w:val="004B6884"/>
    <w:rsid w:val="004B6B20"/>
    <w:rsid w:val="004B70CC"/>
    <w:rsid w:val="004B7101"/>
    <w:rsid w:val="004B73A8"/>
    <w:rsid w:val="004B76F2"/>
    <w:rsid w:val="004B7967"/>
    <w:rsid w:val="004B7A71"/>
    <w:rsid w:val="004B7BA6"/>
    <w:rsid w:val="004B7D84"/>
    <w:rsid w:val="004C0154"/>
    <w:rsid w:val="004C01B2"/>
    <w:rsid w:val="004C0D6F"/>
    <w:rsid w:val="004C0E43"/>
    <w:rsid w:val="004C12F4"/>
    <w:rsid w:val="004C1C33"/>
    <w:rsid w:val="004C221C"/>
    <w:rsid w:val="004C23EA"/>
    <w:rsid w:val="004C272B"/>
    <w:rsid w:val="004C27FE"/>
    <w:rsid w:val="004C3A3D"/>
    <w:rsid w:val="004C3DAF"/>
    <w:rsid w:val="004C3EF8"/>
    <w:rsid w:val="004C4153"/>
    <w:rsid w:val="004C48C7"/>
    <w:rsid w:val="004C4A3A"/>
    <w:rsid w:val="004C4EB0"/>
    <w:rsid w:val="004C5746"/>
    <w:rsid w:val="004C5DEA"/>
    <w:rsid w:val="004C5F0C"/>
    <w:rsid w:val="004C6391"/>
    <w:rsid w:val="004C6438"/>
    <w:rsid w:val="004C6892"/>
    <w:rsid w:val="004C6A1C"/>
    <w:rsid w:val="004C6C83"/>
    <w:rsid w:val="004C6E8F"/>
    <w:rsid w:val="004C7194"/>
    <w:rsid w:val="004C728D"/>
    <w:rsid w:val="004C7B73"/>
    <w:rsid w:val="004C7E82"/>
    <w:rsid w:val="004D054D"/>
    <w:rsid w:val="004D0EB4"/>
    <w:rsid w:val="004D1045"/>
    <w:rsid w:val="004D10DB"/>
    <w:rsid w:val="004D143E"/>
    <w:rsid w:val="004D159A"/>
    <w:rsid w:val="004D2CDA"/>
    <w:rsid w:val="004D2D0C"/>
    <w:rsid w:val="004D31EB"/>
    <w:rsid w:val="004D3EFD"/>
    <w:rsid w:val="004D52C7"/>
    <w:rsid w:val="004D5795"/>
    <w:rsid w:val="004D5B34"/>
    <w:rsid w:val="004D60E9"/>
    <w:rsid w:val="004D649D"/>
    <w:rsid w:val="004D7017"/>
    <w:rsid w:val="004D72C8"/>
    <w:rsid w:val="004D73AD"/>
    <w:rsid w:val="004D779D"/>
    <w:rsid w:val="004D7832"/>
    <w:rsid w:val="004E10E7"/>
    <w:rsid w:val="004E166F"/>
    <w:rsid w:val="004E17FD"/>
    <w:rsid w:val="004E3461"/>
    <w:rsid w:val="004E3A29"/>
    <w:rsid w:val="004E3C25"/>
    <w:rsid w:val="004E4C65"/>
    <w:rsid w:val="004E4E84"/>
    <w:rsid w:val="004E5304"/>
    <w:rsid w:val="004E586D"/>
    <w:rsid w:val="004E5A82"/>
    <w:rsid w:val="004E5AA0"/>
    <w:rsid w:val="004E5E64"/>
    <w:rsid w:val="004E6173"/>
    <w:rsid w:val="004E6211"/>
    <w:rsid w:val="004E640E"/>
    <w:rsid w:val="004E6A6B"/>
    <w:rsid w:val="004E6C18"/>
    <w:rsid w:val="004E749A"/>
    <w:rsid w:val="004E7660"/>
    <w:rsid w:val="004E76C5"/>
    <w:rsid w:val="004F05EB"/>
    <w:rsid w:val="004F0615"/>
    <w:rsid w:val="004F1733"/>
    <w:rsid w:val="004F194C"/>
    <w:rsid w:val="004F1ED7"/>
    <w:rsid w:val="004F1ED8"/>
    <w:rsid w:val="004F1FEA"/>
    <w:rsid w:val="004F3061"/>
    <w:rsid w:val="004F306E"/>
    <w:rsid w:val="004F3900"/>
    <w:rsid w:val="004F3F51"/>
    <w:rsid w:val="004F4166"/>
    <w:rsid w:val="004F45B2"/>
    <w:rsid w:val="004F47ED"/>
    <w:rsid w:val="004F4EF9"/>
    <w:rsid w:val="004F5407"/>
    <w:rsid w:val="004F594A"/>
    <w:rsid w:val="004F59FD"/>
    <w:rsid w:val="004F6121"/>
    <w:rsid w:val="004F6EE6"/>
    <w:rsid w:val="004F73BA"/>
    <w:rsid w:val="004F7566"/>
    <w:rsid w:val="004F7750"/>
    <w:rsid w:val="005000EB"/>
    <w:rsid w:val="0050065A"/>
    <w:rsid w:val="005008E1"/>
    <w:rsid w:val="00500A40"/>
    <w:rsid w:val="00500C0E"/>
    <w:rsid w:val="00500DFF"/>
    <w:rsid w:val="00500ECF"/>
    <w:rsid w:val="00501243"/>
    <w:rsid w:val="005014C0"/>
    <w:rsid w:val="005019ED"/>
    <w:rsid w:val="005019FB"/>
    <w:rsid w:val="005021ED"/>
    <w:rsid w:val="00502CC2"/>
    <w:rsid w:val="00502E79"/>
    <w:rsid w:val="00502F65"/>
    <w:rsid w:val="005035C5"/>
    <w:rsid w:val="0050369C"/>
    <w:rsid w:val="0050393B"/>
    <w:rsid w:val="00503A1E"/>
    <w:rsid w:val="005046EA"/>
    <w:rsid w:val="00504F13"/>
    <w:rsid w:val="005058F4"/>
    <w:rsid w:val="00505EF9"/>
    <w:rsid w:val="00506487"/>
    <w:rsid w:val="00507056"/>
    <w:rsid w:val="0050710A"/>
    <w:rsid w:val="00507F17"/>
    <w:rsid w:val="005100BF"/>
    <w:rsid w:val="005106B8"/>
    <w:rsid w:val="00510855"/>
    <w:rsid w:val="00510C4D"/>
    <w:rsid w:val="00510E5D"/>
    <w:rsid w:val="00511FAB"/>
    <w:rsid w:val="00512249"/>
    <w:rsid w:val="00513B63"/>
    <w:rsid w:val="00513E83"/>
    <w:rsid w:val="0051405A"/>
    <w:rsid w:val="005140CF"/>
    <w:rsid w:val="00514EC2"/>
    <w:rsid w:val="00514F1A"/>
    <w:rsid w:val="00515262"/>
    <w:rsid w:val="00515A83"/>
    <w:rsid w:val="00515B6E"/>
    <w:rsid w:val="00515C94"/>
    <w:rsid w:val="00515F49"/>
    <w:rsid w:val="00515F76"/>
    <w:rsid w:val="005160EC"/>
    <w:rsid w:val="00516BC1"/>
    <w:rsid w:val="0051730B"/>
    <w:rsid w:val="0051734F"/>
    <w:rsid w:val="005178A7"/>
    <w:rsid w:val="00517EB0"/>
    <w:rsid w:val="00517FDE"/>
    <w:rsid w:val="005203AF"/>
    <w:rsid w:val="00520411"/>
    <w:rsid w:val="00520618"/>
    <w:rsid w:val="0052170A"/>
    <w:rsid w:val="00521931"/>
    <w:rsid w:val="00522A97"/>
    <w:rsid w:val="00522D5D"/>
    <w:rsid w:val="00522DEF"/>
    <w:rsid w:val="00523178"/>
    <w:rsid w:val="00523215"/>
    <w:rsid w:val="0052328F"/>
    <w:rsid w:val="005241F9"/>
    <w:rsid w:val="005242B7"/>
    <w:rsid w:val="00524D38"/>
    <w:rsid w:val="00525476"/>
    <w:rsid w:val="00525603"/>
    <w:rsid w:val="00525C71"/>
    <w:rsid w:val="00525E80"/>
    <w:rsid w:val="00525EBE"/>
    <w:rsid w:val="0052610B"/>
    <w:rsid w:val="00526A71"/>
    <w:rsid w:val="00526D51"/>
    <w:rsid w:val="00527205"/>
    <w:rsid w:val="005273E8"/>
    <w:rsid w:val="00527767"/>
    <w:rsid w:val="005305CB"/>
    <w:rsid w:val="0053079A"/>
    <w:rsid w:val="005307BA"/>
    <w:rsid w:val="005308AC"/>
    <w:rsid w:val="00530914"/>
    <w:rsid w:val="00530A46"/>
    <w:rsid w:val="00530B6D"/>
    <w:rsid w:val="00530C4D"/>
    <w:rsid w:val="0053115C"/>
    <w:rsid w:val="00531800"/>
    <w:rsid w:val="00531AAA"/>
    <w:rsid w:val="00531ED4"/>
    <w:rsid w:val="00532040"/>
    <w:rsid w:val="005328A3"/>
    <w:rsid w:val="00534155"/>
    <w:rsid w:val="00534577"/>
    <w:rsid w:val="0053564A"/>
    <w:rsid w:val="00535DEA"/>
    <w:rsid w:val="005364C6"/>
    <w:rsid w:val="005365B4"/>
    <w:rsid w:val="00536738"/>
    <w:rsid w:val="0053740A"/>
    <w:rsid w:val="005401FE"/>
    <w:rsid w:val="00540C78"/>
    <w:rsid w:val="0054196B"/>
    <w:rsid w:val="00541BBC"/>
    <w:rsid w:val="00542168"/>
    <w:rsid w:val="00542286"/>
    <w:rsid w:val="00543029"/>
    <w:rsid w:val="0054358A"/>
    <w:rsid w:val="0054375C"/>
    <w:rsid w:val="0054388F"/>
    <w:rsid w:val="00543CE6"/>
    <w:rsid w:val="00543EF2"/>
    <w:rsid w:val="0054522B"/>
    <w:rsid w:val="005461F4"/>
    <w:rsid w:val="0054657D"/>
    <w:rsid w:val="005470B1"/>
    <w:rsid w:val="00547DA3"/>
    <w:rsid w:val="0055063E"/>
    <w:rsid w:val="005506CA"/>
    <w:rsid w:val="00550C19"/>
    <w:rsid w:val="00550FAB"/>
    <w:rsid w:val="005510E4"/>
    <w:rsid w:val="00551164"/>
    <w:rsid w:val="00551206"/>
    <w:rsid w:val="0055126D"/>
    <w:rsid w:val="005524A0"/>
    <w:rsid w:val="005524F5"/>
    <w:rsid w:val="00552542"/>
    <w:rsid w:val="0055259F"/>
    <w:rsid w:val="005529BE"/>
    <w:rsid w:val="00552A8D"/>
    <w:rsid w:val="005537FE"/>
    <w:rsid w:val="00553D28"/>
    <w:rsid w:val="00553DC0"/>
    <w:rsid w:val="005540BF"/>
    <w:rsid w:val="005547E3"/>
    <w:rsid w:val="00554FD5"/>
    <w:rsid w:val="005551A2"/>
    <w:rsid w:val="00555393"/>
    <w:rsid w:val="0055579F"/>
    <w:rsid w:val="00555FF8"/>
    <w:rsid w:val="00556443"/>
    <w:rsid w:val="005565AA"/>
    <w:rsid w:val="0055675D"/>
    <w:rsid w:val="00556D01"/>
    <w:rsid w:val="00556F16"/>
    <w:rsid w:val="00557253"/>
    <w:rsid w:val="005572C2"/>
    <w:rsid w:val="00557CDB"/>
    <w:rsid w:val="0056019E"/>
    <w:rsid w:val="0056086A"/>
    <w:rsid w:val="00561376"/>
    <w:rsid w:val="005615A5"/>
    <w:rsid w:val="0056269A"/>
    <w:rsid w:val="0056280F"/>
    <w:rsid w:val="00562AD2"/>
    <w:rsid w:val="00563E59"/>
    <w:rsid w:val="00564912"/>
    <w:rsid w:val="00564B02"/>
    <w:rsid w:val="00564F2E"/>
    <w:rsid w:val="005655C0"/>
    <w:rsid w:val="005656E8"/>
    <w:rsid w:val="00565A9C"/>
    <w:rsid w:val="00565B27"/>
    <w:rsid w:val="00565BBE"/>
    <w:rsid w:val="00566E06"/>
    <w:rsid w:val="00567927"/>
    <w:rsid w:val="00567B21"/>
    <w:rsid w:val="00567DCA"/>
    <w:rsid w:val="0057053B"/>
    <w:rsid w:val="0057082B"/>
    <w:rsid w:val="00570925"/>
    <w:rsid w:val="00570B37"/>
    <w:rsid w:val="0057107B"/>
    <w:rsid w:val="005715B4"/>
    <w:rsid w:val="0057162C"/>
    <w:rsid w:val="0057209C"/>
    <w:rsid w:val="005723B0"/>
    <w:rsid w:val="00572A8B"/>
    <w:rsid w:val="00572B6C"/>
    <w:rsid w:val="00574722"/>
    <w:rsid w:val="00574AF8"/>
    <w:rsid w:val="00574DBE"/>
    <w:rsid w:val="00575173"/>
    <w:rsid w:val="005751D5"/>
    <w:rsid w:val="005759D1"/>
    <w:rsid w:val="00576149"/>
    <w:rsid w:val="00576636"/>
    <w:rsid w:val="00576CB2"/>
    <w:rsid w:val="005772E9"/>
    <w:rsid w:val="0057732D"/>
    <w:rsid w:val="005775D8"/>
    <w:rsid w:val="00577A25"/>
    <w:rsid w:val="005804F4"/>
    <w:rsid w:val="00580970"/>
    <w:rsid w:val="005809E8"/>
    <w:rsid w:val="0058100A"/>
    <w:rsid w:val="0058128B"/>
    <w:rsid w:val="00581442"/>
    <w:rsid w:val="0058146C"/>
    <w:rsid w:val="005815E6"/>
    <w:rsid w:val="005826C9"/>
    <w:rsid w:val="00582AE7"/>
    <w:rsid w:val="00582B46"/>
    <w:rsid w:val="00583022"/>
    <w:rsid w:val="00583BC6"/>
    <w:rsid w:val="00584BFD"/>
    <w:rsid w:val="00584EA3"/>
    <w:rsid w:val="00585126"/>
    <w:rsid w:val="005853FB"/>
    <w:rsid w:val="0058557B"/>
    <w:rsid w:val="00585855"/>
    <w:rsid w:val="00585B83"/>
    <w:rsid w:val="00585C00"/>
    <w:rsid w:val="005868BB"/>
    <w:rsid w:val="00586AD4"/>
    <w:rsid w:val="00586C7E"/>
    <w:rsid w:val="00587C3B"/>
    <w:rsid w:val="00587C53"/>
    <w:rsid w:val="0059001E"/>
    <w:rsid w:val="00590C99"/>
    <w:rsid w:val="0059261E"/>
    <w:rsid w:val="005929FD"/>
    <w:rsid w:val="00593B5A"/>
    <w:rsid w:val="00593F19"/>
    <w:rsid w:val="00593F2F"/>
    <w:rsid w:val="00594F0A"/>
    <w:rsid w:val="00595115"/>
    <w:rsid w:val="005952AE"/>
    <w:rsid w:val="0059596A"/>
    <w:rsid w:val="00595DA7"/>
    <w:rsid w:val="00596235"/>
    <w:rsid w:val="0059699F"/>
    <w:rsid w:val="00596D7C"/>
    <w:rsid w:val="00596F25"/>
    <w:rsid w:val="00596FD4"/>
    <w:rsid w:val="00597522"/>
    <w:rsid w:val="00597C4D"/>
    <w:rsid w:val="00597CA9"/>
    <w:rsid w:val="005A0072"/>
    <w:rsid w:val="005A0173"/>
    <w:rsid w:val="005A0393"/>
    <w:rsid w:val="005A0F3B"/>
    <w:rsid w:val="005A0F59"/>
    <w:rsid w:val="005A16C6"/>
    <w:rsid w:val="005A18F0"/>
    <w:rsid w:val="005A1938"/>
    <w:rsid w:val="005A20A2"/>
    <w:rsid w:val="005A21B2"/>
    <w:rsid w:val="005A21D0"/>
    <w:rsid w:val="005A23C3"/>
    <w:rsid w:val="005A27A4"/>
    <w:rsid w:val="005A28D4"/>
    <w:rsid w:val="005A2E5D"/>
    <w:rsid w:val="005A2F0A"/>
    <w:rsid w:val="005A3735"/>
    <w:rsid w:val="005A4578"/>
    <w:rsid w:val="005A4A95"/>
    <w:rsid w:val="005A5A27"/>
    <w:rsid w:val="005A5D45"/>
    <w:rsid w:val="005A64C3"/>
    <w:rsid w:val="005A6727"/>
    <w:rsid w:val="005A741F"/>
    <w:rsid w:val="005A75F1"/>
    <w:rsid w:val="005A7B5C"/>
    <w:rsid w:val="005B067F"/>
    <w:rsid w:val="005B0D2B"/>
    <w:rsid w:val="005B11E4"/>
    <w:rsid w:val="005B2040"/>
    <w:rsid w:val="005B240D"/>
    <w:rsid w:val="005B2883"/>
    <w:rsid w:val="005B345F"/>
    <w:rsid w:val="005B44FA"/>
    <w:rsid w:val="005B4D9D"/>
    <w:rsid w:val="005B52FE"/>
    <w:rsid w:val="005B553E"/>
    <w:rsid w:val="005B5D02"/>
    <w:rsid w:val="005B6502"/>
    <w:rsid w:val="005B6A06"/>
    <w:rsid w:val="005B708D"/>
    <w:rsid w:val="005B7104"/>
    <w:rsid w:val="005B7217"/>
    <w:rsid w:val="005B7410"/>
    <w:rsid w:val="005B7708"/>
    <w:rsid w:val="005C0392"/>
    <w:rsid w:val="005C04AF"/>
    <w:rsid w:val="005C0DBD"/>
    <w:rsid w:val="005C106D"/>
    <w:rsid w:val="005C1191"/>
    <w:rsid w:val="005C1C3C"/>
    <w:rsid w:val="005C2A07"/>
    <w:rsid w:val="005C2B8C"/>
    <w:rsid w:val="005C31E0"/>
    <w:rsid w:val="005C3E49"/>
    <w:rsid w:val="005C4AE9"/>
    <w:rsid w:val="005C4CA1"/>
    <w:rsid w:val="005C59EE"/>
    <w:rsid w:val="005C5B38"/>
    <w:rsid w:val="005C5B8E"/>
    <w:rsid w:val="005C5CE5"/>
    <w:rsid w:val="005C5E42"/>
    <w:rsid w:val="005C5F97"/>
    <w:rsid w:val="005C6264"/>
    <w:rsid w:val="005C6784"/>
    <w:rsid w:val="005C680B"/>
    <w:rsid w:val="005C69B8"/>
    <w:rsid w:val="005C6EBA"/>
    <w:rsid w:val="005C749A"/>
    <w:rsid w:val="005C769C"/>
    <w:rsid w:val="005C77B6"/>
    <w:rsid w:val="005D0003"/>
    <w:rsid w:val="005D176A"/>
    <w:rsid w:val="005D1F39"/>
    <w:rsid w:val="005D28DF"/>
    <w:rsid w:val="005D2C52"/>
    <w:rsid w:val="005D30E4"/>
    <w:rsid w:val="005D30E9"/>
    <w:rsid w:val="005D315A"/>
    <w:rsid w:val="005D31B8"/>
    <w:rsid w:val="005D31FF"/>
    <w:rsid w:val="005D372D"/>
    <w:rsid w:val="005D3A6E"/>
    <w:rsid w:val="005D3C2F"/>
    <w:rsid w:val="005D46B2"/>
    <w:rsid w:val="005D5545"/>
    <w:rsid w:val="005D55AA"/>
    <w:rsid w:val="005D591F"/>
    <w:rsid w:val="005D7120"/>
    <w:rsid w:val="005D73FD"/>
    <w:rsid w:val="005D75BF"/>
    <w:rsid w:val="005D7A2A"/>
    <w:rsid w:val="005D7A31"/>
    <w:rsid w:val="005E00E3"/>
    <w:rsid w:val="005E01B0"/>
    <w:rsid w:val="005E01DE"/>
    <w:rsid w:val="005E06D3"/>
    <w:rsid w:val="005E1245"/>
    <w:rsid w:val="005E1494"/>
    <w:rsid w:val="005E2149"/>
    <w:rsid w:val="005E227B"/>
    <w:rsid w:val="005E281E"/>
    <w:rsid w:val="005E2D62"/>
    <w:rsid w:val="005E2E8B"/>
    <w:rsid w:val="005E326D"/>
    <w:rsid w:val="005E336A"/>
    <w:rsid w:val="005E35AC"/>
    <w:rsid w:val="005E3CE0"/>
    <w:rsid w:val="005E3D62"/>
    <w:rsid w:val="005E3F5A"/>
    <w:rsid w:val="005E41B4"/>
    <w:rsid w:val="005E435B"/>
    <w:rsid w:val="005E4F0D"/>
    <w:rsid w:val="005E580B"/>
    <w:rsid w:val="005E590D"/>
    <w:rsid w:val="005E5F70"/>
    <w:rsid w:val="005E63AD"/>
    <w:rsid w:val="005E657F"/>
    <w:rsid w:val="005E7135"/>
    <w:rsid w:val="005E71CD"/>
    <w:rsid w:val="005E774A"/>
    <w:rsid w:val="005E7AFE"/>
    <w:rsid w:val="005E7CF7"/>
    <w:rsid w:val="005E7D4C"/>
    <w:rsid w:val="005F1424"/>
    <w:rsid w:val="005F148D"/>
    <w:rsid w:val="005F1580"/>
    <w:rsid w:val="005F1C17"/>
    <w:rsid w:val="005F260E"/>
    <w:rsid w:val="005F29A0"/>
    <w:rsid w:val="005F2C2D"/>
    <w:rsid w:val="005F3973"/>
    <w:rsid w:val="005F3ED8"/>
    <w:rsid w:val="005F3FA5"/>
    <w:rsid w:val="005F499C"/>
    <w:rsid w:val="005F4A53"/>
    <w:rsid w:val="005F4E9B"/>
    <w:rsid w:val="005F5095"/>
    <w:rsid w:val="005F516C"/>
    <w:rsid w:val="005F51A1"/>
    <w:rsid w:val="005F590F"/>
    <w:rsid w:val="005F5C32"/>
    <w:rsid w:val="005F6468"/>
    <w:rsid w:val="005F66A0"/>
    <w:rsid w:val="005F66D7"/>
    <w:rsid w:val="005F6789"/>
    <w:rsid w:val="005F6B57"/>
    <w:rsid w:val="005F6CB7"/>
    <w:rsid w:val="005F705F"/>
    <w:rsid w:val="005F7107"/>
    <w:rsid w:val="005F74A3"/>
    <w:rsid w:val="005F7761"/>
    <w:rsid w:val="005F7BA1"/>
    <w:rsid w:val="00600643"/>
    <w:rsid w:val="006008F6"/>
    <w:rsid w:val="00601012"/>
    <w:rsid w:val="00601429"/>
    <w:rsid w:val="00601585"/>
    <w:rsid w:val="0060164A"/>
    <w:rsid w:val="00602315"/>
    <w:rsid w:val="00602949"/>
    <w:rsid w:val="00602CF0"/>
    <w:rsid w:val="00603417"/>
    <w:rsid w:val="00603558"/>
    <w:rsid w:val="0060356C"/>
    <w:rsid w:val="0060385A"/>
    <w:rsid w:val="00603A07"/>
    <w:rsid w:val="00603D3E"/>
    <w:rsid w:val="00604630"/>
    <w:rsid w:val="00604998"/>
    <w:rsid w:val="0060530E"/>
    <w:rsid w:val="00605B13"/>
    <w:rsid w:val="00605E6F"/>
    <w:rsid w:val="00605ECA"/>
    <w:rsid w:val="00606471"/>
    <w:rsid w:val="006065A5"/>
    <w:rsid w:val="00607502"/>
    <w:rsid w:val="0060785F"/>
    <w:rsid w:val="00607B4F"/>
    <w:rsid w:val="00610275"/>
    <w:rsid w:val="00610DE0"/>
    <w:rsid w:val="00610E66"/>
    <w:rsid w:val="006113F1"/>
    <w:rsid w:val="0061178A"/>
    <w:rsid w:val="00611A96"/>
    <w:rsid w:val="00611EBC"/>
    <w:rsid w:val="00612116"/>
    <w:rsid w:val="00612167"/>
    <w:rsid w:val="006123C3"/>
    <w:rsid w:val="00612756"/>
    <w:rsid w:val="00613115"/>
    <w:rsid w:val="00613260"/>
    <w:rsid w:val="00613452"/>
    <w:rsid w:val="00613F90"/>
    <w:rsid w:val="00615084"/>
    <w:rsid w:val="006151E1"/>
    <w:rsid w:val="0061557E"/>
    <w:rsid w:val="006157F0"/>
    <w:rsid w:val="00615BEF"/>
    <w:rsid w:val="00615C8A"/>
    <w:rsid w:val="00615D70"/>
    <w:rsid w:val="00616344"/>
    <w:rsid w:val="006163ED"/>
    <w:rsid w:val="00616508"/>
    <w:rsid w:val="0061650E"/>
    <w:rsid w:val="00617FB6"/>
    <w:rsid w:val="0062073D"/>
    <w:rsid w:val="00620F5F"/>
    <w:rsid w:val="006215B4"/>
    <w:rsid w:val="0062207A"/>
    <w:rsid w:val="00622AFA"/>
    <w:rsid w:val="00622DBD"/>
    <w:rsid w:val="0062319F"/>
    <w:rsid w:val="00623833"/>
    <w:rsid w:val="006247D4"/>
    <w:rsid w:val="00624CE6"/>
    <w:rsid w:val="006255A6"/>
    <w:rsid w:val="006255A7"/>
    <w:rsid w:val="006259A0"/>
    <w:rsid w:val="00625C78"/>
    <w:rsid w:val="0062637A"/>
    <w:rsid w:val="006272A5"/>
    <w:rsid w:val="006276E0"/>
    <w:rsid w:val="006279F4"/>
    <w:rsid w:val="00630087"/>
    <w:rsid w:val="006311C7"/>
    <w:rsid w:val="00631348"/>
    <w:rsid w:val="00631413"/>
    <w:rsid w:val="00631C09"/>
    <w:rsid w:val="00631C9D"/>
    <w:rsid w:val="006328D2"/>
    <w:rsid w:val="00632C62"/>
    <w:rsid w:val="00632C9B"/>
    <w:rsid w:val="00632FB6"/>
    <w:rsid w:val="00632FF3"/>
    <w:rsid w:val="00633848"/>
    <w:rsid w:val="00633EA3"/>
    <w:rsid w:val="00634111"/>
    <w:rsid w:val="00635047"/>
    <w:rsid w:val="00635394"/>
    <w:rsid w:val="006354B8"/>
    <w:rsid w:val="00635510"/>
    <w:rsid w:val="00635D8C"/>
    <w:rsid w:val="006362E7"/>
    <w:rsid w:val="00637421"/>
    <w:rsid w:val="006374EB"/>
    <w:rsid w:val="00637695"/>
    <w:rsid w:val="00637F5D"/>
    <w:rsid w:val="006401AE"/>
    <w:rsid w:val="00640D44"/>
    <w:rsid w:val="00640DCD"/>
    <w:rsid w:val="00641BCF"/>
    <w:rsid w:val="00641EFE"/>
    <w:rsid w:val="00643547"/>
    <w:rsid w:val="006438EA"/>
    <w:rsid w:val="006442B1"/>
    <w:rsid w:val="006456AD"/>
    <w:rsid w:val="00645A0F"/>
    <w:rsid w:val="00647435"/>
    <w:rsid w:val="00647752"/>
    <w:rsid w:val="00650134"/>
    <w:rsid w:val="006503B1"/>
    <w:rsid w:val="006505DE"/>
    <w:rsid w:val="00650CC3"/>
    <w:rsid w:val="00650D90"/>
    <w:rsid w:val="00651543"/>
    <w:rsid w:val="00651B42"/>
    <w:rsid w:val="006523A2"/>
    <w:rsid w:val="00653757"/>
    <w:rsid w:val="0065412E"/>
    <w:rsid w:val="00654441"/>
    <w:rsid w:val="00654BA5"/>
    <w:rsid w:val="0065578D"/>
    <w:rsid w:val="00655B49"/>
    <w:rsid w:val="00655E65"/>
    <w:rsid w:val="00655E99"/>
    <w:rsid w:val="0065673C"/>
    <w:rsid w:val="00656D90"/>
    <w:rsid w:val="006572A0"/>
    <w:rsid w:val="00657448"/>
    <w:rsid w:val="00657923"/>
    <w:rsid w:val="00657E06"/>
    <w:rsid w:val="00657E7D"/>
    <w:rsid w:val="00657FEF"/>
    <w:rsid w:val="00660432"/>
    <w:rsid w:val="0066047A"/>
    <w:rsid w:val="00660497"/>
    <w:rsid w:val="00660877"/>
    <w:rsid w:val="006611EA"/>
    <w:rsid w:val="006612C9"/>
    <w:rsid w:val="006616B7"/>
    <w:rsid w:val="006617F6"/>
    <w:rsid w:val="00661C11"/>
    <w:rsid w:val="00661CA4"/>
    <w:rsid w:val="00661E08"/>
    <w:rsid w:val="00661E2E"/>
    <w:rsid w:val="00662561"/>
    <w:rsid w:val="0066291B"/>
    <w:rsid w:val="00662BE2"/>
    <w:rsid w:val="00662DBB"/>
    <w:rsid w:val="006630B7"/>
    <w:rsid w:val="00663263"/>
    <w:rsid w:val="0066392C"/>
    <w:rsid w:val="00664569"/>
    <w:rsid w:val="00664B8A"/>
    <w:rsid w:val="00664B98"/>
    <w:rsid w:val="00665789"/>
    <w:rsid w:val="00665C9C"/>
    <w:rsid w:val="0066656D"/>
    <w:rsid w:val="006667DB"/>
    <w:rsid w:val="00666A4E"/>
    <w:rsid w:val="00666ED0"/>
    <w:rsid w:val="00666EEF"/>
    <w:rsid w:val="006678AF"/>
    <w:rsid w:val="006679CB"/>
    <w:rsid w:val="00667A40"/>
    <w:rsid w:val="00670761"/>
    <w:rsid w:val="00671775"/>
    <w:rsid w:val="00671BAE"/>
    <w:rsid w:val="00671D64"/>
    <w:rsid w:val="006729CB"/>
    <w:rsid w:val="00672A45"/>
    <w:rsid w:val="00672ED4"/>
    <w:rsid w:val="0067334A"/>
    <w:rsid w:val="006736FD"/>
    <w:rsid w:val="00673834"/>
    <w:rsid w:val="00674A3D"/>
    <w:rsid w:val="00674CB3"/>
    <w:rsid w:val="0067500E"/>
    <w:rsid w:val="00675A0F"/>
    <w:rsid w:val="0067667C"/>
    <w:rsid w:val="00676949"/>
    <w:rsid w:val="00676ED6"/>
    <w:rsid w:val="006774E2"/>
    <w:rsid w:val="00680997"/>
    <w:rsid w:val="00680F7C"/>
    <w:rsid w:val="00681592"/>
    <w:rsid w:val="006818A5"/>
    <w:rsid w:val="00681D83"/>
    <w:rsid w:val="0068262B"/>
    <w:rsid w:val="00682FA0"/>
    <w:rsid w:val="006836F8"/>
    <w:rsid w:val="00683C8B"/>
    <w:rsid w:val="00683C94"/>
    <w:rsid w:val="00683D0C"/>
    <w:rsid w:val="00683F5A"/>
    <w:rsid w:val="00684DC9"/>
    <w:rsid w:val="00685522"/>
    <w:rsid w:val="006858BA"/>
    <w:rsid w:val="00685B83"/>
    <w:rsid w:val="00685E82"/>
    <w:rsid w:val="00685F0F"/>
    <w:rsid w:val="0068710A"/>
    <w:rsid w:val="006900C2"/>
    <w:rsid w:val="006911D6"/>
    <w:rsid w:val="00692116"/>
    <w:rsid w:val="006927F8"/>
    <w:rsid w:val="00693214"/>
    <w:rsid w:val="00693554"/>
    <w:rsid w:val="00693FCC"/>
    <w:rsid w:val="006940FB"/>
    <w:rsid w:val="0069456F"/>
    <w:rsid w:val="006946F3"/>
    <w:rsid w:val="0069471F"/>
    <w:rsid w:val="00694977"/>
    <w:rsid w:val="00694DDE"/>
    <w:rsid w:val="00694ECC"/>
    <w:rsid w:val="00695319"/>
    <w:rsid w:val="00695ABB"/>
    <w:rsid w:val="006964CD"/>
    <w:rsid w:val="00697866"/>
    <w:rsid w:val="00697F59"/>
    <w:rsid w:val="00697FF7"/>
    <w:rsid w:val="006A037B"/>
    <w:rsid w:val="006A1701"/>
    <w:rsid w:val="006A1C33"/>
    <w:rsid w:val="006A1D20"/>
    <w:rsid w:val="006A2180"/>
    <w:rsid w:val="006A2289"/>
    <w:rsid w:val="006A2905"/>
    <w:rsid w:val="006A3031"/>
    <w:rsid w:val="006A337B"/>
    <w:rsid w:val="006A35A5"/>
    <w:rsid w:val="006A3AF5"/>
    <w:rsid w:val="006A40FC"/>
    <w:rsid w:val="006A42DC"/>
    <w:rsid w:val="006A549C"/>
    <w:rsid w:val="006A5719"/>
    <w:rsid w:val="006A5CDB"/>
    <w:rsid w:val="006A66AE"/>
    <w:rsid w:val="006A6B91"/>
    <w:rsid w:val="006A7181"/>
    <w:rsid w:val="006A74F1"/>
    <w:rsid w:val="006A7813"/>
    <w:rsid w:val="006B090A"/>
    <w:rsid w:val="006B0CD9"/>
    <w:rsid w:val="006B1072"/>
    <w:rsid w:val="006B1090"/>
    <w:rsid w:val="006B1901"/>
    <w:rsid w:val="006B2591"/>
    <w:rsid w:val="006B26D9"/>
    <w:rsid w:val="006B30A9"/>
    <w:rsid w:val="006B36E3"/>
    <w:rsid w:val="006B3BED"/>
    <w:rsid w:val="006B3CBC"/>
    <w:rsid w:val="006B404E"/>
    <w:rsid w:val="006B4A70"/>
    <w:rsid w:val="006B4DC3"/>
    <w:rsid w:val="006B52DD"/>
    <w:rsid w:val="006B5665"/>
    <w:rsid w:val="006B57C9"/>
    <w:rsid w:val="006B5E7A"/>
    <w:rsid w:val="006B616A"/>
    <w:rsid w:val="006B628B"/>
    <w:rsid w:val="006B6B52"/>
    <w:rsid w:val="006B70A2"/>
    <w:rsid w:val="006B7588"/>
    <w:rsid w:val="006B7A62"/>
    <w:rsid w:val="006C01A1"/>
    <w:rsid w:val="006C0A4C"/>
    <w:rsid w:val="006C0B4D"/>
    <w:rsid w:val="006C0F49"/>
    <w:rsid w:val="006C14B4"/>
    <w:rsid w:val="006C201D"/>
    <w:rsid w:val="006C24FD"/>
    <w:rsid w:val="006C2680"/>
    <w:rsid w:val="006C269A"/>
    <w:rsid w:val="006C3CA7"/>
    <w:rsid w:val="006C42BC"/>
    <w:rsid w:val="006C444B"/>
    <w:rsid w:val="006C5683"/>
    <w:rsid w:val="006C59CB"/>
    <w:rsid w:val="006C5FE5"/>
    <w:rsid w:val="006C6230"/>
    <w:rsid w:val="006C6737"/>
    <w:rsid w:val="006C6DA6"/>
    <w:rsid w:val="006C7801"/>
    <w:rsid w:val="006C7A16"/>
    <w:rsid w:val="006C7BD5"/>
    <w:rsid w:val="006D0630"/>
    <w:rsid w:val="006D1164"/>
    <w:rsid w:val="006D1780"/>
    <w:rsid w:val="006D2297"/>
    <w:rsid w:val="006D22B3"/>
    <w:rsid w:val="006D29DF"/>
    <w:rsid w:val="006D3037"/>
    <w:rsid w:val="006D353E"/>
    <w:rsid w:val="006D3E0D"/>
    <w:rsid w:val="006D3F04"/>
    <w:rsid w:val="006D41D4"/>
    <w:rsid w:val="006D44B3"/>
    <w:rsid w:val="006D496E"/>
    <w:rsid w:val="006D6353"/>
    <w:rsid w:val="006D671A"/>
    <w:rsid w:val="006D6E4E"/>
    <w:rsid w:val="006D7383"/>
    <w:rsid w:val="006D7712"/>
    <w:rsid w:val="006D7EF5"/>
    <w:rsid w:val="006E044E"/>
    <w:rsid w:val="006E049B"/>
    <w:rsid w:val="006E0AB1"/>
    <w:rsid w:val="006E14B4"/>
    <w:rsid w:val="006E1889"/>
    <w:rsid w:val="006E18AE"/>
    <w:rsid w:val="006E1CC0"/>
    <w:rsid w:val="006E24D5"/>
    <w:rsid w:val="006E269F"/>
    <w:rsid w:val="006E2751"/>
    <w:rsid w:val="006E2A6F"/>
    <w:rsid w:val="006E301A"/>
    <w:rsid w:val="006E3213"/>
    <w:rsid w:val="006E33EE"/>
    <w:rsid w:val="006E389D"/>
    <w:rsid w:val="006E421F"/>
    <w:rsid w:val="006E445D"/>
    <w:rsid w:val="006E4E28"/>
    <w:rsid w:val="006E50DB"/>
    <w:rsid w:val="006E52B6"/>
    <w:rsid w:val="006E52E5"/>
    <w:rsid w:val="006E5454"/>
    <w:rsid w:val="006E58CD"/>
    <w:rsid w:val="006E5DAA"/>
    <w:rsid w:val="006E5F97"/>
    <w:rsid w:val="006E66A7"/>
    <w:rsid w:val="006E7688"/>
    <w:rsid w:val="006F085F"/>
    <w:rsid w:val="006F0951"/>
    <w:rsid w:val="006F1752"/>
    <w:rsid w:val="006F21C8"/>
    <w:rsid w:val="006F2211"/>
    <w:rsid w:val="006F23FB"/>
    <w:rsid w:val="006F2662"/>
    <w:rsid w:val="006F27B9"/>
    <w:rsid w:val="006F2837"/>
    <w:rsid w:val="006F2977"/>
    <w:rsid w:val="006F2D46"/>
    <w:rsid w:val="006F2EA8"/>
    <w:rsid w:val="006F3195"/>
    <w:rsid w:val="006F3499"/>
    <w:rsid w:val="006F34AC"/>
    <w:rsid w:val="006F365A"/>
    <w:rsid w:val="006F39BF"/>
    <w:rsid w:val="006F3DEB"/>
    <w:rsid w:val="006F3FAD"/>
    <w:rsid w:val="006F4435"/>
    <w:rsid w:val="006F48B1"/>
    <w:rsid w:val="006F4916"/>
    <w:rsid w:val="006F4CB6"/>
    <w:rsid w:val="006F507B"/>
    <w:rsid w:val="006F5AC1"/>
    <w:rsid w:val="006F5C4C"/>
    <w:rsid w:val="006F5E6C"/>
    <w:rsid w:val="006F5F84"/>
    <w:rsid w:val="006F655C"/>
    <w:rsid w:val="006F689F"/>
    <w:rsid w:val="006F6A57"/>
    <w:rsid w:val="006F7586"/>
    <w:rsid w:val="006F7610"/>
    <w:rsid w:val="006F7B56"/>
    <w:rsid w:val="007008EE"/>
    <w:rsid w:val="00700D98"/>
    <w:rsid w:val="00701248"/>
    <w:rsid w:val="00701362"/>
    <w:rsid w:val="00701D42"/>
    <w:rsid w:val="0070267E"/>
    <w:rsid w:val="00702A6F"/>
    <w:rsid w:val="00702D8B"/>
    <w:rsid w:val="00703990"/>
    <w:rsid w:val="00703AA7"/>
    <w:rsid w:val="00703E45"/>
    <w:rsid w:val="00704208"/>
    <w:rsid w:val="0070457E"/>
    <w:rsid w:val="007046EB"/>
    <w:rsid w:val="00704918"/>
    <w:rsid w:val="007059DA"/>
    <w:rsid w:val="00706889"/>
    <w:rsid w:val="007069F5"/>
    <w:rsid w:val="00706BD2"/>
    <w:rsid w:val="00706E32"/>
    <w:rsid w:val="0070706E"/>
    <w:rsid w:val="00707BCD"/>
    <w:rsid w:val="00707C46"/>
    <w:rsid w:val="00707DFF"/>
    <w:rsid w:val="00707F94"/>
    <w:rsid w:val="00710AD9"/>
    <w:rsid w:val="00710E10"/>
    <w:rsid w:val="00710F64"/>
    <w:rsid w:val="00711357"/>
    <w:rsid w:val="00711882"/>
    <w:rsid w:val="00711BE6"/>
    <w:rsid w:val="00712501"/>
    <w:rsid w:val="0071266C"/>
    <w:rsid w:val="00712844"/>
    <w:rsid w:val="00713075"/>
    <w:rsid w:val="00713207"/>
    <w:rsid w:val="00713639"/>
    <w:rsid w:val="00713E51"/>
    <w:rsid w:val="0071611B"/>
    <w:rsid w:val="007162AC"/>
    <w:rsid w:val="00716392"/>
    <w:rsid w:val="00717A83"/>
    <w:rsid w:val="007200D2"/>
    <w:rsid w:val="00720475"/>
    <w:rsid w:val="00720B37"/>
    <w:rsid w:val="00721488"/>
    <w:rsid w:val="0072150B"/>
    <w:rsid w:val="00721954"/>
    <w:rsid w:val="00721B85"/>
    <w:rsid w:val="007221FF"/>
    <w:rsid w:val="00722A68"/>
    <w:rsid w:val="00722AE5"/>
    <w:rsid w:val="00722E45"/>
    <w:rsid w:val="00722E5E"/>
    <w:rsid w:val="007240FE"/>
    <w:rsid w:val="0072421C"/>
    <w:rsid w:val="007242E9"/>
    <w:rsid w:val="00724DD5"/>
    <w:rsid w:val="00724FA5"/>
    <w:rsid w:val="007252D2"/>
    <w:rsid w:val="007258AA"/>
    <w:rsid w:val="00725C9A"/>
    <w:rsid w:val="00725D4A"/>
    <w:rsid w:val="00725E49"/>
    <w:rsid w:val="00725E7B"/>
    <w:rsid w:val="007260B9"/>
    <w:rsid w:val="0072677E"/>
    <w:rsid w:val="0072718F"/>
    <w:rsid w:val="007272BE"/>
    <w:rsid w:val="00730A50"/>
    <w:rsid w:val="00730DD0"/>
    <w:rsid w:val="007312ED"/>
    <w:rsid w:val="007314AB"/>
    <w:rsid w:val="007332BD"/>
    <w:rsid w:val="007334D0"/>
    <w:rsid w:val="007334F1"/>
    <w:rsid w:val="00733AA0"/>
    <w:rsid w:val="00733B12"/>
    <w:rsid w:val="00734619"/>
    <w:rsid w:val="00734754"/>
    <w:rsid w:val="007347CB"/>
    <w:rsid w:val="007349C9"/>
    <w:rsid w:val="00734E5B"/>
    <w:rsid w:val="00734F68"/>
    <w:rsid w:val="00735086"/>
    <w:rsid w:val="0073582B"/>
    <w:rsid w:val="007360B2"/>
    <w:rsid w:val="00736647"/>
    <w:rsid w:val="00736EE2"/>
    <w:rsid w:val="007373E9"/>
    <w:rsid w:val="007374E7"/>
    <w:rsid w:val="007375F8"/>
    <w:rsid w:val="007379A4"/>
    <w:rsid w:val="00737F00"/>
    <w:rsid w:val="00737FD4"/>
    <w:rsid w:val="0074001E"/>
    <w:rsid w:val="007401C9"/>
    <w:rsid w:val="007408CC"/>
    <w:rsid w:val="00740CD4"/>
    <w:rsid w:val="00740FBD"/>
    <w:rsid w:val="00741EC7"/>
    <w:rsid w:val="00742611"/>
    <w:rsid w:val="00742657"/>
    <w:rsid w:val="00742707"/>
    <w:rsid w:val="0074279E"/>
    <w:rsid w:val="007427FB"/>
    <w:rsid w:val="00742E94"/>
    <w:rsid w:val="0074307B"/>
    <w:rsid w:val="00743F6E"/>
    <w:rsid w:val="00745821"/>
    <w:rsid w:val="00745D38"/>
    <w:rsid w:val="00745D6A"/>
    <w:rsid w:val="00745DE9"/>
    <w:rsid w:val="00746918"/>
    <w:rsid w:val="00746A22"/>
    <w:rsid w:val="00746FBC"/>
    <w:rsid w:val="007507E4"/>
    <w:rsid w:val="00751E25"/>
    <w:rsid w:val="007526DC"/>
    <w:rsid w:val="00752992"/>
    <w:rsid w:val="00752D68"/>
    <w:rsid w:val="00752EC2"/>
    <w:rsid w:val="0075343C"/>
    <w:rsid w:val="007538CD"/>
    <w:rsid w:val="00753F36"/>
    <w:rsid w:val="00754023"/>
    <w:rsid w:val="007546AF"/>
    <w:rsid w:val="00754707"/>
    <w:rsid w:val="0075621D"/>
    <w:rsid w:val="0075660E"/>
    <w:rsid w:val="007566F6"/>
    <w:rsid w:val="007579C3"/>
    <w:rsid w:val="00757AF3"/>
    <w:rsid w:val="00757B7A"/>
    <w:rsid w:val="0076045D"/>
    <w:rsid w:val="00760588"/>
    <w:rsid w:val="007607A5"/>
    <w:rsid w:val="00760B40"/>
    <w:rsid w:val="007611D3"/>
    <w:rsid w:val="00761287"/>
    <w:rsid w:val="007616FC"/>
    <w:rsid w:val="00761BDC"/>
    <w:rsid w:val="00761C44"/>
    <w:rsid w:val="00761DF0"/>
    <w:rsid w:val="007620B2"/>
    <w:rsid w:val="0076218C"/>
    <w:rsid w:val="007623E2"/>
    <w:rsid w:val="007629C8"/>
    <w:rsid w:val="00762BE0"/>
    <w:rsid w:val="00763DCB"/>
    <w:rsid w:val="00764040"/>
    <w:rsid w:val="0076453A"/>
    <w:rsid w:val="00765856"/>
    <w:rsid w:val="00765934"/>
    <w:rsid w:val="00765A3D"/>
    <w:rsid w:val="0076601B"/>
    <w:rsid w:val="00766E28"/>
    <w:rsid w:val="00766E81"/>
    <w:rsid w:val="0077040E"/>
    <w:rsid w:val="00770C1A"/>
    <w:rsid w:val="00770EF7"/>
    <w:rsid w:val="00770FCC"/>
    <w:rsid w:val="0077131B"/>
    <w:rsid w:val="007717F7"/>
    <w:rsid w:val="00771E0A"/>
    <w:rsid w:val="007726C4"/>
    <w:rsid w:val="0077274A"/>
    <w:rsid w:val="00772A8D"/>
    <w:rsid w:val="00772CC5"/>
    <w:rsid w:val="0077386D"/>
    <w:rsid w:val="00773A6D"/>
    <w:rsid w:val="00773B7D"/>
    <w:rsid w:val="00773EE0"/>
    <w:rsid w:val="007743E9"/>
    <w:rsid w:val="0077451B"/>
    <w:rsid w:val="00774522"/>
    <w:rsid w:val="007746BB"/>
    <w:rsid w:val="00774B33"/>
    <w:rsid w:val="00775074"/>
    <w:rsid w:val="007752D1"/>
    <w:rsid w:val="00775664"/>
    <w:rsid w:val="00775815"/>
    <w:rsid w:val="00775F50"/>
    <w:rsid w:val="00776246"/>
    <w:rsid w:val="007768F4"/>
    <w:rsid w:val="00776D6D"/>
    <w:rsid w:val="00776DCE"/>
    <w:rsid w:val="0077700D"/>
    <w:rsid w:val="007775D1"/>
    <w:rsid w:val="00777DE5"/>
    <w:rsid w:val="00780081"/>
    <w:rsid w:val="00780137"/>
    <w:rsid w:val="007802F1"/>
    <w:rsid w:val="0078135F"/>
    <w:rsid w:val="00781401"/>
    <w:rsid w:val="00781B72"/>
    <w:rsid w:val="00782E04"/>
    <w:rsid w:val="007830AC"/>
    <w:rsid w:val="00783499"/>
    <w:rsid w:val="007834B3"/>
    <w:rsid w:val="007837D9"/>
    <w:rsid w:val="007838A6"/>
    <w:rsid w:val="00783C4D"/>
    <w:rsid w:val="007843F1"/>
    <w:rsid w:val="007848FA"/>
    <w:rsid w:val="007849B9"/>
    <w:rsid w:val="00784A44"/>
    <w:rsid w:val="0078527B"/>
    <w:rsid w:val="007852C8"/>
    <w:rsid w:val="007855A3"/>
    <w:rsid w:val="00785AF3"/>
    <w:rsid w:val="00785C90"/>
    <w:rsid w:val="00785FDC"/>
    <w:rsid w:val="00786962"/>
    <w:rsid w:val="00786969"/>
    <w:rsid w:val="00786BD3"/>
    <w:rsid w:val="00786C31"/>
    <w:rsid w:val="007872F9"/>
    <w:rsid w:val="00787375"/>
    <w:rsid w:val="00787399"/>
    <w:rsid w:val="007873C5"/>
    <w:rsid w:val="00787EFE"/>
    <w:rsid w:val="007906CE"/>
    <w:rsid w:val="00790E3B"/>
    <w:rsid w:val="00790E8E"/>
    <w:rsid w:val="00790F6B"/>
    <w:rsid w:val="00792586"/>
    <w:rsid w:val="0079272B"/>
    <w:rsid w:val="007929FA"/>
    <w:rsid w:val="00792B73"/>
    <w:rsid w:val="00792B7C"/>
    <w:rsid w:val="00793180"/>
    <w:rsid w:val="00793223"/>
    <w:rsid w:val="00793AE9"/>
    <w:rsid w:val="00793B06"/>
    <w:rsid w:val="00793C41"/>
    <w:rsid w:val="00793CB3"/>
    <w:rsid w:val="00793F67"/>
    <w:rsid w:val="007947AC"/>
    <w:rsid w:val="00794EAF"/>
    <w:rsid w:val="00794EE4"/>
    <w:rsid w:val="00795012"/>
    <w:rsid w:val="00796E99"/>
    <w:rsid w:val="0079713F"/>
    <w:rsid w:val="007978C8"/>
    <w:rsid w:val="007A06A9"/>
    <w:rsid w:val="007A0746"/>
    <w:rsid w:val="007A07FE"/>
    <w:rsid w:val="007A098E"/>
    <w:rsid w:val="007A0DC5"/>
    <w:rsid w:val="007A13C1"/>
    <w:rsid w:val="007A1EB6"/>
    <w:rsid w:val="007A1F19"/>
    <w:rsid w:val="007A2DE5"/>
    <w:rsid w:val="007A2F38"/>
    <w:rsid w:val="007A31D5"/>
    <w:rsid w:val="007A3C95"/>
    <w:rsid w:val="007A4131"/>
    <w:rsid w:val="007A428F"/>
    <w:rsid w:val="007A4831"/>
    <w:rsid w:val="007A59A1"/>
    <w:rsid w:val="007A69F7"/>
    <w:rsid w:val="007A6A20"/>
    <w:rsid w:val="007A6B35"/>
    <w:rsid w:val="007A6D54"/>
    <w:rsid w:val="007A6E2C"/>
    <w:rsid w:val="007A70C6"/>
    <w:rsid w:val="007A796A"/>
    <w:rsid w:val="007A7EEF"/>
    <w:rsid w:val="007B0A94"/>
    <w:rsid w:val="007B1074"/>
    <w:rsid w:val="007B10F7"/>
    <w:rsid w:val="007B1834"/>
    <w:rsid w:val="007B1A48"/>
    <w:rsid w:val="007B1C9D"/>
    <w:rsid w:val="007B1DE8"/>
    <w:rsid w:val="007B2129"/>
    <w:rsid w:val="007B296D"/>
    <w:rsid w:val="007B296F"/>
    <w:rsid w:val="007B29FA"/>
    <w:rsid w:val="007B2A6C"/>
    <w:rsid w:val="007B2AAC"/>
    <w:rsid w:val="007B33FB"/>
    <w:rsid w:val="007B354F"/>
    <w:rsid w:val="007B3827"/>
    <w:rsid w:val="007B3B15"/>
    <w:rsid w:val="007B3D4D"/>
    <w:rsid w:val="007B400C"/>
    <w:rsid w:val="007B41B5"/>
    <w:rsid w:val="007B4EFA"/>
    <w:rsid w:val="007B5DA3"/>
    <w:rsid w:val="007B5F55"/>
    <w:rsid w:val="007B703B"/>
    <w:rsid w:val="007B70B3"/>
    <w:rsid w:val="007B71D7"/>
    <w:rsid w:val="007B7436"/>
    <w:rsid w:val="007B7491"/>
    <w:rsid w:val="007B75D9"/>
    <w:rsid w:val="007B778A"/>
    <w:rsid w:val="007B785E"/>
    <w:rsid w:val="007B7BCA"/>
    <w:rsid w:val="007B7F94"/>
    <w:rsid w:val="007C010F"/>
    <w:rsid w:val="007C0164"/>
    <w:rsid w:val="007C0B45"/>
    <w:rsid w:val="007C1416"/>
    <w:rsid w:val="007C2044"/>
    <w:rsid w:val="007C21C6"/>
    <w:rsid w:val="007C26A7"/>
    <w:rsid w:val="007C2BC7"/>
    <w:rsid w:val="007C2D5F"/>
    <w:rsid w:val="007C43C6"/>
    <w:rsid w:val="007C4C58"/>
    <w:rsid w:val="007C4F78"/>
    <w:rsid w:val="007C52D8"/>
    <w:rsid w:val="007C5AE2"/>
    <w:rsid w:val="007C5D6B"/>
    <w:rsid w:val="007C6045"/>
    <w:rsid w:val="007C6141"/>
    <w:rsid w:val="007C6B22"/>
    <w:rsid w:val="007C758C"/>
    <w:rsid w:val="007C77BA"/>
    <w:rsid w:val="007C7969"/>
    <w:rsid w:val="007C7A9E"/>
    <w:rsid w:val="007D000B"/>
    <w:rsid w:val="007D0142"/>
    <w:rsid w:val="007D022A"/>
    <w:rsid w:val="007D1B14"/>
    <w:rsid w:val="007D2595"/>
    <w:rsid w:val="007D2626"/>
    <w:rsid w:val="007D30E8"/>
    <w:rsid w:val="007D382B"/>
    <w:rsid w:val="007D4024"/>
    <w:rsid w:val="007D40A4"/>
    <w:rsid w:val="007D4846"/>
    <w:rsid w:val="007D48B7"/>
    <w:rsid w:val="007D5DCF"/>
    <w:rsid w:val="007D61B1"/>
    <w:rsid w:val="007D63D1"/>
    <w:rsid w:val="007D70D5"/>
    <w:rsid w:val="007D7121"/>
    <w:rsid w:val="007D73EF"/>
    <w:rsid w:val="007D74E1"/>
    <w:rsid w:val="007D7841"/>
    <w:rsid w:val="007E01B1"/>
    <w:rsid w:val="007E0F4C"/>
    <w:rsid w:val="007E1034"/>
    <w:rsid w:val="007E1251"/>
    <w:rsid w:val="007E1C00"/>
    <w:rsid w:val="007E252B"/>
    <w:rsid w:val="007E25E0"/>
    <w:rsid w:val="007E26A3"/>
    <w:rsid w:val="007E2BED"/>
    <w:rsid w:val="007E373C"/>
    <w:rsid w:val="007E41CF"/>
    <w:rsid w:val="007E44F2"/>
    <w:rsid w:val="007E462B"/>
    <w:rsid w:val="007E5142"/>
    <w:rsid w:val="007E566D"/>
    <w:rsid w:val="007E5B09"/>
    <w:rsid w:val="007E61C0"/>
    <w:rsid w:val="007E665F"/>
    <w:rsid w:val="007E6708"/>
    <w:rsid w:val="007E69B8"/>
    <w:rsid w:val="007E6D19"/>
    <w:rsid w:val="007E7058"/>
    <w:rsid w:val="007E76EA"/>
    <w:rsid w:val="007E7A6B"/>
    <w:rsid w:val="007E7C13"/>
    <w:rsid w:val="007E7FE7"/>
    <w:rsid w:val="007F072A"/>
    <w:rsid w:val="007F0B43"/>
    <w:rsid w:val="007F0EEA"/>
    <w:rsid w:val="007F107F"/>
    <w:rsid w:val="007F1A4F"/>
    <w:rsid w:val="007F2136"/>
    <w:rsid w:val="007F270C"/>
    <w:rsid w:val="007F340F"/>
    <w:rsid w:val="007F39E3"/>
    <w:rsid w:val="007F43AD"/>
    <w:rsid w:val="007F470B"/>
    <w:rsid w:val="007F4A51"/>
    <w:rsid w:val="007F4A7B"/>
    <w:rsid w:val="007F4B5D"/>
    <w:rsid w:val="007F4DFE"/>
    <w:rsid w:val="007F4F77"/>
    <w:rsid w:val="007F5707"/>
    <w:rsid w:val="007F5CD9"/>
    <w:rsid w:val="007F5D9D"/>
    <w:rsid w:val="007F5E79"/>
    <w:rsid w:val="007F683A"/>
    <w:rsid w:val="007F689B"/>
    <w:rsid w:val="007F6FF6"/>
    <w:rsid w:val="007F71A1"/>
    <w:rsid w:val="007F734F"/>
    <w:rsid w:val="007F757C"/>
    <w:rsid w:val="007F7C00"/>
    <w:rsid w:val="008002CE"/>
    <w:rsid w:val="00800448"/>
    <w:rsid w:val="008006F3"/>
    <w:rsid w:val="00800D73"/>
    <w:rsid w:val="00801662"/>
    <w:rsid w:val="00801E16"/>
    <w:rsid w:val="00801F45"/>
    <w:rsid w:val="008021D1"/>
    <w:rsid w:val="008021E8"/>
    <w:rsid w:val="0080224B"/>
    <w:rsid w:val="0080227B"/>
    <w:rsid w:val="008028DB"/>
    <w:rsid w:val="00802928"/>
    <w:rsid w:val="00802971"/>
    <w:rsid w:val="008029A2"/>
    <w:rsid w:val="00802E46"/>
    <w:rsid w:val="00802ED2"/>
    <w:rsid w:val="00803402"/>
    <w:rsid w:val="008041B5"/>
    <w:rsid w:val="00805667"/>
    <w:rsid w:val="008059E1"/>
    <w:rsid w:val="008063D3"/>
    <w:rsid w:val="008066F5"/>
    <w:rsid w:val="00806F62"/>
    <w:rsid w:val="0080751E"/>
    <w:rsid w:val="00807561"/>
    <w:rsid w:val="00810090"/>
    <w:rsid w:val="00810530"/>
    <w:rsid w:val="00810D6D"/>
    <w:rsid w:val="00810F0C"/>
    <w:rsid w:val="0081118C"/>
    <w:rsid w:val="00811287"/>
    <w:rsid w:val="008113FA"/>
    <w:rsid w:val="008118A6"/>
    <w:rsid w:val="00812EEA"/>
    <w:rsid w:val="00813EDE"/>
    <w:rsid w:val="0081536F"/>
    <w:rsid w:val="0081553A"/>
    <w:rsid w:val="0081560B"/>
    <w:rsid w:val="00815FCC"/>
    <w:rsid w:val="00816661"/>
    <w:rsid w:val="008177F1"/>
    <w:rsid w:val="00817842"/>
    <w:rsid w:val="00817FF2"/>
    <w:rsid w:val="0082028A"/>
    <w:rsid w:val="0082030C"/>
    <w:rsid w:val="008204E5"/>
    <w:rsid w:val="00820525"/>
    <w:rsid w:val="008207AA"/>
    <w:rsid w:val="0082106F"/>
    <w:rsid w:val="0082134A"/>
    <w:rsid w:val="00821CCA"/>
    <w:rsid w:val="00822ED8"/>
    <w:rsid w:val="00822FEA"/>
    <w:rsid w:val="0082398E"/>
    <w:rsid w:val="00823BC3"/>
    <w:rsid w:val="00823EC5"/>
    <w:rsid w:val="00823FD6"/>
    <w:rsid w:val="0082593D"/>
    <w:rsid w:val="00825C78"/>
    <w:rsid w:val="00825E5A"/>
    <w:rsid w:val="008260BB"/>
    <w:rsid w:val="0082632F"/>
    <w:rsid w:val="00826D6C"/>
    <w:rsid w:val="008276C4"/>
    <w:rsid w:val="00827742"/>
    <w:rsid w:val="00827B1A"/>
    <w:rsid w:val="00830634"/>
    <w:rsid w:val="0083104B"/>
    <w:rsid w:val="0083105E"/>
    <w:rsid w:val="00831449"/>
    <w:rsid w:val="00831537"/>
    <w:rsid w:val="00831F1B"/>
    <w:rsid w:val="008329E3"/>
    <w:rsid w:val="00832D43"/>
    <w:rsid w:val="008333BB"/>
    <w:rsid w:val="00834100"/>
    <w:rsid w:val="008351BA"/>
    <w:rsid w:val="008352D3"/>
    <w:rsid w:val="0083561F"/>
    <w:rsid w:val="00835622"/>
    <w:rsid w:val="00835B6E"/>
    <w:rsid w:val="00835F58"/>
    <w:rsid w:val="00836161"/>
    <w:rsid w:val="00836574"/>
    <w:rsid w:val="0083685F"/>
    <w:rsid w:val="008372CB"/>
    <w:rsid w:val="00840014"/>
    <w:rsid w:val="00840A2E"/>
    <w:rsid w:val="00841133"/>
    <w:rsid w:val="008412F4"/>
    <w:rsid w:val="00841561"/>
    <w:rsid w:val="008421AF"/>
    <w:rsid w:val="00842644"/>
    <w:rsid w:val="00842ADF"/>
    <w:rsid w:val="008430E2"/>
    <w:rsid w:val="008430E8"/>
    <w:rsid w:val="00843364"/>
    <w:rsid w:val="00843792"/>
    <w:rsid w:val="00843EA4"/>
    <w:rsid w:val="00843F9C"/>
    <w:rsid w:val="00843FFC"/>
    <w:rsid w:val="00844872"/>
    <w:rsid w:val="00845BCE"/>
    <w:rsid w:val="00845E8D"/>
    <w:rsid w:val="00846153"/>
    <w:rsid w:val="0084630F"/>
    <w:rsid w:val="008467B5"/>
    <w:rsid w:val="00846C0E"/>
    <w:rsid w:val="008474FE"/>
    <w:rsid w:val="008477F5"/>
    <w:rsid w:val="00847C24"/>
    <w:rsid w:val="008501C3"/>
    <w:rsid w:val="00850297"/>
    <w:rsid w:val="0085034E"/>
    <w:rsid w:val="0085064E"/>
    <w:rsid w:val="008509BE"/>
    <w:rsid w:val="00850B44"/>
    <w:rsid w:val="00850BCC"/>
    <w:rsid w:val="00850FCE"/>
    <w:rsid w:val="008519FC"/>
    <w:rsid w:val="00851F58"/>
    <w:rsid w:val="00852AA5"/>
    <w:rsid w:val="00852CF0"/>
    <w:rsid w:val="00852D19"/>
    <w:rsid w:val="00852FB1"/>
    <w:rsid w:val="00853143"/>
    <w:rsid w:val="00853655"/>
    <w:rsid w:val="00853D9B"/>
    <w:rsid w:val="00853EA7"/>
    <w:rsid w:val="00854A50"/>
    <w:rsid w:val="00854C98"/>
    <w:rsid w:val="00854E40"/>
    <w:rsid w:val="00854F35"/>
    <w:rsid w:val="00855604"/>
    <w:rsid w:val="00855F73"/>
    <w:rsid w:val="00856537"/>
    <w:rsid w:val="00856699"/>
    <w:rsid w:val="008575EA"/>
    <w:rsid w:val="00857B53"/>
    <w:rsid w:val="00857BE1"/>
    <w:rsid w:val="00861186"/>
    <w:rsid w:val="008625D8"/>
    <w:rsid w:val="008626CB"/>
    <w:rsid w:val="00863176"/>
    <w:rsid w:val="00863281"/>
    <w:rsid w:val="008637B5"/>
    <w:rsid w:val="008644E3"/>
    <w:rsid w:val="008647FD"/>
    <w:rsid w:val="00864D5D"/>
    <w:rsid w:val="0086501E"/>
    <w:rsid w:val="0086502D"/>
    <w:rsid w:val="0086522C"/>
    <w:rsid w:val="00865C2D"/>
    <w:rsid w:val="00866D05"/>
    <w:rsid w:val="008674BE"/>
    <w:rsid w:val="0086796B"/>
    <w:rsid w:val="008679CA"/>
    <w:rsid w:val="008702A6"/>
    <w:rsid w:val="00870778"/>
    <w:rsid w:val="00870F03"/>
    <w:rsid w:val="008718F6"/>
    <w:rsid w:val="00872DAB"/>
    <w:rsid w:val="00872E5B"/>
    <w:rsid w:val="0087381D"/>
    <w:rsid w:val="008746E5"/>
    <w:rsid w:val="00874C13"/>
    <w:rsid w:val="00874D64"/>
    <w:rsid w:val="00874E36"/>
    <w:rsid w:val="0087523C"/>
    <w:rsid w:val="0087579A"/>
    <w:rsid w:val="00875835"/>
    <w:rsid w:val="00875F2D"/>
    <w:rsid w:val="00876793"/>
    <w:rsid w:val="00876803"/>
    <w:rsid w:val="00876C81"/>
    <w:rsid w:val="00876FA2"/>
    <w:rsid w:val="0087739C"/>
    <w:rsid w:val="0087764E"/>
    <w:rsid w:val="00877775"/>
    <w:rsid w:val="00877EC7"/>
    <w:rsid w:val="0088009E"/>
    <w:rsid w:val="00880494"/>
    <w:rsid w:val="00880A5E"/>
    <w:rsid w:val="00880A75"/>
    <w:rsid w:val="00880AC0"/>
    <w:rsid w:val="00880DE7"/>
    <w:rsid w:val="00881751"/>
    <w:rsid w:val="00881B54"/>
    <w:rsid w:val="00881CC4"/>
    <w:rsid w:val="00882266"/>
    <w:rsid w:val="00882A7A"/>
    <w:rsid w:val="008833CC"/>
    <w:rsid w:val="00883485"/>
    <w:rsid w:val="00883509"/>
    <w:rsid w:val="008835BB"/>
    <w:rsid w:val="00883ED8"/>
    <w:rsid w:val="00884235"/>
    <w:rsid w:val="00884832"/>
    <w:rsid w:val="00884C39"/>
    <w:rsid w:val="00884D7B"/>
    <w:rsid w:val="00884FB3"/>
    <w:rsid w:val="0088502E"/>
    <w:rsid w:val="00885633"/>
    <w:rsid w:val="00885734"/>
    <w:rsid w:val="00885999"/>
    <w:rsid w:val="00885E0E"/>
    <w:rsid w:val="00886141"/>
    <w:rsid w:val="008861D5"/>
    <w:rsid w:val="0088665A"/>
    <w:rsid w:val="0088784C"/>
    <w:rsid w:val="008878C6"/>
    <w:rsid w:val="008901A3"/>
    <w:rsid w:val="008901AF"/>
    <w:rsid w:val="008901DD"/>
    <w:rsid w:val="00890512"/>
    <w:rsid w:val="008905EE"/>
    <w:rsid w:val="00890AC8"/>
    <w:rsid w:val="00890FDF"/>
    <w:rsid w:val="008913C7"/>
    <w:rsid w:val="00891A68"/>
    <w:rsid w:val="00892451"/>
    <w:rsid w:val="00892766"/>
    <w:rsid w:val="00892C27"/>
    <w:rsid w:val="00892D08"/>
    <w:rsid w:val="00892FA9"/>
    <w:rsid w:val="00893073"/>
    <w:rsid w:val="008931AA"/>
    <w:rsid w:val="00893791"/>
    <w:rsid w:val="00893886"/>
    <w:rsid w:val="00894348"/>
    <w:rsid w:val="008947B9"/>
    <w:rsid w:val="008948B9"/>
    <w:rsid w:val="00894D27"/>
    <w:rsid w:val="008957C8"/>
    <w:rsid w:val="00895A02"/>
    <w:rsid w:val="00896721"/>
    <w:rsid w:val="00896BFC"/>
    <w:rsid w:val="00897237"/>
    <w:rsid w:val="0089723B"/>
    <w:rsid w:val="008977F1"/>
    <w:rsid w:val="00897BE8"/>
    <w:rsid w:val="008A051B"/>
    <w:rsid w:val="008A09CF"/>
    <w:rsid w:val="008A0B5B"/>
    <w:rsid w:val="008A0F9C"/>
    <w:rsid w:val="008A25EA"/>
    <w:rsid w:val="008A313E"/>
    <w:rsid w:val="008A3360"/>
    <w:rsid w:val="008A34B1"/>
    <w:rsid w:val="008A36F0"/>
    <w:rsid w:val="008A3AED"/>
    <w:rsid w:val="008A49D3"/>
    <w:rsid w:val="008A4AD4"/>
    <w:rsid w:val="008A4ADC"/>
    <w:rsid w:val="008A5751"/>
    <w:rsid w:val="008A5C6D"/>
    <w:rsid w:val="008A5DAA"/>
    <w:rsid w:val="008A5DEE"/>
    <w:rsid w:val="008A6296"/>
    <w:rsid w:val="008A63F2"/>
    <w:rsid w:val="008A649C"/>
    <w:rsid w:val="008A68FB"/>
    <w:rsid w:val="008A6B4F"/>
    <w:rsid w:val="008A6FDD"/>
    <w:rsid w:val="008A7006"/>
    <w:rsid w:val="008A774C"/>
    <w:rsid w:val="008B0B95"/>
    <w:rsid w:val="008B0BC8"/>
    <w:rsid w:val="008B0C05"/>
    <w:rsid w:val="008B17C8"/>
    <w:rsid w:val="008B188D"/>
    <w:rsid w:val="008B1952"/>
    <w:rsid w:val="008B1B1A"/>
    <w:rsid w:val="008B227D"/>
    <w:rsid w:val="008B2769"/>
    <w:rsid w:val="008B2CCB"/>
    <w:rsid w:val="008B37C4"/>
    <w:rsid w:val="008B3D5A"/>
    <w:rsid w:val="008B3E92"/>
    <w:rsid w:val="008B4087"/>
    <w:rsid w:val="008B4354"/>
    <w:rsid w:val="008B586A"/>
    <w:rsid w:val="008B5D4B"/>
    <w:rsid w:val="008B6034"/>
    <w:rsid w:val="008B6DBF"/>
    <w:rsid w:val="008B6DD3"/>
    <w:rsid w:val="008B6E86"/>
    <w:rsid w:val="008B6F90"/>
    <w:rsid w:val="008B7E18"/>
    <w:rsid w:val="008C0206"/>
    <w:rsid w:val="008C18A7"/>
    <w:rsid w:val="008C1A8A"/>
    <w:rsid w:val="008C1AC0"/>
    <w:rsid w:val="008C1B05"/>
    <w:rsid w:val="008C1EAB"/>
    <w:rsid w:val="008C23FC"/>
    <w:rsid w:val="008C26D8"/>
    <w:rsid w:val="008C27A1"/>
    <w:rsid w:val="008C2CF8"/>
    <w:rsid w:val="008C2D66"/>
    <w:rsid w:val="008C2DDD"/>
    <w:rsid w:val="008C3061"/>
    <w:rsid w:val="008C3ADE"/>
    <w:rsid w:val="008C44E3"/>
    <w:rsid w:val="008C4586"/>
    <w:rsid w:val="008C5307"/>
    <w:rsid w:val="008C55AE"/>
    <w:rsid w:val="008C57D3"/>
    <w:rsid w:val="008C5E3F"/>
    <w:rsid w:val="008C68B7"/>
    <w:rsid w:val="008C6B14"/>
    <w:rsid w:val="008C6B80"/>
    <w:rsid w:val="008D0C5E"/>
    <w:rsid w:val="008D0DD3"/>
    <w:rsid w:val="008D10B9"/>
    <w:rsid w:val="008D2FBD"/>
    <w:rsid w:val="008D3015"/>
    <w:rsid w:val="008D32D7"/>
    <w:rsid w:val="008D3F7C"/>
    <w:rsid w:val="008D430F"/>
    <w:rsid w:val="008D47E6"/>
    <w:rsid w:val="008D496C"/>
    <w:rsid w:val="008D5184"/>
    <w:rsid w:val="008D5849"/>
    <w:rsid w:val="008D5A6A"/>
    <w:rsid w:val="008D5DB3"/>
    <w:rsid w:val="008D60EA"/>
    <w:rsid w:val="008D6D8B"/>
    <w:rsid w:val="008D6FCB"/>
    <w:rsid w:val="008D7378"/>
    <w:rsid w:val="008D771D"/>
    <w:rsid w:val="008D7A98"/>
    <w:rsid w:val="008E064A"/>
    <w:rsid w:val="008E09DC"/>
    <w:rsid w:val="008E19A8"/>
    <w:rsid w:val="008E2A87"/>
    <w:rsid w:val="008E2F26"/>
    <w:rsid w:val="008E3144"/>
    <w:rsid w:val="008E393B"/>
    <w:rsid w:val="008E48AB"/>
    <w:rsid w:val="008E4C08"/>
    <w:rsid w:val="008E572C"/>
    <w:rsid w:val="008E5A6D"/>
    <w:rsid w:val="008E5C5B"/>
    <w:rsid w:val="008E6088"/>
    <w:rsid w:val="008E639E"/>
    <w:rsid w:val="008E726D"/>
    <w:rsid w:val="008E77D4"/>
    <w:rsid w:val="008E7E72"/>
    <w:rsid w:val="008F024E"/>
    <w:rsid w:val="008F0905"/>
    <w:rsid w:val="008F09E9"/>
    <w:rsid w:val="008F0D10"/>
    <w:rsid w:val="008F0D90"/>
    <w:rsid w:val="008F0EBB"/>
    <w:rsid w:val="008F0F74"/>
    <w:rsid w:val="008F1333"/>
    <w:rsid w:val="008F1768"/>
    <w:rsid w:val="008F23CF"/>
    <w:rsid w:val="008F2613"/>
    <w:rsid w:val="008F2C12"/>
    <w:rsid w:val="008F303B"/>
    <w:rsid w:val="008F32DF"/>
    <w:rsid w:val="008F37F8"/>
    <w:rsid w:val="008F3DCC"/>
    <w:rsid w:val="008F3FAA"/>
    <w:rsid w:val="008F40F4"/>
    <w:rsid w:val="008F4A14"/>
    <w:rsid w:val="008F4D20"/>
    <w:rsid w:val="008F57ED"/>
    <w:rsid w:val="008F57F2"/>
    <w:rsid w:val="008F5944"/>
    <w:rsid w:val="008F5DF6"/>
    <w:rsid w:val="008F69F3"/>
    <w:rsid w:val="008F6D4B"/>
    <w:rsid w:val="008F6F69"/>
    <w:rsid w:val="008F6FC8"/>
    <w:rsid w:val="008F75D2"/>
    <w:rsid w:val="008F776C"/>
    <w:rsid w:val="0090017D"/>
    <w:rsid w:val="00900827"/>
    <w:rsid w:val="00900A46"/>
    <w:rsid w:val="009011E2"/>
    <w:rsid w:val="009017AE"/>
    <w:rsid w:val="00901BB2"/>
    <w:rsid w:val="00902168"/>
    <w:rsid w:val="009024BF"/>
    <w:rsid w:val="009028E4"/>
    <w:rsid w:val="00902D9B"/>
    <w:rsid w:val="00902F8A"/>
    <w:rsid w:val="009033FD"/>
    <w:rsid w:val="00903C18"/>
    <w:rsid w:val="00903CCB"/>
    <w:rsid w:val="00903EF1"/>
    <w:rsid w:val="00903FAF"/>
    <w:rsid w:val="0090493A"/>
    <w:rsid w:val="00904B2C"/>
    <w:rsid w:val="00904BAA"/>
    <w:rsid w:val="00904E29"/>
    <w:rsid w:val="00905114"/>
    <w:rsid w:val="009053A8"/>
    <w:rsid w:val="009058D7"/>
    <w:rsid w:val="00905CA3"/>
    <w:rsid w:val="00905D74"/>
    <w:rsid w:val="0090717B"/>
    <w:rsid w:val="0090787A"/>
    <w:rsid w:val="0090790C"/>
    <w:rsid w:val="00907A91"/>
    <w:rsid w:val="00907DFA"/>
    <w:rsid w:val="00910773"/>
    <w:rsid w:val="009108E5"/>
    <w:rsid w:val="00910AEC"/>
    <w:rsid w:val="00910C67"/>
    <w:rsid w:val="00911BCE"/>
    <w:rsid w:val="009126A0"/>
    <w:rsid w:val="00912829"/>
    <w:rsid w:val="00912939"/>
    <w:rsid w:val="00912BAA"/>
    <w:rsid w:val="00913110"/>
    <w:rsid w:val="00913512"/>
    <w:rsid w:val="00913819"/>
    <w:rsid w:val="00913B2D"/>
    <w:rsid w:val="009140EA"/>
    <w:rsid w:val="00914543"/>
    <w:rsid w:val="00914B7D"/>
    <w:rsid w:val="00914DE0"/>
    <w:rsid w:val="0091587F"/>
    <w:rsid w:val="00917104"/>
    <w:rsid w:val="009176AC"/>
    <w:rsid w:val="00917CA2"/>
    <w:rsid w:val="00920BD9"/>
    <w:rsid w:val="00920D86"/>
    <w:rsid w:val="00920F22"/>
    <w:rsid w:val="00921281"/>
    <w:rsid w:val="009218F8"/>
    <w:rsid w:val="00921E38"/>
    <w:rsid w:val="0092256D"/>
    <w:rsid w:val="00922594"/>
    <w:rsid w:val="00923409"/>
    <w:rsid w:val="00923798"/>
    <w:rsid w:val="00923F90"/>
    <w:rsid w:val="00924AFF"/>
    <w:rsid w:val="00924E14"/>
    <w:rsid w:val="00925131"/>
    <w:rsid w:val="00925850"/>
    <w:rsid w:val="00925B9D"/>
    <w:rsid w:val="009262E0"/>
    <w:rsid w:val="00926CCA"/>
    <w:rsid w:val="00927AC9"/>
    <w:rsid w:val="0093094A"/>
    <w:rsid w:val="00930D6E"/>
    <w:rsid w:val="009312FD"/>
    <w:rsid w:val="0093196B"/>
    <w:rsid w:val="00932195"/>
    <w:rsid w:val="009324AA"/>
    <w:rsid w:val="0093379E"/>
    <w:rsid w:val="009338A0"/>
    <w:rsid w:val="00934072"/>
    <w:rsid w:val="009340B2"/>
    <w:rsid w:val="0093485F"/>
    <w:rsid w:val="00934967"/>
    <w:rsid w:val="00934A5F"/>
    <w:rsid w:val="00935FFE"/>
    <w:rsid w:val="009361F9"/>
    <w:rsid w:val="0093685A"/>
    <w:rsid w:val="00936B38"/>
    <w:rsid w:val="00936D2F"/>
    <w:rsid w:val="00937D64"/>
    <w:rsid w:val="00937EC5"/>
    <w:rsid w:val="00940197"/>
    <w:rsid w:val="00940D07"/>
    <w:rsid w:val="00940D2B"/>
    <w:rsid w:val="0094129F"/>
    <w:rsid w:val="00941E27"/>
    <w:rsid w:val="00942941"/>
    <w:rsid w:val="00942D10"/>
    <w:rsid w:val="009434B2"/>
    <w:rsid w:val="0094408D"/>
    <w:rsid w:val="00944263"/>
    <w:rsid w:val="00944911"/>
    <w:rsid w:val="00944BB7"/>
    <w:rsid w:val="00944FDF"/>
    <w:rsid w:val="009451F6"/>
    <w:rsid w:val="00946152"/>
    <w:rsid w:val="009464C2"/>
    <w:rsid w:val="0094653F"/>
    <w:rsid w:val="0094757D"/>
    <w:rsid w:val="00947A09"/>
    <w:rsid w:val="00950117"/>
    <w:rsid w:val="00950181"/>
    <w:rsid w:val="0095073F"/>
    <w:rsid w:val="0095083A"/>
    <w:rsid w:val="00950C04"/>
    <w:rsid w:val="00950C18"/>
    <w:rsid w:val="00950EB3"/>
    <w:rsid w:val="0095160B"/>
    <w:rsid w:val="00951B25"/>
    <w:rsid w:val="00951BC8"/>
    <w:rsid w:val="00952075"/>
    <w:rsid w:val="009521BF"/>
    <w:rsid w:val="00952398"/>
    <w:rsid w:val="0095268B"/>
    <w:rsid w:val="009527F6"/>
    <w:rsid w:val="00952815"/>
    <w:rsid w:val="009529ED"/>
    <w:rsid w:val="00952F70"/>
    <w:rsid w:val="00953201"/>
    <w:rsid w:val="00953288"/>
    <w:rsid w:val="00953507"/>
    <w:rsid w:val="009538DC"/>
    <w:rsid w:val="009540FC"/>
    <w:rsid w:val="0095432C"/>
    <w:rsid w:val="0095461A"/>
    <w:rsid w:val="00954633"/>
    <w:rsid w:val="009547FA"/>
    <w:rsid w:val="00954C17"/>
    <w:rsid w:val="00955547"/>
    <w:rsid w:val="00955FE8"/>
    <w:rsid w:val="00956A3E"/>
    <w:rsid w:val="0095708C"/>
    <w:rsid w:val="00957AA7"/>
    <w:rsid w:val="00957FC9"/>
    <w:rsid w:val="0096064D"/>
    <w:rsid w:val="00960BAC"/>
    <w:rsid w:val="009616C9"/>
    <w:rsid w:val="009616DC"/>
    <w:rsid w:val="00961DD8"/>
    <w:rsid w:val="009621C6"/>
    <w:rsid w:val="009624CA"/>
    <w:rsid w:val="009628E1"/>
    <w:rsid w:val="00962B86"/>
    <w:rsid w:val="00962D44"/>
    <w:rsid w:val="00964042"/>
    <w:rsid w:val="00964341"/>
    <w:rsid w:val="00964E2D"/>
    <w:rsid w:val="00964F21"/>
    <w:rsid w:val="0096619A"/>
    <w:rsid w:val="0096644A"/>
    <w:rsid w:val="009675C8"/>
    <w:rsid w:val="00967766"/>
    <w:rsid w:val="0096783E"/>
    <w:rsid w:val="00967BB5"/>
    <w:rsid w:val="00967E5B"/>
    <w:rsid w:val="00970AFD"/>
    <w:rsid w:val="00970F6D"/>
    <w:rsid w:val="00971498"/>
    <w:rsid w:val="00971CAD"/>
    <w:rsid w:val="009720C6"/>
    <w:rsid w:val="0097213D"/>
    <w:rsid w:val="009721E4"/>
    <w:rsid w:val="0097241E"/>
    <w:rsid w:val="00972630"/>
    <w:rsid w:val="009737E4"/>
    <w:rsid w:val="00973849"/>
    <w:rsid w:val="00973936"/>
    <w:rsid w:val="00973CDC"/>
    <w:rsid w:val="00973DFA"/>
    <w:rsid w:val="0097420D"/>
    <w:rsid w:val="00974A4E"/>
    <w:rsid w:val="00974D4B"/>
    <w:rsid w:val="0097576F"/>
    <w:rsid w:val="00975C52"/>
    <w:rsid w:val="0097627B"/>
    <w:rsid w:val="00976B2E"/>
    <w:rsid w:val="00977BD0"/>
    <w:rsid w:val="009801A6"/>
    <w:rsid w:val="00981234"/>
    <w:rsid w:val="00981355"/>
    <w:rsid w:val="00981554"/>
    <w:rsid w:val="00981996"/>
    <w:rsid w:val="00981C3A"/>
    <w:rsid w:val="00982680"/>
    <w:rsid w:val="009827CE"/>
    <w:rsid w:val="00982A12"/>
    <w:rsid w:val="00982A26"/>
    <w:rsid w:val="009830E8"/>
    <w:rsid w:val="00983125"/>
    <w:rsid w:val="00983B74"/>
    <w:rsid w:val="00984073"/>
    <w:rsid w:val="009841A9"/>
    <w:rsid w:val="009844F0"/>
    <w:rsid w:val="0098541F"/>
    <w:rsid w:val="009868CF"/>
    <w:rsid w:val="009873FA"/>
    <w:rsid w:val="00990263"/>
    <w:rsid w:val="0099044D"/>
    <w:rsid w:val="00990718"/>
    <w:rsid w:val="0099081B"/>
    <w:rsid w:val="00990BEE"/>
    <w:rsid w:val="00990C6C"/>
    <w:rsid w:val="00990E33"/>
    <w:rsid w:val="00990F3B"/>
    <w:rsid w:val="00991265"/>
    <w:rsid w:val="00991BCA"/>
    <w:rsid w:val="00991C1A"/>
    <w:rsid w:val="009925B3"/>
    <w:rsid w:val="00993D3B"/>
    <w:rsid w:val="00993FEF"/>
    <w:rsid w:val="0099405A"/>
    <w:rsid w:val="00994182"/>
    <w:rsid w:val="00994421"/>
    <w:rsid w:val="009944E0"/>
    <w:rsid w:val="009946E3"/>
    <w:rsid w:val="00994DD9"/>
    <w:rsid w:val="009955CD"/>
    <w:rsid w:val="00995C68"/>
    <w:rsid w:val="00995DC9"/>
    <w:rsid w:val="00995F26"/>
    <w:rsid w:val="00995FD4"/>
    <w:rsid w:val="00996413"/>
    <w:rsid w:val="00996498"/>
    <w:rsid w:val="0099696E"/>
    <w:rsid w:val="00997D5B"/>
    <w:rsid w:val="00997DB6"/>
    <w:rsid w:val="00997EE6"/>
    <w:rsid w:val="00997F2F"/>
    <w:rsid w:val="00997FDF"/>
    <w:rsid w:val="009A0065"/>
    <w:rsid w:val="009A0EFE"/>
    <w:rsid w:val="009A2163"/>
    <w:rsid w:val="009A28C2"/>
    <w:rsid w:val="009A2CE4"/>
    <w:rsid w:val="009A3457"/>
    <w:rsid w:val="009A34CB"/>
    <w:rsid w:val="009A3628"/>
    <w:rsid w:val="009A3960"/>
    <w:rsid w:val="009A442A"/>
    <w:rsid w:val="009A492A"/>
    <w:rsid w:val="009A4CCC"/>
    <w:rsid w:val="009A529A"/>
    <w:rsid w:val="009A5711"/>
    <w:rsid w:val="009A5FBA"/>
    <w:rsid w:val="009A6270"/>
    <w:rsid w:val="009A68C0"/>
    <w:rsid w:val="009A6A5D"/>
    <w:rsid w:val="009A6FB6"/>
    <w:rsid w:val="009A7491"/>
    <w:rsid w:val="009A7646"/>
    <w:rsid w:val="009A7B18"/>
    <w:rsid w:val="009A7C3A"/>
    <w:rsid w:val="009B0210"/>
    <w:rsid w:val="009B0293"/>
    <w:rsid w:val="009B03D1"/>
    <w:rsid w:val="009B0615"/>
    <w:rsid w:val="009B07A0"/>
    <w:rsid w:val="009B0EA7"/>
    <w:rsid w:val="009B15A8"/>
    <w:rsid w:val="009B184A"/>
    <w:rsid w:val="009B3112"/>
    <w:rsid w:val="009B34D7"/>
    <w:rsid w:val="009B35B5"/>
    <w:rsid w:val="009B402D"/>
    <w:rsid w:val="009B46D7"/>
    <w:rsid w:val="009B49F0"/>
    <w:rsid w:val="009B517F"/>
    <w:rsid w:val="009B5836"/>
    <w:rsid w:val="009B58D0"/>
    <w:rsid w:val="009B5911"/>
    <w:rsid w:val="009B5940"/>
    <w:rsid w:val="009B5F27"/>
    <w:rsid w:val="009B6537"/>
    <w:rsid w:val="009B6916"/>
    <w:rsid w:val="009B6A36"/>
    <w:rsid w:val="009B6F0E"/>
    <w:rsid w:val="009B773B"/>
    <w:rsid w:val="009B7797"/>
    <w:rsid w:val="009B7EA3"/>
    <w:rsid w:val="009C051E"/>
    <w:rsid w:val="009C08EC"/>
    <w:rsid w:val="009C0C62"/>
    <w:rsid w:val="009C0D1D"/>
    <w:rsid w:val="009C1C0B"/>
    <w:rsid w:val="009C1D3C"/>
    <w:rsid w:val="009C1DAE"/>
    <w:rsid w:val="009C1F98"/>
    <w:rsid w:val="009C2261"/>
    <w:rsid w:val="009C2401"/>
    <w:rsid w:val="009C29B1"/>
    <w:rsid w:val="009C2F53"/>
    <w:rsid w:val="009C2F8E"/>
    <w:rsid w:val="009C3139"/>
    <w:rsid w:val="009C39BA"/>
    <w:rsid w:val="009C407E"/>
    <w:rsid w:val="009C4F0E"/>
    <w:rsid w:val="009C5440"/>
    <w:rsid w:val="009C55EB"/>
    <w:rsid w:val="009C5BE3"/>
    <w:rsid w:val="009C5D96"/>
    <w:rsid w:val="009C66EA"/>
    <w:rsid w:val="009C6904"/>
    <w:rsid w:val="009C6DC3"/>
    <w:rsid w:val="009C6E13"/>
    <w:rsid w:val="009C723F"/>
    <w:rsid w:val="009C7EF0"/>
    <w:rsid w:val="009D0068"/>
    <w:rsid w:val="009D0085"/>
    <w:rsid w:val="009D012C"/>
    <w:rsid w:val="009D02AA"/>
    <w:rsid w:val="009D0A96"/>
    <w:rsid w:val="009D1E80"/>
    <w:rsid w:val="009D2BDE"/>
    <w:rsid w:val="009D2F26"/>
    <w:rsid w:val="009D2F6F"/>
    <w:rsid w:val="009D3A1B"/>
    <w:rsid w:val="009D4070"/>
    <w:rsid w:val="009D4714"/>
    <w:rsid w:val="009D59AE"/>
    <w:rsid w:val="009D5CE5"/>
    <w:rsid w:val="009D5D11"/>
    <w:rsid w:val="009D5F4C"/>
    <w:rsid w:val="009D5F99"/>
    <w:rsid w:val="009D7141"/>
    <w:rsid w:val="009D78F6"/>
    <w:rsid w:val="009D7C2C"/>
    <w:rsid w:val="009E050D"/>
    <w:rsid w:val="009E0946"/>
    <w:rsid w:val="009E0DD1"/>
    <w:rsid w:val="009E12CC"/>
    <w:rsid w:val="009E13AB"/>
    <w:rsid w:val="009E1404"/>
    <w:rsid w:val="009E2210"/>
    <w:rsid w:val="009E24AC"/>
    <w:rsid w:val="009E2FB1"/>
    <w:rsid w:val="009E30AA"/>
    <w:rsid w:val="009E3CCD"/>
    <w:rsid w:val="009E3D7D"/>
    <w:rsid w:val="009E3FCD"/>
    <w:rsid w:val="009E4B94"/>
    <w:rsid w:val="009E4DEF"/>
    <w:rsid w:val="009E4E5F"/>
    <w:rsid w:val="009E5895"/>
    <w:rsid w:val="009E5E35"/>
    <w:rsid w:val="009E5EE8"/>
    <w:rsid w:val="009E6D29"/>
    <w:rsid w:val="009E6D56"/>
    <w:rsid w:val="009E7121"/>
    <w:rsid w:val="009E7CC2"/>
    <w:rsid w:val="009E7D0E"/>
    <w:rsid w:val="009E7E7C"/>
    <w:rsid w:val="009F0018"/>
    <w:rsid w:val="009F08B4"/>
    <w:rsid w:val="009F0A78"/>
    <w:rsid w:val="009F0E2B"/>
    <w:rsid w:val="009F0FF1"/>
    <w:rsid w:val="009F1CB4"/>
    <w:rsid w:val="009F1DDB"/>
    <w:rsid w:val="009F1E19"/>
    <w:rsid w:val="009F263C"/>
    <w:rsid w:val="009F2C6C"/>
    <w:rsid w:val="009F37DB"/>
    <w:rsid w:val="009F435F"/>
    <w:rsid w:val="009F4436"/>
    <w:rsid w:val="009F4CE5"/>
    <w:rsid w:val="009F53E5"/>
    <w:rsid w:val="009F5804"/>
    <w:rsid w:val="009F5D19"/>
    <w:rsid w:val="009F5D67"/>
    <w:rsid w:val="009F61E2"/>
    <w:rsid w:val="009F664F"/>
    <w:rsid w:val="009F6A89"/>
    <w:rsid w:val="009F6C4C"/>
    <w:rsid w:val="009F6DDD"/>
    <w:rsid w:val="009F7000"/>
    <w:rsid w:val="009F7384"/>
    <w:rsid w:val="009F77DB"/>
    <w:rsid w:val="00A00A6A"/>
    <w:rsid w:val="00A01230"/>
    <w:rsid w:val="00A016F4"/>
    <w:rsid w:val="00A02115"/>
    <w:rsid w:val="00A02810"/>
    <w:rsid w:val="00A030F6"/>
    <w:rsid w:val="00A03128"/>
    <w:rsid w:val="00A03817"/>
    <w:rsid w:val="00A03A6D"/>
    <w:rsid w:val="00A03ABF"/>
    <w:rsid w:val="00A03AC0"/>
    <w:rsid w:val="00A03CC2"/>
    <w:rsid w:val="00A04056"/>
    <w:rsid w:val="00A04067"/>
    <w:rsid w:val="00A041E9"/>
    <w:rsid w:val="00A04220"/>
    <w:rsid w:val="00A04A1D"/>
    <w:rsid w:val="00A04DD9"/>
    <w:rsid w:val="00A04FA2"/>
    <w:rsid w:val="00A0516C"/>
    <w:rsid w:val="00A05301"/>
    <w:rsid w:val="00A059DD"/>
    <w:rsid w:val="00A061F7"/>
    <w:rsid w:val="00A063C5"/>
    <w:rsid w:val="00A06823"/>
    <w:rsid w:val="00A07C59"/>
    <w:rsid w:val="00A07F66"/>
    <w:rsid w:val="00A11004"/>
    <w:rsid w:val="00A1156F"/>
    <w:rsid w:val="00A11835"/>
    <w:rsid w:val="00A11B92"/>
    <w:rsid w:val="00A124F5"/>
    <w:rsid w:val="00A12608"/>
    <w:rsid w:val="00A12C05"/>
    <w:rsid w:val="00A133D5"/>
    <w:rsid w:val="00A1396F"/>
    <w:rsid w:val="00A1423E"/>
    <w:rsid w:val="00A14F36"/>
    <w:rsid w:val="00A15625"/>
    <w:rsid w:val="00A16494"/>
    <w:rsid w:val="00A1753E"/>
    <w:rsid w:val="00A175EE"/>
    <w:rsid w:val="00A17B96"/>
    <w:rsid w:val="00A17E06"/>
    <w:rsid w:val="00A201E5"/>
    <w:rsid w:val="00A202D6"/>
    <w:rsid w:val="00A204B9"/>
    <w:rsid w:val="00A20628"/>
    <w:rsid w:val="00A21116"/>
    <w:rsid w:val="00A214B2"/>
    <w:rsid w:val="00A2184B"/>
    <w:rsid w:val="00A2198A"/>
    <w:rsid w:val="00A21F2F"/>
    <w:rsid w:val="00A22A86"/>
    <w:rsid w:val="00A22E59"/>
    <w:rsid w:val="00A2396B"/>
    <w:rsid w:val="00A2397F"/>
    <w:rsid w:val="00A23BCE"/>
    <w:rsid w:val="00A23CD9"/>
    <w:rsid w:val="00A23D39"/>
    <w:rsid w:val="00A24277"/>
    <w:rsid w:val="00A24585"/>
    <w:rsid w:val="00A250EA"/>
    <w:rsid w:val="00A25346"/>
    <w:rsid w:val="00A253F3"/>
    <w:rsid w:val="00A25753"/>
    <w:rsid w:val="00A26D5D"/>
    <w:rsid w:val="00A27165"/>
    <w:rsid w:val="00A2728F"/>
    <w:rsid w:val="00A27553"/>
    <w:rsid w:val="00A27A90"/>
    <w:rsid w:val="00A30942"/>
    <w:rsid w:val="00A30A71"/>
    <w:rsid w:val="00A30E6A"/>
    <w:rsid w:val="00A3162F"/>
    <w:rsid w:val="00A31634"/>
    <w:rsid w:val="00A31694"/>
    <w:rsid w:val="00A31824"/>
    <w:rsid w:val="00A31D8B"/>
    <w:rsid w:val="00A321E0"/>
    <w:rsid w:val="00A327DF"/>
    <w:rsid w:val="00A3282A"/>
    <w:rsid w:val="00A32A50"/>
    <w:rsid w:val="00A330A2"/>
    <w:rsid w:val="00A33598"/>
    <w:rsid w:val="00A33694"/>
    <w:rsid w:val="00A336E7"/>
    <w:rsid w:val="00A340FB"/>
    <w:rsid w:val="00A3415A"/>
    <w:rsid w:val="00A34CF7"/>
    <w:rsid w:val="00A34F2E"/>
    <w:rsid w:val="00A3533F"/>
    <w:rsid w:val="00A354BB"/>
    <w:rsid w:val="00A35532"/>
    <w:rsid w:val="00A359DE"/>
    <w:rsid w:val="00A35F0F"/>
    <w:rsid w:val="00A36132"/>
    <w:rsid w:val="00A361E9"/>
    <w:rsid w:val="00A36A90"/>
    <w:rsid w:val="00A3778E"/>
    <w:rsid w:val="00A40D61"/>
    <w:rsid w:val="00A40EAD"/>
    <w:rsid w:val="00A40F04"/>
    <w:rsid w:val="00A41173"/>
    <w:rsid w:val="00A412F4"/>
    <w:rsid w:val="00A41499"/>
    <w:rsid w:val="00A4190F"/>
    <w:rsid w:val="00A41CD7"/>
    <w:rsid w:val="00A42044"/>
    <w:rsid w:val="00A4216F"/>
    <w:rsid w:val="00A4248A"/>
    <w:rsid w:val="00A43429"/>
    <w:rsid w:val="00A439AA"/>
    <w:rsid w:val="00A444A8"/>
    <w:rsid w:val="00A44A07"/>
    <w:rsid w:val="00A45006"/>
    <w:rsid w:val="00A45F07"/>
    <w:rsid w:val="00A466F2"/>
    <w:rsid w:val="00A46EAC"/>
    <w:rsid w:val="00A46FB4"/>
    <w:rsid w:val="00A470E5"/>
    <w:rsid w:val="00A4723A"/>
    <w:rsid w:val="00A472D5"/>
    <w:rsid w:val="00A47651"/>
    <w:rsid w:val="00A4783D"/>
    <w:rsid w:val="00A47923"/>
    <w:rsid w:val="00A50029"/>
    <w:rsid w:val="00A500A8"/>
    <w:rsid w:val="00A501E1"/>
    <w:rsid w:val="00A5080B"/>
    <w:rsid w:val="00A50B64"/>
    <w:rsid w:val="00A50C17"/>
    <w:rsid w:val="00A51662"/>
    <w:rsid w:val="00A51725"/>
    <w:rsid w:val="00A523D4"/>
    <w:rsid w:val="00A524AB"/>
    <w:rsid w:val="00A52CCA"/>
    <w:rsid w:val="00A531AA"/>
    <w:rsid w:val="00A53773"/>
    <w:rsid w:val="00A539A2"/>
    <w:rsid w:val="00A53C7C"/>
    <w:rsid w:val="00A540A9"/>
    <w:rsid w:val="00A542C1"/>
    <w:rsid w:val="00A54483"/>
    <w:rsid w:val="00A54886"/>
    <w:rsid w:val="00A54F3E"/>
    <w:rsid w:val="00A551F6"/>
    <w:rsid w:val="00A55C20"/>
    <w:rsid w:val="00A55CEB"/>
    <w:rsid w:val="00A55E60"/>
    <w:rsid w:val="00A605A3"/>
    <w:rsid w:val="00A607BC"/>
    <w:rsid w:val="00A61258"/>
    <w:rsid w:val="00A61721"/>
    <w:rsid w:val="00A61836"/>
    <w:rsid w:val="00A61E76"/>
    <w:rsid w:val="00A626FD"/>
    <w:rsid w:val="00A62D68"/>
    <w:rsid w:val="00A63006"/>
    <w:rsid w:val="00A63052"/>
    <w:rsid w:val="00A63658"/>
    <w:rsid w:val="00A63C52"/>
    <w:rsid w:val="00A63DF1"/>
    <w:rsid w:val="00A64E37"/>
    <w:rsid w:val="00A657AA"/>
    <w:rsid w:val="00A65AB7"/>
    <w:rsid w:val="00A664C8"/>
    <w:rsid w:val="00A66722"/>
    <w:rsid w:val="00A6699E"/>
    <w:rsid w:val="00A66E5C"/>
    <w:rsid w:val="00A6724C"/>
    <w:rsid w:val="00A675B6"/>
    <w:rsid w:val="00A67A4E"/>
    <w:rsid w:val="00A67AC2"/>
    <w:rsid w:val="00A67B40"/>
    <w:rsid w:val="00A70771"/>
    <w:rsid w:val="00A70AF2"/>
    <w:rsid w:val="00A70B6A"/>
    <w:rsid w:val="00A70EC8"/>
    <w:rsid w:val="00A7185A"/>
    <w:rsid w:val="00A71CA8"/>
    <w:rsid w:val="00A71D95"/>
    <w:rsid w:val="00A726F7"/>
    <w:rsid w:val="00A72B7E"/>
    <w:rsid w:val="00A72F58"/>
    <w:rsid w:val="00A72F73"/>
    <w:rsid w:val="00A73329"/>
    <w:rsid w:val="00A7353D"/>
    <w:rsid w:val="00A736B5"/>
    <w:rsid w:val="00A74341"/>
    <w:rsid w:val="00A74A50"/>
    <w:rsid w:val="00A74C22"/>
    <w:rsid w:val="00A75550"/>
    <w:rsid w:val="00A7573D"/>
    <w:rsid w:val="00A75775"/>
    <w:rsid w:val="00A75AE3"/>
    <w:rsid w:val="00A76A6D"/>
    <w:rsid w:val="00A76C90"/>
    <w:rsid w:val="00A77379"/>
    <w:rsid w:val="00A77555"/>
    <w:rsid w:val="00A77A92"/>
    <w:rsid w:val="00A77E64"/>
    <w:rsid w:val="00A8041A"/>
    <w:rsid w:val="00A80604"/>
    <w:rsid w:val="00A80D57"/>
    <w:rsid w:val="00A810DA"/>
    <w:rsid w:val="00A815AB"/>
    <w:rsid w:val="00A81E57"/>
    <w:rsid w:val="00A82541"/>
    <w:rsid w:val="00A834A3"/>
    <w:rsid w:val="00A8395B"/>
    <w:rsid w:val="00A83B02"/>
    <w:rsid w:val="00A84F08"/>
    <w:rsid w:val="00A85D21"/>
    <w:rsid w:val="00A86119"/>
    <w:rsid w:val="00A863E1"/>
    <w:rsid w:val="00A86498"/>
    <w:rsid w:val="00A8749A"/>
    <w:rsid w:val="00A879E3"/>
    <w:rsid w:val="00A87DB4"/>
    <w:rsid w:val="00A9001A"/>
    <w:rsid w:val="00A90287"/>
    <w:rsid w:val="00A90481"/>
    <w:rsid w:val="00A906F3"/>
    <w:rsid w:val="00A9099D"/>
    <w:rsid w:val="00A90F38"/>
    <w:rsid w:val="00A91A0F"/>
    <w:rsid w:val="00A91B4A"/>
    <w:rsid w:val="00A91DA5"/>
    <w:rsid w:val="00A91DB7"/>
    <w:rsid w:val="00A91FCE"/>
    <w:rsid w:val="00A92B81"/>
    <w:rsid w:val="00A92BCB"/>
    <w:rsid w:val="00A92D76"/>
    <w:rsid w:val="00A93038"/>
    <w:rsid w:val="00A9313E"/>
    <w:rsid w:val="00A9367A"/>
    <w:rsid w:val="00A93773"/>
    <w:rsid w:val="00A93BF6"/>
    <w:rsid w:val="00A93C88"/>
    <w:rsid w:val="00A93CE9"/>
    <w:rsid w:val="00A94044"/>
    <w:rsid w:val="00A949D9"/>
    <w:rsid w:val="00A94F0B"/>
    <w:rsid w:val="00A94F13"/>
    <w:rsid w:val="00A959D2"/>
    <w:rsid w:val="00A96311"/>
    <w:rsid w:val="00A966B5"/>
    <w:rsid w:val="00A96BAD"/>
    <w:rsid w:val="00A972B6"/>
    <w:rsid w:val="00A97D7F"/>
    <w:rsid w:val="00AA044A"/>
    <w:rsid w:val="00AA0C7B"/>
    <w:rsid w:val="00AA12EE"/>
    <w:rsid w:val="00AA17D5"/>
    <w:rsid w:val="00AA187E"/>
    <w:rsid w:val="00AA228C"/>
    <w:rsid w:val="00AA3011"/>
    <w:rsid w:val="00AA3620"/>
    <w:rsid w:val="00AA3845"/>
    <w:rsid w:val="00AA3980"/>
    <w:rsid w:val="00AA407B"/>
    <w:rsid w:val="00AA4F59"/>
    <w:rsid w:val="00AA52E6"/>
    <w:rsid w:val="00AA5C0F"/>
    <w:rsid w:val="00AA625E"/>
    <w:rsid w:val="00AA6633"/>
    <w:rsid w:val="00AA6CEE"/>
    <w:rsid w:val="00AA7150"/>
    <w:rsid w:val="00AA71B9"/>
    <w:rsid w:val="00AB03DA"/>
    <w:rsid w:val="00AB115D"/>
    <w:rsid w:val="00AB2293"/>
    <w:rsid w:val="00AB26E4"/>
    <w:rsid w:val="00AB30D3"/>
    <w:rsid w:val="00AB3599"/>
    <w:rsid w:val="00AB3925"/>
    <w:rsid w:val="00AB3F1E"/>
    <w:rsid w:val="00AB4582"/>
    <w:rsid w:val="00AB4999"/>
    <w:rsid w:val="00AB4A12"/>
    <w:rsid w:val="00AB4EE2"/>
    <w:rsid w:val="00AB5045"/>
    <w:rsid w:val="00AB527E"/>
    <w:rsid w:val="00AB5AA4"/>
    <w:rsid w:val="00AB5BFC"/>
    <w:rsid w:val="00AB65EA"/>
    <w:rsid w:val="00AB6AFD"/>
    <w:rsid w:val="00AB6B0D"/>
    <w:rsid w:val="00AB6F20"/>
    <w:rsid w:val="00AB7BD2"/>
    <w:rsid w:val="00AC072F"/>
    <w:rsid w:val="00AC079A"/>
    <w:rsid w:val="00AC2960"/>
    <w:rsid w:val="00AC2DFA"/>
    <w:rsid w:val="00AC35F6"/>
    <w:rsid w:val="00AC3740"/>
    <w:rsid w:val="00AC3BCB"/>
    <w:rsid w:val="00AC3D3E"/>
    <w:rsid w:val="00AC4604"/>
    <w:rsid w:val="00AC488C"/>
    <w:rsid w:val="00AC57EA"/>
    <w:rsid w:val="00AC58B4"/>
    <w:rsid w:val="00AC5A17"/>
    <w:rsid w:val="00AC6224"/>
    <w:rsid w:val="00AC6640"/>
    <w:rsid w:val="00AC6A8C"/>
    <w:rsid w:val="00AC6F38"/>
    <w:rsid w:val="00AC6FC9"/>
    <w:rsid w:val="00AC70AA"/>
    <w:rsid w:val="00AC716E"/>
    <w:rsid w:val="00AC75BE"/>
    <w:rsid w:val="00AC77C9"/>
    <w:rsid w:val="00AC7844"/>
    <w:rsid w:val="00AC7BFA"/>
    <w:rsid w:val="00AC7C7A"/>
    <w:rsid w:val="00AD098C"/>
    <w:rsid w:val="00AD0B7B"/>
    <w:rsid w:val="00AD0D34"/>
    <w:rsid w:val="00AD1050"/>
    <w:rsid w:val="00AD124B"/>
    <w:rsid w:val="00AD1FF0"/>
    <w:rsid w:val="00AD2539"/>
    <w:rsid w:val="00AD3529"/>
    <w:rsid w:val="00AD38C4"/>
    <w:rsid w:val="00AD397B"/>
    <w:rsid w:val="00AD3AB2"/>
    <w:rsid w:val="00AD3B6A"/>
    <w:rsid w:val="00AD4C30"/>
    <w:rsid w:val="00AD4CED"/>
    <w:rsid w:val="00AD4F88"/>
    <w:rsid w:val="00AD565F"/>
    <w:rsid w:val="00AD5F89"/>
    <w:rsid w:val="00AD64CC"/>
    <w:rsid w:val="00AD691A"/>
    <w:rsid w:val="00AD6BB4"/>
    <w:rsid w:val="00AD6CAC"/>
    <w:rsid w:val="00AD6D30"/>
    <w:rsid w:val="00AD6DEB"/>
    <w:rsid w:val="00AD7243"/>
    <w:rsid w:val="00AD78BD"/>
    <w:rsid w:val="00AD7916"/>
    <w:rsid w:val="00AD7A16"/>
    <w:rsid w:val="00AD7A2F"/>
    <w:rsid w:val="00AD7EC8"/>
    <w:rsid w:val="00AE0136"/>
    <w:rsid w:val="00AE023E"/>
    <w:rsid w:val="00AE02DF"/>
    <w:rsid w:val="00AE0A1A"/>
    <w:rsid w:val="00AE1025"/>
    <w:rsid w:val="00AE1076"/>
    <w:rsid w:val="00AE1837"/>
    <w:rsid w:val="00AE1BEB"/>
    <w:rsid w:val="00AE1EFE"/>
    <w:rsid w:val="00AE20A1"/>
    <w:rsid w:val="00AE2675"/>
    <w:rsid w:val="00AE3062"/>
    <w:rsid w:val="00AE3144"/>
    <w:rsid w:val="00AE320E"/>
    <w:rsid w:val="00AE3298"/>
    <w:rsid w:val="00AE3682"/>
    <w:rsid w:val="00AE3A91"/>
    <w:rsid w:val="00AE3B43"/>
    <w:rsid w:val="00AE3D6B"/>
    <w:rsid w:val="00AE4FD5"/>
    <w:rsid w:val="00AE4FDF"/>
    <w:rsid w:val="00AE5736"/>
    <w:rsid w:val="00AE5D41"/>
    <w:rsid w:val="00AE5DF7"/>
    <w:rsid w:val="00AE6502"/>
    <w:rsid w:val="00AE6510"/>
    <w:rsid w:val="00AE65B0"/>
    <w:rsid w:val="00AE6670"/>
    <w:rsid w:val="00AE673F"/>
    <w:rsid w:val="00AE67AD"/>
    <w:rsid w:val="00AE6836"/>
    <w:rsid w:val="00AE6E10"/>
    <w:rsid w:val="00AE7412"/>
    <w:rsid w:val="00AE7CFA"/>
    <w:rsid w:val="00AF0058"/>
    <w:rsid w:val="00AF05A4"/>
    <w:rsid w:val="00AF08DF"/>
    <w:rsid w:val="00AF0B2D"/>
    <w:rsid w:val="00AF0E23"/>
    <w:rsid w:val="00AF1AF3"/>
    <w:rsid w:val="00AF1D02"/>
    <w:rsid w:val="00AF1FD0"/>
    <w:rsid w:val="00AF2279"/>
    <w:rsid w:val="00AF32D5"/>
    <w:rsid w:val="00AF342A"/>
    <w:rsid w:val="00AF342B"/>
    <w:rsid w:val="00AF4031"/>
    <w:rsid w:val="00AF4BAC"/>
    <w:rsid w:val="00AF4DB7"/>
    <w:rsid w:val="00AF4ECE"/>
    <w:rsid w:val="00AF56DF"/>
    <w:rsid w:val="00AF5AB3"/>
    <w:rsid w:val="00AF5F4C"/>
    <w:rsid w:val="00AF76E3"/>
    <w:rsid w:val="00B00D92"/>
    <w:rsid w:val="00B01601"/>
    <w:rsid w:val="00B01724"/>
    <w:rsid w:val="00B017AB"/>
    <w:rsid w:val="00B01C38"/>
    <w:rsid w:val="00B02BD4"/>
    <w:rsid w:val="00B02C04"/>
    <w:rsid w:val="00B02E25"/>
    <w:rsid w:val="00B03250"/>
    <w:rsid w:val="00B0422A"/>
    <w:rsid w:val="00B04728"/>
    <w:rsid w:val="00B04DDD"/>
    <w:rsid w:val="00B04F6A"/>
    <w:rsid w:val="00B06699"/>
    <w:rsid w:val="00B07500"/>
    <w:rsid w:val="00B1062E"/>
    <w:rsid w:val="00B10770"/>
    <w:rsid w:val="00B10C6D"/>
    <w:rsid w:val="00B124AA"/>
    <w:rsid w:val="00B125A3"/>
    <w:rsid w:val="00B12902"/>
    <w:rsid w:val="00B1331B"/>
    <w:rsid w:val="00B134A0"/>
    <w:rsid w:val="00B139AC"/>
    <w:rsid w:val="00B139FA"/>
    <w:rsid w:val="00B13F3A"/>
    <w:rsid w:val="00B13F47"/>
    <w:rsid w:val="00B148BE"/>
    <w:rsid w:val="00B14EAA"/>
    <w:rsid w:val="00B152CA"/>
    <w:rsid w:val="00B15900"/>
    <w:rsid w:val="00B16377"/>
    <w:rsid w:val="00B16685"/>
    <w:rsid w:val="00B16922"/>
    <w:rsid w:val="00B16D27"/>
    <w:rsid w:val="00B16D31"/>
    <w:rsid w:val="00B171A4"/>
    <w:rsid w:val="00B176D2"/>
    <w:rsid w:val="00B1779F"/>
    <w:rsid w:val="00B17E71"/>
    <w:rsid w:val="00B205E9"/>
    <w:rsid w:val="00B20A62"/>
    <w:rsid w:val="00B20DB8"/>
    <w:rsid w:val="00B2126A"/>
    <w:rsid w:val="00B21A7D"/>
    <w:rsid w:val="00B21D14"/>
    <w:rsid w:val="00B21E79"/>
    <w:rsid w:val="00B22219"/>
    <w:rsid w:val="00B22A25"/>
    <w:rsid w:val="00B22D95"/>
    <w:rsid w:val="00B22FD9"/>
    <w:rsid w:val="00B23BFD"/>
    <w:rsid w:val="00B23D20"/>
    <w:rsid w:val="00B24207"/>
    <w:rsid w:val="00B24E70"/>
    <w:rsid w:val="00B25482"/>
    <w:rsid w:val="00B25938"/>
    <w:rsid w:val="00B25A16"/>
    <w:rsid w:val="00B25C1D"/>
    <w:rsid w:val="00B26069"/>
    <w:rsid w:val="00B2606C"/>
    <w:rsid w:val="00B2756B"/>
    <w:rsid w:val="00B27BF9"/>
    <w:rsid w:val="00B301C8"/>
    <w:rsid w:val="00B305E2"/>
    <w:rsid w:val="00B30B2B"/>
    <w:rsid w:val="00B30C5C"/>
    <w:rsid w:val="00B30D70"/>
    <w:rsid w:val="00B31B6C"/>
    <w:rsid w:val="00B31E15"/>
    <w:rsid w:val="00B31F9F"/>
    <w:rsid w:val="00B322B3"/>
    <w:rsid w:val="00B32959"/>
    <w:rsid w:val="00B336AC"/>
    <w:rsid w:val="00B336D3"/>
    <w:rsid w:val="00B33918"/>
    <w:rsid w:val="00B342AA"/>
    <w:rsid w:val="00B3587C"/>
    <w:rsid w:val="00B358B9"/>
    <w:rsid w:val="00B35CAD"/>
    <w:rsid w:val="00B35DEC"/>
    <w:rsid w:val="00B35FD6"/>
    <w:rsid w:val="00B36924"/>
    <w:rsid w:val="00B37053"/>
    <w:rsid w:val="00B37BA5"/>
    <w:rsid w:val="00B40004"/>
    <w:rsid w:val="00B4043D"/>
    <w:rsid w:val="00B40FD4"/>
    <w:rsid w:val="00B4143B"/>
    <w:rsid w:val="00B41955"/>
    <w:rsid w:val="00B41C98"/>
    <w:rsid w:val="00B432F9"/>
    <w:rsid w:val="00B435C7"/>
    <w:rsid w:val="00B44668"/>
    <w:rsid w:val="00B44D11"/>
    <w:rsid w:val="00B44E30"/>
    <w:rsid w:val="00B44E61"/>
    <w:rsid w:val="00B45073"/>
    <w:rsid w:val="00B450A8"/>
    <w:rsid w:val="00B46445"/>
    <w:rsid w:val="00B4664A"/>
    <w:rsid w:val="00B46FB9"/>
    <w:rsid w:val="00B47622"/>
    <w:rsid w:val="00B47DCC"/>
    <w:rsid w:val="00B50441"/>
    <w:rsid w:val="00B504BB"/>
    <w:rsid w:val="00B50D3A"/>
    <w:rsid w:val="00B50F1E"/>
    <w:rsid w:val="00B51612"/>
    <w:rsid w:val="00B51E76"/>
    <w:rsid w:val="00B5235F"/>
    <w:rsid w:val="00B528E2"/>
    <w:rsid w:val="00B52A0F"/>
    <w:rsid w:val="00B52AA6"/>
    <w:rsid w:val="00B52B1D"/>
    <w:rsid w:val="00B52D1E"/>
    <w:rsid w:val="00B532FB"/>
    <w:rsid w:val="00B5336A"/>
    <w:rsid w:val="00B53533"/>
    <w:rsid w:val="00B5380B"/>
    <w:rsid w:val="00B540C9"/>
    <w:rsid w:val="00B54391"/>
    <w:rsid w:val="00B544AA"/>
    <w:rsid w:val="00B54B25"/>
    <w:rsid w:val="00B54B63"/>
    <w:rsid w:val="00B556FB"/>
    <w:rsid w:val="00B55D7C"/>
    <w:rsid w:val="00B55DAF"/>
    <w:rsid w:val="00B56435"/>
    <w:rsid w:val="00B570AC"/>
    <w:rsid w:val="00B573F7"/>
    <w:rsid w:val="00B57695"/>
    <w:rsid w:val="00B57E15"/>
    <w:rsid w:val="00B6000B"/>
    <w:rsid w:val="00B6026F"/>
    <w:rsid w:val="00B60314"/>
    <w:rsid w:val="00B608F4"/>
    <w:rsid w:val="00B6129E"/>
    <w:rsid w:val="00B618BC"/>
    <w:rsid w:val="00B61DD5"/>
    <w:rsid w:val="00B62A3A"/>
    <w:rsid w:val="00B62BEF"/>
    <w:rsid w:val="00B62DDF"/>
    <w:rsid w:val="00B631ED"/>
    <w:rsid w:val="00B63650"/>
    <w:rsid w:val="00B63689"/>
    <w:rsid w:val="00B63E99"/>
    <w:rsid w:val="00B64489"/>
    <w:rsid w:val="00B6474C"/>
    <w:rsid w:val="00B64833"/>
    <w:rsid w:val="00B6484C"/>
    <w:rsid w:val="00B64D60"/>
    <w:rsid w:val="00B64DDE"/>
    <w:rsid w:val="00B64F2E"/>
    <w:rsid w:val="00B654F8"/>
    <w:rsid w:val="00B658FC"/>
    <w:rsid w:val="00B66493"/>
    <w:rsid w:val="00B6712B"/>
    <w:rsid w:val="00B67419"/>
    <w:rsid w:val="00B67888"/>
    <w:rsid w:val="00B67AE2"/>
    <w:rsid w:val="00B67BC7"/>
    <w:rsid w:val="00B703DF"/>
    <w:rsid w:val="00B70424"/>
    <w:rsid w:val="00B70BC7"/>
    <w:rsid w:val="00B70F87"/>
    <w:rsid w:val="00B71112"/>
    <w:rsid w:val="00B71A81"/>
    <w:rsid w:val="00B722E3"/>
    <w:rsid w:val="00B73913"/>
    <w:rsid w:val="00B73AE9"/>
    <w:rsid w:val="00B73C0E"/>
    <w:rsid w:val="00B73CD0"/>
    <w:rsid w:val="00B73F34"/>
    <w:rsid w:val="00B741EC"/>
    <w:rsid w:val="00B741F6"/>
    <w:rsid w:val="00B7426C"/>
    <w:rsid w:val="00B742BD"/>
    <w:rsid w:val="00B745B2"/>
    <w:rsid w:val="00B7481D"/>
    <w:rsid w:val="00B74F73"/>
    <w:rsid w:val="00B74F9F"/>
    <w:rsid w:val="00B7527E"/>
    <w:rsid w:val="00B753CC"/>
    <w:rsid w:val="00B754DE"/>
    <w:rsid w:val="00B75B6E"/>
    <w:rsid w:val="00B75F50"/>
    <w:rsid w:val="00B76566"/>
    <w:rsid w:val="00B76E55"/>
    <w:rsid w:val="00B771CF"/>
    <w:rsid w:val="00B775AE"/>
    <w:rsid w:val="00B80B00"/>
    <w:rsid w:val="00B80BAF"/>
    <w:rsid w:val="00B81603"/>
    <w:rsid w:val="00B81637"/>
    <w:rsid w:val="00B8196C"/>
    <w:rsid w:val="00B838B2"/>
    <w:rsid w:val="00B84994"/>
    <w:rsid w:val="00B8590A"/>
    <w:rsid w:val="00B87705"/>
    <w:rsid w:val="00B87887"/>
    <w:rsid w:val="00B87BE6"/>
    <w:rsid w:val="00B90481"/>
    <w:rsid w:val="00B91283"/>
    <w:rsid w:val="00B916E4"/>
    <w:rsid w:val="00B91AC5"/>
    <w:rsid w:val="00B91F4C"/>
    <w:rsid w:val="00B926B5"/>
    <w:rsid w:val="00B92E09"/>
    <w:rsid w:val="00B92E43"/>
    <w:rsid w:val="00B92F33"/>
    <w:rsid w:val="00B92F90"/>
    <w:rsid w:val="00B93146"/>
    <w:rsid w:val="00B932A1"/>
    <w:rsid w:val="00B932A7"/>
    <w:rsid w:val="00B934EE"/>
    <w:rsid w:val="00B93E46"/>
    <w:rsid w:val="00B9446E"/>
    <w:rsid w:val="00B94B48"/>
    <w:rsid w:val="00B94D08"/>
    <w:rsid w:val="00B96A57"/>
    <w:rsid w:val="00B97135"/>
    <w:rsid w:val="00B97B24"/>
    <w:rsid w:val="00B97ECB"/>
    <w:rsid w:val="00BA0045"/>
    <w:rsid w:val="00BA0B1E"/>
    <w:rsid w:val="00BA0BCB"/>
    <w:rsid w:val="00BA0F7F"/>
    <w:rsid w:val="00BA1B0A"/>
    <w:rsid w:val="00BA1C1B"/>
    <w:rsid w:val="00BA1D52"/>
    <w:rsid w:val="00BA20B3"/>
    <w:rsid w:val="00BA224E"/>
    <w:rsid w:val="00BA22F8"/>
    <w:rsid w:val="00BA2604"/>
    <w:rsid w:val="00BA29A3"/>
    <w:rsid w:val="00BA29F5"/>
    <w:rsid w:val="00BA3807"/>
    <w:rsid w:val="00BA3E80"/>
    <w:rsid w:val="00BA42C1"/>
    <w:rsid w:val="00BA4C14"/>
    <w:rsid w:val="00BA5359"/>
    <w:rsid w:val="00BA58AA"/>
    <w:rsid w:val="00BA69D7"/>
    <w:rsid w:val="00BB04CB"/>
    <w:rsid w:val="00BB052D"/>
    <w:rsid w:val="00BB0A22"/>
    <w:rsid w:val="00BB0ACB"/>
    <w:rsid w:val="00BB15E0"/>
    <w:rsid w:val="00BB1654"/>
    <w:rsid w:val="00BB1B8F"/>
    <w:rsid w:val="00BB272F"/>
    <w:rsid w:val="00BB2AB5"/>
    <w:rsid w:val="00BB2B84"/>
    <w:rsid w:val="00BB2EEE"/>
    <w:rsid w:val="00BB34FF"/>
    <w:rsid w:val="00BB3617"/>
    <w:rsid w:val="00BB372E"/>
    <w:rsid w:val="00BB3BC9"/>
    <w:rsid w:val="00BB3EB1"/>
    <w:rsid w:val="00BB41EC"/>
    <w:rsid w:val="00BB4255"/>
    <w:rsid w:val="00BB43B7"/>
    <w:rsid w:val="00BB4BFA"/>
    <w:rsid w:val="00BB4F42"/>
    <w:rsid w:val="00BB5149"/>
    <w:rsid w:val="00BB5797"/>
    <w:rsid w:val="00BB5F3A"/>
    <w:rsid w:val="00BB68EB"/>
    <w:rsid w:val="00BB6FB2"/>
    <w:rsid w:val="00BB73A9"/>
    <w:rsid w:val="00BB7E71"/>
    <w:rsid w:val="00BB7E92"/>
    <w:rsid w:val="00BC053D"/>
    <w:rsid w:val="00BC0DC9"/>
    <w:rsid w:val="00BC0F52"/>
    <w:rsid w:val="00BC12BD"/>
    <w:rsid w:val="00BC1655"/>
    <w:rsid w:val="00BC196E"/>
    <w:rsid w:val="00BC1B1C"/>
    <w:rsid w:val="00BC1CD7"/>
    <w:rsid w:val="00BC223E"/>
    <w:rsid w:val="00BC273D"/>
    <w:rsid w:val="00BC27E6"/>
    <w:rsid w:val="00BC2B31"/>
    <w:rsid w:val="00BC2D80"/>
    <w:rsid w:val="00BC3154"/>
    <w:rsid w:val="00BC38BF"/>
    <w:rsid w:val="00BC47B9"/>
    <w:rsid w:val="00BC47E2"/>
    <w:rsid w:val="00BC4F6D"/>
    <w:rsid w:val="00BC515D"/>
    <w:rsid w:val="00BC59D0"/>
    <w:rsid w:val="00BC5FC1"/>
    <w:rsid w:val="00BC5FEE"/>
    <w:rsid w:val="00BC66E1"/>
    <w:rsid w:val="00BC6916"/>
    <w:rsid w:val="00BC7336"/>
    <w:rsid w:val="00BD062E"/>
    <w:rsid w:val="00BD064B"/>
    <w:rsid w:val="00BD078F"/>
    <w:rsid w:val="00BD0C1D"/>
    <w:rsid w:val="00BD1159"/>
    <w:rsid w:val="00BD1F11"/>
    <w:rsid w:val="00BD212A"/>
    <w:rsid w:val="00BD2E26"/>
    <w:rsid w:val="00BD2E65"/>
    <w:rsid w:val="00BD32F5"/>
    <w:rsid w:val="00BD35FA"/>
    <w:rsid w:val="00BD36CF"/>
    <w:rsid w:val="00BD399B"/>
    <w:rsid w:val="00BD4229"/>
    <w:rsid w:val="00BD5703"/>
    <w:rsid w:val="00BD59F8"/>
    <w:rsid w:val="00BD5C4C"/>
    <w:rsid w:val="00BD5D1A"/>
    <w:rsid w:val="00BD6446"/>
    <w:rsid w:val="00BD65B9"/>
    <w:rsid w:val="00BD6915"/>
    <w:rsid w:val="00BD6BC9"/>
    <w:rsid w:val="00BD7059"/>
    <w:rsid w:val="00BD70E4"/>
    <w:rsid w:val="00BD7341"/>
    <w:rsid w:val="00BD7504"/>
    <w:rsid w:val="00BD754D"/>
    <w:rsid w:val="00BD7D91"/>
    <w:rsid w:val="00BD7E84"/>
    <w:rsid w:val="00BD7FC6"/>
    <w:rsid w:val="00BE03B7"/>
    <w:rsid w:val="00BE0ED4"/>
    <w:rsid w:val="00BE1469"/>
    <w:rsid w:val="00BE163B"/>
    <w:rsid w:val="00BE1DD8"/>
    <w:rsid w:val="00BE230D"/>
    <w:rsid w:val="00BE256A"/>
    <w:rsid w:val="00BE3054"/>
    <w:rsid w:val="00BE3458"/>
    <w:rsid w:val="00BE36C6"/>
    <w:rsid w:val="00BE3A4B"/>
    <w:rsid w:val="00BE3BF1"/>
    <w:rsid w:val="00BE4307"/>
    <w:rsid w:val="00BE4835"/>
    <w:rsid w:val="00BE4AFB"/>
    <w:rsid w:val="00BE5293"/>
    <w:rsid w:val="00BE5C99"/>
    <w:rsid w:val="00BE6526"/>
    <w:rsid w:val="00BE75A5"/>
    <w:rsid w:val="00BE7899"/>
    <w:rsid w:val="00BE793E"/>
    <w:rsid w:val="00BE7C0E"/>
    <w:rsid w:val="00BE7CD7"/>
    <w:rsid w:val="00BE7FD6"/>
    <w:rsid w:val="00BF016B"/>
    <w:rsid w:val="00BF0406"/>
    <w:rsid w:val="00BF0650"/>
    <w:rsid w:val="00BF12CD"/>
    <w:rsid w:val="00BF1508"/>
    <w:rsid w:val="00BF18D3"/>
    <w:rsid w:val="00BF1A85"/>
    <w:rsid w:val="00BF1AC2"/>
    <w:rsid w:val="00BF1AC7"/>
    <w:rsid w:val="00BF1D83"/>
    <w:rsid w:val="00BF217C"/>
    <w:rsid w:val="00BF21AF"/>
    <w:rsid w:val="00BF2969"/>
    <w:rsid w:val="00BF2D6C"/>
    <w:rsid w:val="00BF2F0D"/>
    <w:rsid w:val="00BF3490"/>
    <w:rsid w:val="00BF3654"/>
    <w:rsid w:val="00BF37C2"/>
    <w:rsid w:val="00BF3A3C"/>
    <w:rsid w:val="00BF3D34"/>
    <w:rsid w:val="00BF4283"/>
    <w:rsid w:val="00BF42C8"/>
    <w:rsid w:val="00BF4988"/>
    <w:rsid w:val="00BF4E93"/>
    <w:rsid w:val="00BF4EB5"/>
    <w:rsid w:val="00BF515D"/>
    <w:rsid w:val="00BF5438"/>
    <w:rsid w:val="00BF56A7"/>
    <w:rsid w:val="00BF576B"/>
    <w:rsid w:val="00BF6B84"/>
    <w:rsid w:val="00BF6C9C"/>
    <w:rsid w:val="00BF6E62"/>
    <w:rsid w:val="00BF6F75"/>
    <w:rsid w:val="00BF71F7"/>
    <w:rsid w:val="00BF722E"/>
    <w:rsid w:val="00BF72CC"/>
    <w:rsid w:val="00BF7398"/>
    <w:rsid w:val="00BF74B4"/>
    <w:rsid w:val="00BF7A78"/>
    <w:rsid w:val="00BF7E6B"/>
    <w:rsid w:val="00C0088C"/>
    <w:rsid w:val="00C00A21"/>
    <w:rsid w:val="00C00B6C"/>
    <w:rsid w:val="00C01B0B"/>
    <w:rsid w:val="00C01D47"/>
    <w:rsid w:val="00C035E0"/>
    <w:rsid w:val="00C03F53"/>
    <w:rsid w:val="00C04A93"/>
    <w:rsid w:val="00C04B63"/>
    <w:rsid w:val="00C04F28"/>
    <w:rsid w:val="00C050EE"/>
    <w:rsid w:val="00C052D2"/>
    <w:rsid w:val="00C06526"/>
    <w:rsid w:val="00C0669B"/>
    <w:rsid w:val="00C06A4B"/>
    <w:rsid w:val="00C0769A"/>
    <w:rsid w:val="00C079D6"/>
    <w:rsid w:val="00C11955"/>
    <w:rsid w:val="00C11FF9"/>
    <w:rsid w:val="00C12178"/>
    <w:rsid w:val="00C12270"/>
    <w:rsid w:val="00C12317"/>
    <w:rsid w:val="00C124B7"/>
    <w:rsid w:val="00C128F9"/>
    <w:rsid w:val="00C13056"/>
    <w:rsid w:val="00C13310"/>
    <w:rsid w:val="00C13B9C"/>
    <w:rsid w:val="00C13EBE"/>
    <w:rsid w:val="00C145A0"/>
    <w:rsid w:val="00C14679"/>
    <w:rsid w:val="00C15048"/>
    <w:rsid w:val="00C15112"/>
    <w:rsid w:val="00C1523D"/>
    <w:rsid w:val="00C1544F"/>
    <w:rsid w:val="00C15871"/>
    <w:rsid w:val="00C15A5E"/>
    <w:rsid w:val="00C15CB1"/>
    <w:rsid w:val="00C16071"/>
    <w:rsid w:val="00C162F2"/>
    <w:rsid w:val="00C1673C"/>
    <w:rsid w:val="00C1789B"/>
    <w:rsid w:val="00C17BF2"/>
    <w:rsid w:val="00C17E65"/>
    <w:rsid w:val="00C2018C"/>
    <w:rsid w:val="00C2034A"/>
    <w:rsid w:val="00C20D7F"/>
    <w:rsid w:val="00C21328"/>
    <w:rsid w:val="00C21488"/>
    <w:rsid w:val="00C21648"/>
    <w:rsid w:val="00C21E33"/>
    <w:rsid w:val="00C22251"/>
    <w:rsid w:val="00C223DE"/>
    <w:rsid w:val="00C2276B"/>
    <w:rsid w:val="00C22F89"/>
    <w:rsid w:val="00C2320E"/>
    <w:rsid w:val="00C23334"/>
    <w:rsid w:val="00C2349E"/>
    <w:rsid w:val="00C23644"/>
    <w:rsid w:val="00C23AEB"/>
    <w:rsid w:val="00C23CE7"/>
    <w:rsid w:val="00C23F27"/>
    <w:rsid w:val="00C2427E"/>
    <w:rsid w:val="00C243C4"/>
    <w:rsid w:val="00C24BCD"/>
    <w:rsid w:val="00C24D28"/>
    <w:rsid w:val="00C254C6"/>
    <w:rsid w:val="00C25A33"/>
    <w:rsid w:val="00C25EDB"/>
    <w:rsid w:val="00C2618F"/>
    <w:rsid w:val="00C26252"/>
    <w:rsid w:val="00C2640A"/>
    <w:rsid w:val="00C267EE"/>
    <w:rsid w:val="00C26BF9"/>
    <w:rsid w:val="00C26FF2"/>
    <w:rsid w:val="00C279A1"/>
    <w:rsid w:val="00C30905"/>
    <w:rsid w:val="00C30B7E"/>
    <w:rsid w:val="00C3136F"/>
    <w:rsid w:val="00C313C0"/>
    <w:rsid w:val="00C31A28"/>
    <w:rsid w:val="00C31CA9"/>
    <w:rsid w:val="00C32CB2"/>
    <w:rsid w:val="00C3344B"/>
    <w:rsid w:val="00C33680"/>
    <w:rsid w:val="00C33A5F"/>
    <w:rsid w:val="00C33AD0"/>
    <w:rsid w:val="00C33BB5"/>
    <w:rsid w:val="00C342EE"/>
    <w:rsid w:val="00C346D7"/>
    <w:rsid w:val="00C3498A"/>
    <w:rsid w:val="00C357EF"/>
    <w:rsid w:val="00C359F1"/>
    <w:rsid w:val="00C35F49"/>
    <w:rsid w:val="00C36238"/>
    <w:rsid w:val="00C36BFE"/>
    <w:rsid w:val="00C3705C"/>
    <w:rsid w:val="00C37747"/>
    <w:rsid w:val="00C414AB"/>
    <w:rsid w:val="00C4176B"/>
    <w:rsid w:val="00C41FF9"/>
    <w:rsid w:val="00C4260A"/>
    <w:rsid w:val="00C4282E"/>
    <w:rsid w:val="00C42B1F"/>
    <w:rsid w:val="00C430BC"/>
    <w:rsid w:val="00C433B4"/>
    <w:rsid w:val="00C439DD"/>
    <w:rsid w:val="00C4422C"/>
    <w:rsid w:val="00C44288"/>
    <w:rsid w:val="00C447E4"/>
    <w:rsid w:val="00C447E5"/>
    <w:rsid w:val="00C456CF"/>
    <w:rsid w:val="00C45BF1"/>
    <w:rsid w:val="00C46441"/>
    <w:rsid w:val="00C464A1"/>
    <w:rsid w:val="00C46603"/>
    <w:rsid w:val="00C4678E"/>
    <w:rsid w:val="00C4680F"/>
    <w:rsid w:val="00C46A5F"/>
    <w:rsid w:val="00C46C28"/>
    <w:rsid w:val="00C4737F"/>
    <w:rsid w:val="00C4750A"/>
    <w:rsid w:val="00C4780A"/>
    <w:rsid w:val="00C47B22"/>
    <w:rsid w:val="00C47CC6"/>
    <w:rsid w:val="00C47E40"/>
    <w:rsid w:val="00C47EB9"/>
    <w:rsid w:val="00C518C0"/>
    <w:rsid w:val="00C51913"/>
    <w:rsid w:val="00C51BB6"/>
    <w:rsid w:val="00C52823"/>
    <w:rsid w:val="00C529A4"/>
    <w:rsid w:val="00C53137"/>
    <w:rsid w:val="00C53704"/>
    <w:rsid w:val="00C53818"/>
    <w:rsid w:val="00C53C05"/>
    <w:rsid w:val="00C53DC4"/>
    <w:rsid w:val="00C541F6"/>
    <w:rsid w:val="00C54ECD"/>
    <w:rsid w:val="00C55041"/>
    <w:rsid w:val="00C5524D"/>
    <w:rsid w:val="00C5629E"/>
    <w:rsid w:val="00C56685"/>
    <w:rsid w:val="00C57493"/>
    <w:rsid w:val="00C57883"/>
    <w:rsid w:val="00C57DD8"/>
    <w:rsid w:val="00C601E1"/>
    <w:rsid w:val="00C60CB7"/>
    <w:rsid w:val="00C61239"/>
    <w:rsid w:val="00C61920"/>
    <w:rsid w:val="00C61AD0"/>
    <w:rsid w:val="00C61CC3"/>
    <w:rsid w:val="00C61D2B"/>
    <w:rsid w:val="00C61E8C"/>
    <w:rsid w:val="00C62098"/>
    <w:rsid w:val="00C62A6F"/>
    <w:rsid w:val="00C62C7A"/>
    <w:rsid w:val="00C634E7"/>
    <w:rsid w:val="00C63901"/>
    <w:rsid w:val="00C6399B"/>
    <w:rsid w:val="00C639BF"/>
    <w:rsid w:val="00C63CCF"/>
    <w:rsid w:val="00C63F34"/>
    <w:rsid w:val="00C64F50"/>
    <w:rsid w:val="00C64FEC"/>
    <w:rsid w:val="00C6540A"/>
    <w:rsid w:val="00C65C50"/>
    <w:rsid w:val="00C65CCA"/>
    <w:rsid w:val="00C669A0"/>
    <w:rsid w:val="00C67353"/>
    <w:rsid w:val="00C67509"/>
    <w:rsid w:val="00C7031B"/>
    <w:rsid w:val="00C70488"/>
    <w:rsid w:val="00C707E0"/>
    <w:rsid w:val="00C7089B"/>
    <w:rsid w:val="00C709AA"/>
    <w:rsid w:val="00C70C97"/>
    <w:rsid w:val="00C7105B"/>
    <w:rsid w:val="00C71131"/>
    <w:rsid w:val="00C71B0C"/>
    <w:rsid w:val="00C71C42"/>
    <w:rsid w:val="00C72D17"/>
    <w:rsid w:val="00C7300E"/>
    <w:rsid w:val="00C7316A"/>
    <w:rsid w:val="00C7330D"/>
    <w:rsid w:val="00C737CF"/>
    <w:rsid w:val="00C7492B"/>
    <w:rsid w:val="00C75403"/>
    <w:rsid w:val="00C75B0E"/>
    <w:rsid w:val="00C76858"/>
    <w:rsid w:val="00C7698D"/>
    <w:rsid w:val="00C76EC9"/>
    <w:rsid w:val="00C77D71"/>
    <w:rsid w:val="00C801DA"/>
    <w:rsid w:val="00C80D66"/>
    <w:rsid w:val="00C80EBF"/>
    <w:rsid w:val="00C80FAE"/>
    <w:rsid w:val="00C81156"/>
    <w:rsid w:val="00C81750"/>
    <w:rsid w:val="00C82470"/>
    <w:rsid w:val="00C82579"/>
    <w:rsid w:val="00C82E96"/>
    <w:rsid w:val="00C833E5"/>
    <w:rsid w:val="00C83C9A"/>
    <w:rsid w:val="00C84652"/>
    <w:rsid w:val="00C847D5"/>
    <w:rsid w:val="00C8489B"/>
    <w:rsid w:val="00C84D7D"/>
    <w:rsid w:val="00C8503F"/>
    <w:rsid w:val="00C8792F"/>
    <w:rsid w:val="00C87A1E"/>
    <w:rsid w:val="00C87F8E"/>
    <w:rsid w:val="00C9025B"/>
    <w:rsid w:val="00C90A11"/>
    <w:rsid w:val="00C90B55"/>
    <w:rsid w:val="00C90E04"/>
    <w:rsid w:val="00C91297"/>
    <w:rsid w:val="00C9151F"/>
    <w:rsid w:val="00C916B6"/>
    <w:rsid w:val="00C919BE"/>
    <w:rsid w:val="00C91E19"/>
    <w:rsid w:val="00C91FB5"/>
    <w:rsid w:val="00C92109"/>
    <w:rsid w:val="00C92460"/>
    <w:rsid w:val="00C924A7"/>
    <w:rsid w:val="00C9274A"/>
    <w:rsid w:val="00C927E9"/>
    <w:rsid w:val="00C929D4"/>
    <w:rsid w:val="00C93D72"/>
    <w:rsid w:val="00C93E7F"/>
    <w:rsid w:val="00C9416F"/>
    <w:rsid w:val="00C9422A"/>
    <w:rsid w:val="00C94F86"/>
    <w:rsid w:val="00C95198"/>
    <w:rsid w:val="00C95631"/>
    <w:rsid w:val="00C9578F"/>
    <w:rsid w:val="00C95DF9"/>
    <w:rsid w:val="00C960F7"/>
    <w:rsid w:val="00C96F57"/>
    <w:rsid w:val="00C97193"/>
    <w:rsid w:val="00C976A6"/>
    <w:rsid w:val="00C97818"/>
    <w:rsid w:val="00C97C07"/>
    <w:rsid w:val="00CA00D5"/>
    <w:rsid w:val="00CA047E"/>
    <w:rsid w:val="00CA0A7D"/>
    <w:rsid w:val="00CA0E9B"/>
    <w:rsid w:val="00CA1183"/>
    <w:rsid w:val="00CA1D90"/>
    <w:rsid w:val="00CA242F"/>
    <w:rsid w:val="00CA2BEF"/>
    <w:rsid w:val="00CA39EE"/>
    <w:rsid w:val="00CA3D73"/>
    <w:rsid w:val="00CA3EC4"/>
    <w:rsid w:val="00CA40B5"/>
    <w:rsid w:val="00CA4584"/>
    <w:rsid w:val="00CA4D97"/>
    <w:rsid w:val="00CA521A"/>
    <w:rsid w:val="00CA5337"/>
    <w:rsid w:val="00CA557B"/>
    <w:rsid w:val="00CA5837"/>
    <w:rsid w:val="00CA6003"/>
    <w:rsid w:val="00CA68AA"/>
    <w:rsid w:val="00CA6A7C"/>
    <w:rsid w:val="00CA6E55"/>
    <w:rsid w:val="00CA72B1"/>
    <w:rsid w:val="00CA754F"/>
    <w:rsid w:val="00CA7E02"/>
    <w:rsid w:val="00CB0203"/>
    <w:rsid w:val="00CB0B2C"/>
    <w:rsid w:val="00CB0BC7"/>
    <w:rsid w:val="00CB212C"/>
    <w:rsid w:val="00CB2139"/>
    <w:rsid w:val="00CB2A08"/>
    <w:rsid w:val="00CB2BEC"/>
    <w:rsid w:val="00CB31BE"/>
    <w:rsid w:val="00CB3472"/>
    <w:rsid w:val="00CB36DA"/>
    <w:rsid w:val="00CB3A54"/>
    <w:rsid w:val="00CB3EB1"/>
    <w:rsid w:val="00CB4251"/>
    <w:rsid w:val="00CB44C7"/>
    <w:rsid w:val="00CB45CF"/>
    <w:rsid w:val="00CB5080"/>
    <w:rsid w:val="00CB52A8"/>
    <w:rsid w:val="00CB58B4"/>
    <w:rsid w:val="00CB65F1"/>
    <w:rsid w:val="00CB6DD1"/>
    <w:rsid w:val="00CB704D"/>
    <w:rsid w:val="00CB739B"/>
    <w:rsid w:val="00CB7561"/>
    <w:rsid w:val="00CB7A17"/>
    <w:rsid w:val="00CB7AA6"/>
    <w:rsid w:val="00CB7BA7"/>
    <w:rsid w:val="00CC0439"/>
    <w:rsid w:val="00CC0B78"/>
    <w:rsid w:val="00CC0F2B"/>
    <w:rsid w:val="00CC1192"/>
    <w:rsid w:val="00CC11BA"/>
    <w:rsid w:val="00CC17CB"/>
    <w:rsid w:val="00CC19ED"/>
    <w:rsid w:val="00CC296C"/>
    <w:rsid w:val="00CC2CF4"/>
    <w:rsid w:val="00CC2FD0"/>
    <w:rsid w:val="00CC3554"/>
    <w:rsid w:val="00CC37D2"/>
    <w:rsid w:val="00CC3AEE"/>
    <w:rsid w:val="00CC3B10"/>
    <w:rsid w:val="00CC3CA1"/>
    <w:rsid w:val="00CC3E10"/>
    <w:rsid w:val="00CC4018"/>
    <w:rsid w:val="00CC50E2"/>
    <w:rsid w:val="00CC50E7"/>
    <w:rsid w:val="00CC5124"/>
    <w:rsid w:val="00CC5EBE"/>
    <w:rsid w:val="00CC5F47"/>
    <w:rsid w:val="00CC60A1"/>
    <w:rsid w:val="00CC60D6"/>
    <w:rsid w:val="00CC6322"/>
    <w:rsid w:val="00CC669B"/>
    <w:rsid w:val="00CC7892"/>
    <w:rsid w:val="00CD0839"/>
    <w:rsid w:val="00CD0BB2"/>
    <w:rsid w:val="00CD1CBD"/>
    <w:rsid w:val="00CD1CCE"/>
    <w:rsid w:val="00CD23CA"/>
    <w:rsid w:val="00CD292D"/>
    <w:rsid w:val="00CD2D5F"/>
    <w:rsid w:val="00CD2EF4"/>
    <w:rsid w:val="00CD326C"/>
    <w:rsid w:val="00CD444B"/>
    <w:rsid w:val="00CD483C"/>
    <w:rsid w:val="00CD4B08"/>
    <w:rsid w:val="00CD4E38"/>
    <w:rsid w:val="00CD55E4"/>
    <w:rsid w:val="00CD620E"/>
    <w:rsid w:val="00CD6450"/>
    <w:rsid w:val="00CD6B28"/>
    <w:rsid w:val="00CD6E48"/>
    <w:rsid w:val="00CD7485"/>
    <w:rsid w:val="00CD759A"/>
    <w:rsid w:val="00CD7A6C"/>
    <w:rsid w:val="00CD7AF7"/>
    <w:rsid w:val="00CD7DD0"/>
    <w:rsid w:val="00CE0236"/>
    <w:rsid w:val="00CE19E3"/>
    <w:rsid w:val="00CE2205"/>
    <w:rsid w:val="00CE296B"/>
    <w:rsid w:val="00CE2A30"/>
    <w:rsid w:val="00CE355A"/>
    <w:rsid w:val="00CE3902"/>
    <w:rsid w:val="00CE3952"/>
    <w:rsid w:val="00CE3A9C"/>
    <w:rsid w:val="00CE408A"/>
    <w:rsid w:val="00CE4098"/>
    <w:rsid w:val="00CE441F"/>
    <w:rsid w:val="00CE5168"/>
    <w:rsid w:val="00CE566E"/>
    <w:rsid w:val="00CE576D"/>
    <w:rsid w:val="00CE6016"/>
    <w:rsid w:val="00CE70C0"/>
    <w:rsid w:val="00CE7425"/>
    <w:rsid w:val="00CE7690"/>
    <w:rsid w:val="00CE7ACB"/>
    <w:rsid w:val="00CE7C0B"/>
    <w:rsid w:val="00CF059D"/>
    <w:rsid w:val="00CF0AD9"/>
    <w:rsid w:val="00CF0C9B"/>
    <w:rsid w:val="00CF0EAC"/>
    <w:rsid w:val="00CF1328"/>
    <w:rsid w:val="00CF1369"/>
    <w:rsid w:val="00CF139A"/>
    <w:rsid w:val="00CF1673"/>
    <w:rsid w:val="00CF1E25"/>
    <w:rsid w:val="00CF1F5A"/>
    <w:rsid w:val="00CF2B96"/>
    <w:rsid w:val="00CF2CD6"/>
    <w:rsid w:val="00CF300F"/>
    <w:rsid w:val="00CF33A6"/>
    <w:rsid w:val="00CF3631"/>
    <w:rsid w:val="00CF521A"/>
    <w:rsid w:val="00CF5394"/>
    <w:rsid w:val="00CF5418"/>
    <w:rsid w:val="00CF560D"/>
    <w:rsid w:val="00CF60CD"/>
    <w:rsid w:val="00CF6134"/>
    <w:rsid w:val="00CF672A"/>
    <w:rsid w:val="00CF6DAE"/>
    <w:rsid w:val="00CF6E90"/>
    <w:rsid w:val="00CF7405"/>
    <w:rsid w:val="00CF7AEA"/>
    <w:rsid w:val="00CF7E2C"/>
    <w:rsid w:val="00D0010B"/>
    <w:rsid w:val="00D00220"/>
    <w:rsid w:val="00D00A85"/>
    <w:rsid w:val="00D00FA0"/>
    <w:rsid w:val="00D01E4D"/>
    <w:rsid w:val="00D01EC6"/>
    <w:rsid w:val="00D02C17"/>
    <w:rsid w:val="00D02EEA"/>
    <w:rsid w:val="00D0371E"/>
    <w:rsid w:val="00D03D31"/>
    <w:rsid w:val="00D03D54"/>
    <w:rsid w:val="00D040B9"/>
    <w:rsid w:val="00D04330"/>
    <w:rsid w:val="00D04396"/>
    <w:rsid w:val="00D052C5"/>
    <w:rsid w:val="00D052ED"/>
    <w:rsid w:val="00D054DE"/>
    <w:rsid w:val="00D05E96"/>
    <w:rsid w:val="00D061CF"/>
    <w:rsid w:val="00D066C1"/>
    <w:rsid w:val="00D068CC"/>
    <w:rsid w:val="00D06992"/>
    <w:rsid w:val="00D06BDB"/>
    <w:rsid w:val="00D06DD3"/>
    <w:rsid w:val="00D06F99"/>
    <w:rsid w:val="00D06FE4"/>
    <w:rsid w:val="00D10B54"/>
    <w:rsid w:val="00D10ED0"/>
    <w:rsid w:val="00D111A5"/>
    <w:rsid w:val="00D11ACD"/>
    <w:rsid w:val="00D11FD0"/>
    <w:rsid w:val="00D125DE"/>
    <w:rsid w:val="00D13129"/>
    <w:rsid w:val="00D13980"/>
    <w:rsid w:val="00D13C14"/>
    <w:rsid w:val="00D140B2"/>
    <w:rsid w:val="00D1421B"/>
    <w:rsid w:val="00D1435D"/>
    <w:rsid w:val="00D14F07"/>
    <w:rsid w:val="00D14FDF"/>
    <w:rsid w:val="00D1531A"/>
    <w:rsid w:val="00D15667"/>
    <w:rsid w:val="00D15DA4"/>
    <w:rsid w:val="00D16204"/>
    <w:rsid w:val="00D1645F"/>
    <w:rsid w:val="00D16ADD"/>
    <w:rsid w:val="00D16E10"/>
    <w:rsid w:val="00D16EB3"/>
    <w:rsid w:val="00D172FB"/>
    <w:rsid w:val="00D17EAF"/>
    <w:rsid w:val="00D20196"/>
    <w:rsid w:val="00D20AE2"/>
    <w:rsid w:val="00D20F70"/>
    <w:rsid w:val="00D210D4"/>
    <w:rsid w:val="00D21155"/>
    <w:rsid w:val="00D21322"/>
    <w:rsid w:val="00D21A7E"/>
    <w:rsid w:val="00D21D20"/>
    <w:rsid w:val="00D21E19"/>
    <w:rsid w:val="00D23253"/>
    <w:rsid w:val="00D2333F"/>
    <w:rsid w:val="00D23759"/>
    <w:rsid w:val="00D248A6"/>
    <w:rsid w:val="00D25338"/>
    <w:rsid w:val="00D26AEE"/>
    <w:rsid w:val="00D2730C"/>
    <w:rsid w:val="00D27B9C"/>
    <w:rsid w:val="00D27D0E"/>
    <w:rsid w:val="00D3038B"/>
    <w:rsid w:val="00D30722"/>
    <w:rsid w:val="00D3085B"/>
    <w:rsid w:val="00D3100C"/>
    <w:rsid w:val="00D31AF8"/>
    <w:rsid w:val="00D31B0A"/>
    <w:rsid w:val="00D31BCF"/>
    <w:rsid w:val="00D31E2F"/>
    <w:rsid w:val="00D321CE"/>
    <w:rsid w:val="00D323B6"/>
    <w:rsid w:val="00D3272B"/>
    <w:rsid w:val="00D32BF6"/>
    <w:rsid w:val="00D331C3"/>
    <w:rsid w:val="00D334CC"/>
    <w:rsid w:val="00D33F2B"/>
    <w:rsid w:val="00D34696"/>
    <w:rsid w:val="00D350C1"/>
    <w:rsid w:val="00D35A1F"/>
    <w:rsid w:val="00D36733"/>
    <w:rsid w:val="00D36A55"/>
    <w:rsid w:val="00D36D27"/>
    <w:rsid w:val="00D3752F"/>
    <w:rsid w:val="00D37911"/>
    <w:rsid w:val="00D37BE5"/>
    <w:rsid w:val="00D37DBC"/>
    <w:rsid w:val="00D4034C"/>
    <w:rsid w:val="00D403B0"/>
    <w:rsid w:val="00D422B8"/>
    <w:rsid w:val="00D423B4"/>
    <w:rsid w:val="00D42B40"/>
    <w:rsid w:val="00D42E60"/>
    <w:rsid w:val="00D42FF3"/>
    <w:rsid w:val="00D43346"/>
    <w:rsid w:val="00D435B1"/>
    <w:rsid w:val="00D43747"/>
    <w:rsid w:val="00D43F87"/>
    <w:rsid w:val="00D44AC8"/>
    <w:rsid w:val="00D44D08"/>
    <w:rsid w:val="00D455B2"/>
    <w:rsid w:val="00D456CB"/>
    <w:rsid w:val="00D45809"/>
    <w:rsid w:val="00D4596F"/>
    <w:rsid w:val="00D462E0"/>
    <w:rsid w:val="00D4672B"/>
    <w:rsid w:val="00D473F7"/>
    <w:rsid w:val="00D47652"/>
    <w:rsid w:val="00D47BF4"/>
    <w:rsid w:val="00D47C96"/>
    <w:rsid w:val="00D506F1"/>
    <w:rsid w:val="00D508C5"/>
    <w:rsid w:val="00D51119"/>
    <w:rsid w:val="00D514D2"/>
    <w:rsid w:val="00D5176B"/>
    <w:rsid w:val="00D51978"/>
    <w:rsid w:val="00D52115"/>
    <w:rsid w:val="00D524C5"/>
    <w:rsid w:val="00D5266C"/>
    <w:rsid w:val="00D528CA"/>
    <w:rsid w:val="00D529C2"/>
    <w:rsid w:val="00D53065"/>
    <w:rsid w:val="00D5321D"/>
    <w:rsid w:val="00D53670"/>
    <w:rsid w:val="00D53C3F"/>
    <w:rsid w:val="00D53E6D"/>
    <w:rsid w:val="00D540AB"/>
    <w:rsid w:val="00D541A0"/>
    <w:rsid w:val="00D54207"/>
    <w:rsid w:val="00D5530F"/>
    <w:rsid w:val="00D56043"/>
    <w:rsid w:val="00D5634F"/>
    <w:rsid w:val="00D56683"/>
    <w:rsid w:val="00D568FE"/>
    <w:rsid w:val="00D57A30"/>
    <w:rsid w:val="00D57B69"/>
    <w:rsid w:val="00D60650"/>
    <w:rsid w:val="00D6084D"/>
    <w:rsid w:val="00D60A82"/>
    <w:rsid w:val="00D615CE"/>
    <w:rsid w:val="00D61C34"/>
    <w:rsid w:val="00D62235"/>
    <w:rsid w:val="00D6256E"/>
    <w:rsid w:val="00D626A6"/>
    <w:rsid w:val="00D62BBB"/>
    <w:rsid w:val="00D644C4"/>
    <w:rsid w:val="00D6490B"/>
    <w:rsid w:val="00D64B35"/>
    <w:rsid w:val="00D64F6F"/>
    <w:rsid w:val="00D651F2"/>
    <w:rsid w:val="00D653D5"/>
    <w:rsid w:val="00D662B1"/>
    <w:rsid w:val="00D66E40"/>
    <w:rsid w:val="00D66E60"/>
    <w:rsid w:val="00D67384"/>
    <w:rsid w:val="00D67A1E"/>
    <w:rsid w:val="00D67AEB"/>
    <w:rsid w:val="00D704D5"/>
    <w:rsid w:val="00D70DFA"/>
    <w:rsid w:val="00D7112A"/>
    <w:rsid w:val="00D7133A"/>
    <w:rsid w:val="00D7312A"/>
    <w:rsid w:val="00D73B66"/>
    <w:rsid w:val="00D73FC0"/>
    <w:rsid w:val="00D7413F"/>
    <w:rsid w:val="00D742AB"/>
    <w:rsid w:val="00D752AC"/>
    <w:rsid w:val="00D75EBD"/>
    <w:rsid w:val="00D764A7"/>
    <w:rsid w:val="00D764D6"/>
    <w:rsid w:val="00D765AB"/>
    <w:rsid w:val="00D76997"/>
    <w:rsid w:val="00D76C8E"/>
    <w:rsid w:val="00D76F40"/>
    <w:rsid w:val="00D8029C"/>
    <w:rsid w:val="00D80357"/>
    <w:rsid w:val="00D80480"/>
    <w:rsid w:val="00D8075A"/>
    <w:rsid w:val="00D80D8C"/>
    <w:rsid w:val="00D81052"/>
    <w:rsid w:val="00D815B1"/>
    <w:rsid w:val="00D81770"/>
    <w:rsid w:val="00D81CBC"/>
    <w:rsid w:val="00D82091"/>
    <w:rsid w:val="00D8219C"/>
    <w:rsid w:val="00D82BBC"/>
    <w:rsid w:val="00D82D82"/>
    <w:rsid w:val="00D83387"/>
    <w:rsid w:val="00D83851"/>
    <w:rsid w:val="00D8426A"/>
    <w:rsid w:val="00D84B86"/>
    <w:rsid w:val="00D8509F"/>
    <w:rsid w:val="00D85129"/>
    <w:rsid w:val="00D85806"/>
    <w:rsid w:val="00D85D64"/>
    <w:rsid w:val="00D86147"/>
    <w:rsid w:val="00D86331"/>
    <w:rsid w:val="00D86500"/>
    <w:rsid w:val="00D86FEE"/>
    <w:rsid w:val="00D87148"/>
    <w:rsid w:val="00D871CE"/>
    <w:rsid w:val="00D875D7"/>
    <w:rsid w:val="00D8766B"/>
    <w:rsid w:val="00D8769C"/>
    <w:rsid w:val="00D87A42"/>
    <w:rsid w:val="00D87CEF"/>
    <w:rsid w:val="00D9021A"/>
    <w:rsid w:val="00D9044C"/>
    <w:rsid w:val="00D9087C"/>
    <w:rsid w:val="00D9091B"/>
    <w:rsid w:val="00D90DA1"/>
    <w:rsid w:val="00D91225"/>
    <w:rsid w:val="00D91429"/>
    <w:rsid w:val="00D915D4"/>
    <w:rsid w:val="00D9192F"/>
    <w:rsid w:val="00D91F58"/>
    <w:rsid w:val="00D923A4"/>
    <w:rsid w:val="00D926D7"/>
    <w:rsid w:val="00D92713"/>
    <w:rsid w:val="00D92E7A"/>
    <w:rsid w:val="00D93349"/>
    <w:rsid w:val="00D93CBB"/>
    <w:rsid w:val="00D94015"/>
    <w:rsid w:val="00D95B94"/>
    <w:rsid w:val="00D96130"/>
    <w:rsid w:val="00D96141"/>
    <w:rsid w:val="00D964FF"/>
    <w:rsid w:val="00D96E79"/>
    <w:rsid w:val="00D974AE"/>
    <w:rsid w:val="00D97557"/>
    <w:rsid w:val="00D97D2B"/>
    <w:rsid w:val="00DA012A"/>
    <w:rsid w:val="00DA0B7F"/>
    <w:rsid w:val="00DA0E01"/>
    <w:rsid w:val="00DA13C0"/>
    <w:rsid w:val="00DA173D"/>
    <w:rsid w:val="00DA1C3D"/>
    <w:rsid w:val="00DA230C"/>
    <w:rsid w:val="00DA2BD3"/>
    <w:rsid w:val="00DA2ECD"/>
    <w:rsid w:val="00DA3095"/>
    <w:rsid w:val="00DA34C3"/>
    <w:rsid w:val="00DA37C2"/>
    <w:rsid w:val="00DA3AD4"/>
    <w:rsid w:val="00DA3B7C"/>
    <w:rsid w:val="00DA3EDA"/>
    <w:rsid w:val="00DA4545"/>
    <w:rsid w:val="00DA4738"/>
    <w:rsid w:val="00DA5A1A"/>
    <w:rsid w:val="00DA600F"/>
    <w:rsid w:val="00DA62C5"/>
    <w:rsid w:val="00DA6DD5"/>
    <w:rsid w:val="00DA75B8"/>
    <w:rsid w:val="00DA7684"/>
    <w:rsid w:val="00DA7C58"/>
    <w:rsid w:val="00DB0AD0"/>
    <w:rsid w:val="00DB0E01"/>
    <w:rsid w:val="00DB0E1F"/>
    <w:rsid w:val="00DB1011"/>
    <w:rsid w:val="00DB1239"/>
    <w:rsid w:val="00DB1803"/>
    <w:rsid w:val="00DB1A25"/>
    <w:rsid w:val="00DB1AC8"/>
    <w:rsid w:val="00DB224C"/>
    <w:rsid w:val="00DB24BF"/>
    <w:rsid w:val="00DB24CD"/>
    <w:rsid w:val="00DB24EA"/>
    <w:rsid w:val="00DB29B1"/>
    <w:rsid w:val="00DB2B39"/>
    <w:rsid w:val="00DB2B3E"/>
    <w:rsid w:val="00DB2DCB"/>
    <w:rsid w:val="00DB2F75"/>
    <w:rsid w:val="00DB31AF"/>
    <w:rsid w:val="00DB35D4"/>
    <w:rsid w:val="00DB4E3A"/>
    <w:rsid w:val="00DB5276"/>
    <w:rsid w:val="00DB658E"/>
    <w:rsid w:val="00DB65C0"/>
    <w:rsid w:val="00DB6611"/>
    <w:rsid w:val="00DB6B03"/>
    <w:rsid w:val="00DB6C9D"/>
    <w:rsid w:val="00DB79F4"/>
    <w:rsid w:val="00DC05B0"/>
    <w:rsid w:val="00DC09B6"/>
    <w:rsid w:val="00DC156E"/>
    <w:rsid w:val="00DC156F"/>
    <w:rsid w:val="00DC1E43"/>
    <w:rsid w:val="00DC1EA0"/>
    <w:rsid w:val="00DC1FAC"/>
    <w:rsid w:val="00DC246F"/>
    <w:rsid w:val="00DC2708"/>
    <w:rsid w:val="00DC28C5"/>
    <w:rsid w:val="00DC29E5"/>
    <w:rsid w:val="00DC31CB"/>
    <w:rsid w:val="00DC50C5"/>
    <w:rsid w:val="00DC5A58"/>
    <w:rsid w:val="00DC5FA4"/>
    <w:rsid w:val="00DC61AD"/>
    <w:rsid w:val="00DC61BD"/>
    <w:rsid w:val="00DC626E"/>
    <w:rsid w:val="00DC6768"/>
    <w:rsid w:val="00DC6895"/>
    <w:rsid w:val="00DC699C"/>
    <w:rsid w:val="00DC73D5"/>
    <w:rsid w:val="00DC7404"/>
    <w:rsid w:val="00DC783E"/>
    <w:rsid w:val="00DC7D55"/>
    <w:rsid w:val="00DD00C6"/>
    <w:rsid w:val="00DD0408"/>
    <w:rsid w:val="00DD0590"/>
    <w:rsid w:val="00DD09CE"/>
    <w:rsid w:val="00DD0A01"/>
    <w:rsid w:val="00DD0A05"/>
    <w:rsid w:val="00DD1440"/>
    <w:rsid w:val="00DD1590"/>
    <w:rsid w:val="00DD18EE"/>
    <w:rsid w:val="00DD1936"/>
    <w:rsid w:val="00DD2465"/>
    <w:rsid w:val="00DD295E"/>
    <w:rsid w:val="00DD2D01"/>
    <w:rsid w:val="00DD3F96"/>
    <w:rsid w:val="00DD4220"/>
    <w:rsid w:val="00DD422B"/>
    <w:rsid w:val="00DD4718"/>
    <w:rsid w:val="00DD4FA5"/>
    <w:rsid w:val="00DD5353"/>
    <w:rsid w:val="00DD5471"/>
    <w:rsid w:val="00DD5AAD"/>
    <w:rsid w:val="00DD5B19"/>
    <w:rsid w:val="00DD5CFE"/>
    <w:rsid w:val="00DD5E05"/>
    <w:rsid w:val="00DD6220"/>
    <w:rsid w:val="00DD6F2C"/>
    <w:rsid w:val="00DD6F3A"/>
    <w:rsid w:val="00DD745E"/>
    <w:rsid w:val="00DD7800"/>
    <w:rsid w:val="00DD7C15"/>
    <w:rsid w:val="00DE0A15"/>
    <w:rsid w:val="00DE0E9D"/>
    <w:rsid w:val="00DE14C1"/>
    <w:rsid w:val="00DE15A7"/>
    <w:rsid w:val="00DE1BEB"/>
    <w:rsid w:val="00DE25EB"/>
    <w:rsid w:val="00DE2B28"/>
    <w:rsid w:val="00DE2DC4"/>
    <w:rsid w:val="00DE314F"/>
    <w:rsid w:val="00DE34C3"/>
    <w:rsid w:val="00DE4BFE"/>
    <w:rsid w:val="00DE5795"/>
    <w:rsid w:val="00DE5993"/>
    <w:rsid w:val="00DE5A4E"/>
    <w:rsid w:val="00DE608C"/>
    <w:rsid w:val="00DE64AC"/>
    <w:rsid w:val="00DE6793"/>
    <w:rsid w:val="00DE6B49"/>
    <w:rsid w:val="00DE6C41"/>
    <w:rsid w:val="00DE703B"/>
    <w:rsid w:val="00DE7148"/>
    <w:rsid w:val="00DE764F"/>
    <w:rsid w:val="00DE7A19"/>
    <w:rsid w:val="00DE7C26"/>
    <w:rsid w:val="00DF0F38"/>
    <w:rsid w:val="00DF11FF"/>
    <w:rsid w:val="00DF2200"/>
    <w:rsid w:val="00DF2452"/>
    <w:rsid w:val="00DF260D"/>
    <w:rsid w:val="00DF2860"/>
    <w:rsid w:val="00DF3F5A"/>
    <w:rsid w:val="00DF4BE2"/>
    <w:rsid w:val="00DF50FE"/>
    <w:rsid w:val="00DF5721"/>
    <w:rsid w:val="00DF5AE7"/>
    <w:rsid w:val="00DF5CDC"/>
    <w:rsid w:val="00DF5D02"/>
    <w:rsid w:val="00DF6E7E"/>
    <w:rsid w:val="00DF7315"/>
    <w:rsid w:val="00DF74A4"/>
    <w:rsid w:val="00E00340"/>
    <w:rsid w:val="00E00C46"/>
    <w:rsid w:val="00E00E14"/>
    <w:rsid w:val="00E01002"/>
    <w:rsid w:val="00E012F5"/>
    <w:rsid w:val="00E01368"/>
    <w:rsid w:val="00E01BEB"/>
    <w:rsid w:val="00E01E62"/>
    <w:rsid w:val="00E024CB"/>
    <w:rsid w:val="00E03112"/>
    <w:rsid w:val="00E03ACD"/>
    <w:rsid w:val="00E03CE4"/>
    <w:rsid w:val="00E040E1"/>
    <w:rsid w:val="00E045BD"/>
    <w:rsid w:val="00E0479F"/>
    <w:rsid w:val="00E04DC9"/>
    <w:rsid w:val="00E05C7B"/>
    <w:rsid w:val="00E05E9E"/>
    <w:rsid w:val="00E05EB7"/>
    <w:rsid w:val="00E06EDB"/>
    <w:rsid w:val="00E07252"/>
    <w:rsid w:val="00E0767E"/>
    <w:rsid w:val="00E079C6"/>
    <w:rsid w:val="00E07A81"/>
    <w:rsid w:val="00E07CAE"/>
    <w:rsid w:val="00E07E03"/>
    <w:rsid w:val="00E10046"/>
    <w:rsid w:val="00E102D4"/>
    <w:rsid w:val="00E1055C"/>
    <w:rsid w:val="00E105B8"/>
    <w:rsid w:val="00E11511"/>
    <w:rsid w:val="00E11B3D"/>
    <w:rsid w:val="00E12043"/>
    <w:rsid w:val="00E12071"/>
    <w:rsid w:val="00E123A9"/>
    <w:rsid w:val="00E12732"/>
    <w:rsid w:val="00E12F44"/>
    <w:rsid w:val="00E132C3"/>
    <w:rsid w:val="00E13662"/>
    <w:rsid w:val="00E146D5"/>
    <w:rsid w:val="00E14980"/>
    <w:rsid w:val="00E14E7C"/>
    <w:rsid w:val="00E1540C"/>
    <w:rsid w:val="00E15E0D"/>
    <w:rsid w:val="00E1634D"/>
    <w:rsid w:val="00E163CD"/>
    <w:rsid w:val="00E1659D"/>
    <w:rsid w:val="00E168AC"/>
    <w:rsid w:val="00E176D7"/>
    <w:rsid w:val="00E17A96"/>
    <w:rsid w:val="00E202B6"/>
    <w:rsid w:val="00E20318"/>
    <w:rsid w:val="00E20446"/>
    <w:rsid w:val="00E206B2"/>
    <w:rsid w:val="00E20DD6"/>
    <w:rsid w:val="00E219E3"/>
    <w:rsid w:val="00E229D8"/>
    <w:rsid w:val="00E22DAE"/>
    <w:rsid w:val="00E231C5"/>
    <w:rsid w:val="00E23F83"/>
    <w:rsid w:val="00E23FD6"/>
    <w:rsid w:val="00E2474B"/>
    <w:rsid w:val="00E249E6"/>
    <w:rsid w:val="00E25257"/>
    <w:rsid w:val="00E264DF"/>
    <w:rsid w:val="00E2736E"/>
    <w:rsid w:val="00E27709"/>
    <w:rsid w:val="00E27E29"/>
    <w:rsid w:val="00E300AE"/>
    <w:rsid w:val="00E306CD"/>
    <w:rsid w:val="00E30841"/>
    <w:rsid w:val="00E30D65"/>
    <w:rsid w:val="00E30F41"/>
    <w:rsid w:val="00E31F4E"/>
    <w:rsid w:val="00E32E64"/>
    <w:rsid w:val="00E33181"/>
    <w:rsid w:val="00E331A7"/>
    <w:rsid w:val="00E333F0"/>
    <w:rsid w:val="00E33447"/>
    <w:rsid w:val="00E33668"/>
    <w:rsid w:val="00E339A8"/>
    <w:rsid w:val="00E340CB"/>
    <w:rsid w:val="00E34137"/>
    <w:rsid w:val="00E34580"/>
    <w:rsid w:val="00E34630"/>
    <w:rsid w:val="00E3484D"/>
    <w:rsid w:val="00E34956"/>
    <w:rsid w:val="00E35400"/>
    <w:rsid w:val="00E3540F"/>
    <w:rsid w:val="00E356B2"/>
    <w:rsid w:val="00E35804"/>
    <w:rsid w:val="00E3676E"/>
    <w:rsid w:val="00E367DE"/>
    <w:rsid w:val="00E36911"/>
    <w:rsid w:val="00E36AD5"/>
    <w:rsid w:val="00E36EDE"/>
    <w:rsid w:val="00E37392"/>
    <w:rsid w:val="00E3775A"/>
    <w:rsid w:val="00E37AEE"/>
    <w:rsid w:val="00E37B9F"/>
    <w:rsid w:val="00E37C6D"/>
    <w:rsid w:val="00E401AE"/>
    <w:rsid w:val="00E40CFA"/>
    <w:rsid w:val="00E41326"/>
    <w:rsid w:val="00E41820"/>
    <w:rsid w:val="00E41925"/>
    <w:rsid w:val="00E41A86"/>
    <w:rsid w:val="00E41D1F"/>
    <w:rsid w:val="00E4208D"/>
    <w:rsid w:val="00E420E0"/>
    <w:rsid w:val="00E424D0"/>
    <w:rsid w:val="00E424E0"/>
    <w:rsid w:val="00E425B8"/>
    <w:rsid w:val="00E42D66"/>
    <w:rsid w:val="00E43425"/>
    <w:rsid w:val="00E43994"/>
    <w:rsid w:val="00E44134"/>
    <w:rsid w:val="00E4417D"/>
    <w:rsid w:val="00E446FD"/>
    <w:rsid w:val="00E44852"/>
    <w:rsid w:val="00E44A75"/>
    <w:rsid w:val="00E44D6C"/>
    <w:rsid w:val="00E4514E"/>
    <w:rsid w:val="00E46608"/>
    <w:rsid w:val="00E46712"/>
    <w:rsid w:val="00E46BEE"/>
    <w:rsid w:val="00E47711"/>
    <w:rsid w:val="00E47AB1"/>
    <w:rsid w:val="00E47E3D"/>
    <w:rsid w:val="00E504D7"/>
    <w:rsid w:val="00E51038"/>
    <w:rsid w:val="00E511C1"/>
    <w:rsid w:val="00E51D7B"/>
    <w:rsid w:val="00E52014"/>
    <w:rsid w:val="00E5245F"/>
    <w:rsid w:val="00E52DE3"/>
    <w:rsid w:val="00E53779"/>
    <w:rsid w:val="00E53965"/>
    <w:rsid w:val="00E53E7D"/>
    <w:rsid w:val="00E53EE9"/>
    <w:rsid w:val="00E54041"/>
    <w:rsid w:val="00E54872"/>
    <w:rsid w:val="00E549BF"/>
    <w:rsid w:val="00E55AFA"/>
    <w:rsid w:val="00E55DB9"/>
    <w:rsid w:val="00E55F25"/>
    <w:rsid w:val="00E5708C"/>
    <w:rsid w:val="00E5791D"/>
    <w:rsid w:val="00E60815"/>
    <w:rsid w:val="00E608C2"/>
    <w:rsid w:val="00E60C1E"/>
    <w:rsid w:val="00E6129E"/>
    <w:rsid w:val="00E61511"/>
    <w:rsid w:val="00E6182F"/>
    <w:rsid w:val="00E61997"/>
    <w:rsid w:val="00E62479"/>
    <w:rsid w:val="00E6276D"/>
    <w:rsid w:val="00E62F58"/>
    <w:rsid w:val="00E63E36"/>
    <w:rsid w:val="00E6406F"/>
    <w:rsid w:val="00E64ED2"/>
    <w:rsid w:val="00E6522B"/>
    <w:rsid w:val="00E654C0"/>
    <w:rsid w:val="00E65EE5"/>
    <w:rsid w:val="00E6660B"/>
    <w:rsid w:val="00E67258"/>
    <w:rsid w:val="00E67C89"/>
    <w:rsid w:val="00E67FC3"/>
    <w:rsid w:val="00E700E0"/>
    <w:rsid w:val="00E7074D"/>
    <w:rsid w:val="00E7223C"/>
    <w:rsid w:val="00E734A4"/>
    <w:rsid w:val="00E73CDE"/>
    <w:rsid w:val="00E73FD9"/>
    <w:rsid w:val="00E7405B"/>
    <w:rsid w:val="00E751FD"/>
    <w:rsid w:val="00E75265"/>
    <w:rsid w:val="00E7572B"/>
    <w:rsid w:val="00E76457"/>
    <w:rsid w:val="00E766BA"/>
    <w:rsid w:val="00E769AB"/>
    <w:rsid w:val="00E76A2E"/>
    <w:rsid w:val="00E76A52"/>
    <w:rsid w:val="00E76EA3"/>
    <w:rsid w:val="00E772D1"/>
    <w:rsid w:val="00E80166"/>
    <w:rsid w:val="00E812F1"/>
    <w:rsid w:val="00E815E4"/>
    <w:rsid w:val="00E81713"/>
    <w:rsid w:val="00E81FB3"/>
    <w:rsid w:val="00E82ECF"/>
    <w:rsid w:val="00E837DB"/>
    <w:rsid w:val="00E83CF7"/>
    <w:rsid w:val="00E83DE2"/>
    <w:rsid w:val="00E83F90"/>
    <w:rsid w:val="00E840F9"/>
    <w:rsid w:val="00E84811"/>
    <w:rsid w:val="00E848ED"/>
    <w:rsid w:val="00E84E15"/>
    <w:rsid w:val="00E85593"/>
    <w:rsid w:val="00E856BE"/>
    <w:rsid w:val="00E85975"/>
    <w:rsid w:val="00E85DAF"/>
    <w:rsid w:val="00E86081"/>
    <w:rsid w:val="00E86366"/>
    <w:rsid w:val="00E8681F"/>
    <w:rsid w:val="00E87053"/>
    <w:rsid w:val="00E9018D"/>
    <w:rsid w:val="00E9028A"/>
    <w:rsid w:val="00E907FB"/>
    <w:rsid w:val="00E90B0D"/>
    <w:rsid w:val="00E90BDE"/>
    <w:rsid w:val="00E91082"/>
    <w:rsid w:val="00E91868"/>
    <w:rsid w:val="00E91BE1"/>
    <w:rsid w:val="00E91F6F"/>
    <w:rsid w:val="00E9256B"/>
    <w:rsid w:val="00E92663"/>
    <w:rsid w:val="00E92D1C"/>
    <w:rsid w:val="00E92D81"/>
    <w:rsid w:val="00E9314B"/>
    <w:rsid w:val="00E933B9"/>
    <w:rsid w:val="00E93B14"/>
    <w:rsid w:val="00E94444"/>
    <w:rsid w:val="00E94992"/>
    <w:rsid w:val="00E96181"/>
    <w:rsid w:val="00E9633C"/>
    <w:rsid w:val="00E9743A"/>
    <w:rsid w:val="00E97828"/>
    <w:rsid w:val="00E978BE"/>
    <w:rsid w:val="00E97AC2"/>
    <w:rsid w:val="00E97D4B"/>
    <w:rsid w:val="00E97E7E"/>
    <w:rsid w:val="00EA0B4D"/>
    <w:rsid w:val="00EA0F6D"/>
    <w:rsid w:val="00EA0F78"/>
    <w:rsid w:val="00EA141E"/>
    <w:rsid w:val="00EA2021"/>
    <w:rsid w:val="00EA2F1D"/>
    <w:rsid w:val="00EA3F77"/>
    <w:rsid w:val="00EA440D"/>
    <w:rsid w:val="00EA47AF"/>
    <w:rsid w:val="00EA4C4B"/>
    <w:rsid w:val="00EA513B"/>
    <w:rsid w:val="00EA5A4E"/>
    <w:rsid w:val="00EA5A6B"/>
    <w:rsid w:val="00EA5E25"/>
    <w:rsid w:val="00EA5F1F"/>
    <w:rsid w:val="00EA7148"/>
    <w:rsid w:val="00EA723D"/>
    <w:rsid w:val="00EA729C"/>
    <w:rsid w:val="00EA7486"/>
    <w:rsid w:val="00EB0C40"/>
    <w:rsid w:val="00EB0F2D"/>
    <w:rsid w:val="00EB13A5"/>
    <w:rsid w:val="00EB142E"/>
    <w:rsid w:val="00EB14EB"/>
    <w:rsid w:val="00EB2224"/>
    <w:rsid w:val="00EB232F"/>
    <w:rsid w:val="00EB2E8C"/>
    <w:rsid w:val="00EB318A"/>
    <w:rsid w:val="00EB32A9"/>
    <w:rsid w:val="00EB3CEC"/>
    <w:rsid w:val="00EB3D58"/>
    <w:rsid w:val="00EB493B"/>
    <w:rsid w:val="00EB4CC7"/>
    <w:rsid w:val="00EB64BC"/>
    <w:rsid w:val="00EB6784"/>
    <w:rsid w:val="00EB6AF9"/>
    <w:rsid w:val="00EB7B87"/>
    <w:rsid w:val="00EC0970"/>
    <w:rsid w:val="00EC11FD"/>
    <w:rsid w:val="00EC131C"/>
    <w:rsid w:val="00EC288F"/>
    <w:rsid w:val="00EC295A"/>
    <w:rsid w:val="00EC2CAC"/>
    <w:rsid w:val="00EC2E8A"/>
    <w:rsid w:val="00EC38DE"/>
    <w:rsid w:val="00EC477B"/>
    <w:rsid w:val="00EC4D3A"/>
    <w:rsid w:val="00EC4E2B"/>
    <w:rsid w:val="00EC52B2"/>
    <w:rsid w:val="00EC5C99"/>
    <w:rsid w:val="00EC5E91"/>
    <w:rsid w:val="00EC6193"/>
    <w:rsid w:val="00EC629B"/>
    <w:rsid w:val="00EC662C"/>
    <w:rsid w:val="00EC6AAD"/>
    <w:rsid w:val="00EC73EE"/>
    <w:rsid w:val="00EC756F"/>
    <w:rsid w:val="00ED0207"/>
    <w:rsid w:val="00ED0593"/>
    <w:rsid w:val="00ED1141"/>
    <w:rsid w:val="00ED14A1"/>
    <w:rsid w:val="00ED15BB"/>
    <w:rsid w:val="00ED1B6F"/>
    <w:rsid w:val="00ED1CFA"/>
    <w:rsid w:val="00ED1E59"/>
    <w:rsid w:val="00ED1ECD"/>
    <w:rsid w:val="00ED29C6"/>
    <w:rsid w:val="00ED2AA6"/>
    <w:rsid w:val="00ED2C28"/>
    <w:rsid w:val="00ED30AC"/>
    <w:rsid w:val="00ED392D"/>
    <w:rsid w:val="00ED3BD8"/>
    <w:rsid w:val="00ED42B3"/>
    <w:rsid w:val="00ED4B99"/>
    <w:rsid w:val="00ED4C76"/>
    <w:rsid w:val="00ED4E7F"/>
    <w:rsid w:val="00ED51CA"/>
    <w:rsid w:val="00ED58AA"/>
    <w:rsid w:val="00ED5F8B"/>
    <w:rsid w:val="00ED6987"/>
    <w:rsid w:val="00ED6B76"/>
    <w:rsid w:val="00ED6EC5"/>
    <w:rsid w:val="00ED73F5"/>
    <w:rsid w:val="00ED7EB3"/>
    <w:rsid w:val="00EE07AD"/>
    <w:rsid w:val="00EE11C5"/>
    <w:rsid w:val="00EE1255"/>
    <w:rsid w:val="00EE150A"/>
    <w:rsid w:val="00EE1544"/>
    <w:rsid w:val="00EE159E"/>
    <w:rsid w:val="00EE17F1"/>
    <w:rsid w:val="00EE1A11"/>
    <w:rsid w:val="00EE1B28"/>
    <w:rsid w:val="00EE2108"/>
    <w:rsid w:val="00EE2B0E"/>
    <w:rsid w:val="00EE3482"/>
    <w:rsid w:val="00EE3D00"/>
    <w:rsid w:val="00EE4259"/>
    <w:rsid w:val="00EE43EF"/>
    <w:rsid w:val="00EE4714"/>
    <w:rsid w:val="00EE47F2"/>
    <w:rsid w:val="00EE4857"/>
    <w:rsid w:val="00EE4A8E"/>
    <w:rsid w:val="00EE4D2A"/>
    <w:rsid w:val="00EE5473"/>
    <w:rsid w:val="00EE54F5"/>
    <w:rsid w:val="00EE5525"/>
    <w:rsid w:val="00EE5CEB"/>
    <w:rsid w:val="00EE6194"/>
    <w:rsid w:val="00EE62AE"/>
    <w:rsid w:val="00EE6F24"/>
    <w:rsid w:val="00EE720A"/>
    <w:rsid w:val="00EE7975"/>
    <w:rsid w:val="00EE7A9E"/>
    <w:rsid w:val="00EE7FDE"/>
    <w:rsid w:val="00EF096F"/>
    <w:rsid w:val="00EF1266"/>
    <w:rsid w:val="00EF160F"/>
    <w:rsid w:val="00EF1A8A"/>
    <w:rsid w:val="00EF1BC4"/>
    <w:rsid w:val="00EF1F5A"/>
    <w:rsid w:val="00EF2116"/>
    <w:rsid w:val="00EF3886"/>
    <w:rsid w:val="00EF394B"/>
    <w:rsid w:val="00EF443E"/>
    <w:rsid w:val="00EF45AF"/>
    <w:rsid w:val="00EF4912"/>
    <w:rsid w:val="00EF4AAB"/>
    <w:rsid w:val="00EF4E41"/>
    <w:rsid w:val="00EF550C"/>
    <w:rsid w:val="00EF5D9B"/>
    <w:rsid w:val="00EF64A7"/>
    <w:rsid w:val="00EF6A11"/>
    <w:rsid w:val="00EF6D71"/>
    <w:rsid w:val="00EF7716"/>
    <w:rsid w:val="00EF7939"/>
    <w:rsid w:val="00EF7A99"/>
    <w:rsid w:val="00F00F8B"/>
    <w:rsid w:val="00F00FD3"/>
    <w:rsid w:val="00F017C5"/>
    <w:rsid w:val="00F01DB1"/>
    <w:rsid w:val="00F027CF"/>
    <w:rsid w:val="00F02CF3"/>
    <w:rsid w:val="00F02F1D"/>
    <w:rsid w:val="00F03B35"/>
    <w:rsid w:val="00F046C3"/>
    <w:rsid w:val="00F04788"/>
    <w:rsid w:val="00F05858"/>
    <w:rsid w:val="00F058AF"/>
    <w:rsid w:val="00F05F72"/>
    <w:rsid w:val="00F0684F"/>
    <w:rsid w:val="00F0712F"/>
    <w:rsid w:val="00F07165"/>
    <w:rsid w:val="00F0780D"/>
    <w:rsid w:val="00F11654"/>
    <w:rsid w:val="00F11A62"/>
    <w:rsid w:val="00F11EB1"/>
    <w:rsid w:val="00F126F8"/>
    <w:rsid w:val="00F13421"/>
    <w:rsid w:val="00F136C2"/>
    <w:rsid w:val="00F1375B"/>
    <w:rsid w:val="00F13854"/>
    <w:rsid w:val="00F13DD6"/>
    <w:rsid w:val="00F14918"/>
    <w:rsid w:val="00F149AB"/>
    <w:rsid w:val="00F14D91"/>
    <w:rsid w:val="00F14DD4"/>
    <w:rsid w:val="00F15173"/>
    <w:rsid w:val="00F15541"/>
    <w:rsid w:val="00F16043"/>
    <w:rsid w:val="00F17027"/>
    <w:rsid w:val="00F17C6D"/>
    <w:rsid w:val="00F2056C"/>
    <w:rsid w:val="00F208C0"/>
    <w:rsid w:val="00F20A40"/>
    <w:rsid w:val="00F211AB"/>
    <w:rsid w:val="00F2133B"/>
    <w:rsid w:val="00F215B4"/>
    <w:rsid w:val="00F21DD2"/>
    <w:rsid w:val="00F21E60"/>
    <w:rsid w:val="00F21F88"/>
    <w:rsid w:val="00F2216C"/>
    <w:rsid w:val="00F223CB"/>
    <w:rsid w:val="00F231E4"/>
    <w:rsid w:val="00F233E7"/>
    <w:rsid w:val="00F23E4C"/>
    <w:rsid w:val="00F24185"/>
    <w:rsid w:val="00F255F9"/>
    <w:rsid w:val="00F26227"/>
    <w:rsid w:val="00F26AC3"/>
    <w:rsid w:val="00F26FE5"/>
    <w:rsid w:val="00F27856"/>
    <w:rsid w:val="00F279DC"/>
    <w:rsid w:val="00F27E00"/>
    <w:rsid w:val="00F3021D"/>
    <w:rsid w:val="00F315AC"/>
    <w:rsid w:val="00F31D1A"/>
    <w:rsid w:val="00F3235D"/>
    <w:rsid w:val="00F323C0"/>
    <w:rsid w:val="00F325FE"/>
    <w:rsid w:val="00F327E5"/>
    <w:rsid w:val="00F3325E"/>
    <w:rsid w:val="00F33B06"/>
    <w:rsid w:val="00F33C91"/>
    <w:rsid w:val="00F33D79"/>
    <w:rsid w:val="00F33DAC"/>
    <w:rsid w:val="00F33FC6"/>
    <w:rsid w:val="00F33FE2"/>
    <w:rsid w:val="00F34322"/>
    <w:rsid w:val="00F344C6"/>
    <w:rsid w:val="00F34509"/>
    <w:rsid w:val="00F35433"/>
    <w:rsid w:val="00F35754"/>
    <w:rsid w:val="00F35DDC"/>
    <w:rsid w:val="00F3610B"/>
    <w:rsid w:val="00F3618F"/>
    <w:rsid w:val="00F3623E"/>
    <w:rsid w:val="00F36438"/>
    <w:rsid w:val="00F368A8"/>
    <w:rsid w:val="00F36F51"/>
    <w:rsid w:val="00F37B40"/>
    <w:rsid w:val="00F37EE7"/>
    <w:rsid w:val="00F401F0"/>
    <w:rsid w:val="00F40968"/>
    <w:rsid w:val="00F410C6"/>
    <w:rsid w:val="00F41430"/>
    <w:rsid w:val="00F4148E"/>
    <w:rsid w:val="00F41C2E"/>
    <w:rsid w:val="00F41C98"/>
    <w:rsid w:val="00F41DC7"/>
    <w:rsid w:val="00F42602"/>
    <w:rsid w:val="00F43156"/>
    <w:rsid w:val="00F431DB"/>
    <w:rsid w:val="00F436BE"/>
    <w:rsid w:val="00F4371F"/>
    <w:rsid w:val="00F43F21"/>
    <w:rsid w:val="00F44387"/>
    <w:rsid w:val="00F445FC"/>
    <w:rsid w:val="00F44994"/>
    <w:rsid w:val="00F45019"/>
    <w:rsid w:val="00F45597"/>
    <w:rsid w:val="00F45823"/>
    <w:rsid w:val="00F45A5E"/>
    <w:rsid w:val="00F463C5"/>
    <w:rsid w:val="00F4649A"/>
    <w:rsid w:val="00F46CB7"/>
    <w:rsid w:val="00F479AF"/>
    <w:rsid w:val="00F47B25"/>
    <w:rsid w:val="00F50007"/>
    <w:rsid w:val="00F50260"/>
    <w:rsid w:val="00F50D0A"/>
    <w:rsid w:val="00F51376"/>
    <w:rsid w:val="00F5165C"/>
    <w:rsid w:val="00F51ADA"/>
    <w:rsid w:val="00F520C1"/>
    <w:rsid w:val="00F5218E"/>
    <w:rsid w:val="00F52DA6"/>
    <w:rsid w:val="00F53E35"/>
    <w:rsid w:val="00F54519"/>
    <w:rsid w:val="00F5455D"/>
    <w:rsid w:val="00F553A7"/>
    <w:rsid w:val="00F5561A"/>
    <w:rsid w:val="00F55911"/>
    <w:rsid w:val="00F55E8E"/>
    <w:rsid w:val="00F5616A"/>
    <w:rsid w:val="00F567C4"/>
    <w:rsid w:val="00F568A8"/>
    <w:rsid w:val="00F569BA"/>
    <w:rsid w:val="00F57002"/>
    <w:rsid w:val="00F57360"/>
    <w:rsid w:val="00F57543"/>
    <w:rsid w:val="00F57689"/>
    <w:rsid w:val="00F57B20"/>
    <w:rsid w:val="00F57B96"/>
    <w:rsid w:val="00F57F4A"/>
    <w:rsid w:val="00F60069"/>
    <w:rsid w:val="00F601F4"/>
    <w:rsid w:val="00F60737"/>
    <w:rsid w:val="00F60D09"/>
    <w:rsid w:val="00F60D51"/>
    <w:rsid w:val="00F610BC"/>
    <w:rsid w:val="00F620FB"/>
    <w:rsid w:val="00F6224C"/>
    <w:rsid w:val="00F62411"/>
    <w:rsid w:val="00F6385F"/>
    <w:rsid w:val="00F63888"/>
    <w:rsid w:val="00F63897"/>
    <w:rsid w:val="00F63904"/>
    <w:rsid w:val="00F63DFC"/>
    <w:rsid w:val="00F64A8A"/>
    <w:rsid w:val="00F64F35"/>
    <w:rsid w:val="00F65079"/>
    <w:rsid w:val="00F66905"/>
    <w:rsid w:val="00F679CC"/>
    <w:rsid w:val="00F67BB9"/>
    <w:rsid w:val="00F707F0"/>
    <w:rsid w:val="00F7087E"/>
    <w:rsid w:val="00F70B28"/>
    <w:rsid w:val="00F70E2B"/>
    <w:rsid w:val="00F710A5"/>
    <w:rsid w:val="00F71359"/>
    <w:rsid w:val="00F715C1"/>
    <w:rsid w:val="00F71759"/>
    <w:rsid w:val="00F71929"/>
    <w:rsid w:val="00F71BF1"/>
    <w:rsid w:val="00F7247B"/>
    <w:rsid w:val="00F727C9"/>
    <w:rsid w:val="00F72AEB"/>
    <w:rsid w:val="00F72C20"/>
    <w:rsid w:val="00F72EF7"/>
    <w:rsid w:val="00F73354"/>
    <w:rsid w:val="00F73E08"/>
    <w:rsid w:val="00F73F32"/>
    <w:rsid w:val="00F741F7"/>
    <w:rsid w:val="00F74767"/>
    <w:rsid w:val="00F74B36"/>
    <w:rsid w:val="00F74E8E"/>
    <w:rsid w:val="00F75B47"/>
    <w:rsid w:val="00F765A9"/>
    <w:rsid w:val="00F76A6C"/>
    <w:rsid w:val="00F76A9A"/>
    <w:rsid w:val="00F7730B"/>
    <w:rsid w:val="00F77377"/>
    <w:rsid w:val="00F77A0F"/>
    <w:rsid w:val="00F800EB"/>
    <w:rsid w:val="00F80FD0"/>
    <w:rsid w:val="00F8105C"/>
    <w:rsid w:val="00F81297"/>
    <w:rsid w:val="00F81897"/>
    <w:rsid w:val="00F82B2C"/>
    <w:rsid w:val="00F82BAC"/>
    <w:rsid w:val="00F8388F"/>
    <w:rsid w:val="00F83DE3"/>
    <w:rsid w:val="00F8493E"/>
    <w:rsid w:val="00F8519E"/>
    <w:rsid w:val="00F85842"/>
    <w:rsid w:val="00F86023"/>
    <w:rsid w:val="00F86080"/>
    <w:rsid w:val="00F86B01"/>
    <w:rsid w:val="00F86C17"/>
    <w:rsid w:val="00F87028"/>
    <w:rsid w:val="00F87098"/>
    <w:rsid w:val="00F8709E"/>
    <w:rsid w:val="00F8768B"/>
    <w:rsid w:val="00F87C9D"/>
    <w:rsid w:val="00F90258"/>
    <w:rsid w:val="00F906E3"/>
    <w:rsid w:val="00F91B28"/>
    <w:rsid w:val="00F91C11"/>
    <w:rsid w:val="00F91C92"/>
    <w:rsid w:val="00F928E0"/>
    <w:rsid w:val="00F92AD0"/>
    <w:rsid w:val="00F933D4"/>
    <w:rsid w:val="00F93750"/>
    <w:rsid w:val="00F937E5"/>
    <w:rsid w:val="00F94A31"/>
    <w:rsid w:val="00F9513A"/>
    <w:rsid w:val="00F965C8"/>
    <w:rsid w:val="00F9667F"/>
    <w:rsid w:val="00F96ACE"/>
    <w:rsid w:val="00F96E71"/>
    <w:rsid w:val="00F9730C"/>
    <w:rsid w:val="00FA02F1"/>
    <w:rsid w:val="00FA09BD"/>
    <w:rsid w:val="00FA1389"/>
    <w:rsid w:val="00FA1676"/>
    <w:rsid w:val="00FA1857"/>
    <w:rsid w:val="00FA2124"/>
    <w:rsid w:val="00FA2539"/>
    <w:rsid w:val="00FA29B9"/>
    <w:rsid w:val="00FA2CE6"/>
    <w:rsid w:val="00FA3873"/>
    <w:rsid w:val="00FA3B13"/>
    <w:rsid w:val="00FA3DE2"/>
    <w:rsid w:val="00FA4329"/>
    <w:rsid w:val="00FA4C33"/>
    <w:rsid w:val="00FA586F"/>
    <w:rsid w:val="00FA676E"/>
    <w:rsid w:val="00FA6907"/>
    <w:rsid w:val="00FA6A30"/>
    <w:rsid w:val="00FA6D96"/>
    <w:rsid w:val="00FA6DB6"/>
    <w:rsid w:val="00FA6E37"/>
    <w:rsid w:val="00FA72C5"/>
    <w:rsid w:val="00FA77B8"/>
    <w:rsid w:val="00FA7BC4"/>
    <w:rsid w:val="00FB03A3"/>
    <w:rsid w:val="00FB0688"/>
    <w:rsid w:val="00FB09CD"/>
    <w:rsid w:val="00FB1149"/>
    <w:rsid w:val="00FB13EB"/>
    <w:rsid w:val="00FB17B9"/>
    <w:rsid w:val="00FB19F3"/>
    <w:rsid w:val="00FB224B"/>
    <w:rsid w:val="00FB26B8"/>
    <w:rsid w:val="00FB2AA2"/>
    <w:rsid w:val="00FB2CA5"/>
    <w:rsid w:val="00FB2CBF"/>
    <w:rsid w:val="00FB3086"/>
    <w:rsid w:val="00FB33F9"/>
    <w:rsid w:val="00FB38E0"/>
    <w:rsid w:val="00FB3F01"/>
    <w:rsid w:val="00FB4391"/>
    <w:rsid w:val="00FB475B"/>
    <w:rsid w:val="00FB4E49"/>
    <w:rsid w:val="00FB5BBE"/>
    <w:rsid w:val="00FB5D45"/>
    <w:rsid w:val="00FB5E98"/>
    <w:rsid w:val="00FB6A24"/>
    <w:rsid w:val="00FB7014"/>
    <w:rsid w:val="00FB7277"/>
    <w:rsid w:val="00FB7CFE"/>
    <w:rsid w:val="00FB7EB4"/>
    <w:rsid w:val="00FC01CF"/>
    <w:rsid w:val="00FC0E9C"/>
    <w:rsid w:val="00FC120A"/>
    <w:rsid w:val="00FC1258"/>
    <w:rsid w:val="00FC14C5"/>
    <w:rsid w:val="00FC1B0C"/>
    <w:rsid w:val="00FC1E46"/>
    <w:rsid w:val="00FC1FE5"/>
    <w:rsid w:val="00FC2185"/>
    <w:rsid w:val="00FC21D6"/>
    <w:rsid w:val="00FC2851"/>
    <w:rsid w:val="00FC293A"/>
    <w:rsid w:val="00FC2A10"/>
    <w:rsid w:val="00FC354D"/>
    <w:rsid w:val="00FC3738"/>
    <w:rsid w:val="00FC3968"/>
    <w:rsid w:val="00FC39F9"/>
    <w:rsid w:val="00FC400D"/>
    <w:rsid w:val="00FC40DC"/>
    <w:rsid w:val="00FC47AC"/>
    <w:rsid w:val="00FC57DB"/>
    <w:rsid w:val="00FC5E9C"/>
    <w:rsid w:val="00FC611A"/>
    <w:rsid w:val="00FC64A5"/>
    <w:rsid w:val="00FC68A3"/>
    <w:rsid w:val="00FC7F11"/>
    <w:rsid w:val="00FD00AF"/>
    <w:rsid w:val="00FD00DE"/>
    <w:rsid w:val="00FD09DD"/>
    <w:rsid w:val="00FD1E4F"/>
    <w:rsid w:val="00FD1E6E"/>
    <w:rsid w:val="00FD20D3"/>
    <w:rsid w:val="00FD210F"/>
    <w:rsid w:val="00FD2DDD"/>
    <w:rsid w:val="00FD332F"/>
    <w:rsid w:val="00FD3CCC"/>
    <w:rsid w:val="00FD4948"/>
    <w:rsid w:val="00FD4EE4"/>
    <w:rsid w:val="00FD4F51"/>
    <w:rsid w:val="00FD500C"/>
    <w:rsid w:val="00FD5197"/>
    <w:rsid w:val="00FD5AC3"/>
    <w:rsid w:val="00FD5FF4"/>
    <w:rsid w:val="00FD6EAD"/>
    <w:rsid w:val="00FD6F6C"/>
    <w:rsid w:val="00FE0BE5"/>
    <w:rsid w:val="00FE1939"/>
    <w:rsid w:val="00FE1943"/>
    <w:rsid w:val="00FE19AB"/>
    <w:rsid w:val="00FE1BAF"/>
    <w:rsid w:val="00FE1CFE"/>
    <w:rsid w:val="00FE1E63"/>
    <w:rsid w:val="00FE1EB4"/>
    <w:rsid w:val="00FE25E6"/>
    <w:rsid w:val="00FE2C60"/>
    <w:rsid w:val="00FE2C9C"/>
    <w:rsid w:val="00FE31F2"/>
    <w:rsid w:val="00FE353E"/>
    <w:rsid w:val="00FE35BF"/>
    <w:rsid w:val="00FE3C12"/>
    <w:rsid w:val="00FE4348"/>
    <w:rsid w:val="00FE4717"/>
    <w:rsid w:val="00FE4D0C"/>
    <w:rsid w:val="00FE4F5F"/>
    <w:rsid w:val="00FE5497"/>
    <w:rsid w:val="00FE5B35"/>
    <w:rsid w:val="00FE5BE0"/>
    <w:rsid w:val="00FE609A"/>
    <w:rsid w:val="00FE6A3E"/>
    <w:rsid w:val="00FE6B10"/>
    <w:rsid w:val="00FE758F"/>
    <w:rsid w:val="00FE7765"/>
    <w:rsid w:val="00FE7F23"/>
    <w:rsid w:val="00FF0202"/>
    <w:rsid w:val="00FF055D"/>
    <w:rsid w:val="00FF1BFE"/>
    <w:rsid w:val="00FF1E39"/>
    <w:rsid w:val="00FF206B"/>
    <w:rsid w:val="00FF26EE"/>
    <w:rsid w:val="00FF2CAF"/>
    <w:rsid w:val="00FF3B2E"/>
    <w:rsid w:val="00FF409A"/>
    <w:rsid w:val="00FF4407"/>
    <w:rsid w:val="00FF449A"/>
    <w:rsid w:val="00FF45E0"/>
    <w:rsid w:val="00FF4F9D"/>
    <w:rsid w:val="00FF54C4"/>
    <w:rsid w:val="00FF5B33"/>
    <w:rsid w:val="00FF5D16"/>
    <w:rsid w:val="00FF5F2C"/>
    <w:rsid w:val="00FF68EB"/>
    <w:rsid w:val="00FF6D7C"/>
    <w:rsid w:val="00FF7274"/>
    <w:rsid w:val="0AB22FC1"/>
    <w:rsid w:val="0F46E397"/>
    <w:rsid w:val="2BC286AC"/>
    <w:rsid w:val="2CF71098"/>
    <w:rsid w:val="2EBF02FB"/>
    <w:rsid w:val="39A8AF3C"/>
    <w:rsid w:val="55487442"/>
    <w:rsid w:val="5785F1E4"/>
    <w:rsid w:val="5E30DA01"/>
    <w:rsid w:val="5FEF5BA5"/>
    <w:rsid w:val="727AB0A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FC1C0"/>
  <w15:docId w15:val="{474D7C3A-2A47-4784-AC6B-D10C429E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3" w:qFormat="1"/>
    <w:lsdException w:name="heading 3" w:uiPriority="3" w:qFormat="1"/>
    <w:lsdException w:name="heading 4" w:uiPriority="3" w:qFormat="1"/>
    <w:lsdException w:name="heading 5" w:uiPriority="3" w:qFormat="1"/>
    <w:lsdException w:name="heading 6" w:uiPriority="4"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0" w:unhideWhenUsed="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iPriority="4" w:unhideWhenUsed="1" w:qFormat="1"/>
    <w:lsdException w:name="List Number" w:uiPriority="4"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lsdException w:name="Strong" w:uiPriority="22" w:qFormat="1"/>
    <w:lsdException w:name="Emphasis" w:semiHidden="1" w:uiPriority="19"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uiPriority="19" w:qFormat="1"/>
    <w:lsdException w:name="Intense Quote" w:uiPriority="1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9"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5D8"/>
    <w:rPr>
      <w:lang w:val="en-US"/>
    </w:rPr>
  </w:style>
  <w:style w:type="paragraph" w:styleId="Heading1">
    <w:name w:val="heading 1"/>
    <w:aliases w:val="H1"/>
    <w:basedOn w:val="Normal"/>
    <w:next w:val="Normal"/>
    <w:link w:val="Heading1Char"/>
    <w:uiPriority w:val="1"/>
    <w:qFormat/>
    <w:rsid w:val="00B10C6D"/>
    <w:pPr>
      <w:keepNext/>
      <w:keepLines/>
      <w:numPr>
        <w:numId w:val="2"/>
      </w:numPr>
      <w:suppressAutoHyphens/>
      <w:spacing w:before="280" w:after="280" w:line="360" w:lineRule="atLeast"/>
      <w:contextualSpacing/>
      <w:outlineLvl w:val="0"/>
    </w:pPr>
    <w:rPr>
      <w:rFonts w:eastAsiaTheme="majorEastAsia" w:cstheme="majorBidi"/>
      <w:b/>
      <w:bCs/>
      <w:color w:val="009DF0" w:themeColor="text2"/>
      <w:sz w:val="28"/>
      <w:szCs w:val="28"/>
    </w:rPr>
  </w:style>
  <w:style w:type="paragraph" w:styleId="Heading2">
    <w:name w:val="heading 2"/>
    <w:basedOn w:val="Normal"/>
    <w:next w:val="Normal"/>
    <w:link w:val="Heading2Char"/>
    <w:uiPriority w:val="3"/>
    <w:qFormat/>
    <w:rsid w:val="00B10C6D"/>
    <w:pPr>
      <w:keepNext/>
      <w:keepLines/>
      <w:numPr>
        <w:ilvl w:val="1"/>
        <w:numId w:val="2"/>
      </w:numPr>
      <w:suppressAutoHyphens/>
      <w:spacing w:after="120" w:line="360" w:lineRule="auto"/>
      <w:contextualSpacing/>
      <w:outlineLvl w:val="1"/>
    </w:pPr>
    <w:rPr>
      <w:rFonts w:eastAsiaTheme="majorEastAsia" w:cstheme="majorBidi"/>
      <w:b/>
      <w:bCs/>
      <w:color w:val="009DF0" w:themeColor="text2"/>
      <w:sz w:val="20"/>
      <w:szCs w:val="26"/>
    </w:rPr>
  </w:style>
  <w:style w:type="paragraph" w:styleId="Heading3">
    <w:name w:val="heading 3"/>
    <w:basedOn w:val="Normal"/>
    <w:next w:val="Normal"/>
    <w:link w:val="Heading3Char"/>
    <w:uiPriority w:val="3"/>
    <w:qFormat/>
    <w:rsid w:val="00B10C6D"/>
    <w:pPr>
      <w:keepNext/>
      <w:keepLines/>
      <w:numPr>
        <w:ilvl w:val="2"/>
        <w:numId w:val="2"/>
      </w:numPr>
      <w:spacing w:after="120" w:line="360" w:lineRule="auto"/>
      <w:contextualSpacing/>
      <w:outlineLvl w:val="2"/>
    </w:pPr>
    <w:rPr>
      <w:rFonts w:eastAsiaTheme="majorEastAsia" w:cstheme="majorBidi"/>
      <w:b/>
      <w:bCs/>
    </w:rPr>
  </w:style>
  <w:style w:type="paragraph" w:styleId="Heading4">
    <w:name w:val="heading 4"/>
    <w:basedOn w:val="Normal"/>
    <w:next w:val="Normal"/>
    <w:link w:val="Heading4Char"/>
    <w:uiPriority w:val="3"/>
    <w:qFormat/>
    <w:rsid w:val="00B10C6D"/>
    <w:pPr>
      <w:keepNext/>
      <w:keepLines/>
      <w:numPr>
        <w:ilvl w:val="3"/>
        <w:numId w:val="2"/>
      </w:numPr>
      <w:spacing w:before="260"/>
      <w:contextualSpacing/>
      <w:outlineLvl w:val="3"/>
    </w:pPr>
    <w:rPr>
      <w:rFonts w:eastAsiaTheme="majorEastAsia" w:cstheme="majorBidi"/>
      <w:bCs/>
      <w:iCs/>
    </w:rPr>
  </w:style>
  <w:style w:type="paragraph" w:styleId="Heading5">
    <w:name w:val="heading 5"/>
    <w:basedOn w:val="Normal"/>
    <w:next w:val="Normal"/>
    <w:link w:val="Heading5Char"/>
    <w:uiPriority w:val="3"/>
    <w:qFormat/>
    <w:rsid w:val="00920D86"/>
    <w:pPr>
      <w:keepNext/>
      <w:keepLines/>
      <w:numPr>
        <w:ilvl w:val="4"/>
        <w:numId w:val="2"/>
      </w:numPr>
      <w:spacing w:before="260"/>
      <w:contextualSpacing/>
      <w:outlineLvl w:val="4"/>
    </w:pPr>
    <w:rPr>
      <w:rFonts w:eastAsiaTheme="majorEastAsia" w:cstheme="majorBidi"/>
      <w:u w:val="single"/>
    </w:rPr>
  </w:style>
  <w:style w:type="paragraph" w:styleId="Heading6">
    <w:name w:val="heading 6"/>
    <w:basedOn w:val="Normal"/>
    <w:next w:val="Normal"/>
    <w:link w:val="Heading6Char"/>
    <w:uiPriority w:val="4"/>
    <w:semiHidden/>
    <w:qFormat/>
    <w:rsid w:val="00920D86"/>
    <w:pPr>
      <w:keepNext/>
      <w:keepLines/>
      <w:numPr>
        <w:ilvl w:val="5"/>
        <w:numId w:val="2"/>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4"/>
    <w:semiHidden/>
    <w:qFormat/>
    <w:rsid w:val="00920D86"/>
    <w:pPr>
      <w:keepNext/>
      <w:keepLines/>
      <w:numPr>
        <w:ilvl w:val="6"/>
        <w:numId w:val="2"/>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4"/>
    <w:semiHidden/>
    <w:qFormat/>
    <w:rsid w:val="00920D86"/>
    <w:pPr>
      <w:keepNext/>
      <w:keepLines/>
      <w:numPr>
        <w:ilvl w:val="7"/>
        <w:numId w:val="2"/>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4"/>
    <w:semiHidden/>
    <w:qFormat/>
    <w:rsid w:val="00920D86"/>
    <w:pPr>
      <w:keepNext/>
      <w:keepLines/>
      <w:numPr>
        <w:ilvl w:val="8"/>
        <w:numId w:val="2"/>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20D86"/>
    <w:pPr>
      <w:spacing w:line="160" w:lineRule="atLeast"/>
    </w:pPr>
    <w:rPr>
      <w:color w:val="D0CFC2"/>
    </w:rPr>
  </w:style>
  <w:style w:type="character" w:customStyle="1" w:styleId="HeaderChar">
    <w:name w:val="Header Char"/>
    <w:basedOn w:val="DefaultParagraphFont"/>
    <w:link w:val="Header"/>
    <w:uiPriority w:val="99"/>
    <w:rsid w:val="00920D86"/>
    <w:rPr>
      <w:color w:val="D0CFC2"/>
      <w:lang w:val="en-US"/>
    </w:rPr>
  </w:style>
  <w:style w:type="paragraph" w:styleId="Footer">
    <w:name w:val="footer"/>
    <w:basedOn w:val="Normal"/>
    <w:link w:val="FooterChar"/>
    <w:uiPriority w:val="99"/>
    <w:rsid w:val="00920D86"/>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920D86"/>
    <w:rPr>
      <w:sz w:val="12"/>
      <w:lang w:val="en-US"/>
    </w:rPr>
  </w:style>
  <w:style w:type="character" w:customStyle="1" w:styleId="Heading1Char">
    <w:name w:val="Heading 1 Char"/>
    <w:aliases w:val="H1 Char"/>
    <w:basedOn w:val="DefaultParagraphFont"/>
    <w:link w:val="Heading1"/>
    <w:uiPriority w:val="9"/>
    <w:rsid w:val="00B10C6D"/>
    <w:rPr>
      <w:rFonts w:eastAsiaTheme="majorEastAsia" w:cstheme="majorBidi"/>
      <w:b/>
      <w:bCs/>
      <w:color w:val="009DF0" w:themeColor="text2"/>
      <w:sz w:val="28"/>
      <w:szCs w:val="28"/>
      <w:lang w:val="en-US"/>
    </w:rPr>
  </w:style>
  <w:style w:type="character" w:customStyle="1" w:styleId="Heading2Char">
    <w:name w:val="Heading 2 Char"/>
    <w:basedOn w:val="DefaultParagraphFont"/>
    <w:link w:val="Heading2"/>
    <w:uiPriority w:val="9"/>
    <w:rsid w:val="00B10C6D"/>
    <w:rPr>
      <w:rFonts w:eastAsiaTheme="majorEastAsia" w:cstheme="majorBidi"/>
      <w:b/>
      <w:bCs/>
      <w:color w:val="009DF0" w:themeColor="text2"/>
      <w:sz w:val="20"/>
      <w:szCs w:val="26"/>
      <w:lang w:val="en-US"/>
    </w:rPr>
  </w:style>
  <w:style w:type="character" w:customStyle="1" w:styleId="Heading3Char">
    <w:name w:val="Heading 3 Char"/>
    <w:basedOn w:val="DefaultParagraphFont"/>
    <w:link w:val="Heading3"/>
    <w:uiPriority w:val="9"/>
    <w:rsid w:val="00B10C6D"/>
    <w:rPr>
      <w:rFonts w:eastAsiaTheme="majorEastAsia" w:cstheme="majorBidi"/>
      <w:b/>
      <w:bCs/>
      <w:lang w:val="en-US"/>
    </w:rPr>
  </w:style>
  <w:style w:type="character" w:customStyle="1" w:styleId="Heading4Char">
    <w:name w:val="Heading 4 Char"/>
    <w:basedOn w:val="DefaultParagraphFont"/>
    <w:link w:val="Heading4"/>
    <w:uiPriority w:val="9"/>
    <w:rsid w:val="00B10C6D"/>
    <w:rPr>
      <w:rFonts w:eastAsiaTheme="majorEastAsia" w:cstheme="majorBidi"/>
      <w:bCs/>
      <w:iCs/>
      <w:lang w:val="en-US"/>
    </w:rPr>
  </w:style>
  <w:style w:type="character" w:customStyle="1" w:styleId="Heading5Char">
    <w:name w:val="Heading 5 Char"/>
    <w:basedOn w:val="DefaultParagraphFont"/>
    <w:link w:val="Heading5"/>
    <w:uiPriority w:val="9"/>
    <w:rsid w:val="00920D86"/>
    <w:rPr>
      <w:rFonts w:eastAsiaTheme="majorEastAsia" w:cstheme="majorBidi"/>
      <w:u w:val="single"/>
      <w:lang w:val="en-US"/>
    </w:rPr>
  </w:style>
  <w:style w:type="character" w:customStyle="1" w:styleId="Heading6Char">
    <w:name w:val="Heading 6 Char"/>
    <w:basedOn w:val="DefaultParagraphFont"/>
    <w:link w:val="Heading6"/>
    <w:uiPriority w:val="9"/>
    <w:semiHidden/>
    <w:rsid w:val="00920D86"/>
    <w:rPr>
      <w:rFonts w:eastAsiaTheme="majorEastAsia" w:cstheme="majorBidi"/>
      <w:b/>
      <w:iCs/>
      <w:lang w:val="en-US"/>
    </w:rPr>
  </w:style>
  <w:style w:type="character" w:customStyle="1" w:styleId="Heading7Char">
    <w:name w:val="Heading 7 Char"/>
    <w:basedOn w:val="DefaultParagraphFont"/>
    <w:link w:val="Heading7"/>
    <w:uiPriority w:val="4"/>
    <w:semiHidden/>
    <w:rsid w:val="00920D86"/>
    <w:rPr>
      <w:rFonts w:eastAsiaTheme="majorEastAsia" w:cstheme="majorBidi"/>
      <w:b/>
      <w:iCs/>
      <w:lang w:val="en-US"/>
    </w:rPr>
  </w:style>
  <w:style w:type="character" w:customStyle="1" w:styleId="Heading8Char">
    <w:name w:val="Heading 8 Char"/>
    <w:basedOn w:val="DefaultParagraphFont"/>
    <w:link w:val="Heading8"/>
    <w:uiPriority w:val="4"/>
    <w:semiHidden/>
    <w:rsid w:val="00920D86"/>
    <w:rPr>
      <w:rFonts w:eastAsiaTheme="majorEastAsia" w:cstheme="majorBidi"/>
      <w:b/>
      <w:szCs w:val="20"/>
      <w:lang w:val="en-US"/>
    </w:rPr>
  </w:style>
  <w:style w:type="character" w:customStyle="1" w:styleId="Heading9Char">
    <w:name w:val="Heading 9 Char"/>
    <w:basedOn w:val="DefaultParagraphFont"/>
    <w:link w:val="Heading9"/>
    <w:uiPriority w:val="4"/>
    <w:semiHidden/>
    <w:rsid w:val="00920D86"/>
    <w:rPr>
      <w:rFonts w:eastAsiaTheme="majorEastAsia" w:cstheme="majorBidi"/>
      <w:b/>
      <w:iCs/>
      <w:szCs w:val="20"/>
      <w:lang w:val="en-US"/>
    </w:rPr>
  </w:style>
  <w:style w:type="paragraph" w:styleId="Title">
    <w:name w:val="Title"/>
    <w:basedOn w:val="Normal"/>
    <w:next w:val="Normal"/>
    <w:link w:val="TitleChar"/>
    <w:uiPriority w:val="10"/>
    <w:qFormat/>
    <w:rsid w:val="00920D86"/>
    <w:pPr>
      <w:spacing w:after="260" w:line="710" w:lineRule="exact"/>
      <w:contextualSpacing/>
    </w:pPr>
    <w:rPr>
      <w:rFonts w:eastAsiaTheme="majorEastAsia" w:cstheme="majorBidi"/>
      <w:b/>
      <w:caps/>
      <w:kern w:val="28"/>
      <w:sz w:val="64"/>
      <w:szCs w:val="52"/>
    </w:rPr>
  </w:style>
  <w:style w:type="character" w:customStyle="1" w:styleId="TitleChar">
    <w:name w:val="Title Char"/>
    <w:basedOn w:val="DefaultParagraphFont"/>
    <w:link w:val="Title"/>
    <w:uiPriority w:val="99"/>
    <w:rsid w:val="00920D86"/>
    <w:rPr>
      <w:rFonts w:eastAsiaTheme="majorEastAsia" w:cstheme="majorBidi"/>
      <w:b/>
      <w:caps/>
      <w:kern w:val="28"/>
      <w:sz w:val="64"/>
      <w:szCs w:val="52"/>
      <w:lang w:val="en-US"/>
    </w:rPr>
  </w:style>
  <w:style w:type="paragraph" w:styleId="Subtitle">
    <w:name w:val="Subtitle"/>
    <w:basedOn w:val="Normal"/>
    <w:next w:val="Normal"/>
    <w:link w:val="SubtitleChar"/>
    <w:uiPriority w:val="8"/>
    <w:qFormat/>
    <w:rsid w:val="00261211"/>
    <w:pPr>
      <w:numPr>
        <w:ilvl w:val="1"/>
      </w:numPr>
      <w:spacing w:line="288" w:lineRule="atLeast"/>
      <w:contextualSpacing/>
    </w:pPr>
    <w:rPr>
      <w:rFonts w:eastAsiaTheme="majorEastAsia" w:cstheme="majorBidi"/>
      <w:iCs/>
      <w:sz w:val="24"/>
      <w:szCs w:val="24"/>
    </w:rPr>
  </w:style>
  <w:style w:type="character" w:customStyle="1" w:styleId="SubtitleChar">
    <w:name w:val="Subtitle Char"/>
    <w:basedOn w:val="DefaultParagraphFont"/>
    <w:link w:val="Subtitle"/>
    <w:uiPriority w:val="8"/>
    <w:rsid w:val="00261211"/>
    <w:rPr>
      <w:rFonts w:eastAsiaTheme="majorEastAsia" w:cstheme="majorBidi"/>
      <w:iCs/>
      <w:sz w:val="24"/>
      <w:szCs w:val="24"/>
      <w:lang w:val="en-US"/>
    </w:rPr>
  </w:style>
  <w:style w:type="character" w:styleId="SubtleEmphasis">
    <w:name w:val="Subtle Emphasis"/>
    <w:basedOn w:val="DefaultParagraphFont"/>
    <w:uiPriority w:val="99"/>
    <w:qFormat/>
    <w:rsid w:val="00920D86"/>
    <w:rPr>
      <w:i/>
      <w:iCs/>
      <w:color w:val="808080" w:themeColor="text1" w:themeTint="7F"/>
      <w:lang w:val="en-US"/>
    </w:rPr>
  </w:style>
  <w:style w:type="character" w:styleId="IntenseEmphasis">
    <w:name w:val="Intense Emphasis"/>
    <w:basedOn w:val="DefaultParagraphFont"/>
    <w:uiPriority w:val="19"/>
    <w:qFormat/>
    <w:rsid w:val="00920D86"/>
    <w:rPr>
      <w:b/>
      <w:bCs/>
      <w:i/>
      <w:iCs/>
      <w:color w:val="auto"/>
      <w:lang w:val="en-US"/>
    </w:rPr>
  </w:style>
  <w:style w:type="character" w:styleId="Strong">
    <w:name w:val="Strong"/>
    <w:basedOn w:val="DefaultParagraphFont"/>
    <w:uiPriority w:val="22"/>
    <w:qFormat/>
    <w:rsid w:val="00920D86"/>
    <w:rPr>
      <w:b/>
      <w:bCs/>
      <w:lang w:val="en-US"/>
    </w:rPr>
  </w:style>
  <w:style w:type="paragraph" w:styleId="IntenseQuote">
    <w:name w:val="Intense Quote"/>
    <w:basedOn w:val="Normal"/>
    <w:next w:val="Normal"/>
    <w:link w:val="IntenseQuoteChar"/>
    <w:uiPriority w:val="19"/>
    <w:qFormat/>
    <w:rsid w:val="00920D86"/>
    <w:pPr>
      <w:spacing w:before="260" w:after="260"/>
      <w:ind w:left="851" w:right="851"/>
    </w:pPr>
    <w:rPr>
      <w:b/>
      <w:bCs/>
      <w:i/>
      <w:iCs/>
    </w:rPr>
  </w:style>
  <w:style w:type="character" w:customStyle="1" w:styleId="IntenseQuoteChar">
    <w:name w:val="Intense Quote Char"/>
    <w:basedOn w:val="DefaultParagraphFont"/>
    <w:link w:val="IntenseQuote"/>
    <w:uiPriority w:val="19"/>
    <w:rsid w:val="00920D86"/>
    <w:rPr>
      <w:b/>
      <w:bCs/>
      <w:i/>
      <w:iCs/>
      <w:lang w:val="en-US"/>
    </w:rPr>
  </w:style>
  <w:style w:type="character" w:styleId="SubtleReference">
    <w:name w:val="Subtle Reference"/>
    <w:basedOn w:val="DefaultParagraphFont"/>
    <w:uiPriority w:val="99"/>
    <w:qFormat/>
    <w:rsid w:val="00920D86"/>
    <w:rPr>
      <w:caps w:val="0"/>
      <w:smallCaps w:val="0"/>
      <w:color w:val="auto"/>
      <w:u w:val="single"/>
      <w:lang w:val="en-US"/>
    </w:rPr>
  </w:style>
  <w:style w:type="character" w:styleId="IntenseReference">
    <w:name w:val="Intense Reference"/>
    <w:basedOn w:val="DefaultParagraphFont"/>
    <w:uiPriority w:val="99"/>
    <w:qFormat/>
    <w:rsid w:val="00920D86"/>
    <w:rPr>
      <w:b/>
      <w:bCs/>
      <w:caps w:val="0"/>
      <w:smallCaps w:val="0"/>
      <w:color w:val="auto"/>
      <w:spacing w:val="5"/>
      <w:u w:val="single"/>
      <w:lang w:val="en-US"/>
    </w:rPr>
  </w:style>
  <w:style w:type="paragraph" w:styleId="Caption">
    <w:name w:val="caption"/>
    <w:basedOn w:val="Normal"/>
    <w:next w:val="Caption-Text"/>
    <w:link w:val="CaptionChar"/>
    <w:qFormat/>
    <w:rsid w:val="00920D86"/>
    <w:pPr>
      <w:spacing w:before="170" w:after="100" w:line="200" w:lineRule="atLeast"/>
    </w:pPr>
    <w:rPr>
      <w:b/>
      <w:bCs/>
      <w:color w:val="009DF0" w:themeColor="text2"/>
      <w:sz w:val="14"/>
    </w:rPr>
  </w:style>
  <w:style w:type="paragraph" w:styleId="TOC1">
    <w:name w:val="toc 1"/>
    <w:basedOn w:val="Normal"/>
    <w:next w:val="Normal"/>
    <w:uiPriority w:val="39"/>
    <w:rsid w:val="00920D86"/>
    <w:pPr>
      <w:tabs>
        <w:tab w:val="right" w:pos="6231"/>
      </w:tabs>
      <w:spacing w:before="260"/>
      <w:ind w:right="567"/>
    </w:pPr>
    <w:rPr>
      <w:rFonts w:eastAsia="Times New Roman" w:cs="Times New Roman"/>
      <w:color w:val="009DF0" w:themeColor="text2"/>
    </w:rPr>
  </w:style>
  <w:style w:type="paragraph" w:styleId="TOC2">
    <w:name w:val="toc 2"/>
    <w:basedOn w:val="Normal"/>
    <w:next w:val="Normal"/>
    <w:uiPriority w:val="39"/>
    <w:rsid w:val="00920D86"/>
    <w:pPr>
      <w:tabs>
        <w:tab w:val="left" w:pos="851"/>
        <w:tab w:val="right" w:pos="6231"/>
      </w:tabs>
      <w:ind w:right="567"/>
    </w:pPr>
    <w:rPr>
      <w:rFonts w:eastAsia="Times New Roman" w:cs="Times New Roman"/>
    </w:rPr>
  </w:style>
  <w:style w:type="paragraph" w:styleId="TOC3">
    <w:name w:val="toc 3"/>
    <w:basedOn w:val="Normal"/>
    <w:next w:val="Normal"/>
    <w:uiPriority w:val="39"/>
    <w:rsid w:val="00920D86"/>
    <w:pPr>
      <w:tabs>
        <w:tab w:val="left" w:pos="851"/>
        <w:tab w:val="right" w:pos="6231"/>
      </w:tabs>
      <w:ind w:left="851" w:right="567" w:hanging="851"/>
    </w:pPr>
    <w:rPr>
      <w:rFonts w:eastAsia="Times New Roman" w:cs="Times New Roman"/>
    </w:rPr>
  </w:style>
  <w:style w:type="paragraph" w:styleId="TOC4">
    <w:name w:val="toc 4"/>
    <w:basedOn w:val="Normal"/>
    <w:next w:val="Normal"/>
    <w:link w:val="TOC4Char"/>
    <w:uiPriority w:val="39"/>
    <w:semiHidden/>
    <w:rsid w:val="00920D86"/>
    <w:pPr>
      <w:tabs>
        <w:tab w:val="left" w:pos="1077"/>
        <w:tab w:val="right" w:pos="7229"/>
      </w:tabs>
      <w:ind w:left="510" w:right="2268" w:hanging="1077"/>
    </w:pPr>
    <w:rPr>
      <w:rFonts w:eastAsia="Times New Roman" w:cs="Times New Roman"/>
    </w:rPr>
  </w:style>
  <w:style w:type="paragraph" w:styleId="TOC5">
    <w:name w:val="toc 5"/>
    <w:basedOn w:val="Normal"/>
    <w:next w:val="Normal"/>
    <w:uiPriority w:val="39"/>
    <w:semiHidden/>
    <w:rsid w:val="00920D86"/>
    <w:pPr>
      <w:tabs>
        <w:tab w:val="left" w:pos="1077"/>
        <w:tab w:val="right" w:pos="7229"/>
      </w:tabs>
      <w:ind w:left="510" w:right="2268" w:hanging="1077"/>
    </w:pPr>
    <w:rPr>
      <w:rFonts w:eastAsia="Times New Roman" w:cs="Times New Roman"/>
    </w:rPr>
  </w:style>
  <w:style w:type="paragraph" w:styleId="TOC6">
    <w:name w:val="toc 6"/>
    <w:basedOn w:val="Normal"/>
    <w:next w:val="Normal"/>
    <w:uiPriority w:val="39"/>
    <w:semiHidden/>
    <w:rsid w:val="00920D86"/>
    <w:pPr>
      <w:tabs>
        <w:tab w:val="right" w:pos="7229"/>
      </w:tabs>
      <w:ind w:left="-567" w:right="2268"/>
    </w:pPr>
    <w:rPr>
      <w:rFonts w:eastAsia="Times New Roman" w:cs="Times New Roman"/>
    </w:rPr>
  </w:style>
  <w:style w:type="paragraph" w:styleId="TOC7">
    <w:name w:val="toc 7"/>
    <w:basedOn w:val="Normal"/>
    <w:next w:val="Normal"/>
    <w:uiPriority w:val="39"/>
    <w:semiHidden/>
    <w:rsid w:val="00920D86"/>
    <w:pPr>
      <w:spacing w:before="240"/>
      <w:ind w:left="-567" w:right="2268"/>
    </w:pPr>
    <w:rPr>
      <w:rFonts w:eastAsia="Times New Roman" w:cs="Times New Roman"/>
      <w:b/>
    </w:rPr>
  </w:style>
  <w:style w:type="paragraph" w:styleId="TOC8">
    <w:name w:val="toc 8"/>
    <w:basedOn w:val="Normal"/>
    <w:next w:val="Normal"/>
    <w:uiPriority w:val="39"/>
    <w:semiHidden/>
    <w:rsid w:val="00920D86"/>
    <w:pPr>
      <w:ind w:left="-567" w:right="2268"/>
    </w:pPr>
    <w:rPr>
      <w:rFonts w:eastAsia="Times New Roman" w:cs="Times New Roman"/>
    </w:rPr>
  </w:style>
  <w:style w:type="paragraph" w:styleId="TOC9">
    <w:name w:val="toc 9"/>
    <w:basedOn w:val="Normal"/>
    <w:next w:val="Normal"/>
    <w:uiPriority w:val="39"/>
    <w:semiHidden/>
    <w:rsid w:val="00920D86"/>
    <w:pPr>
      <w:ind w:left="-567" w:right="2268"/>
    </w:pPr>
    <w:rPr>
      <w:rFonts w:eastAsia="Times New Roman" w:cs="Times New Roman"/>
    </w:rPr>
  </w:style>
  <w:style w:type="paragraph" w:styleId="TOCHeading">
    <w:name w:val="TOC Heading"/>
    <w:basedOn w:val="Normal"/>
    <w:next w:val="Normal"/>
    <w:uiPriority w:val="39"/>
    <w:qFormat/>
    <w:rsid w:val="00920D86"/>
    <w:rPr>
      <w:color w:val="009DF0" w:themeColor="text2"/>
      <w:sz w:val="24"/>
    </w:rPr>
  </w:style>
  <w:style w:type="paragraph" w:styleId="BlockText">
    <w:name w:val="Block Text"/>
    <w:basedOn w:val="Normal"/>
    <w:uiPriority w:val="99"/>
    <w:semiHidden/>
    <w:rsid w:val="00920D86"/>
    <w:pPr>
      <w:pBdr>
        <w:top w:val="single" w:sz="2" w:space="10" w:color="7F7F7F" w:themeColor="text1" w:themeTint="80"/>
        <w:left w:val="single" w:sz="2" w:space="10" w:color="7F7F7F" w:themeColor="text1" w:themeTint="80"/>
        <w:bottom w:val="single" w:sz="2" w:space="10" w:color="7F7F7F" w:themeColor="text1" w:themeTint="80"/>
        <w:right w:val="single" w:sz="2" w:space="10" w:color="7F7F7F" w:themeColor="text1" w:themeTint="80"/>
      </w:pBdr>
      <w:ind w:left="1151" w:right="1151"/>
    </w:pPr>
    <w:rPr>
      <w:rFonts w:eastAsiaTheme="minorEastAsia"/>
      <w:i/>
      <w:iCs/>
    </w:rPr>
  </w:style>
  <w:style w:type="paragraph" w:styleId="EndnoteText">
    <w:name w:val="endnote text"/>
    <w:basedOn w:val="Normal"/>
    <w:link w:val="EndnoteTextChar"/>
    <w:uiPriority w:val="99"/>
    <w:semiHidden/>
    <w:rsid w:val="00920D86"/>
    <w:pPr>
      <w:spacing w:line="200" w:lineRule="atLeast"/>
      <w:ind w:left="85" w:hanging="85"/>
    </w:pPr>
    <w:rPr>
      <w:color w:val="273943" w:themeColor="background2"/>
      <w:sz w:val="12"/>
      <w:szCs w:val="20"/>
    </w:rPr>
  </w:style>
  <w:style w:type="character" w:customStyle="1" w:styleId="EndnoteTextChar">
    <w:name w:val="Endnote Text Char"/>
    <w:basedOn w:val="DefaultParagraphFont"/>
    <w:link w:val="EndnoteText"/>
    <w:uiPriority w:val="99"/>
    <w:semiHidden/>
    <w:rsid w:val="00920D86"/>
    <w:rPr>
      <w:color w:val="273943" w:themeColor="background2"/>
      <w:sz w:val="12"/>
      <w:szCs w:val="20"/>
      <w:lang w:val="en-US"/>
    </w:rPr>
  </w:style>
  <w:style w:type="character" w:styleId="EndnoteReference">
    <w:name w:val="endnote reference"/>
    <w:basedOn w:val="DefaultParagraphFont"/>
    <w:uiPriority w:val="99"/>
    <w:semiHidden/>
    <w:rsid w:val="00920D86"/>
    <w:rPr>
      <w:vertAlign w:val="superscript"/>
      <w:lang w:val="en-US"/>
    </w:rPr>
  </w:style>
  <w:style w:type="paragraph" w:styleId="FootnoteText">
    <w:name w:val="footnote text"/>
    <w:basedOn w:val="Normal"/>
    <w:link w:val="FootnoteTextChar"/>
    <w:uiPriority w:val="99"/>
    <w:semiHidden/>
    <w:rsid w:val="00920D86"/>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99"/>
    <w:semiHidden/>
    <w:rsid w:val="00920D86"/>
    <w:rPr>
      <w:color w:val="797766"/>
      <w:sz w:val="12"/>
      <w:szCs w:val="20"/>
      <w:lang w:val="en-US"/>
    </w:rPr>
  </w:style>
  <w:style w:type="paragraph" w:styleId="ListBullet">
    <w:name w:val="List Bullet"/>
    <w:basedOn w:val="Normal"/>
    <w:uiPriority w:val="4"/>
    <w:qFormat/>
    <w:rsid w:val="00920D86"/>
    <w:pPr>
      <w:numPr>
        <w:numId w:val="3"/>
      </w:numPr>
      <w:contextualSpacing/>
    </w:pPr>
  </w:style>
  <w:style w:type="paragraph" w:styleId="ListNumber">
    <w:name w:val="List Number"/>
    <w:basedOn w:val="Normal"/>
    <w:uiPriority w:val="4"/>
    <w:qFormat/>
    <w:rsid w:val="00920D86"/>
    <w:pPr>
      <w:numPr>
        <w:numId w:val="8"/>
      </w:numPr>
      <w:contextualSpacing/>
    </w:pPr>
  </w:style>
  <w:style w:type="character" w:styleId="PageNumber">
    <w:name w:val="page number"/>
    <w:basedOn w:val="DefaultParagraphFont"/>
    <w:uiPriority w:val="21"/>
    <w:semiHidden/>
    <w:rsid w:val="00920D86"/>
    <w:rPr>
      <w:lang w:val="en-US"/>
    </w:rPr>
  </w:style>
  <w:style w:type="paragraph" w:customStyle="1" w:styleId="Template">
    <w:name w:val="Template"/>
    <w:uiPriority w:val="8"/>
    <w:semiHidden/>
    <w:rsid w:val="00920D86"/>
    <w:pPr>
      <w:spacing w:line="200" w:lineRule="atLeast"/>
    </w:pPr>
    <w:rPr>
      <w:noProof/>
      <w:sz w:val="14"/>
      <w:lang w:val="en-US"/>
    </w:rPr>
  </w:style>
  <w:style w:type="paragraph" w:customStyle="1" w:styleId="Template-Address">
    <w:name w:val="Template - Address"/>
    <w:basedOn w:val="Template"/>
    <w:uiPriority w:val="8"/>
    <w:semiHidden/>
    <w:rsid w:val="00920D86"/>
    <w:pPr>
      <w:tabs>
        <w:tab w:val="left" w:pos="567"/>
      </w:tabs>
      <w:suppressAutoHyphens/>
    </w:pPr>
  </w:style>
  <w:style w:type="paragraph" w:customStyle="1" w:styleId="Template-Companyname">
    <w:name w:val="Template - Company name"/>
    <w:basedOn w:val="Template-Address"/>
    <w:next w:val="Template-Address"/>
    <w:uiPriority w:val="8"/>
    <w:semiHidden/>
    <w:rsid w:val="00920D86"/>
  </w:style>
  <w:style w:type="paragraph" w:styleId="TOAHeading">
    <w:name w:val="toa heading"/>
    <w:basedOn w:val="Normal"/>
    <w:next w:val="Normal"/>
    <w:uiPriority w:val="39"/>
    <w:semiHidden/>
    <w:rsid w:val="00920D86"/>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920D86"/>
    <w:pPr>
      <w:tabs>
        <w:tab w:val="right" w:pos="7229"/>
      </w:tabs>
      <w:ind w:right="2268"/>
    </w:pPr>
  </w:style>
  <w:style w:type="paragraph" w:styleId="Signature">
    <w:name w:val="Signature"/>
    <w:basedOn w:val="Normal"/>
    <w:link w:val="SignatureChar"/>
    <w:uiPriority w:val="99"/>
    <w:semiHidden/>
    <w:rsid w:val="00920D86"/>
    <w:pPr>
      <w:spacing w:line="240" w:lineRule="auto"/>
      <w:ind w:left="4252"/>
    </w:pPr>
  </w:style>
  <w:style w:type="character" w:customStyle="1" w:styleId="SignatureChar">
    <w:name w:val="Signature Char"/>
    <w:basedOn w:val="DefaultParagraphFont"/>
    <w:link w:val="Signature"/>
    <w:uiPriority w:val="99"/>
    <w:semiHidden/>
    <w:rsid w:val="00920D86"/>
    <w:rPr>
      <w:lang w:val="en-US"/>
    </w:rPr>
  </w:style>
  <w:style w:type="character" w:styleId="PlaceholderText">
    <w:name w:val="Placeholder Text"/>
    <w:basedOn w:val="DefaultParagraphFont"/>
    <w:uiPriority w:val="99"/>
    <w:semiHidden/>
    <w:rsid w:val="00920D86"/>
    <w:rPr>
      <w:color w:val="auto"/>
      <w:lang w:val="en-US"/>
    </w:rPr>
  </w:style>
  <w:style w:type="paragraph" w:customStyle="1" w:styleId="Table">
    <w:name w:val="Table"/>
    <w:uiPriority w:val="6"/>
    <w:semiHidden/>
    <w:rsid w:val="00920D86"/>
    <w:pPr>
      <w:spacing w:before="40" w:after="40" w:line="200" w:lineRule="atLeast"/>
      <w:ind w:left="57" w:right="113"/>
    </w:pPr>
    <w:rPr>
      <w:sz w:val="14"/>
      <w:lang w:val="en-US"/>
    </w:rPr>
  </w:style>
  <w:style w:type="paragraph" w:customStyle="1" w:styleId="Table-Text">
    <w:name w:val="Table - Text"/>
    <w:basedOn w:val="Table"/>
    <w:uiPriority w:val="6"/>
    <w:rsid w:val="00920D86"/>
  </w:style>
  <w:style w:type="paragraph" w:customStyle="1" w:styleId="Table-TextTotal">
    <w:name w:val="Table - Text Total"/>
    <w:basedOn w:val="Table-Text"/>
    <w:uiPriority w:val="6"/>
    <w:rsid w:val="00920D86"/>
    <w:rPr>
      <w:b/>
    </w:rPr>
  </w:style>
  <w:style w:type="paragraph" w:customStyle="1" w:styleId="Table-Number">
    <w:name w:val="Table - Number"/>
    <w:basedOn w:val="Table"/>
    <w:uiPriority w:val="6"/>
    <w:rsid w:val="00920D86"/>
    <w:pPr>
      <w:jc w:val="right"/>
    </w:pPr>
  </w:style>
  <w:style w:type="paragraph" w:customStyle="1" w:styleId="Table-NumberTotal">
    <w:name w:val="Table - Number Total"/>
    <w:basedOn w:val="Table-Number"/>
    <w:uiPriority w:val="6"/>
    <w:rsid w:val="00920D86"/>
    <w:rPr>
      <w:b/>
    </w:rPr>
  </w:style>
  <w:style w:type="paragraph" w:styleId="Quote">
    <w:name w:val="Quote"/>
    <w:basedOn w:val="Normal"/>
    <w:next w:val="Normal"/>
    <w:link w:val="QuoteChar"/>
    <w:uiPriority w:val="19"/>
    <w:qFormat/>
    <w:rsid w:val="00920D86"/>
    <w:pPr>
      <w:spacing w:before="260" w:after="260"/>
      <w:ind w:left="567" w:right="567"/>
    </w:pPr>
    <w:rPr>
      <w:b/>
      <w:iCs/>
      <w:color w:val="000000" w:themeColor="text1"/>
      <w:sz w:val="20"/>
    </w:rPr>
  </w:style>
  <w:style w:type="character" w:customStyle="1" w:styleId="QuoteChar">
    <w:name w:val="Quote Char"/>
    <w:basedOn w:val="DefaultParagraphFont"/>
    <w:link w:val="Quote"/>
    <w:uiPriority w:val="19"/>
    <w:rsid w:val="00920D86"/>
    <w:rPr>
      <w:b/>
      <w:iCs/>
      <w:color w:val="000000" w:themeColor="text1"/>
      <w:sz w:val="20"/>
      <w:lang w:val="en-US"/>
    </w:rPr>
  </w:style>
  <w:style w:type="character" w:styleId="BookTitle">
    <w:name w:val="Book Title"/>
    <w:basedOn w:val="DefaultParagraphFont"/>
    <w:uiPriority w:val="99"/>
    <w:qFormat/>
    <w:rsid w:val="00920D86"/>
    <w:rPr>
      <w:b/>
      <w:bCs/>
      <w:caps w:val="0"/>
      <w:smallCaps w:val="0"/>
      <w:spacing w:val="5"/>
      <w:lang w:val="en-US"/>
    </w:rPr>
  </w:style>
  <w:style w:type="paragraph" w:styleId="TableofAuthorities">
    <w:name w:val="table of authorities"/>
    <w:basedOn w:val="Normal"/>
    <w:next w:val="Normal"/>
    <w:uiPriority w:val="10"/>
    <w:semiHidden/>
    <w:rsid w:val="00920D86"/>
    <w:pPr>
      <w:ind w:right="567"/>
    </w:pPr>
  </w:style>
  <w:style w:type="paragraph" w:styleId="NormalIndent">
    <w:name w:val="Normal Indent"/>
    <w:basedOn w:val="Normal"/>
    <w:uiPriority w:val="99"/>
    <w:semiHidden/>
    <w:rsid w:val="00920D86"/>
    <w:pPr>
      <w:ind w:left="1134"/>
    </w:pPr>
  </w:style>
  <w:style w:type="table" w:styleId="TableGrid">
    <w:name w:val="Table Grid"/>
    <w:basedOn w:val="TableNormal"/>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8"/>
    <w:semiHidden/>
    <w:rsid w:val="00920D86"/>
    <w:pPr>
      <w:spacing w:after="260"/>
      <w:contextualSpacing/>
    </w:pPr>
    <w:rPr>
      <w:b/>
      <w:caps/>
    </w:rPr>
  </w:style>
  <w:style w:type="paragraph" w:customStyle="1" w:styleId="DocumentName">
    <w:name w:val="Document Name"/>
    <w:basedOn w:val="Normal"/>
    <w:next w:val="Normal"/>
    <w:uiPriority w:val="8"/>
    <w:semiHidden/>
    <w:rsid w:val="00920D86"/>
    <w:pPr>
      <w:spacing w:after="160" w:line="440" w:lineRule="exact"/>
    </w:pPr>
    <w:rPr>
      <w:caps/>
      <w:sz w:val="44"/>
    </w:rPr>
  </w:style>
  <w:style w:type="paragraph" w:customStyle="1" w:styleId="Template-Date">
    <w:name w:val="Template - Date"/>
    <w:basedOn w:val="Template"/>
    <w:uiPriority w:val="8"/>
    <w:semiHidden/>
    <w:rsid w:val="00920D86"/>
  </w:style>
  <w:style w:type="table" w:customStyle="1" w:styleId="Blank">
    <w:name w:val="Blank"/>
    <w:basedOn w:val="TableNormal"/>
    <w:uiPriority w:val="99"/>
    <w:rsid w:val="00920D86"/>
    <w:pPr>
      <w:spacing w:line="240" w:lineRule="atLeast"/>
    </w:pPr>
    <w:tblPr>
      <w:tblCellMar>
        <w:left w:w="0" w:type="dxa"/>
        <w:right w:w="0" w:type="dxa"/>
      </w:tblCellMar>
    </w:tblPr>
  </w:style>
  <w:style w:type="paragraph" w:styleId="NoSpacing">
    <w:name w:val="No Spacing"/>
    <w:uiPriority w:val="99"/>
    <w:qFormat/>
    <w:rsid w:val="00920D86"/>
    <w:pPr>
      <w:spacing w:line="240" w:lineRule="atLeast"/>
    </w:pPr>
    <w:rPr>
      <w:lang w:val="en-US"/>
    </w:rPr>
  </w:style>
  <w:style w:type="paragraph" w:customStyle="1" w:styleId="RecipientAddress">
    <w:name w:val="Recipient Address"/>
    <w:basedOn w:val="Normal"/>
    <w:uiPriority w:val="8"/>
    <w:semiHidden/>
    <w:rsid w:val="00920D86"/>
  </w:style>
  <w:style w:type="paragraph" w:customStyle="1" w:styleId="Table-Heading">
    <w:name w:val="Table - Heading"/>
    <w:basedOn w:val="Table"/>
    <w:uiPriority w:val="6"/>
    <w:rsid w:val="00920D86"/>
    <w:rPr>
      <w:b/>
    </w:rPr>
  </w:style>
  <w:style w:type="paragraph" w:customStyle="1" w:styleId="Table-HeadingRight">
    <w:name w:val="Table - Heading Right"/>
    <w:basedOn w:val="Table-Heading"/>
    <w:uiPriority w:val="6"/>
    <w:rsid w:val="00920D86"/>
    <w:pPr>
      <w:jc w:val="right"/>
    </w:pPr>
  </w:style>
  <w:style w:type="paragraph" w:customStyle="1" w:styleId="SenderName">
    <w:name w:val="Sender Name"/>
    <w:basedOn w:val="Normal"/>
    <w:uiPriority w:val="7"/>
    <w:semiHidden/>
    <w:rsid w:val="00920D86"/>
    <w:rPr>
      <w:rFonts w:eastAsia="Times New Roman" w:cs="Times New Roman"/>
      <w:b/>
    </w:rPr>
  </w:style>
  <w:style w:type="paragraph" w:customStyle="1" w:styleId="Senderinformation">
    <w:name w:val="Sender information"/>
    <w:basedOn w:val="Normal"/>
    <w:uiPriority w:val="7"/>
    <w:semiHidden/>
    <w:rsid w:val="00920D86"/>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920D86"/>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20D86"/>
    <w:rPr>
      <w:rFonts w:ascii="Segoe UI" w:hAnsi="Segoe UI" w:cs="Segoe UI"/>
      <w:lang w:val="en-US"/>
    </w:rPr>
  </w:style>
  <w:style w:type="paragraph" w:styleId="Bibliography">
    <w:name w:val="Bibliography"/>
    <w:basedOn w:val="Normal"/>
    <w:next w:val="Normal"/>
    <w:uiPriority w:val="99"/>
    <w:semiHidden/>
    <w:rsid w:val="00920D86"/>
  </w:style>
  <w:style w:type="paragraph" w:styleId="BodyText">
    <w:name w:val="Body Text"/>
    <w:basedOn w:val="Normal"/>
    <w:link w:val="BodyTextChar"/>
    <w:uiPriority w:val="99"/>
    <w:rsid w:val="00920D86"/>
    <w:pPr>
      <w:spacing w:after="120"/>
    </w:pPr>
  </w:style>
  <w:style w:type="character" w:customStyle="1" w:styleId="BodyTextChar">
    <w:name w:val="Body Text Char"/>
    <w:basedOn w:val="DefaultParagraphFont"/>
    <w:link w:val="BodyText"/>
    <w:uiPriority w:val="99"/>
    <w:rsid w:val="00920D86"/>
    <w:rPr>
      <w:lang w:val="en-US"/>
    </w:rPr>
  </w:style>
  <w:style w:type="paragraph" w:styleId="BodyText2">
    <w:name w:val="Body Text 2"/>
    <w:basedOn w:val="Normal"/>
    <w:link w:val="BodyText2Char"/>
    <w:uiPriority w:val="99"/>
    <w:rsid w:val="00920D86"/>
    <w:pPr>
      <w:spacing w:after="120" w:line="480" w:lineRule="auto"/>
    </w:pPr>
  </w:style>
  <w:style w:type="character" w:customStyle="1" w:styleId="BodyText2Char">
    <w:name w:val="Body Text 2 Char"/>
    <w:basedOn w:val="DefaultParagraphFont"/>
    <w:link w:val="BodyText2"/>
    <w:uiPriority w:val="99"/>
    <w:rsid w:val="00920D86"/>
    <w:rPr>
      <w:lang w:val="en-US"/>
    </w:rPr>
  </w:style>
  <w:style w:type="paragraph" w:styleId="BodyText3">
    <w:name w:val="Body Text 3"/>
    <w:basedOn w:val="Normal"/>
    <w:link w:val="BodyText3Char"/>
    <w:uiPriority w:val="99"/>
    <w:rsid w:val="00920D86"/>
    <w:pPr>
      <w:spacing w:after="120"/>
    </w:pPr>
    <w:rPr>
      <w:sz w:val="16"/>
      <w:szCs w:val="16"/>
    </w:rPr>
  </w:style>
  <w:style w:type="character" w:customStyle="1" w:styleId="BodyText3Char">
    <w:name w:val="Body Text 3 Char"/>
    <w:basedOn w:val="DefaultParagraphFont"/>
    <w:link w:val="BodyText3"/>
    <w:uiPriority w:val="99"/>
    <w:rsid w:val="00920D86"/>
    <w:rPr>
      <w:sz w:val="16"/>
      <w:szCs w:val="16"/>
      <w:lang w:val="en-US"/>
    </w:rPr>
  </w:style>
  <w:style w:type="paragraph" w:styleId="BodyTextFirstIndent">
    <w:name w:val="Body Text First Indent"/>
    <w:basedOn w:val="BodyText"/>
    <w:link w:val="BodyTextFirstIndentChar"/>
    <w:uiPriority w:val="99"/>
    <w:semiHidden/>
    <w:rsid w:val="00920D86"/>
    <w:pPr>
      <w:spacing w:after="0"/>
      <w:ind w:firstLine="360"/>
    </w:pPr>
  </w:style>
  <w:style w:type="character" w:customStyle="1" w:styleId="BodyTextFirstIndentChar">
    <w:name w:val="Body Text First Indent Char"/>
    <w:basedOn w:val="BodyTextChar"/>
    <w:link w:val="BodyTextFirstIndent"/>
    <w:uiPriority w:val="99"/>
    <w:semiHidden/>
    <w:rsid w:val="00920D86"/>
    <w:rPr>
      <w:lang w:val="en-US"/>
    </w:rPr>
  </w:style>
  <w:style w:type="paragraph" w:styleId="BodyTextIndent">
    <w:name w:val="Body Text Indent"/>
    <w:basedOn w:val="Normal"/>
    <w:link w:val="BodyTextIndentChar"/>
    <w:uiPriority w:val="99"/>
    <w:semiHidden/>
    <w:rsid w:val="00920D86"/>
    <w:pPr>
      <w:spacing w:after="120"/>
      <w:ind w:left="283"/>
    </w:pPr>
  </w:style>
  <w:style w:type="character" w:customStyle="1" w:styleId="BodyTextIndentChar">
    <w:name w:val="Body Text Indent Char"/>
    <w:basedOn w:val="DefaultParagraphFont"/>
    <w:link w:val="BodyTextIndent"/>
    <w:uiPriority w:val="99"/>
    <w:semiHidden/>
    <w:rsid w:val="00920D86"/>
    <w:rPr>
      <w:lang w:val="en-US"/>
    </w:rPr>
  </w:style>
  <w:style w:type="paragraph" w:styleId="BodyTextFirstIndent2">
    <w:name w:val="Body Text First Indent 2"/>
    <w:basedOn w:val="BodyTextIndent"/>
    <w:link w:val="BodyTextFirstIndent2Char"/>
    <w:uiPriority w:val="99"/>
    <w:semiHidden/>
    <w:rsid w:val="00920D86"/>
    <w:pPr>
      <w:spacing w:after="0"/>
      <w:ind w:left="360" w:firstLine="360"/>
    </w:pPr>
  </w:style>
  <w:style w:type="character" w:customStyle="1" w:styleId="BodyTextFirstIndent2Char">
    <w:name w:val="Body Text First Indent 2 Char"/>
    <w:basedOn w:val="BodyTextIndentChar"/>
    <w:link w:val="BodyTextFirstIndent2"/>
    <w:uiPriority w:val="99"/>
    <w:semiHidden/>
    <w:rsid w:val="00920D86"/>
    <w:rPr>
      <w:lang w:val="en-US"/>
    </w:rPr>
  </w:style>
  <w:style w:type="paragraph" w:styleId="BodyTextIndent2">
    <w:name w:val="Body Text Indent 2"/>
    <w:basedOn w:val="Normal"/>
    <w:link w:val="BodyTextIndent2Char"/>
    <w:uiPriority w:val="99"/>
    <w:semiHidden/>
    <w:rsid w:val="00920D86"/>
    <w:pPr>
      <w:spacing w:after="120" w:line="480" w:lineRule="auto"/>
      <w:ind w:left="283"/>
    </w:pPr>
  </w:style>
  <w:style w:type="character" w:customStyle="1" w:styleId="BodyTextIndent2Char">
    <w:name w:val="Body Text Indent 2 Char"/>
    <w:basedOn w:val="DefaultParagraphFont"/>
    <w:link w:val="BodyTextIndent2"/>
    <w:uiPriority w:val="99"/>
    <w:semiHidden/>
    <w:rsid w:val="00920D86"/>
    <w:rPr>
      <w:lang w:val="en-US"/>
    </w:rPr>
  </w:style>
  <w:style w:type="paragraph" w:styleId="BodyTextIndent3">
    <w:name w:val="Body Text Indent 3"/>
    <w:basedOn w:val="Normal"/>
    <w:link w:val="BodyTextIndent3Char"/>
    <w:uiPriority w:val="99"/>
    <w:semiHidden/>
    <w:rsid w:val="00920D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20D86"/>
    <w:rPr>
      <w:sz w:val="16"/>
      <w:szCs w:val="16"/>
      <w:lang w:val="en-US"/>
    </w:rPr>
  </w:style>
  <w:style w:type="paragraph" w:styleId="Closing">
    <w:name w:val="Closing"/>
    <w:basedOn w:val="Normal"/>
    <w:link w:val="ClosingChar"/>
    <w:uiPriority w:val="99"/>
    <w:semiHidden/>
    <w:rsid w:val="00920D86"/>
    <w:pPr>
      <w:spacing w:line="240" w:lineRule="auto"/>
      <w:ind w:left="4252"/>
    </w:pPr>
  </w:style>
  <w:style w:type="character" w:customStyle="1" w:styleId="ClosingChar">
    <w:name w:val="Closing Char"/>
    <w:basedOn w:val="DefaultParagraphFont"/>
    <w:link w:val="Closing"/>
    <w:uiPriority w:val="99"/>
    <w:semiHidden/>
    <w:rsid w:val="00920D86"/>
    <w:rPr>
      <w:lang w:val="en-US"/>
    </w:rPr>
  </w:style>
  <w:style w:type="table" w:styleId="ColorfulGrid">
    <w:name w:val="Colorful Grid"/>
    <w:basedOn w:val="TableNormal"/>
    <w:uiPriority w:val="73"/>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3D2FB" w:themeFill="accent1" w:themeFillTint="33"/>
    </w:tcPr>
    <w:tblStylePr w:type="firstRow">
      <w:rPr>
        <w:b/>
        <w:bCs/>
      </w:rPr>
      <w:tblPr/>
      <w:tcPr>
        <w:shd w:val="clear" w:color="auto" w:fill="67A5F8" w:themeFill="accent1" w:themeFillTint="66"/>
      </w:tcPr>
    </w:tblStylePr>
    <w:tblStylePr w:type="lastRow">
      <w:rPr>
        <w:b/>
        <w:bCs/>
        <w:color w:val="000000" w:themeColor="text1"/>
      </w:rPr>
      <w:tblPr/>
      <w:tcPr>
        <w:shd w:val="clear" w:color="auto" w:fill="67A5F8" w:themeFill="accent1" w:themeFillTint="66"/>
      </w:tcPr>
    </w:tblStylePr>
    <w:tblStylePr w:type="firstCol">
      <w:rPr>
        <w:color w:val="FFFFFF" w:themeColor="background1"/>
      </w:rPr>
      <w:tblPr/>
      <w:tcPr>
        <w:shd w:val="clear" w:color="auto" w:fill="032552" w:themeFill="accent1" w:themeFillShade="BF"/>
      </w:tcPr>
    </w:tblStylePr>
    <w:tblStylePr w:type="lastCol">
      <w:rPr>
        <w:color w:val="FFFFFF" w:themeColor="background1"/>
      </w:rPr>
      <w:tblPr/>
      <w:tcPr>
        <w:shd w:val="clear" w:color="auto" w:fill="032552" w:themeFill="accent1" w:themeFillShade="BF"/>
      </w:tc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ColorfulGrid-Accent2">
    <w:name w:val="Colorful Grid Accent 2"/>
    <w:basedOn w:val="TableNormal"/>
    <w:uiPriority w:val="73"/>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BBF1DD" w:themeFill="accent2" w:themeFillTint="33"/>
    </w:tcPr>
    <w:tblStylePr w:type="firstRow">
      <w:rPr>
        <w:b/>
        <w:bCs/>
      </w:rPr>
      <w:tblPr/>
      <w:tcPr>
        <w:shd w:val="clear" w:color="auto" w:fill="78E4BD" w:themeFill="accent2" w:themeFillTint="66"/>
      </w:tcPr>
    </w:tblStylePr>
    <w:tblStylePr w:type="lastRow">
      <w:rPr>
        <w:b/>
        <w:bCs/>
        <w:color w:val="000000" w:themeColor="text1"/>
      </w:rPr>
      <w:tblPr/>
      <w:tcPr>
        <w:shd w:val="clear" w:color="auto" w:fill="78E4BD" w:themeFill="accent2" w:themeFillTint="66"/>
      </w:tcPr>
    </w:tblStylePr>
    <w:tblStylePr w:type="firstCol">
      <w:rPr>
        <w:color w:val="FFFFFF" w:themeColor="background1"/>
      </w:rPr>
      <w:tblPr/>
      <w:tcPr>
        <w:shd w:val="clear" w:color="auto" w:fill="0D432F" w:themeFill="accent2" w:themeFillShade="BF"/>
      </w:tcPr>
    </w:tblStylePr>
    <w:tblStylePr w:type="lastCol">
      <w:rPr>
        <w:color w:val="FFFFFF" w:themeColor="background1"/>
      </w:rPr>
      <w:tblPr/>
      <w:tcPr>
        <w:shd w:val="clear" w:color="auto" w:fill="0D432F" w:themeFill="accent2" w:themeFillShade="BF"/>
      </w:tc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ColorfulGrid-Accent3">
    <w:name w:val="Colorful Grid Accent 3"/>
    <w:basedOn w:val="TableNormal"/>
    <w:uiPriority w:val="73"/>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F5E9" w:themeFill="accent3" w:themeFillTint="33"/>
    </w:tcPr>
    <w:tblStylePr w:type="firstRow">
      <w:rPr>
        <w:b/>
        <w:bCs/>
      </w:rPr>
      <w:tblPr/>
      <w:tcPr>
        <w:shd w:val="clear" w:color="auto" w:fill="DEECD4" w:themeFill="accent3" w:themeFillTint="66"/>
      </w:tcPr>
    </w:tblStylePr>
    <w:tblStylePr w:type="lastRow">
      <w:rPr>
        <w:b/>
        <w:bCs/>
        <w:color w:val="000000" w:themeColor="text1"/>
      </w:rPr>
      <w:tblPr/>
      <w:tcPr>
        <w:shd w:val="clear" w:color="auto" w:fill="DEECD4" w:themeFill="accent3" w:themeFillTint="66"/>
      </w:tcPr>
    </w:tblStylePr>
    <w:tblStylePr w:type="firstCol">
      <w:rPr>
        <w:color w:val="FFFFFF" w:themeColor="background1"/>
      </w:rPr>
      <w:tblPr/>
      <w:tcPr>
        <w:shd w:val="clear" w:color="auto" w:fill="7CB456" w:themeFill="accent3" w:themeFillShade="BF"/>
      </w:tcPr>
    </w:tblStylePr>
    <w:tblStylePr w:type="lastCol">
      <w:rPr>
        <w:color w:val="FFFFFF" w:themeColor="background1"/>
      </w:rPr>
      <w:tblPr/>
      <w:tcPr>
        <w:shd w:val="clear" w:color="auto" w:fill="7CB456" w:themeFill="accent3" w:themeFillShade="BF"/>
      </w:tc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ColorfulGrid-Accent4">
    <w:name w:val="Colorful Grid Accent 4"/>
    <w:basedOn w:val="TableNormal"/>
    <w:uiPriority w:val="73"/>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9CADC" w:themeFill="accent4" w:themeFillTint="33"/>
    </w:tcPr>
    <w:tblStylePr w:type="firstRow">
      <w:rPr>
        <w:b/>
        <w:bCs/>
      </w:rPr>
      <w:tblPr/>
      <w:tcPr>
        <w:shd w:val="clear" w:color="auto" w:fill="D396BA" w:themeFill="accent4" w:themeFillTint="66"/>
      </w:tcPr>
    </w:tblStylePr>
    <w:tblStylePr w:type="lastRow">
      <w:rPr>
        <w:b/>
        <w:bCs/>
        <w:color w:val="000000" w:themeColor="text1"/>
      </w:rPr>
      <w:tblPr/>
      <w:tcPr>
        <w:shd w:val="clear" w:color="auto" w:fill="D396BA" w:themeFill="accent4" w:themeFillTint="66"/>
      </w:tcPr>
    </w:tblStylePr>
    <w:tblStylePr w:type="firstCol">
      <w:rPr>
        <w:color w:val="FFFFFF" w:themeColor="background1"/>
      </w:rPr>
      <w:tblPr/>
      <w:tcPr>
        <w:shd w:val="clear" w:color="auto" w:fill="491E38" w:themeFill="accent4" w:themeFillShade="BF"/>
      </w:tcPr>
    </w:tblStylePr>
    <w:tblStylePr w:type="lastCol">
      <w:rPr>
        <w:color w:val="FFFFFF" w:themeColor="background1"/>
      </w:rPr>
      <w:tblPr/>
      <w:tcPr>
        <w:shd w:val="clear" w:color="auto" w:fill="491E38" w:themeFill="accent4" w:themeFillShade="BF"/>
      </w:tc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ColorfulGrid-Accent5">
    <w:name w:val="Colorful Grid Accent 5"/>
    <w:basedOn w:val="TableNormal"/>
    <w:uiPriority w:val="73"/>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7DD" w:themeFill="accent5" w:themeFillTint="33"/>
    </w:tcPr>
    <w:tblStylePr w:type="firstRow">
      <w:rPr>
        <w:b/>
        <w:bCs/>
      </w:rPr>
      <w:tblPr/>
      <w:tcPr>
        <w:shd w:val="clear" w:color="auto" w:fill="FFCFBB" w:themeFill="accent5" w:themeFillTint="66"/>
      </w:tcPr>
    </w:tblStylePr>
    <w:tblStylePr w:type="lastRow">
      <w:rPr>
        <w:b/>
        <w:bCs/>
        <w:color w:val="000000" w:themeColor="text1"/>
      </w:rPr>
      <w:tblPr/>
      <w:tcPr>
        <w:shd w:val="clear" w:color="auto" w:fill="FFCFBB" w:themeFill="accent5" w:themeFillTint="66"/>
      </w:tcPr>
    </w:tblStylePr>
    <w:tblStylePr w:type="firstCol">
      <w:rPr>
        <w:color w:val="FFFFFF" w:themeColor="background1"/>
      </w:rPr>
      <w:tblPr/>
      <w:tcPr>
        <w:shd w:val="clear" w:color="auto" w:fill="FE4B00" w:themeFill="accent5" w:themeFillShade="BF"/>
      </w:tcPr>
    </w:tblStylePr>
    <w:tblStylePr w:type="lastCol">
      <w:rPr>
        <w:color w:val="FFFFFF" w:themeColor="background1"/>
      </w:rPr>
      <w:tblPr/>
      <w:tcPr>
        <w:shd w:val="clear" w:color="auto" w:fill="FE4B00" w:themeFill="accent5" w:themeFillShade="BF"/>
      </w:tc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ColorfulGrid-Accent6">
    <w:name w:val="Colorful Grid Accent 6"/>
    <w:basedOn w:val="TableNormal"/>
    <w:uiPriority w:val="73"/>
    <w:unhideWhenUsed/>
    <w:rsid w:val="00920D86"/>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8F7" w:themeFill="accent6" w:themeFillTint="33"/>
    </w:tcPr>
    <w:tblStylePr w:type="firstRow">
      <w:rPr>
        <w:b/>
        <w:bCs/>
      </w:rPr>
      <w:tblPr/>
      <w:tcPr>
        <w:shd w:val="clear" w:color="auto" w:fill="F3F2EF" w:themeFill="accent6" w:themeFillTint="66"/>
      </w:tcPr>
    </w:tblStylePr>
    <w:tblStylePr w:type="lastRow">
      <w:rPr>
        <w:b/>
        <w:bCs/>
        <w:color w:val="000000" w:themeColor="text1"/>
      </w:rPr>
      <w:tblPr/>
      <w:tcPr>
        <w:shd w:val="clear" w:color="auto" w:fill="F3F2EF" w:themeFill="accent6" w:themeFillTint="66"/>
      </w:tcPr>
    </w:tblStylePr>
    <w:tblStylePr w:type="firstCol">
      <w:rPr>
        <w:color w:val="FFFFFF" w:themeColor="background1"/>
      </w:rPr>
      <w:tblPr/>
      <w:tcPr>
        <w:shd w:val="clear" w:color="auto" w:fill="B4AF97" w:themeFill="accent6" w:themeFillShade="BF"/>
      </w:tcPr>
    </w:tblStylePr>
    <w:tblStylePr w:type="lastCol">
      <w:rPr>
        <w:color w:val="FFFFFF" w:themeColor="background1"/>
      </w:rPr>
      <w:tblPr/>
      <w:tcPr>
        <w:shd w:val="clear" w:color="auto" w:fill="B4AF97" w:themeFill="accent6" w:themeFillShade="BF"/>
      </w:tc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ColorfulList">
    <w:name w:val="Colorful List"/>
    <w:basedOn w:val="TableNormal"/>
    <w:uiPriority w:val="72"/>
    <w:unhideWhenUsed/>
    <w:rsid w:val="00920D86"/>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920D86"/>
    <w:pPr>
      <w:spacing w:line="240" w:lineRule="auto"/>
    </w:pPr>
    <w:rPr>
      <w:color w:val="000000" w:themeColor="text1"/>
    </w:rPr>
    <w:tblPr>
      <w:tblStyleRowBandSize w:val="1"/>
      <w:tblStyleColBandSize w:val="1"/>
    </w:tblPr>
    <w:tcPr>
      <w:shd w:val="clear" w:color="auto" w:fill="D9E8FD" w:themeFill="accent1"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7FA" w:themeFill="accent1" w:themeFillTint="3F"/>
      </w:tcPr>
    </w:tblStylePr>
    <w:tblStylePr w:type="band1Horz">
      <w:tblPr/>
      <w:tcPr>
        <w:shd w:val="clear" w:color="auto" w:fill="B3D2FB" w:themeFill="accent1" w:themeFillTint="33"/>
      </w:tcPr>
    </w:tblStylePr>
  </w:style>
  <w:style w:type="table" w:styleId="ColorfulList-Accent2">
    <w:name w:val="Colorful List Accent 2"/>
    <w:basedOn w:val="TableNormal"/>
    <w:uiPriority w:val="72"/>
    <w:unhideWhenUsed/>
    <w:rsid w:val="00920D86"/>
    <w:pPr>
      <w:spacing w:line="240" w:lineRule="auto"/>
    </w:pPr>
    <w:rPr>
      <w:color w:val="000000" w:themeColor="text1"/>
    </w:rPr>
    <w:tblPr>
      <w:tblStyleRowBandSize w:val="1"/>
      <w:tblStyleColBandSize w:val="1"/>
    </w:tblPr>
    <w:tcPr>
      <w:shd w:val="clear" w:color="auto" w:fill="DDF8EE" w:themeFill="accent2" w:themeFillTint="19"/>
    </w:tcPr>
    <w:tblStylePr w:type="firstRow">
      <w:rPr>
        <w:b/>
        <w:bCs/>
        <w:color w:val="FFFFFF" w:themeColor="background1"/>
      </w:rPr>
      <w:tblPr/>
      <w:tcPr>
        <w:tcBorders>
          <w:bottom w:val="single" w:sz="12" w:space="0" w:color="FFFFFF" w:themeColor="background1"/>
        </w:tcBorders>
        <w:shd w:val="clear" w:color="auto" w:fill="0E4732" w:themeFill="accent2" w:themeFillShade="CC"/>
      </w:tcPr>
    </w:tblStylePr>
    <w:tblStylePr w:type="lastRow">
      <w:rPr>
        <w:b/>
        <w:bCs/>
        <w:color w:val="0E473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CEED6" w:themeFill="accent2" w:themeFillTint="3F"/>
      </w:tcPr>
    </w:tblStylePr>
    <w:tblStylePr w:type="band1Horz">
      <w:tblPr/>
      <w:tcPr>
        <w:shd w:val="clear" w:color="auto" w:fill="BBF1DD" w:themeFill="accent2" w:themeFillTint="33"/>
      </w:tcPr>
    </w:tblStylePr>
  </w:style>
  <w:style w:type="table" w:styleId="ColorfulList-Accent3">
    <w:name w:val="Colorful List Accent 3"/>
    <w:basedOn w:val="TableNormal"/>
    <w:uiPriority w:val="72"/>
    <w:unhideWhenUsed/>
    <w:rsid w:val="00920D86"/>
    <w:pPr>
      <w:spacing w:line="240" w:lineRule="auto"/>
    </w:pPr>
    <w:rPr>
      <w:color w:val="000000" w:themeColor="text1"/>
    </w:rPr>
    <w:tblPr>
      <w:tblStyleRowBandSize w:val="1"/>
      <w:tblStyleColBandSize w:val="1"/>
    </w:tblPr>
    <w:tcPr>
      <w:shd w:val="clear" w:color="auto" w:fill="F6FAF4" w:themeFill="accent3" w:themeFillTint="19"/>
    </w:tcPr>
    <w:tblStylePr w:type="firstRow">
      <w:rPr>
        <w:b/>
        <w:bCs/>
        <w:color w:val="FFFFFF" w:themeColor="background1"/>
      </w:rPr>
      <w:tblPr/>
      <w:tcPr>
        <w:tcBorders>
          <w:bottom w:val="single" w:sz="12" w:space="0" w:color="FFFFFF" w:themeColor="background1"/>
        </w:tcBorders>
        <w:shd w:val="clear" w:color="auto" w:fill="4E203B" w:themeFill="accent4" w:themeFillShade="CC"/>
      </w:tcPr>
    </w:tblStylePr>
    <w:tblStylePr w:type="lastRow">
      <w:rPr>
        <w:b/>
        <w:bCs/>
        <w:color w:val="4E203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3E4" w:themeFill="accent3" w:themeFillTint="3F"/>
      </w:tcPr>
    </w:tblStylePr>
    <w:tblStylePr w:type="band1Horz">
      <w:tblPr/>
      <w:tcPr>
        <w:shd w:val="clear" w:color="auto" w:fill="EEF5E9" w:themeFill="accent3" w:themeFillTint="33"/>
      </w:tcPr>
    </w:tblStylePr>
  </w:style>
  <w:style w:type="table" w:styleId="ColorfulList-Accent4">
    <w:name w:val="Colorful List Accent 4"/>
    <w:basedOn w:val="TableNormal"/>
    <w:uiPriority w:val="72"/>
    <w:unhideWhenUsed/>
    <w:rsid w:val="00920D86"/>
    <w:pPr>
      <w:spacing w:line="240" w:lineRule="auto"/>
    </w:pPr>
    <w:rPr>
      <w:color w:val="000000" w:themeColor="text1"/>
    </w:rPr>
    <w:tblPr>
      <w:tblStyleRowBandSize w:val="1"/>
      <w:tblStyleColBandSize w:val="1"/>
    </w:tblPr>
    <w:tcPr>
      <w:shd w:val="clear" w:color="auto" w:fill="F4E5EE" w:themeFill="accent4" w:themeFillTint="19"/>
    </w:tcPr>
    <w:tblStylePr w:type="firstRow">
      <w:rPr>
        <w:b/>
        <w:bCs/>
        <w:color w:val="FFFFFF" w:themeColor="background1"/>
      </w:rPr>
      <w:tblPr/>
      <w:tcPr>
        <w:tcBorders>
          <w:bottom w:val="single" w:sz="12" w:space="0" w:color="FFFFFF" w:themeColor="background1"/>
        </w:tcBorders>
        <w:shd w:val="clear" w:color="auto" w:fill="86BA63" w:themeFill="accent3" w:themeFillShade="CC"/>
      </w:tcPr>
    </w:tblStylePr>
    <w:tblStylePr w:type="lastRow">
      <w:rPr>
        <w:b/>
        <w:bCs/>
        <w:color w:val="86BA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BED4" w:themeFill="accent4" w:themeFillTint="3F"/>
      </w:tcPr>
    </w:tblStylePr>
    <w:tblStylePr w:type="band1Horz">
      <w:tblPr/>
      <w:tcPr>
        <w:shd w:val="clear" w:color="auto" w:fill="E9CADC" w:themeFill="accent4" w:themeFillTint="33"/>
      </w:tcPr>
    </w:tblStylePr>
  </w:style>
  <w:style w:type="table" w:styleId="ColorfulList-Accent5">
    <w:name w:val="Colorful List Accent 5"/>
    <w:basedOn w:val="TableNormal"/>
    <w:uiPriority w:val="72"/>
    <w:unhideWhenUsed/>
    <w:rsid w:val="00920D86"/>
    <w:pPr>
      <w:spacing w:line="240" w:lineRule="auto"/>
    </w:pPr>
    <w:rPr>
      <w:color w:val="000000" w:themeColor="text1"/>
    </w:rPr>
    <w:tblPr>
      <w:tblStyleRowBandSize w:val="1"/>
      <w:tblStyleColBandSize w:val="1"/>
    </w:tblPr>
    <w:tcPr>
      <w:shd w:val="clear" w:color="auto" w:fill="FFF3EE" w:themeFill="accent5" w:themeFillTint="19"/>
    </w:tcPr>
    <w:tblStylePr w:type="firstRow">
      <w:rPr>
        <w:b/>
        <w:bCs/>
        <w:color w:val="FFFFFF" w:themeColor="background1"/>
      </w:rPr>
      <w:tblPr/>
      <w:tcPr>
        <w:tcBorders>
          <w:bottom w:val="single" w:sz="12" w:space="0" w:color="FFFFFF" w:themeColor="background1"/>
        </w:tcBorders>
        <w:shd w:val="clear" w:color="auto" w:fill="BEB9A4" w:themeFill="accent6" w:themeFillShade="CC"/>
      </w:tcPr>
    </w:tblStylePr>
    <w:tblStylePr w:type="lastRow">
      <w:rPr>
        <w:b/>
        <w:bCs/>
        <w:color w:val="BEB9A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1D5" w:themeFill="accent5" w:themeFillTint="3F"/>
      </w:tcPr>
    </w:tblStylePr>
    <w:tblStylePr w:type="band1Horz">
      <w:tblPr/>
      <w:tcPr>
        <w:shd w:val="clear" w:color="auto" w:fill="FFE7DD" w:themeFill="accent5" w:themeFillTint="33"/>
      </w:tcPr>
    </w:tblStylePr>
  </w:style>
  <w:style w:type="table" w:styleId="ColorfulList-Accent6">
    <w:name w:val="Colorful List Accent 6"/>
    <w:basedOn w:val="TableNormal"/>
    <w:uiPriority w:val="72"/>
    <w:unhideWhenUsed/>
    <w:rsid w:val="00920D86"/>
    <w:pPr>
      <w:spacing w:line="240" w:lineRule="auto"/>
    </w:pPr>
    <w:rPr>
      <w:color w:val="000000" w:themeColor="text1"/>
    </w:rPr>
    <w:tblPr>
      <w:tblStyleRowBandSize w:val="1"/>
      <w:tblStyleColBandSize w:val="1"/>
    </w:tblPr>
    <w:tcPr>
      <w:shd w:val="clear" w:color="auto" w:fill="FCFCFB" w:themeFill="accent6" w:themeFillTint="19"/>
    </w:tcPr>
    <w:tblStylePr w:type="firstRow">
      <w:rPr>
        <w:b/>
        <w:bCs/>
        <w:color w:val="FFFFFF" w:themeColor="background1"/>
      </w:rPr>
      <w:tblPr/>
      <w:tcPr>
        <w:tcBorders>
          <w:bottom w:val="single" w:sz="12" w:space="0" w:color="FFFFFF" w:themeColor="background1"/>
        </w:tcBorders>
        <w:shd w:val="clear" w:color="auto" w:fill="FF5711" w:themeFill="accent5" w:themeFillShade="CC"/>
      </w:tcPr>
    </w:tblStylePr>
    <w:tblStylePr w:type="lastRow">
      <w:rPr>
        <w:b/>
        <w:bCs/>
        <w:color w:val="FF571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5" w:themeFill="accent6" w:themeFillTint="3F"/>
      </w:tcPr>
    </w:tblStylePr>
    <w:tblStylePr w:type="band1Horz">
      <w:tblPr/>
      <w:tcPr>
        <w:shd w:val="clear" w:color="auto" w:fill="F9F8F7" w:themeFill="accent6" w:themeFillTint="33"/>
      </w:tcPr>
    </w:tblStylePr>
  </w:style>
  <w:style w:type="table" w:styleId="ColorfulShading">
    <w:name w:val="Colorful Shading"/>
    <w:basedOn w:val="TableNormal"/>
    <w:uiPriority w:val="71"/>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05326E" w:themeColor="accent1"/>
        <w:bottom w:val="single" w:sz="4" w:space="0" w:color="05326E" w:themeColor="accent1"/>
        <w:right w:val="single" w:sz="4" w:space="0" w:color="05326E" w:themeColor="accent1"/>
        <w:insideH w:val="single" w:sz="4" w:space="0" w:color="FFFFFF" w:themeColor="background1"/>
        <w:insideV w:val="single" w:sz="4" w:space="0" w:color="FFFFFF" w:themeColor="background1"/>
      </w:tblBorders>
    </w:tblPr>
    <w:tcPr>
      <w:shd w:val="clear" w:color="auto" w:fill="D9E8FD" w:themeFill="accent1"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D41" w:themeFill="accent1" w:themeFillShade="99"/>
      </w:tcPr>
    </w:tblStylePr>
    <w:tblStylePr w:type="firstCol">
      <w:rPr>
        <w:color w:val="FFFFFF" w:themeColor="background1"/>
      </w:rPr>
      <w:tblPr/>
      <w:tcPr>
        <w:tcBorders>
          <w:top w:val="nil"/>
          <w:left w:val="nil"/>
          <w:bottom w:val="nil"/>
          <w:right w:val="nil"/>
          <w:insideH w:val="single" w:sz="4" w:space="0" w:color="031D41" w:themeColor="accent1" w:themeShade="99"/>
          <w:insideV w:val="nil"/>
        </w:tcBorders>
        <w:shd w:val="clear" w:color="auto" w:fill="031D4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D41" w:themeFill="accent1" w:themeFillShade="99"/>
      </w:tcPr>
    </w:tblStylePr>
    <w:tblStylePr w:type="band1Vert">
      <w:tblPr/>
      <w:tcPr>
        <w:shd w:val="clear" w:color="auto" w:fill="67A5F8" w:themeFill="accent1" w:themeFillTint="66"/>
      </w:tcPr>
    </w:tblStylePr>
    <w:tblStylePr w:type="band1Horz">
      <w:tblPr/>
      <w:tcPr>
        <w:shd w:val="clear" w:color="auto" w:fill="428FF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920D86"/>
    <w:pPr>
      <w:spacing w:line="240" w:lineRule="auto"/>
    </w:pPr>
    <w:rPr>
      <w:color w:val="000000" w:themeColor="text1"/>
    </w:rPr>
    <w:tblPr>
      <w:tblStyleRowBandSize w:val="1"/>
      <w:tblStyleColBandSize w:val="1"/>
      <w:tblBorders>
        <w:top w:val="single" w:sz="24" w:space="0" w:color="125A40" w:themeColor="accent2"/>
        <w:left w:val="single" w:sz="4" w:space="0" w:color="125A40" w:themeColor="accent2"/>
        <w:bottom w:val="single" w:sz="4" w:space="0" w:color="125A40" w:themeColor="accent2"/>
        <w:right w:val="single" w:sz="4" w:space="0" w:color="125A40" w:themeColor="accent2"/>
        <w:insideH w:val="single" w:sz="4" w:space="0" w:color="FFFFFF" w:themeColor="background1"/>
        <w:insideV w:val="single" w:sz="4" w:space="0" w:color="FFFFFF" w:themeColor="background1"/>
      </w:tblBorders>
    </w:tblPr>
    <w:tcPr>
      <w:shd w:val="clear" w:color="auto" w:fill="DDF8EE" w:themeFill="accent2" w:themeFillTint="19"/>
    </w:tcPr>
    <w:tblStylePr w:type="firstRow">
      <w:rPr>
        <w:b/>
        <w:bCs/>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3526" w:themeFill="accent2" w:themeFillShade="99"/>
      </w:tcPr>
    </w:tblStylePr>
    <w:tblStylePr w:type="firstCol">
      <w:rPr>
        <w:color w:val="FFFFFF" w:themeColor="background1"/>
      </w:rPr>
      <w:tblPr/>
      <w:tcPr>
        <w:tcBorders>
          <w:top w:val="nil"/>
          <w:left w:val="nil"/>
          <w:bottom w:val="nil"/>
          <w:right w:val="nil"/>
          <w:insideH w:val="single" w:sz="4" w:space="0" w:color="0A3526" w:themeColor="accent2" w:themeShade="99"/>
          <w:insideV w:val="nil"/>
        </w:tcBorders>
        <w:shd w:val="clear" w:color="auto" w:fill="0A352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3526" w:themeFill="accent2" w:themeFillShade="99"/>
      </w:tcPr>
    </w:tblStylePr>
    <w:tblStylePr w:type="band1Vert">
      <w:tblPr/>
      <w:tcPr>
        <w:shd w:val="clear" w:color="auto" w:fill="78E4BD" w:themeFill="accent2" w:themeFillTint="66"/>
      </w:tcPr>
    </w:tblStylePr>
    <w:tblStylePr w:type="band1Horz">
      <w:tblPr/>
      <w:tcPr>
        <w:shd w:val="clear" w:color="auto" w:fill="58DDA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920D86"/>
    <w:pPr>
      <w:spacing w:line="240" w:lineRule="auto"/>
    </w:pPr>
    <w:rPr>
      <w:color w:val="000000" w:themeColor="text1"/>
    </w:rPr>
    <w:tblPr>
      <w:tblStyleRowBandSize w:val="1"/>
      <w:tblStyleColBandSize w:val="1"/>
      <w:tblBorders>
        <w:top w:val="single" w:sz="24" w:space="0" w:color="62294B" w:themeColor="accent4"/>
        <w:left w:val="single" w:sz="4" w:space="0" w:color="ADD095" w:themeColor="accent3"/>
        <w:bottom w:val="single" w:sz="4" w:space="0" w:color="ADD095" w:themeColor="accent3"/>
        <w:right w:val="single" w:sz="4" w:space="0" w:color="ADD095" w:themeColor="accent3"/>
        <w:insideH w:val="single" w:sz="4" w:space="0" w:color="FFFFFF" w:themeColor="background1"/>
        <w:insideV w:val="single" w:sz="4" w:space="0" w:color="FFFFFF" w:themeColor="background1"/>
      </w:tblBorders>
    </w:tblPr>
    <w:tcPr>
      <w:shd w:val="clear" w:color="auto" w:fill="F6FAF4" w:themeFill="accent3" w:themeFillTint="19"/>
    </w:tcPr>
    <w:tblStylePr w:type="firstRow">
      <w:rPr>
        <w:b/>
        <w:bCs/>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9441" w:themeFill="accent3" w:themeFillShade="99"/>
      </w:tcPr>
    </w:tblStylePr>
    <w:tblStylePr w:type="firstCol">
      <w:rPr>
        <w:color w:val="FFFFFF" w:themeColor="background1"/>
      </w:rPr>
      <w:tblPr/>
      <w:tcPr>
        <w:tcBorders>
          <w:top w:val="nil"/>
          <w:left w:val="nil"/>
          <w:bottom w:val="nil"/>
          <w:right w:val="nil"/>
          <w:insideH w:val="single" w:sz="4" w:space="0" w:color="639441" w:themeColor="accent3" w:themeShade="99"/>
          <w:insideV w:val="nil"/>
        </w:tcBorders>
        <w:shd w:val="clear" w:color="auto" w:fill="6394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9441" w:themeFill="accent3" w:themeFillShade="99"/>
      </w:tcPr>
    </w:tblStylePr>
    <w:tblStylePr w:type="band1Vert">
      <w:tblPr/>
      <w:tcPr>
        <w:shd w:val="clear" w:color="auto" w:fill="DEECD4" w:themeFill="accent3" w:themeFillTint="66"/>
      </w:tcPr>
    </w:tblStylePr>
    <w:tblStylePr w:type="band1Horz">
      <w:tblPr/>
      <w:tcPr>
        <w:shd w:val="clear" w:color="auto" w:fill="D5E7CA" w:themeFill="accent3" w:themeFillTint="7F"/>
      </w:tcPr>
    </w:tblStylePr>
  </w:style>
  <w:style w:type="table" w:styleId="ColorfulShading-Accent4">
    <w:name w:val="Colorful Shading Accent 4"/>
    <w:basedOn w:val="TableNormal"/>
    <w:uiPriority w:val="71"/>
    <w:unhideWhenUsed/>
    <w:rsid w:val="00920D86"/>
    <w:pPr>
      <w:spacing w:line="240" w:lineRule="auto"/>
    </w:pPr>
    <w:rPr>
      <w:color w:val="000000" w:themeColor="text1"/>
    </w:rPr>
    <w:tblPr>
      <w:tblStyleRowBandSize w:val="1"/>
      <w:tblStyleColBandSize w:val="1"/>
      <w:tblBorders>
        <w:top w:val="single" w:sz="24" w:space="0" w:color="ADD095" w:themeColor="accent3"/>
        <w:left w:val="single" w:sz="4" w:space="0" w:color="62294B" w:themeColor="accent4"/>
        <w:bottom w:val="single" w:sz="4" w:space="0" w:color="62294B" w:themeColor="accent4"/>
        <w:right w:val="single" w:sz="4" w:space="0" w:color="62294B" w:themeColor="accent4"/>
        <w:insideH w:val="single" w:sz="4" w:space="0" w:color="FFFFFF" w:themeColor="background1"/>
        <w:insideV w:val="single" w:sz="4" w:space="0" w:color="FFFFFF" w:themeColor="background1"/>
      </w:tblBorders>
    </w:tblPr>
    <w:tcPr>
      <w:shd w:val="clear" w:color="auto" w:fill="F4E5EE" w:themeFill="accent4" w:themeFillTint="19"/>
    </w:tcPr>
    <w:tblStylePr w:type="firstRow">
      <w:rPr>
        <w:b/>
        <w:bCs/>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182C" w:themeFill="accent4" w:themeFillShade="99"/>
      </w:tcPr>
    </w:tblStylePr>
    <w:tblStylePr w:type="firstCol">
      <w:rPr>
        <w:color w:val="FFFFFF" w:themeColor="background1"/>
      </w:rPr>
      <w:tblPr/>
      <w:tcPr>
        <w:tcBorders>
          <w:top w:val="nil"/>
          <w:left w:val="nil"/>
          <w:bottom w:val="nil"/>
          <w:right w:val="nil"/>
          <w:insideH w:val="single" w:sz="4" w:space="0" w:color="3A182C" w:themeColor="accent4" w:themeShade="99"/>
          <w:insideV w:val="nil"/>
        </w:tcBorders>
        <w:shd w:val="clear" w:color="auto" w:fill="3A182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182C" w:themeFill="accent4" w:themeFillShade="99"/>
      </w:tcPr>
    </w:tblStylePr>
    <w:tblStylePr w:type="band1Vert">
      <w:tblPr/>
      <w:tcPr>
        <w:shd w:val="clear" w:color="auto" w:fill="D396BA" w:themeFill="accent4" w:themeFillTint="66"/>
      </w:tcPr>
    </w:tblStylePr>
    <w:tblStylePr w:type="band1Horz">
      <w:tblPr/>
      <w:tcPr>
        <w:shd w:val="clear" w:color="auto" w:fill="C87CA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920D86"/>
    <w:pPr>
      <w:spacing w:line="240" w:lineRule="auto"/>
    </w:pPr>
    <w:rPr>
      <w:color w:val="000000" w:themeColor="text1"/>
    </w:rPr>
    <w:tblPr>
      <w:tblStyleRowBandSize w:val="1"/>
      <w:tblStyleColBandSize w:val="1"/>
      <w:tblBorders>
        <w:top w:val="single" w:sz="24" w:space="0" w:color="E3E1D8" w:themeColor="accent6"/>
        <w:left w:val="single" w:sz="4" w:space="0" w:color="FF8855" w:themeColor="accent5"/>
        <w:bottom w:val="single" w:sz="4" w:space="0" w:color="FF8855" w:themeColor="accent5"/>
        <w:right w:val="single" w:sz="4" w:space="0" w:color="FF8855" w:themeColor="accent5"/>
        <w:insideH w:val="single" w:sz="4" w:space="0" w:color="FFFFFF" w:themeColor="background1"/>
        <w:insideV w:val="single" w:sz="4" w:space="0" w:color="FFFFFF" w:themeColor="background1"/>
      </w:tblBorders>
    </w:tblPr>
    <w:tcPr>
      <w:shd w:val="clear" w:color="auto" w:fill="FFF3EE" w:themeFill="accent5" w:themeFillTint="19"/>
    </w:tcPr>
    <w:tblStylePr w:type="firstRow">
      <w:rPr>
        <w:b/>
        <w:bCs/>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C3C00" w:themeFill="accent5" w:themeFillShade="99"/>
      </w:tcPr>
    </w:tblStylePr>
    <w:tblStylePr w:type="firstCol">
      <w:rPr>
        <w:color w:val="FFFFFF" w:themeColor="background1"/>
      </w:rPr>
      <w:tblPr/>
      <w:tcPr>
        <w:tcBorders>
          <w:top w:val="nil"/>
          <w:left w:val="nil"/>
          <w:bottom w:val="nil"/>
          <w:right w:val="nil"/>
          <w:insideH w:val="single" w:sz="4" w:space="0" w:color="CC3C00" w:themeColor="accent5" w:themeShade="99"/>
          <w:insideV w:val="nil"/>
        </w:tcBorders>
        <w:shd w:val="clear" w:color="auto" w:fill="CC3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C3C00" w:themeFill="accent5" w:themeFillShade="99"/>
      </w:tcPr>
    </w:tblStylePr>
    <w:tblStylePr w:type="band1Vert">
      <w:tblPr/>
      <w:tcPr>
        <w:shd w:val="clear" w:color="auto" w:fill="FFCFBB" w:themeFill="accent5" w:themeFillTint="66"/>
      </w:tcPr>
    </w:tblStylePr>
    <w:tblStylePr w:type="band1Horz">
      <w:tblPr/>
      <w:tcPr>
        <w:shd w:val="clear" w:color="auto" w:fill="FFC3A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920D86"/>
    <w:pPr>
      <w:spacing w:line="240" w:lineRule="auto"/>
    </w:pPr>
    <w:rPr>
      <w:color w:val="000000" w:themeColor="text1"/>
    </w:rPr>
    <w:tblPr>
      <w:tblStyleRowBandSize w:val="1"/>
      <w:tblStyleColBandSize w:val="1"/>
      <w:tblBorders>
        <w:top w:val="single" w:sz="24" w:space="0" w:color="FF8855" w:themeColor="accent5"/>
        <w:left w:val="single" w:sz="4" w:space="0" w:color="E3E1D8" w:themeColor="accent6"/>
        <w:bottom w:val="single" w:sz="4" w:space="0" w:color="E3E1D8" w:themeColor="accent6"/>
        <w:right w:val="single" w:sz="4" w:space="0" w:color="E3E1D8" w:themeColor="accent6"/>
        <w:insideH w:val="single" w:sz="4" w:space="0" w:color="FFFFFF" w:themeColor="background1"/>
        <w:insideV w:val="single" w:sz="4" w:space="0" w:color="FFFFFF" w:themeColor="background1"/>
      </w:tblBorders>
    </w:tblPr>
    <w:tcPr>
      <w:shd w:val="clear" w:color="auto" w:fill="FCFCFB" w:themeFill="accent6" w:themeFillTint="19"/>
    </w:tcPr>
    <w:tblStylePr w:type="firstRow">
      <w:rPr>
        <w:b/>
        <w:bCs/>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170" w:themeFill="accent6" w:themeFillShade="99"/>
      </w:tcPr>
    </w:tblStylePr>
    <w:tblStylePr w:type="firstCol">
      <w:rPr>
        <w:color w:val="FFFFFF" w:themeColor="background1"/>
      </w:rPr>
      <w:tblPr/>
      <w:tcPr>
        <w:tcBorders>
          <w:top w:val="nil"/>
          <w:left w:val="nil"/>
          <w:bottom w:val="nil"/>
          <w:right w:val="nil"/>
          <w:insideH w:val="single" w:sz="4" w:space="0" w:color="999170" w:themeColor="accent6" w:themeShade="99"/>
          <w:insideV w:val="nil"/>
        </w:tcBorders>
        <w:shd w:val="clear" w:color="auto" w:fill="99917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170" w:themeFill="accent6" w:themeFillShade="99"/>
      </w:tcPr>
    </w:tblStylePr>
    <w:tblStylePr w:type="band1Vert">
      <w:tblPr/>
      <w:tcPr>
        <w:shd w:val="clear" w:color="auto" w:fill="F3F2EF" w:themeFill="accent6" w:themeFillTint="66"/>
      </w:tcPr>
    </w:tblStylePr>
    <w:tblStylePr w:type="band1Horz">
      <w:tblPr/>
      <w:tcPr>
        <w:shd w:val="clear" w:color="auto" w:fill="F1EFEB"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20D86"/>
    <w:rPr>
      <w:sz w:val="16"/>
      <w:szCs w:val="16"/>
      <w:lang w:val="en-US"/>
    </w:rPr>
  </w:style>
  <w:style w:type="paragraph" w:styleId="CommentText">
    <w:name w:val="annotation text"/>
    <w:basedOn w:val="Normal"/>
    <w:link w:val="CommentTextChar"/>
    <w:uiPriority w:val="99"/>
    <w:semiHidden/>
    <w:rsid w:val="00920D86"/>
    <w:pPr>
      <w:spacing w:line="240" w:lineRule="auto"/>
    </w:pPr>
    <w:rPr>
      <w:sz w:val="20"/>
      <w:szCs w:val="20"/>
    </w:rPr>
  </w:style>
  <w:style w:type="character" w:customStyle="1" w:styleId="CommentTextChar">
    <w:name w:val="Comment Text Char"/>
    <w:basedOn w:val="DefaultParagraphFont"/>
    <w:link w:val="CommentText"/>
    <w:uiPriority w:val="99"/>
    <w:semiHidden/>
    <w:rsid w:val="00920D86"/>
    <w:rPr>
      <w:sz w:val="20"/>
      <w:szCs w:val="20"/>
      <w:lang w:val="en-US"/>
    </w:rPr>
  </w:style>
  <w:style w:type="paragraph" w:styleId="CommentSubject">
    <w:name w:val="annotation subject"/>
    <w:basedOn w:val="CommentText"/>
    <w:next w:val="CommentText"/>
    <w:link w:val="CommentSubjectChar"/>
    <w:uiPriority w:val="99"/>
    <w:semiHidden/>
    <w:rsid w:val="00920D86"/>
    <w:rPr>
      <w:b/>
      <w:bCs/>
    </w:rPr>
  </w:style>
  <w:style w:type="character" w:customStyle="1" w:styleId="CommentSubjectChar">
    <w:name w:val="Comment Subject Char"/>
    <w:basedOn w:val="CommentTextChar"/>
    <w:link w:val="CommentSubject"/>
    <w:uiPriority w:val="99"/>
    <w:semiHidden/>
    <w:rsid w:val="00920D86"/>
    <w:rPr>
      <w:b/>
      <w:bCs/>
      <w:sz w:val="20"/>
      <w:szCs w:val="20"/>
      <w:lang w:val="en-US"/>
    </w:rPr>
  </w:style>
  <w:style w:type="table" w:styleId="DarkList">
    <w:name w:val="Dark List"/>
    <w:basedOn w:val="TableNormal"/>
    <w:uiPriority w:val="70"/>
    <w:unhideWhenUsed/>
    <w:rsid w:val="00920D86"/>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920D86"/>
    <w:pPr>
      <w:spacing w:line="240" w:lineRule="auto"/>
    </w:pPr>
    <w:rPr>
      <w:color w:val="FFFFFF" w:themeColor="background1"/>
    </w:rPr>
    <w:tblPr>
      <w:tblStyleRowBandSize w:val="1"/>
      <w:tblStyleColBandSize w:val="1"/>
    </w:tblPr>
    <w:tcPr>
      <w:shd w:val="clear" w:color="auto" w:fill="05326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183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255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2552" w:themeFill="accent1" w:themeFillShade="BF"/>
      </w:tcPr>
    </w:tblStylePr>
    <w:tblStylePr w:type="band1Vert">
      <w:tblPr/>
      <w:tcPr>
        <w:tcBorders>
          <w:top w:val="nil"/>
          <w:left w:val="nil"/>
          <w:bottom w:val="nil"/>
          <w:right w:val="nil"/>
          <w:insideH w:val="nil"/>
          <w:insideV w:val="nil"/>
        </w:tcBorders>
        <w:shd w:val="clear" w:color="auto" w:fill="032552" w:themeFill="accent1" w:themeFillShade="BF"/>
      </w:tcPr>
    </w:tblStylePr>
    <w:tblStylePr w:type="band1Horz">
      <w:tblPr/>
      <w:tcPr>
        <w:tcBorders>
          <w:top w:val="nil"/>
          <w:left w:val="nil"/>
          <w:bottom w:val="nil"/>
          <w:right w:val="nil"/>
          <w:insideH w:val="nil"/>
          <w:insideV w:val="nil"/>
        </w:tcBorders>
        <w:shd w:val="clear" w:color="auto" w:fill="032552" w:themeFill="accent1" w:themeFillShade="BF"/>
      </w:tcPr>
    </w:tblStylePr>
  </w:style>
  <w:style w:type="table" w:styleId="DarkList-Accent2">
    <w:name w:val="Dark List Accent 2"/>
    <w:basedOn w:val="TableNormal"/>
    <w:uiPriority w:val="70"/>
    <w:unhideWhenUsed/>
    <w:rsid w:val="00920D86"/>
    <w:pPr>
      <w:spacing w:line="240" w:lineRule="auto"/>
    </w:pPr>
    <w:rPr>
      <w:color w:val="FFFFFF" w:themeColor="background1"/>
    </w:rPr>
    <w:tblPr>
      <w:tblStyleRowBandSize w:val="1"/>
      <w:tblStyleColBandSize w:val="1"/>
    </w:tblPr>
    <w:tcPr>
      <w:shd w:val="clear" w:color="auto" w:fill="125A4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2C1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D432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D432F" w:themeFill="accent2" w:themeFillShade="BF"/>
      </w:tcPr>
    </w:tblStylePr>
    <w:tblStylePr w:type="band1Vert">
      <w:tblPr/>
      <w:tcPr>
        <w:tcBorders>
          <w:top w:val="nil"/>
          <w:left w:val="nil"/>
          <w:bottom w:val="nil"/>
          <w:right w:val="nil"/>
          <w:insideH w:val="nil"/>
          <w:insideV w:val="nil"/>
        </w:tcBorders>
        <w:shd w:val="clear" w:color="auto" w:fill="0D432F" w:themeFill="accent2" w:themeFillShade="BF"/>
      </w:tcPr>
    </w:tblStylePr>
    <w:tblStylePr w:type="band1Horz">
      <w:tblPr/>
      <w:tcPr>
        <w:tcBorders>
          <w:top w:val="nil"/>
          <w:left w:val="nil"/>
          <w:bottom w:val="nil"/>
          <w:right w:val="nil"/>
          <w:insideH w:val="nil"/>
          <w:insideV w:val="nil"/>
        </w:tcBorders>
        <w:shd w:val="clear" w:color="auto" w:fill="0D432F" w:themeFill="accent2" w:themeFillShade="BF"/>
      </w:tcPr>
    </w:tblStylePr>
  </w:style>
  <w:style w:type="table" w:styleId="DarkList-Accent3">
    <w:name w:val="Dark List Accent 3"/>
    <w:basedOn w:val="TableNormal"/>
    <w:uiPriority w:val="70"/>
    <w:unhideWhenUsed/>
    <w:rsid w:val="00920D86"/>
    <w:pPr>
      <w:spacing w:line="240" w:lineRule="auto"/>
    </w:pPr>
    <w:rPr>
      <w:color w:val="FFFFFF" w:themeColor="background1"/>
    </w:rPr>
    <w:tblPr>
      <w:tblStyleRowBandSize w:val="1"/>
      <w:tblStyleColBandSize w:val="1"/>
    </w:tblPr>
    <w:tcPr>
      <w:shd w:val="clear" w:color="auto" w:fill="ADD09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7B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CB45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CB456" w:themeFill="accent3" w:themeFillShade="BF"/>
      </w:tcPr>
    </w:tblStylePr>
    <w:tblStylePr w:type="band1Vert">
      <w:tblPr/>
      <w:tcPr>
        <w:tcBorders>
          <w:top w:val="nil"/>
          <w:left w:val="nil"/>
          <w:bottom w:val="nil"/>
          <w:right w:val="nil"/>
          <w:insideH w:val="nil"/>
          <w:insideV w:val="nil"/>
        </w:tcBorders>
        <w:shd w:val="clear" w:color="auto" w:fill="7CB456" w:themeFill="accent3" w:themeFillShade="BF"/>
      </w:tcPr>
    </w:tblStylePr>
    <w:tblStylePr w:type="band1Horz">
      <w:tblPr/>
      <w:tcPr>
        <w:tcBorders>
          <w:top w:val="nil"/>
          <w:left w:val="nil"/>
          <w:bottom w:val="nil"/>
          <w:right w:val="nil"/>
          <w:insideH w:val="nil"/>
          <w:insideV w:val="nil"/>
        </w:tcBorders>
        <w:shd w:val="clear" w:color="auto" w:fill="7CB456" w:themeFill="accent3" w:themeFillShade="BF"/>
      </w:tcPr>
    </w:tblStylePr>
  </w:style>
  <w:style w:type="table" w:styleId="DarkList-Accent4">
    <w:name w:val="Dark List Accent 4"/>
    <w:basedOn w:val="TableNormal"/>
    <w:uiPriority w:val="70"/>
    <w:unhideWhenUsed/>
    <w:rsid w:val="00920D86"/>
    <w:pPr>
      <w:spacing w:line="240" w:lineRule="auto"/>
    </w:pPr>
    <w:rPr>
      <w:color w:val="FFFFFF" w:themeColor="background1"/>
    </w:rPr>
    <w:tblPr>
      <w:tblStyleRowBandSize w:val="1"/>
      <w:tblStyleColBandSize w:val="1"/>
    </w:tblPr>
    <w:tcPr>
      <w:shd w:val="clear" w:color="auto" w:fill="62294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142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1E3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1E38" w:themeFill="accent4" w:themeFillShade="BF"/>
      </w:tcPr>
    </w:tblStylePr>
    <w:tblStylePr w:type="band1Vert">
      <w:tblPr/>
      <w:tcPr>
        <w:tcBorders>
          <w:top w:val="nil"/>
          <w:left w:val="nil"/>
          <w:bottom w:val="nil"/>
          <w:right w:val="nil"/>
          <w:insideH w:val="nil"/>
          <w:insideV w:val="nil"/>
        </w:tcBorders>
        <w:shd w:val="clear" w:color="auto" w:fill="491E38" w:themeFill="accent4" w:themeFillShade="BF"/>
      </w:tcPr>
    </w:tblStylePr>
    <w:tblStylePr w:type="band1Horz">
      <w:tblPr/>
      <w:tcPr>
        <w:tcBorders>
          <w:top w:val="nil"/>
          <w:left w:val="nil"/>
          <w:bottom w:val="nil"/>
          <w:right w:val="nil"/>
          <w:insideH w:val="nil"/>
          <w:insideV w:val="nil"/>
        </w:tcBorders>
        <w:shd w:val="clear" w:color="auto" w:fill="491E38" w:themeFill="accent4" w:themeFillShade="BF"/>
      </w:tcPr>
    </w:tblStylePr>
  </w:style>
  <w:style w:type="table" w:styleId="DarkList-Accent5">
    <w:name w:val="Dark List Accent 5"/>
    <w:basedOn w:val="TableNormal"/>
    <w:uiPriority w:val="70"/>
    <w:unhideWhenUsed/>
    <w:rsid w:val="00920D86"/>
    <w:pPr>
      <w:spacing w:line="240" w:lineRule="auto"/>
    </w:pPr>
    <w:rPr>
      <w:color w:val="FFFFFF" w:themeColor="background1"/>
    </w:rPr>
    <w:tblPr>
      <w:tblStyleRowBandSize w:val="1"/>
      <w:tblStyleColBandSize w:val="1"/>
    </w:tblPr>
    <w:tcPr>
      <w:shd w:val="clear" w:color="auto" w:fill="FF885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93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E4B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E4B00" w:themeFill="accent5" w:themeFillShade="BF"/>
      </w:tcPr>
    </w:tblStylePr>
    <w:tblStylePr w:type="band1Vert">
      <w:tblPr/>
      <w:tcPr>
        <w:tcBorders>
          <w:top w:val="nil"/>
          <w:left w:val="nil"/>
          <w:bottom w:val="nil"/>
          <w:right w:val="nil"/>
          <w:insideH w:val="nil"/>
          <w:insideV w:val="nil"/>
        </w:tcBorders>
        <w:shd w:val="clear" w:color="auto" w:fill="FE4B00" w:themeFill="accent5" w:themeFillShade="BF"/>
      </w:tcPr>
    </w:tblStylePr>
    <w:tblStylePr w:type="band1Horz">
      <w:tblPr/>
      <w:tcPr>
        <w:tcBorders>
          <w:top w:val="nil"/>
          <w:left w:val="nil"/>
          <w:bottom w:val="nil"/>
          <w:right w:val="nil"/>
          <w:insideH w:val="nil"/>
          <w:insideV w:val="nil"/>
        </w:tcBorders>
        <w:shd w:val="clear" w:color="auto" w:fill="FE4B00" w:themeFill="accent5" w:themeFillShade="BF"/>
      </w:tcPr>
    </w:tblStylePr>
  </w:style>
  <w:style w:type="table" w:styleId="DarkList-Accent6">
    <w:name w:val="Dark List Accent 6"/>
    <w:basedOn w:val="TableNormal"/>
    <w:uiPriority w:val="70"/>
    <w:unhideWhenUsed/>
    <w:rsid w:val="00920D86"/>
    <w:pPr>
      <w:spacing w:line="240" w:lineRule="auto"/>
    </w:pPr>
    <w:rPr>
      <w:color w:val="FFFFFF" w:themeColor="background1"/>
    </w:rPr>
    <w:tblPr>
      <w:tblStyleRowBandSize w:val="1"/>
      <w:tblStyleColBandSize w:val="1"/>
    </w:tblPr>
    <w:tcPr>
      <w:shd w:val="clear" w:color="auto" w:fill="E3E1D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795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4AF9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4AF97" w:themeFill="accent6" w:themeFillShade="BF"/>
      </w:tcPr>
    </w:tblStylePr>
    <w:tblStylePr w:type="band1Vert">
      <w:tblPr/>
      <w:tcPr>
        <w:tcBorders>
          <w:top w:val="nil"/>
          <w:left w:val="nil"/>
          <w:bottom w:val="nil"/>
          <w:right w:val="nil"/>
          <w:insideH w:val="nil"/>
          <w:insideV w:val="nil"/>
        </w:tcBorders>
        <w:shd w:val="clear" w:color="auto" w:fill="B4AF97" w:themeFill="accent6" w:themeFillShade="BF"/>
      </w:tcPr>
    </w:tblStylePr>
    <w:tblStylePr w:type="band1Horz">
      <w:tblPr/>
      <w:tcPr>
        <w:tcBorders>
          <w:top w:val="nil"/>
          <w:left w:val="nil"/>
          <w:bottom w:val="nil"/>
          <w:right w:val="nil"/>
          <w:insideH w:val="nil"/>
          <w:insideV w:val="nil"/>
        </w:tcBorders>
        <w:shd w:val="clear" w:color="auto" w:fill="B4AF97" w:themeFill="accent6" w:themeFillShade="BF"/>
      </w:tcPr>
    </w:tblStylePr>
  </w:style>
  <w:style w:type="paragraph" w:styleId="Date">
    <w:name w:val="Date"/>
    <w:basedOn w:val="Normal"/>
    <w:next w:val="Normal"/>
    <w:link w:val="DateChar"/>
    <w:uiPriority w:val="99"/>
    <w:semiHidden/>
    <w:rsid w:val="00920D86"/>
  </w:style>
  <w:style w:type="character" w:customStyle="1" w:styleId="DateChar">
    <w:name w:val="Date Char"/>
    <w:basedOn w:val="DefaultParagraphFont"/>
    <w:link w:val="Date"/>
    <w:uiPriority w:val="99"/>
    <w:semiHidden/>
    <w:rsid w:val="00920D86"/>
    <w:rPr>
      <w:lang w:val="en-US"/>
    </w:rPr>
  </w:style>
  <w:style w:type="paragraph" w:styleId="DocumentMap">
    <w:name w:val="Document Map"/>
    <w:basedOn w:val="Normal"/>
    <w:link w:val="DocumentMapChar"/>
    <w:uiPriority w:val="99"/>
    <w:semiHidden/>
    <w:rsid w:val="00920D86"/>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0D86"/>
    <w:rPr>
      <w:rFonts w:ascii="Segoe UI" w:hAnsi="Segoe UI" w:cs="Segoe UI"/>
      <w:sz w:val="16"/>
      <w:szCs w:val="16"/>
      <w:lang w:val="en-US"/>
    </w:rPr>
  </w:style>
  <w:style w:type="paragraph" w:styleId="E-mailSignature">
    <w:name w:val="E-mail Signature"/>
    <w:basedOn w:val="Normal"/>
    <w:link w:val="E-mailSignatureChar"/>
    <w:uiPriority w:val="99"/>
    <w:semiHidden/>
    <w:rsid w:val="00920D86"/>
    <w:pPr>
      <w:spacing w:line="240" w:lineRule="auto"/>
    </w:pPr>
  </w:style>
  <w:style w:type="character" w:customStyle="1" w:styleId="E-mailSignatureChar">
    <w:name w:val="E-mail Signature Char"/>
    <w:basedOn w:val="DefaultParagraphFont"/>
    <w:link w:val="E-mailSignature"/>
    <w:uiPriority w:val="99"/>
    <w:semiHidden/>
    <w:rsid w:val="00920D86"/>
    <w:rPr>
      <w:lang w:val="en-US"/>
    </w:rPr>
  </w:style>
  <w:style w:type="character" w:styleId="Emphasis">
    <w:name w:val="Emphasis"/>
    <w:basedOn w:val="DefaultParagraphFont"/>
    <w:uiPriority w:val="19"/>
    <w:qFormat/>
    <w:rsid w:val="00920D86"/>
    <w:rPr>
      <w:i/>
      <w:iCs/>
      <w:lang w:val="en-US"/>
    </w:rPr>
  </w:style>
  <w:style w:type="paragraph" w:styleId="EnvelopeAddress">
    <w:name w:val="envelope address"/>
    <w:basedOn w:val="Normal"/>
    <w:uiPriority w:val="99"/>
    <w:semiHidden/>
    <w:rsid w:val="00920D86"/>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920D86"/>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920D86"/>
    <w:rPr>
      <w:color w:val="CCEBFD" w:themeColor="followedHyperlink"/>
      <w:u w:val="single"/>
      <w:lang w:val="en-US"/>
    </w:rPr>
  </w:style>
  <w:style w:type="character" w:styleId="FootnoteReference">
    <w:name w:val="footnote reference"/>
    <w:basedOn w:val="DefaultParagraphFont"/>
    <w:uiPriority w:val="99"/>
    <w:semiHidden/>
    <w:rsid w:val="00920D86"/>
    <w:rPr>
      <w:vertAlign w:val="superscript"/>
      <w:lang w:val="en-US"/>
    </w:rPr>
  </w:style>
  <w:style w:type="table" w:styleId="GridTable1Light">
    <w:name w:val="Grid Table 1 Light"/>
    <w:basedOn w:val="TableNormal"/>
    <w:uiPriority w:val="46"/>
    <w:rsid w:val="00920D8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0D86"/>
    <w:pPr>
      <w:spacing w:line="240" w:lineRule="auto"/>
    </w:pPr>
    <w:tblPr>
      <w:tblStyleRowBandSize w:val="1"/>
      <w:tblStyleColBandSize w:val="1"/>
      <w:tblBorders>
        <w:top w:val="single" w:sz="4" w:space="0" w:color="67A5F8" w:themeColor="accent1" w:themeTint="66"/>
        <w:left w:val="single" w:sz="4" w:space="0" w:color="67A5F8" w:themeColor="accent1" w:themeTint="66"/>
        <w:bottom w:val="single" w:sz="4" w:space="0" w:color="67A5F8" w:themeColor="accent1" w:themeTint="66"/>
        <w:right w:val="single" w:sz="4" w:space="0" w:color="67A5F8" w:themeColor="accent1" w:themeTint="66"/>
        <w:insideH w:val="single" w:sz="4" w:space="0" w:color="67A5F8" w:themeColor="accent1" w:themeTint="66"/>
        <w:insideV w:val="single" w:sz="4" w:space="0" w:color="67A5F8" w:themeColor="accent1" w:themeTint="66"/>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2" w:space="0" w:color="1C78F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0D86"/>
    <w:pPr>
      <w:spacing w:line="240" w:lineRule="auto"/>
    </w:pPr>
    <w:tblPr>
      <w:tblStyleRowBandSize w:val="1"/>
      <w:tblStyleColBandSize w:val="1"/>
      <w:tblBorders>
        <w:top w:val="single" w:sz="4" w:space="0" w:color="78E4BD" w:themeColor="accent2" w:themeTint="66"/>
        <w:left w:val="single" w:sz="4" w:space="0" w:color="78E4BD" w:themeColor="accent2" w:themeTint="66"/>
        <w:bottom w:val="single" w:sz="4" w:space="0" w:color="78E4BD" w:themeColor="accent2" w:themeTint="66"/>
        <w:right w:val="single" w:sz="4" w:space="0" w:color="78E4BD" w:themeColor="accent2" w:themeTint="66"/>
        <w:insideH w:val="single" w:sz="4" w:space="0" w:color="78E4BD" w:themeColor="accent2" w:themeTint="66"/>
        <w:insideV w:val="single" w:sz="4" w:space="0" w:color="78E4BD" w:themeColor="accent2" w:themeTint="66"/>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2" w:space="0" w:color="35D69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0D86"/>
    <w:pPr>
      <w:spacing w:line="240" w:lineRule="auto"/>
    </w:pPr>
    <w:tblPr>
      <w:tblStyleRowBandSize w:val="1"/>
      <w:tblStyleColBandSize w:val="1"/>
      <w:tblBorders>
        <w:top w:val="single" w:sz="4" w:space="0" w:color="DEECD4" w:themeColor="accent3" w:themeTint="66"/>
        <w:left w:val="single" w:sz="4" w:space="0" w:color="DEECD4" w:themeColor="accent3" w:themeTint="66"/>
        <w:bottom w:val="single" w:sz="4" w:space="0" w:color="DEECD4" w:themeColor="accent3" w:themeTint="66"/>
        <w:right w:val="single" w:sz="4" w:space="0" w:color="DEECD4" w:themeColor="accent3" w:themeTint="66"/>
        <w:insideH w:val="single" w:sz="4" w:space="0" w:color="DEECD4" w:themeColor="accent3" w:themeTint="66"/>
        <w:insideV w:val="single" w:sz="4" w:space="0" w:color="DEECD4" w:themeColor="accent3" w:themeTint="66"/>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2" w:space="0" w:color="CDE2B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0D86"/>
    <w:pPr>
      <w:spacing w:line="240" w:lineRule="auto"/>
    </w:pPr>
    <w:tblPr>
      <w:tblStyleRowBandSize w:val="1"/>
      <w:tblStyleColBandSize w:val="1"/>
      <w:tblBorders>
        <w:top w:val="single" w:sz="4" w:space="0" w:color="D396BA" w:themeColor="accent4" w:themeTint="66"/>
        <w:left w:val="single" w:sz="4" w:space="0" w:color="D396BA" w:themeColor="accent4" w:themeTint="66"/>
        <w:bottom w:val="single" w:sz="4" w:space="0" w:color="D396BA" w:themeColor="accent4" w:themeTint="66"/>
        <w:right w:val="single" w:sz="4" w:space="0" w:color="D396BA" w:themeColor="accent4" w:themeTint="66"/>
        <w:insideH w:val="single" w:sz="4" w:space="0" w:color="D396BA" w:themeColor="accent4" w:themeTint="66"/>
        <w:insideV w:val="single" w:sz="4" w:space="0" w:color="D396BA" w:themeColor="accent4" w:themeTint="66"/>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2" w:space="0" w:color="BD629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0D86"/>
    <w:pPr>
      <w:spacing w:line="240" w:lineRule="auto"/>
    </w:pPr>
    <w:tblPr>
      <w:tblStyleRowBandSize w:val="1"/>
      <w:tblStyleColBandSize w:val="1"/>
      <w:tblBorders>
        <w:top w:val="single" w:sz="4" w:space="0" w:color="FFCFBB" w:themeColor="accent5" w:themeTint="66"/>
        <w:left w:val="single" w:sz="4" w:space="0" w:color="FFCFBB" w:themeColor="accent5" w:themeTint="66"/>
        <w:bottom w:val="single" w:sz="4" w:space="0" w:color="FFCFBB" w:themeColor="accent5" w:themeTint="66"/>
        <w:right w:val="single" w:sz="4" w:space="0" w:color="FFCFBB" w:themeColor="accent5" w:themeTint="66"/>
        <w:insideH w:val="single" w:sz="4" w:space="0" w:color="FFCFBB" w:themeColor="accent5" w:themeTint="66"/>
        <w:insideV w:val="single" w:sz="4" w:space="0" w:color="FFCFBB" w:themeColor="accent5" w:themeTint="66"/>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2" w:space="0" w:color="FFB79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0D86"/>
    <w:pPr>
      <w:spacing w:line="240" w:lineRule="auto"/>
    </w:pPr>
    <w:tblPr>
      <w:tblStyleRowBandSize w:val="1"/>
      <w:tblStyleColBandSize w:val="1"/>
      <w:tblBorders>
        <w:top w:val="single" w:sz="4" w:space="0" w:color="F3F2EF" w:themeColor="accent6" w:themeTint="66"/>
        <w:left w:val="single" w:sz="4" w:space="0" w:color="F3F2EF" w:themeColor="accent6" w:themeTint="66"/>
        <w:bottom w:val="single" w:sz="4" w:space="0" w:color="F3F2EF" w:themeColor="accent6" w:themeTint="66"/>
        <w:right w:val="single" w:sz="4" w:space="0" w:color="F3F2EF" w:themeColor="accent6" w:themeTint="66"/>
        <w:insideH w:val="single" w:sz="4" w:space="0" w:color="F3F2EF" w:themeColor="accent6" w:themeTint="66"/>
        <w:insideV w:val="single" w:sz="4" w:space="0" w:color="F3F2EF" w:themeColor="accent6" w:themeTint="66"/>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2" w:space="0" w:color="EEECE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0D8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0D86"/>
    <w:pPr>
      <w:spacing w:line="240" w:lineRule="auto"/>
    </w:pPr>
    <w:tblPr>
      <w:tblStyleRowBandSize w:val="1"/>
      <w:tblStyleColBandSize w:val="1"/>
      <w:tblBorders>
        <w:top w:val="single" w:sz="2" w:space="0" w:color="1C78F4" w:themeColor="accent1" w:themeTint="99"/>
        <w:bottom w:val="single" w:sz="2" w:space="0" w:color="1C78F4" w:themeColor="accent1" w:themeTint="99"/>
        <w:insideH w:val="single" w:sz="2" w:space="0" w:color="1C78F4" w:themeColor="accent1" w:themeTint="99"/>
        <w:insideV w:val="single" w:sz="2" w:space="0" w:color="1C78F4" w:themeColor="accent1" w:themeTint="99"/>
      </w:tblBorders>
    </w:tblPr>
    <w:tblStylePr w:type="firstRow">
      <w:rPr>
        <w:b/>
        <w:bCs/>
      </w:rPr>
      <w:tblPr/>
      <w:tcPr>
        <w:tcBorders>
          <w:top w:val="nil"/>
          <w:bottom w:val="single" w:sz="12" w:space="0" w:color="1C78F4" w:themeColor="accent1" w:themeTint="99"/>
          <w:insideH w:val="nil"/>
          <w:insideV w:val="nil"/>
        </w:tcBorders>
        <w:shd w:val="clear" w:color="auto" w:fill="FFFFFF" w:themeFill="background1"/>
      </w:tcPr>
    </w:tblStylePr>
    <w:tblStylePr w:type="lastRow">
      <w:rPr>
        <w:b/>
        <w:bCs/>
      </w:rPr>
      <w:tblPr/>
      <w:tcPr>
        <w:tcBorders>
          <w:top w:val="double" w:sz="2" w:space="0" w:color="1C78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2-Accent2">
    <w:name w:val="Grid Table 2 Accent 2"/>
    <w:basedOn w:val="TableNormal"/>
    <w:uiPriority w:val="47"/>
    <w:rsid w:val="00920D86"/>
    <w:pPr>
      <w:spacing w:line="240" w:lineRule="auto"/>
    </w:pPr>
    <w:tblPr>
      <w:tblStyleRowBandSize w:val="1"/>
      <w:tblStyleColBandSize w:val="1"/>
      <w:tblBorders>
        <w:top w:val="single" w:sz="2" w:space="0" w:color="35D69C" w:themeColor="accent2" w:themeTint="99"/>
        <w:bottom w:val="single" w:sz="2" w:space="0" w:color="35D69C" w:themeColor="accent2" w:themeTint="99"/>
        <w:insideH w:val="single" w:sz="2" w:space="0" w:color="35D69C" w:themeColor="accent2" w:themeTint="99"/>
        <w:insideV w:val="single" w:sz="2" w:space="0" w:color="35D69C" w:themeColor="accent2" w:themeTint="99"/>
      </w:tblBorders>
    </w:tblPr>
    <w:tblStylePr w:type="firstRow">
      <w:rPr>
        <w:b/>
        <w:bCs/>
      </w:rPr>
      <w:tblPr/>
      <w:tcPr>
        <w:tcBorders>
          <w:top w:val="nil"/>
          <w:bottom w:val="single" w:sz="12" w:space="0" w:color="35D69C" w:themeColor="accent2" w:themeTint="99"/>
          <w:insideH w:val="nil"/>
          <w:insideV w:val="nil"/>
        </w:tcBorders>
        <w:shd w:val="clear" w:color="auto" w:fill="FFFFFF" w:themeFill="background1"/>
      </w:tcPr>
    </w:tblStylePr>
    <w:tblStylePr w:type="lastRow">
      <w:rPr>
        <w:b/>
        <w:bCs/>
      </w:rPr>
      <w:tblPr/>
      <w:tcPr>
        <w:tcBorders>
          <w:top w:val="double" w:sz="2" w:space="0" w:color="35D69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2-Accent3">
    <w:name w:val="Grid Table 2 Accent 3"/>
    <w:basedOn w:val="TableNormal"/>
    <w:uiPriority w:val="47"/>
    <w:rsid w:val="00920D86"/>
    <w:pPr>
      <w:spacing w:line="240" w:lineRule="auto"/>
    </w:pPr>
    <w:tblPr>
      <w:tblStyleRowBandSize w:val="1"/>
      <w:tblStyleColBandSize w:val="1"/>
      <w:tblBorders>
        <w:top w:val="single" w:sz="2" w:space="0" w:color="CDE2BF" w:themeColor="accent3" w:themeTint="99"/>
        <w:bottom w:val="single" w:sz="2" w:space="0" w:color="CDE2BF" w:themeColor="accent3" w:themeTint="99"/>
        <w:insideH w:val="single" w:sz="2" w:space="0" w:color="CDE2BF" w:themeColor="accent3" w:themeTint="99"/>
        <w:insideV w:val="single" w:sz="2" w:space="0" w:color="CDE2BF" w:themeColor="accent3" w:themeTint="99"/>
      </w:tblBorders>
    </w:tblPr>
    <w:tblStylePr w:type="firstRow">
      <w:rPr>
        <w:b/>
        <w:bCs/>
      </w:rPr>
      <w:tblPr/>
      <w:tcPr>
        <w:tcBorders>
          <w:top w:val="nil"/>
          <w:bottom w:val="single" w:sz="12" w:space="0" w:color="CDE2BF" w:themeColor="accent3" w:themeTint="99"/>
          <w:insideH w:val="nil"/>
          <w:insideV w:val="nil"/>
        </w:tcBorders>
        <w:shd w:val="clear" w:color="auto" w:fill="FFFFFF" w:themeFill="background1"/>
      </w:tcPr>
    </w:tblStylePr>
    <w:tblStylePr w:type="lastRow">
      <w:rPr>
        <w:b/>
        <w:bCs/>
      </w:rPr>
      <w:tblPr/>
      <w:tcPr>
        <w:tcBorders>
          <w:top w:val="double" w:sz="2" w:space="0" w:color="CDE2B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2-Accent4">
    <w:name w:val="Grid Table 2 Accent 4"/>
    <w:basedOn w:val="TableNormal"/>
    <w:uiPriority w:val="47"/>
    <w:rsid w:val="00920D86"/>
    <w:pPr>
      <w:spacing w:line="240" w:lineRule="auto"/>
    </w:pPr>
    <w:tblPr>
      <w:tblStyleRowBandSize w:val="1"/>
      <w:tblStyleColBandSize w:val="1"/>
      <w:tblBorders>
        <w:top w:val="single" w:sz="2" w:space="0" w:color="BD6298" w:themeColor="accent4" w:themeTint="99"/>
        <w:bottom w:val="single" w:sz="2" w:space="0" w:color="BD6298" w:themeColor="accent4" w:themeTint="99"/>
        <w:insideH w:val="single" w:sz="2" w:space="0" w:color="BD6298" w:themeColor="accent4" w:themeTint="99"/>
        <w:insideV w:val="single" w:sz="2" w:space="0" w:color="BD6298" w:themeColor="accent4" w:themeTint="99"/>
      </w:tblBorders>
    </w:tblPr>
    <w:tblStylePr w:type="firstRow">
      <w:rPr>
        <w:b/>
        <w:bCs/>
      </w:rPr>
      <w:tblPr/>
      <w:tcPr>
        <w:tcBorders>
          <w:top w:val="nil"/>
          <w:bottom w:val="single" w:sz="12" w:space="0" w:color="BD6298" w:themeColor="accent4" w:themeTint="99"/>
          <w:insideH w:val="nil"/>
          <w:insideV w:val="nil"/>
        </w:tcBorders>
        <w:shd w:val="clear" w:color="auto" w:fill="FFFFFF" w:themeFill="background1"/>
      </w:tcPr>
    </w:tblStylePr>
    <w:tblStylePr w:type="lastRow">
      <w:rPr>
        <w:b/>
        <w:bCs/>
      </w:rPr>
      <w:tblPr/>
      <w:tcPr>
        <w:tcBorders>
          <w:top w:val="double" w:sz="2" w:space="0" w:color="BD629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2-Accent5">
    <w:name w:val="Grid Table 2 Accent 5"/>
    <w:basedOn w:val="TableNormal"/>
    <w:uiPriority w:val="47"/>
    <w:rsid w:val="00920D86"/>
    <w:pPr>
      <w:spacing w:line="240" w:lineRule="auto"/>
    </w:pPr>
    <w:tblPr>
      <w:tblStyleRowBandSize w:val="1"/>
      <w:tblStyleColBandSize w:val="1"/>
      <w:tblBorders>
        <w:top w:val="single" w:sz="2" w:space="0" w:color="FFB799" w:themeColor="accent5" w:themeTint="99"/>
        <w:bottom w:val="single" w:sz="2" w:space="0" w:color="FFB799" w:themeColor="accent5" w:themeTint="99"/>
        <w:insideH w:val="single" w:sz="2" w:space="0" w:color="FFB799" w:themeColor="accent5" w:themeTint="99"/>
        <w:insideV w:val="single" w:sz="2" w:space="0" w:color="FFB799" w:themeColor="accent5" w:themeTint="99"/>
      </w:tblBorders>
    </w:tblPr>
    <w:tblStylePr w:type="firstRow">
      <w:rPr>
        <w:b/>
        <w:bCs/>
      </w:rPr>
      <w:tblPr/>
      <w:tcPr>
        <w:tcBorders>
          <w:top w:val="nil"/>
          <w:bottom w:val="single" w:sz="12" w:space="0" w:color="FFB799" w:themeColor="accent5" w:themeTint="99"/>
          <w:insideH w:val="nil"/>
          <w:insideV w:val="nil"/>
        </w:tcBorders>
        <w:shd w:val="clear" w:color="auto" w:fill="FFFFFF" w:themeFill="background1"/>
      </w:tcPr>
    </w:tblStylePr>
    <w:tblStylePr w:type="lastRow">
      <w:rPr>
        <w:b/>
        <w:bCs/>
      </w:rPr>
      <w:tblPr/>
      <w:tcPr>
        <w:tcBorders>
          <w:top w:val="double" w:sz="2" w:space="0" w:color="FFB79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2-Accent6">
    <w:name w:val="Grid Table 2 Accent 6"/>
    <w:basedOn w:val="TableNormal"/>
    <w:uiPriority w:val="47"/>
    <w:rsid w:val="00920D86"/>
    <w:pPr>
      <w:spacing w:line="240" w:lineRule="auto"/>
    </w:pPr>
    <w:tblPr>
      <w:tblStyleRowBandSize w:val="1"/>
      <w:tblStyleColBandSize w:val="1"/>
      <w:tblBorders>
        <w:top w:val="single" w:sz="2" w:space="0" w:color="EEECE7" w:themeColor="accent6" w:themeTint="99"/>
        <w:bottom w:val="single" w:sz="2" w:space="0" w:color="EEECE7" w:themeColor="accent6" w:themeTint="99"/>
        <w:insideH w:val="single" w:sz="2" w:space="0" w:color="EEECE7" w:themeColor="accent6" w:themeTint="99"/>
        <w:insideV w:val="single" w:sz="2" w:space="0" w:color="EEECE7" w:themeColor="accent6" w:themeTint="99"/>
      </w:tblBorders>
    </w:tblPr>
    <w:tblStylePr w:type="firstRow">
      <w:rPr>
        <w:b/>
        <w:bCs/>
      </w:rPr>
      <w:tblPr/>
      <w:tcPr>
        <w:tcBorders>
          <w:top w:val="nil"/>
          <w:bottom w:val="single" w:sz="12" w:space="0" w:color="EEECE7" w:themeColor="accent6" w:themeTint="99"/>
          <w:insideH w:val="nil"/>
          <w:insideV w:val="nil"/>
        </w:tcBorders>
        <w:shd w:val="clear" w:color="auto" w:fill="FFFFFF" w:themeFill="background1"/>
      </w:tcPr>
    </w:tblStylePr>
    <w:tblStylePr w:type="lastRow">
      <w:rPr>
        <w:b/>
        <w:bCs/>
      </w:rPr>
      <w:tblPr/>
      <w:tcPr>
        <w:tcBorders>
          <w:top w:val="double" w:sz="2" w:space="0" w:color="EEECE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3">
    <w:name w:val="Grid Table 3"/>
    <w:basedOn w:val="TableNormal"/>
    <w:uiPriority w:val="48"/>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3-Accent2">
    <w:name w:val="Grid Table 3 Accent 2"/>
    <w:basedOn w:val="TableNormal"/>
    <w:uiPriority w:val="48"/>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3-Accent3">
    <w:name w:val="Grid Table 3 Accent 3"/>
    <w:basedOn w:val="TableNormal"/>
    <w:uiPriority w:val="48"/>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3-Accent4">
    <w:name w:val="Grid Table 3 Accent 4"/>
    <w:basedOn w:val="TableNormal"/>
    <w:uiPriority w:val="48"/>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3-Accent5">
    <w:name w:val="Grid Table 3 Accent 5"/>
    <w:basedOn w:val="TableNormal"/>
    <w:uiPriority w:val="48"/>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3-Accent6">
    <w:name w:val="Grid Table 3 Accent 6"/>
    <w:basedOn w:val="TableNormal"/>
    <w:uiPriority w:val="48"/>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table" w:styleId="GridTable4">
    <w:name w:val="Grid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insideV w:val="nil"/>
        </w:tcBorders>
        <w:shd w:val="clear" w:color="auto" w:fill="05326E" w:themeFill="accent1"/>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4-Accent2">
    <w:name w:val="Grid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insideV w:val="nil"/>
        </w:tcBorders>
        <w:shd w:val="clear" w:color="auto" w:fill="125A40" w:themeFill="accent2"/>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4-Accent3">
    <w:name w:val="Grid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insideV w:val="nil"/>
        </w:tcBorders>
        <w:shd w:val="clear" w:color="auto" w:fill="ADD095" w:themeFill="accent3"/>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4-Accent4">
    <w:name w:val="Grid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insideV w:val="nil"/>
        </w:tcBorders>
        <w:shd w:val="clear" w:color="auto" w:fill="62294B" w:themeFill="accent4"/>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4-Accent5">
    <w:name w:val="Grid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insideV w:val="nil"/>
        </w:tcBorders>
        <w:shd w:val="clear" w:color="auto" w:fill="FF8855" w:themeFill="accent5"/>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4-Accent6">
    <w:name w:val="Grid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insideV w:val="nil"/>
        </w:tcBorders>
        <w:shd w:val="clear" w:color="auto" w:fill="E3E1D8" w:themeFill="accent6"/>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5Dark">
    <w:name w:val="Grid Table 5 Dark"/>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D2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5326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5326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5326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5326E" w:themeFill="accent1"/>
      </w:tcPr>
    </w:tblStylePr>
    <w:tblStylePr w:type="band1Vert">
      <w:tblPr/>
      <w:tcPr>
        <w:shd w:val="clear" w:color="auto" w:fill="67A5F8" w:themeFill="accent1" w:themeFillTint="66"/>
      </w:tcPr>
    </w:tblStylePr>
    <w:tblStylePr w:type="band1Horz">
      <w:tblPr/>
      <w:tcPr>
        <w:shd w:val="clear" w:color="auto" w:fill="67A5F8" w:themeFill="accent1" w:themeFillTint="66"/>
      </w:tcPr>
    </w:tblStylePr>
  </w:style>
  <w:style w:type="table" w:styleId="GridTable5Dark-Accent2">
    <w:name w:val="Grid Table 5 Dark Accent 2"/>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F1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25A4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25A4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25A4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25A40" w:themeFill="accent2"/>
      </w:tcPr>
    </w:tblStylePr>
    <w:tblStylePr w:type="band1Vert">
      <w:tblPr/>
      <w:tcPr>
        <w:shd w:val="clear" w:color="auto" w:fill="78E4BD" w:themeFill="accent2" w:themeFillTint="66"/>
      </w:tcPr>
    </w:tblStylePr>
    <w:tblStylePr w:type="band1Horz">
      <w:tblPr/>
      <w:tcPr>
        <w:shd w:val="clear" w:color="auto" w:fill="78E4BD" w:themeFill="accent2" w:themeFillTint="66"/>
      </w:tcPr>
    </w:tblStylePr>
  </w:style>
  <w:style w:type="table" w:styleId="GridTable5Dark-Accent3">
    <w:name w:val="Grid Table 5 Dark Accent 3"/>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5E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09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09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09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095" w:themeFill="accent3"/>
      </w:tcPr>
    </w:tblStylePr>
    <w:tblStylePr w:type="band1Vert">
      <w:tblPr/>
      <w:tcPr>
        <w:shd w:val="clear" w:color="auto" w:fill="DEECD4" w:themeFill="accent3" w:themeFillTint="66"/>
      </w:tcPr>
    </w:tblStylePr>
    <w:tblStylePr w:type="band1Horz">
      <w:tblPr/>
      <w:tcPr>
        <w:shd w:val="clear" w:color="auto" w:fill="DEECD4" w:themeFill="accent3" w:themeFillTint="66"/>
      </w:tcPr>
    </w:tblStylePr>
  </w:style>
  <w:style w:type="table" w:styleId="GridTable5Dark-Accent4">
    <w:name w:val="Grid Table 5 Dark Accent 4"/>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CAD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294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294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294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294B" w:themeFill="accent4"/>
      </w:tcPr>
    </w:tblStylePr>
    <w:tblStylePr w:type="band1Vert">
      <w:tblPr/>
      <w:tcPr>
        <w:shd w:val="clear" w:color="auto" w:fill="D396BA" w:themeFill="accent4" w:themeFillTint="66"/>
      </w:tcPr>
    </w:tblStylePr>
    <w:tblStylePr w:type="band1Horz">
      <w:tblPr/>
      <w:tcPr>
        <w:shd w:val="clear" w:color="auto" w:fill="D396BA" w:themeFill="accent4" w:themeFillTint="66"/>
      </w:tcPr>
    </w:tblStylePr>
  </w:style>
  <w:style w:type="table" w:styleId="GridTable5Dark-Accent5">
    <w:name w:val="Grid Table 5 Dark Accent 5"/>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D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85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85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85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855" w:themeFill="accent5"/>
      </w:tcPr>
    </w:tblStylePr>
    <w:tblStylePr w:type="band1Vert">
      <w:tblPr/>
      <w:tcPr>
        <w:shd w:val="clear" w:color="auto" w:fill="FFCFBB" w:themeFill="accent5" w:themeFillTint="66"/>
      </w:tcPr>
    </w:tblStylePr>
    <w:tblStylePr w:type="band1Horz">
      <w:tblPr/>
      <w:tcPr>
        <w:shd w:val="clear" w:color="auto" w:fill="FFCFBB" w:themeFill="accent5" w:themeFillTint="66"/>
      </w:tcPr>
    </w:tblStylePr>
  </w:style>
  <w:style w:type="table" w:styleId="GridTable5Dark-Accent6">
    <w:name w:val="Grid Table 5 Dark Accent 6"/>
    <w:basedOn w:val="TableNormal"/>
    <w:uiPriority w:val="50"/>
    <w:rsid w:val="00920D8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8F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E1D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E1D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E1D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E1D8" w:themeFill="accent6"/>
      </w:tcPr>
    </w:tblStylePr>
    <w:tblStylePr w:type="band1Vert">
      <w:tblPr/>
      <w:tcPr>
        <w:shd w:val="clear" w:color="auto" w:fill="F3F2EF" w:themeFill="accent6" w:themeFillTint="66"/>
      </w:tcPr>
    </w:tblStylePr>
    <w:tblStylePr w:type="band1Horz">
      <w:tblPr/>
      <w:tcPr>
        <w:shd w:val="clear" w:color="auto" w:fill="F3F2EF" w:themeFill="accent6" w:themeFillTint="66"/>
      </w:tcPr>
    </w:tblStylePr>
  </w:style>
  <w:style w:type="table" w:styleId="GridTable6Colorful">
    <w:name w:val="Grid Table 6 Colorful"/>
    <w:basedOn w:val="TableNormal"/>
    <w:uiPriority w:val="51"/>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bottom w:val="single" w:sz="12" w:space="0" w:color="1C78F4" w:themeColor="accent1" w:themeTint="99"/>
        </w:tcBorders>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GridTable6Colorful-Accent2">
    <w:name w:val="Grid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bottom w:val="single" w:sz="12" w:space="0" w:color="35D69C" w:themeColor="accent2" w:themeTint="99"/>
        </w:tcBorders>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GridTable6Colorful-Accent3">
    <w:name w:val="Grid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bottom w:val="single" w:sz="12" w:space="0" w:color="CDE2BF" w:themeColor="accent3" w:themeTint="99"/>
        </w:tcBorders>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GridTable6Colorful-Accent4">
    <w:name w:val="Grid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bottom w:val="single" w:sz="12" w:space="0" w:color="BD6298" w:themeColor="accent4" w:themeTint="99"/>
        </w:tcBorders>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GridTable6Colorful-Accent5">
    <w:name w:val="Grid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bottom w:val="single" w:sz="12" w:space="0" w:color="FFB799" w:themeColor="accent5" w:themeTint="99"/>
        </w:tcBorders>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GridTable6Colorful-Accent6">
    <w:name w:val="Grid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bottom w:val="single" w:sz="12" w:space="0" w:color="EEECE7" w:themeColor="accent6" w:themeTint="99"/>
        </w:tcBorders>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GridTable7Colorful">
    <w:name w:val="Grid Table 7 Colorful"/>
    <w:basedOn w:val="TableNormal"/>
    <w:uiPriority w:val="52"/>
    <w:rsid w:val="00920D8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0D86"/>
    <w:pPr>
      <w:spacing w:line="240" w:lineRule="auto"/>
    </w:pPr>
    <w:rPr>
      <w:color w:val="032552" w:themeColor="accent1" w:themeShade="BF"/>
    </w:r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insideV w:val="single" w:sz="4" w:space="0" w:color="1C78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bottom w:val="single" w:sz="4" w:space="0" w:color="1C78F4" w:themeColor="accent1" w:themeTint="99"/>
        </w:tcBorders>
      </w:tcPr>
    </w:tblStylePr>
    <w:tblStylePr w:type="nwCell">
      <w:tblPr/>
      <w:tcPr>
        <w:tcBorders>
          <w:bottom w:val="single" w:sz="4" w:space="0" w:color="1C78F4" w:themeColor="accent1" w:themeTint="99"/>
        </w:tcBorders>
      </w:tcPr>
    </w:tblStylePr>
    <w:tblStylePr w:type="seCell">
      <w:tblPr/>
      <w:tcPr>
        <w:tcBorders>
          <w:top w:val="single" w:sz="4" w:space="0" w:color="1C78F4" w:themeColor="accent1" w:themeTint="99"/>
        </w:tcBorders>
      </w:tcPr>
    </w:tblStylePr>
    <w:tblStylePr w:type="swCell">
      <w:tblPr/>
      <w:tcPr>
        <w:tcBorders>
          <w:top w:val="single" w:sz="4" w:space="0" w:color="1C78F4" w:themeColor="accent1" w:themeTint="99"/>
        </w:tcBorders>
      </w:tcPr>
    </w:tblStylePr>
  </w:style>
  <w:style w:type="table" w:styleId="GridTable7Colorful-Accent2">
    <w:name w:val="Grid Table 7 Colorful Accent 2"/>
    <w:basedOn w:val="TableNormal"/>
    <w:uiPriority w:val="52"/>
    <w:rsid w:val="00920D86"/>
    <w:pPr>
      <w:spacing w:line="240" w:lineRule="auto"/>
    </w:pPr>
    <w:rPr>
      <w:color w:val="0D432F" w:themeColor="accent2" w:themeShade="BF"/>
    </w:r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insideV w:val="single" w:sz="4" w:space="0" w:color="35D69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bottom w:val="single" w:sz="4" w:space="0" w:color="35D69C" w:themeColor="accent2" w:themeTint="99"/>
        </w:tcBorders>
      </w:tcPr>
    </w:tblStylePr>
    <w:tblStylePr w:type="nwCell">
      <w:tblPr/>
      <w:tcPr>
        <w:tcBorders>
          <w:bottom w:val="single" w:sz="4" w:space="0" w:color="35D69C" w:themeColor="accent2" w:themeTint="99"/>
        </w:tcBorders>
      </w:tcPr>
    </w:tblStylePr>
    <w:tblStylePr w:type="seCell">
      <w:tblPr/>
      <w:tcPr>
        <w:tcBorders>
          <w:top w:val="single" w:sz="4" w:space="0" w:color="35D69C" w:themeColor="accent2" w:themeTint="99"/>
        </w:tcBorders>
      </w:tcPr>
    </w:tblStylePr>
    <w:tblStylePr w:type="swCell">
      <w:tblPr/>
      <w:tcPr>
        <w:tcBorders>
          <w:top w:val="single" w:sz="4" w:space="0" w:color="35D69C" w:themeColor="accent2" w:themeTint="99"/>
        </w:tcBorders>
      </w:tcPr>
    </w:tblStylePr>
  </w:style>
  <w:style w:type="table" w:styleId="GridTable7Colorful-Accent3">
    <w:name w:val="Grid Table 7 Colorful Accent 3"/>
    <w:basedOn w:val="TableNormal"/>
    <w:uiPriority w:val="52"/>
    <w:rsid w:val="00920D86"/>
    <w:pPr>
      <w:spacing w:line="240" w:lineRule="auto"/>
    </w:pPr>
    <w:rPr>
      <w:color w:val="7CB456" w:themeColor="accent3" w:themeShade="BF"/>
    </w:r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insideV w:val="single" w:sz="4" w:space="0" w:color="CDE2B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bottom w:val="single" w:sz="4" w:space="0" w:color="CDE2BF" w:themeColor="accent3" w:themeTint="99"/>
        </w:tcBorders>
      </w:tcPr>
    </w:tblStylePr>
    <w:tblStylePr w:type="nwCell">
      <w:tblPr/>
      <w:tcPr>
        <w:tcBorders>
          <w:bottom w:val="single" w:sz="4" w:space="0" w:color="CDE2BF" w:themeColor="accent3" w:themeTint="99"/>
        </w:tcBorders>
      </w:tcPr>
    </w:tblStylePr>
    <w:tblStylePr w:type="seCell">
      <w:tblPr/>
      <w:tcPr>
        <w:tcBorders>
          <w:top w:val="single" w:sz="4" w:space="0" w:color="CDE2BF" w:themeColor="accent3" w:themeTint="99"/>
        </w:tcBorders>
      </w:tcPr>
    </w:tblStylePr>
    <w:tblStylePr w:type="swCell">
      <w:tblPr/>
      <w:tcPr>
        <w:tcBorders>
          <w:top w:val="single" w:sz="4" w:space="0" w:color="CDE2BF" w:themeColor="accent3" w:themeTint="99"/>
        </w:tcBorders>
      </w:tcPr>
    </w:tblStylePr>
  </w:style>
  <w:style w:type="table" w:styleId="GridTable7Colorful-Accent4">
    <w:name w:val="Grid Table 7 Colorful Accent 4"/>
    <w:basedOn w:val="TableNormal"/>
    <w:uiPriority w:val="52"/>
    <w:rsid w:val="00920D86"/>
    <w:pPr>
      <w:spacing w:line="240" w:lineRule="auto"/>
    </w:pPr>
    <w:rPr>
      <w:color w:val="491E38" w:themeColor="accent4" w:themeShade="BF"/>
    </w:r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insideV w:val="single" w:sz="4" w:space="0" w:color="BD629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bottom w:val="single" w:sz="4" w:space="0" w:color="BD6298" w:themeColor="accent4" w:themeTint="99"/>
        </w:tcBorders>
      </w:tcPr>
    </w:tblStylePr>
    <w:tblStylePr w:type="nwCell">
      <w:tblPr/>
      <w:tcPr>
        <w:tcBorders>
          <w:bottom w:val="single" w:sz="4" w:space="0" w:color="BD6298" w:themeColor="accent4" w:themeTint="99"/>
        </w:tcBorders>
      </w:tcPr>
    </w:tblStylePr>
    <w:tblStylePr w:type="seCell">
      <w:tblPr/>
      <w:tcPr>
        <w:tcBorders>
          <w:top w:val="single" w:sz="4" w:space="0" w:color="BD6298" w:themeColor="accent4" w:themeTint="99"/>
        </w:tcBorders>
      </w:tcPr>
    </w:tblStylePr>
    <w:tblStylePr w:type="swCell">
      <w:tblPr/>
      <w:tcPr>
        <w:tcBorders>
          <w:top w:val="single" w:sz="4" w:space="0" w:color="BD6298" w:themeColor="accent4" w:themeTint="99"/>
        </w:tcBorders>
      </w:tcPr>
    </w:tblStylePr>
  </w:style>
  <w:style w:type="table" w:styleId="GridTable7Colorful-Accent5">
    <w:name w:val="Grid Table 7 Colorful Accent 5"/>
    <w:basedOn w:val="TableNormal"/>
    <w:uiPriority w:val="52"/>
    <w:rsid w:val="00920D86"/>
    <w:pPr>
      <w:spacing w:line="240" w:lineRule="auto"/>
    </w:pPr>
    <w:rPr>
      <w:color w:val="FE4B00" w:themeColor="accent5" w:themeShade="BF"/>
    </w:r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insideV w:val="single" w:sz="4" w:space="0" w:color="FFB7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bottom w:val="single" w:sz="4" w:space="0" w:color="FFB799" w:themeColor="accent5" w:themeTint="99"/>
        </w:tcBorders>
      </w:tcPr>
    </w:tblStylePr>
    <w:tblStylePr w:type="nwCell">
      <w:tblPr/>
      <w:tcPr>
        <w:tcBorders>
          <w:bottom w:val="single" w:sz="4" w:space="0" w:color="FFB799" w:themeColor="accent5" w:themeTint="99"/>
        </w:tcBorders>
      </w:tcPr>
    </w:tblStylePr>
    <w:tblStylePr w:type="seCell">
      <w:tblPr/>
      <w:tcPr>
        <w:tcBorders>
          <w:top w:val="single" w:sz="4" w:space="0" w:color="FFB799" w:themeColor="accent5" w:themeTint="99"/>
        </w:tcBorders>
      </w:tcPr>
    </w:tblStylePr>
    <w:tblStylePr w:type="swCell">
      <w:tblPr/>
      <w:tcPr>
        <w:tcBorders>
          <w:top w:val="single" w:sz="4" w:space="0" w:color="FFB799" w:themeColor="accent5" w:themeTint="99"/>
        </w:tcBorders>
      </w:tcPr>
    </w:tblStylePr>
  </w:style>
  <w:style w:type="table" w:styleId="GridTable7Colorful-Accent6">
    <w:name w:val="Grid Table 7 Colorful Accent 6"/>
    <w:basedOn w:val="TableNormal"/>
    <w:uiPriority w:val="52"/>
    <w:rsid w:val="00920D86"/>
    <w:pPr>
      <w:spacing w:line="240" w:lineRule="auto"/>
    </w:pPr>
    <w:rPr>
      <w:color w:val="B4AF97" w:themeColor="accent6" w:themeShade="BF"/>
    </w:r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insideV w:val="single" w:sz="4" w:space="0" w:color="EEECE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bottom w:val="single" w:sz="4" w:space="0" w:color="EEECE7" w:themeColor="accent6" w:themeTint="99"/>
        </w:tcBorders>
      </w:tcPr>
    </w:tblStylePr>
    <w:tblStylePr w:type="nwCell">
      <w:tblPr/>
      <w:tcPr>
        <w:tcBorders>
          <w:bottom w:val="single" w:sz="4" w:space="0" w:color="EEECE7" w:themeColor="accent6" w:themeTint="99"/>
        </w:tcBorders>
      </w:tcPr>
    </w:tblStylePr>
    <w:tblStylePr w:type="seCell">
      <w:tblPr/>
      <w:tcPr>
        <w:tcBorders>
          <w:top w:val="single" w:sz="4" w:space="0" w:color="EEECE7" w:themeColor="accent6" w:themeTint="99"/>
        </w:tcBorders>
      </w:tcPr>
    </w:tblStylePr>
    <w:tblStylePr w:type="swCell">
      <w:tblPr/>
      <w:tcPr>
        <w:tcBorders>
          <w:top w:val="single" w:sz="4" w:space="0" w:color="EEECE7" w:themeColor="accent6" w:themeTint="99"/>
        </w:tcBorders>
      </w:tcPr>
    </w:tblStylePr>
  </w:style>
  <w:style w:type="character" w:styleId="Hashtag">
    <w:name w:val="Hashtag"/>
    <w:basedOn w:val="DefaultParagraphFont"/>
    <w:uiPriority w:val="99"/>
    <w:semiHidden/>
    <w:rsid w:val="00920D86"/>
    <w:rPr>
      <w:color w:val="2B579A"/>
      <w:shd w:val="clear" w:color="auto" w:fill="E6E6E6"/>
      <w:lang w:val="en-US"/>
    </w:rPr>
  </w:style>
  <w:style w:type="character" w:styleId="HTMLAcronym">
    <w:name w:val="HTML Acronym"/>
    <w:basedOn w:val="DefaultParagraphFont"/>
    <w:uiPriority w:val="99"/>
    <w:semiHidden/>
    <w:rsid w:val="00920D86"/>
    <w:rPr>
      <w:lang w:val="en-US"/>
    </w:rPr>
  </w:style>
  <w:style w:type="paragraph" w:styleId="HTMLAddress">
    <w:name w:val="HTML Address"/>
    <w:basedOn w:val="Normal"/>
    <w:link w:val="HTMLAddressChar"/>
    <w:uiPriority w:val="99"/>
    <w:semiHidden/>
    <w:rsid w:val="00920D86"/>
    <w:pPr>
      <w:spacing w:line="240" w:lineRule="auto"/>
    </w:pPr>
    <w:rPr>
      <w:i/>
      <w:iCs/>
    </w:rPr>
  </w:style>
  <w:style w:type="character" w:customStyle="1" w:styleId="HTMLAddressChar">
    <w:name w:val="HTML Address Char"/>
    <w:basedOn w:val="DefaultParagraphFont"/>
    <w:link w:val="HTMLAddress"/>
    <w:uiPriority w:val="99"/>
    <w:semiHidden/>
    <w:rsid w:val="00920D86"/>
    <w:rPr>
      <w:i/>
      <w:iCs/>
      <w:lang w:val="en-US"/>
    </w:rPr>
  </w:style>
  <w:style w:type="character" w:styleId="HTMLCite">
    <w:name w:val="HTML Cite"/>
    <w:basedOn w:val="DefaultParagraphFont"/>
    <w:uiPriority w:val="99"/>
    <w:semiHidden/>
    <w:rsid w:val="00920D86"/>
    <w:rPr>
      <w:i/>
      <w:iCs/>
      <w:lang w:val="en-US"/>
    </w:rPr>
  </w:style>
  <w:style w:type="character" w:styleId="HTMLCode">
    <w:name w:val="HTML Code"/>
    <w:basedOn w:val="DefaultParagraphFont"/>
    <w:uiPriority w:val="99"/>
    <w:semiHidden/>
    <w:rsid w:val="00920D86"/>
    <w:rPr>
      <w:rFonts w:ascii="Consolas" w:hAnsi="Consolas"/>
      <w:sz w:val="20"/>
      <w:szCs w:val="20"/>
      <w:lang w:val="en-US"/>
    </w:rPr>
  </w:style>
  <w:style w:type="character" w:styleId="HTMLDefinition">
    <w:name w:val="HTML Definition"/>
    <w:basedOn w:val="DefaultParagraphFont"/>
    <w:uiPriority w:val="99"/>
    <w:semiHidden/>
    <w:rsid w:val="00920D86"/>
    <w:rPr>
      <w:i/>
      <w:iCs/>
      <w:lang w:val="en-US"/>
    </w:rPr>
  </w:style>
  <w:style w:type="character" w:styleId="HTMLKeyboard">
    <w:name w:val="HTML Keyboard"/>
    <w:basedOn w:val="DefaultParagraphFont"/>
    <w:uiPriority w:val="99"/>
    <w:semiHidden/>
    <w:rsid w:val="00920D86"/>
    <w:rPr>
      <w:rFonts w:ascii="Consolas" w:hAnsi="Consolas"/>
      <w:sz w:val="20"/>
      <w:szCs w:val="20"/>
      <w:lang w:val="en-US"/>
    </w:rPr>
  </w:style>
  <w:style w:type="paragraph" w:styleId="HTMLPreformatted">
    <w:name w:val="HTML Preformatted"/>
    <w:basedOn w:val="Normal"/>
    <w:link w:val="HTMLPreformattedChar"/>
    <w:uiPriority w:val="99"/>
    <w:semiHidden/>
    <w:rsid w:val="00920D8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0D86"/>
    <w:rPr>
      <w:rFonts w:ascii="Consolas" w:hAnsi="Consolas"/>
      <w:sz w:val="20"/>
      <w:szCs w:val="20"/>
      <w:lang w:val="en-US"/>
    </w:rPr>
  </w:style>
  <w:style w:type="character" w:styleId="HTMLSample">
    <w:name w:val="HTML Sample"/>
    <w:basedOn w:val="DefaultParagraphFont"/>
    <w:uiPriority w:val="99"/>
    <w:semiHidden/>
    <w:rsid w:val="00920D86"/>
    <w:rPr>
      <w:rFonts w:ascii="Consolas" w:hAnsi="Consolas"/>
      <w:sz w:val="24"/>
      <w:szCs w:val="24"/>
      <w:lang w:val="en-US"/>
    </w:rPr>
  </w:style>
  <w:style w:type="character" w:styleId="HTMLTypewriter">
    <w:name w:val="HTML Typewriter"/>
    <w:basedOn w:val="DefaultParagraphFont"/>
    <w:uiPriority w:val="99"/>
    <w:semiHidden/>
    <w:rsid w:val="00920D86"/>
    <w:rPr>
      <w:rFonts w:ascii="Consolas" w:hAnsi="Consolas"/>
      <w:sz w:val="20"/>
      <w:szCs w:val="20"/>
      <w:lang w:val="en-US"/>
    </w:rPr>
  </w:style>
  <w:style w:type="character" w:styleId="HTMLVariable">
    <w:name w:val="HTML Variable"/>
    <w:basedOn w:val="DefaultParagraphFont"/>
    <w:uiPriority w:val="99"/>
    <w:semiHidden/>
    <w:rsid w:val="00920D86"/>
    <w:rPr>
      <w:i/>
      <w:iCs/>
      <w:lang w:val="en-US"/>
    </w:rPr>
  </w:style>
  <w:style w:type="character" w:styleId="Hyperlink">
    <w:name w:val="Hyperlink"/>
    <w:basedOn w:val="DefaultParagraphFont"/>
    <w:uiPriority w:val="99"/>
    <w:rsid w:val="00920D86"/>
    <w:rPr>
      <w:color w:val="009DF0" w:themeColor="hyperlink"/>
      <w:u w:val="single"/>
      <w:lang w:val="en-US"/>
    </w:rPr>
  </w:style>
  <w:style w:type="paragraph" w:styleId="Index1">
    <w:name w:val="index 1"/>
    <w:basedOn w:val="Normal"/>
    <w:next w:val="Normal"/>
    <w:autoRedefine/>
    <w:uiPriority w:val="99"/>
    <w:semiHidden/>
    <w:rsid w:val="00920D86"/>
    <w:pPr>
      <w:spacing w:line="240" w:lineRule="auto"/>
      <w:ind w:left="180" w:hanging="180"/>
    </w:pPr>
  </w:style>
  <w:style w:type="paragraph" w:styleId="Index2">
    <w:name w:val="index 2"/>
    <w:basedOn w:val="Normal"/>
    <w:next w:val="Normal"/>
    <w:autoRedefine/>
    <w:uiPriority w:val="99"/>
    <w:semiHidden/>
    <w:rsid w:val="00920D86"/>
    <w:pPr>
      <w:spacing w:line="240" w:lineRule="auto"/>
      <w:ind w:left="360" w:hanging="180"/>
    </w:pPr>
  </w:style>
  <w:style w:type="paragraph" w:styleId="Index3">
    <w:name w:val="index 3"/>
    <w:basedOn w:val="Normal"/>
    <w:next w:val="Normal"/>
    <w:autoRedefine/>
    <w:uiPriority w:val="99"/>
    <w:semiHidden/>
    <w:rsid w:val="00920D86"/>
    <w:pPr>
      <w:spacing w:line="240" w:lineRule="auto"/>
      <w:ind w:left="540" w:hanging="180"/>
    </w:pPr>
  </w:style>
  <w:style w:type="paragraph" w:styleId="Index4">
    <w:name w:val="index 4"/>
    <w:basedOn w:val="Normal"/>
    <w:next w:val="Normal"/>
    <w:autoRedefine/>
    <w:uiPriority w:val="99"/>
    <w:semiHidden/>
    <w:rsid w:val="00920D86"/>
    <w:pPr>
      <w:spacing w:line="240" w:lineRule="auto"/>
      <w:ind w:left="720" w:hanging="180"/>
    </w:pPr>
  </w:style>
  <w:style w:type="paragraph" w:styleId="Index5">
    <w:name w:val="index 5"/>
    <w:basedOn w:val="Normal"/>
    <w:next w:val="Normal"/>
    <w:autoRedefine/>
    <w:uiPriority w:val="99"/>
    <w:semiHidden/>
    <w:rsid w:val="00920D86"/>
    <w:pPr>
      <w:spacing w:line="240" w:lineRule="auto"/>
      <w:ind w:left="900" w:hanging="180"/>
    </w:pPr>
  </w:style>
  <w:style w:type="paragraph" w:styleId="Index6">
    <w:name w:val="index 6"/>
    <w:basedOn w:val="Normal"/>
    <w:next w:val="Normal"/>
    <w:autoRedefine/>
    <w:uiPriority w:val="99"/>
    <w:semiHidden/>
    <w:rsid w:val="00920D86"/>
    <w:pPr>
      <w:spacing w:line="240" w:lineRule="auto"/>
      <w:ind w:left="1080" w:hanging="180"/>
    </w:pPr>
  </w:style>
  <w:style w:type="paragraph" w:styleId="Index7">
    <w:name w:val="index 7"/>
    <w:basedOn w:val="Normal"/>
    <w:next w:val="Normal"/>
    <w:autoRedefine/>
    <w:uiPriority w:val="99"/>
    <w:semiHidden/>
    <w:rsid w:val="00920D86"/>
    <w:pPr>
      <w:spacing w:line="240" w:lineRule="auto"/>
      <w:ind w:left="1260" w:hanging="180"/>
    </w:pPr>
  </w:style>
  <w:style w:type="paragraph" w:styleId="Index8">
    <w:name w:val="index 8"/>
    <w:basedOn w:val="Normal"/>
    <w:next w:val="Normal"/>
    <w:autoRedefine/>
    <w:uiPriority w:val="99"/>
    <w:semiHidden/>
    <w:rsid w:val="00920D86"/>
    <w:pPr>
      <w:spacing w:line="240" w:lineRule="auto"/>
      <w:ind w:left="1440" w:hanging="180"/>
    </w:pPr>
  </w:style>
  <w:style w:type="paragraph" w:styleId="Index9">
    <w:name w:val="index 9"/>
    <w:basedOn w:val="Normal"/>
    <w:next w:val="Normal"/>
    <w:autoRedefine/>
    <w:uiPriority w:val="99"/>
    <w:semiHidden/>
    <w:rsid w:val="00920D86"/>
    <w:pPr>
      <w:spacing w:line="240" w:lineRule="auto"/>
      <w:ind w:left="1620" w:hanging="180"/>
    </w:pPr>
  </w:style>
  <w:style w:type="paragraph" w:styleId="IndexHeading">
    <w:name w:val="index heading"/>
    <w:basedOn w:val="Normal"/>
    <w:next w:val="Index1"/>
    <w:uiPriority w:val="99"/>
    <w:semiHidden/>
    <w:rsid w:val="00920D86"/>
    <w:rPr>
      <w:rFonts w:asciiTheme="majorHAnsi" w:eastAsiaTheme="majorEastAsia" w:hAnsiTheme="majorHAnsi" w:cstheme="majorBidi"/>
      <w:b/>
      <w:bCs/>
    </w:rPr>
  </w:style>
  <w:style w:type="table" w:styleId="LightGrid">
    <w:name w:val="Light Grid"/>
    <w:basedOn w:val="TableNormal"/>
    <w:uiPriority w:val="62"/>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18" w:space="0" w:color="05326E" w:themeColor="accent1"/>
          <w:right w:val="single" w:sz="8" w:space="0" w:color="05326E" w:themeColor="accent1"/>
          <w:insideH w:val="nil"/>
          <w:insideV w:val="single" w:sz="8" w:space="0" w:color="05326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insideH w:val="nil"/>
          <w:insideV w:val="single" w:sz="8" w:space="0" w:color="05326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shd w:val="clear" w:color="auto" w:fill="A1C7FA" w:themeFill="accent1" w:themeFillTint="3F"/>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shd w:val="clear" w:color="auto" w:fill="A1C7FA" w:themeFill="accent1" w:themeFillTint="3F"/>
      </w:tcPr>
    </w:tblStylePr>
    <w:tblStylePr w:type="band2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insideV w:val="single" w:sz="8" w:space="0" w:color="05326E" w:themeColor="accent1"/>
        </w:tcBorders>
      </w:tcPr>
    </w:tblStylePr>
  </w:style>
  <w:style w:type="table" w:styleId="LightGrid-Accent2">
    <w:name w:val="Light Grid Accent 2"/>
    <w:basedOn w:val="TableNormal"/>
    <w:uiPriority w:val="62"/>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18" w:space="0" w:color="125A40" w:themeColor="accent2"/>
          <w:right w:val="single" w:sz="8" w:space="0" w:color="125A40" w:themeColor="accent2"/>
          <w:insideH w:val="nil"/>
          <w:insideV w:val="single" w:sz="8" w:space="0" w:color="125A4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insideH w:val="nil"/>
          <w:insideV w:val="single" w:sz="8" w:space="0" w:color="125A4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shd w:val="clear" w:color="auto" w:fill="ACEED6" w:themeFill="accent2" w:themeFillTint="3F"/>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shd w:val="clear" w:color="auto" w:fill="ACEED6" w:themeFill="accent2" w:themeFillTint="3F"/>
      </w:tcPr>
    </w:tblStylePr>
    <w:tblStylePr w:type="band2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insideV w:val="single" w:sz="8" w:space="0" w:color="125A40" w:themeColor="accent2"/>
        </w:tcBorders>
      </w:tcPr>
    </w:tblStylePr>
  </w:style>
  <w:style w:type="table" w:styleId="LightGrid-Accent3">
    <w:name w:val="Light Grid Accent 3"/>
    <w:basedOn w:val="TableNormal"/>
    <w:uiPriority w:val="62"/>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18" w:space="0" w:color="ADD095" w:themeColor="accent3"/>
          <w:right w:val="single" w:sz="8" w:space="0" w:color="ADD095" w:themeColor="accent3"/>
          <w:insideH w:val="nil"/>
          <w:insideV w:val="single" w:sz="8" w:space="0" w:color="ADD09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insideH w:val="nil"/>
          <w:insideV w:val="single" w:sz="8" w:space="0" w:color="ADD09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shd w:val="clear" w:color="auto" w:fill="EAF3E4" w:themeFill="accent3" w:themeFillTint="3F"/>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shd w:val="clear" w:color="auto" w:fill="EAF3E4" w:themeFill="accent3" w:themeFillTint="3F"/>
      </w:tcPr>
    </w:tblStylePr>
    <w:tblStylePr w:type="band2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insideV w:val="single" w:sz="8" w:space="0" w:color="ADD095" w:themeColor="accent3"/>
        </w:tcBorders>
      </w:tcPr>
    </w:tblStylePr>
  </w:style>
  <w:style w:type="table" w:styleId="LightGrid-Accent4">
    <w:name w:val="Light Grid Accent 4"/>
    <w:basedOn w:val="TableNormal"/>
    <w:uiPriority w:val="62"/>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18" w:space="0" w:color="62294B" w:themeColor="accent4"/>
          <w:right w:val="single" w:sz="8" w:space="0" w:color="62294B" w:themeColor="accent4"/>
          <w:insideH w:val="nil"/>
          <w:insideV w:val="single" w:sz="8" w:space="0" w:color="62294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insideH w:val="nil"/>
          <w:insideV w:val="single" w:sz="8" w:space="0" w:color="62294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shd w:val="clear" w:color="auto" w:fill="E4BED4" w:themeFill="accent4" w:themeFillTint="3F"/>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shd w:val="clear" w:color="auto" w:fill="E4BED4" w:themeFill="accent4" w:themeFillTint="3F"/>
      </w:tcPr>
    </w:tblStylePr>
    <w:tblStylePr w:type="band2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insideV w:val="single" w:sz="8" w:space="0" w:color="62294B" w:themeColor="accent4"/>
        </w:tcBorders>
      </w:tcPr>
    </w:tblStylePr>
  </w:style>
  <w:style w:type="table" w:styleId="LightGrid-Accent5">
    <w:name w:val="Light Grid Accent 5"/>
    <w:basedOn w:val="TableNormal"/>
    <w:uiPriority w:val="62"/>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18" w:space="0" w:color="FF8855" w:themeColor="accent5"/>
          <w:right w:val="single" w:sz="8" w:space="0" w:color="FF8855" w:themeColor="accent5"/>
          <w:insideH w:val="nil"/>
          <w:insideV w:val="single" w:sz="8" w:space="0" w:color="FF885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insideH w:val="nil"/>
          <w:insideV w:val="single" w:sz="8" w:space="0" w:color="FF885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shd w:val="clear" w:color="auto" w:fill="FFE1D5" w:themeFill="accent5" w:themeFillTint="3F"/>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shd w:val="clear" w:color="auto" w:fill="FFE1D5" w:themeFill="accent5" w:themeFillTint="3F"/>
      </w:tcPr>
    </w:tblStylePr>
    <w:tblStylePr w:type="band2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insideV w:val="single" w:sz="8" w:space="0" w:color="FF8855" w:themeColor="accent5"/>
        </w:tcBorders>
      </w:tcPr>
    </w:tblStylePr>
  </w:style>
  <w:style w:type="table" w:styleId="LightGrid-Accent6">
    <w:name w:val="Light Grid Accent 6"/>
    <w:basedOn w:val="TableNormal"/>
    <w:uiPriority w:val="62"/>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18" w:space="0" w:color="E3E1D8" w:themeColor="accent6"/>
          <w:right w:val="single" w:sz="8" w:space="0" w:color="E3E1D8" w:themeColor="accent6"/>
          <w:insideH w:val="nil"/>
          <w:insideV w:val="single" w:sz="8" w:space="0" w:color="E3E1D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insideH w:val="nil"/>
          <w:insideV w:val="single" w:sz="8" w:space="0" w:color="E3E1D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shd w:val="clear" w:color="auto" w:fill="F8F7F5" w:themeFill="accent6" w:themeFillTint="3F"/>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shd w:val="clear" w:color="auto" w:fill="F8F7F5" w:themeFill="accent6" w:themeFillTint="3F"/>
      </w:tcPr>
    </w:tblStylePr>
    <w:tblStylePr w:type="band2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insideV w:val="single" w:sz="8" w:space="0" w:color="E3E1D8" w:themeColor="accent6"/>
        </w:tcBorders>
      </w:tcPr>
    </w:tblStylePr>
  </w:style>
  <w:style w:type="table" w:styleId="LightList">
    <w:name w:val="Light List"/>
    <w:basedOn w:val="TableNormal"/>
    <w:uiPriority w:val="61"/>
    <w:unhideWhenUsed/>
    <w:rsid w:val="00920D86"/>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920D86"/>
    <w:pPr>
      <w:spacing w:line="240" w:lineRule="auto"/>
    </w:p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pPr>
        <w:spacing w:before="0" w:after="0" w:line="240" w:lineRule="auto"/>
      </w:pPr>
      <w:rPr>
        <w:b/>
        <w:bCs/>
        <w:color w:val="FFFFFF" w:themeColor="background1"/>
      </w:rPr>
      <w:tblPr/>
      <w:tcPr>
        <w:shd w:val="clear" w:color="auto" w:fill="05326E" w:themeFill="accent1"/>
      </w:tcPr>
    </w:tblStylePr>
    <w:tblStylePr w:type="lastRow">
      <w:pPr>
        <w:spacing w:before="0" w:after="0" w:line="240" w:lineRule="auto"/>
      </w:pPr>
      <w:rPr>
        <w:b/>
        <w:bCs/>
      </w:rPr>
      <w:tblPr/>
      <w:tcPr>
        <w:tcBorders>
          <w:top w:val="double" w:sz="6" w:space="0" w:color="05326E" w:themeColor="accent1"/>
          <w:left w:val="single" w:sz="8" w:space="0" w:color="05326E" w:themeColor="accent1"/>
          <w:bottom w:val="single" w:sz="8" w:space="0" w:color="05326E" w:themeColor="accent1"/>
          <w:right w:val="single" w:sz="8" w:space="0" w:color="05326E" w:themeColor="accent1"/>
        </w:tcBorders>
      </w:tcPr>
    </w:tblStylePr>
    <w:tblStylePr w:type="firstCol">
      <w:rPr>
        <w:b/>
        <w:bCs/>
      </w:rPr>
    </w:tblStylePr>
    <w:tblStylePr w:type="lastCol">
      <w:rPr>
        <w:b/>
        <w:bCs/>
      </w:rPr>
    </w:tblStylePr>
    <w:tblStylePr w:type="band1Vert">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tblStylePr w:type="band1Horz">
      <w:tblPr/>
      <w:tcPr>
        <w:tcBorders>
          <w:top w:val="single" w:sz="8" w:space="0" w:color="05326E" w:themeColor="accent1"/>
          <w:left w:val="single" w:sz="8" w:space="0" w:color="05326E" w:themeColor="accent1"/>
          <w:bottom w:val="single" w:sz="8" w:space="0" w:color="05326E" w:themeColor="accent1"/>
          <w:right w:val="single" w:sz="8" w:space="0" w:color="05326E" w:themeColor="accent1"/>
        </w:tcBorders>
      </w:tcPr>
    </w:tblStylePr>
  </w:style>
  <w:style w:type="table" w:styleId="LightList-Accent2">
    <w:name w:val="Light List Accent 2"/>
    <w:basedOn w:val="TableNormal"/>
    <w:uiPriority w:val="61"/>
    <w:unhideWhenUsed/>
    <w:rsid w:val="00920D86"/>
    <w:pPr>
      <w:spacing w:line="240" w:lineRule="auto"/>
    </w:p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pPr>
        <w:spacing w:before="0" w:after="0" w:line="240" w:lineRule="auto"/>
      </w:pPr>
      <w:rPr>
        <w:b/>
        <w:bCs/>
        <w:color w:val="FFFFFF" w:themeColor="background1"/>
      </w:rPr>
      <w:tblPr/>
      <w:tcPr>
        <w:shd w:val="clear" w:color="auto" w:fill="125A40" w:themeFill="accent2"/>
      </w:tcPr>
    </w:tblStylePr>
    <w:tblStylePr w:type="lastRow">
      <w:pPr>
        <w:spacing w:before="0" w:after="0" w:line="240" w:lineRule="auto"/>
      </w:pPr>
      <w:rPr>
        <w:b/>
        <w:bCs/>
      </w:rPr>
      <w:tblPr/>
      <w:tcPr>
        <w:tcBorders>
          <w:top w:val="double" w:sz="6" w:space="0" w:color="125A40" w:themeColor="accent2"/>
          <w:left w:val="single" w:sz="8" w:space="0" w:color="125A40" w:themeColor="accent2"/>
          <w:bottom w:val="single" w:sz="8" w:space="0" w:color="125A40" w:themeColor="accent2"/>
          <w:right w:val="single" w:sz="8" w:space="0" w:color="125A40" w:themeColor="accent2"/>
        </w:tcBorders>
      </w:tcPr>
    </w:tblStylePr>
    <w:tblStylePr w:type="firstCol">
      <w:rPr>
        <w:b/>
        <w:bCs/>
      </w:rPr>
    </w:tblStylePr>
    <w:tblStylePr w:type="lastCol">
      <w:rPr>
        <w:b/>
        <w:bCs/>
      </w:rPr>
    </w:tblStylePr>
    <w:tblStylePr w:type="band1Vert">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tblStylePr w:type="band1Horz">
      <w:tblPr/>
      <w:tcPr>
        <w:tcBorders>
          <w:top w:val="single" w:sz="8" w:space="0" w:color="125A40" w:themeColor="accent2"/>
          <w:left w:val="single" w:sz="8" w:space="0" w:color="125A40" w:themeColor="accent2"/>
          <w:bottom w:val="single" w:sz="8" w:space="0" w:color="125A40" w:themeColor="accent2"/>
          <w:right w:val="single" w:sz="8" w:space="0" w:color="125A40" w:themeColor="accent2"/>
        </w:tcBorders>
      </w:tcPr>
    </w:tblStylePr>
  </w:style>
  <w:style w:type="table" w:styleId="LightList-Accent3">
    <w:name w:val="Light List Accent 3"/>
    <w:basedOn w:val="TableNormal"/>
    <w:uiPriority w:val="61"/>
    <w:unhideWhenUsed/>
    <w:rsid w:val="00920D86"/>
    <w:pPr>
      <w:spacing w:line="240" w:lineRule="auto"/>
    </w:p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pPr>
        <w:spacing w:before="0" w:after="0" w:line="240" w:lineRule="auto"/>
      </w:pPr>
      <w:rPr>
        <w:b/>
        <w:bCs/>
        <w:color w:val="FFFFFF" w:themeColor="background1"/>
      </w:rPr>
      <w:tblPr/>
      <w:tcPr>
        <w:shd w:val="clear" w:color="auto" w:fill="ADD095" w:themeFill="accent3"/>
      </w:tcPr>
    </w:tblStylePr>
    <w:tblStylePr w:type="lastRow">
      <w:pPr>
        <w:spacing w:before="0" w:after="0" w:line="240" w:lineRule="auto"/>
      </w:pPr>
      <w:rPr>
        <w:b/>
        <w:bCs/>
      </w:rPr>
      <w:tblPr/>
      <w:tcPr>
        <w:tcBorders>
          <w:top w:val="double" w:sz="6" w:space="0" w:color="ADD095" w:themeColor="accent3"/>
          <w:left w:val="single" w:sz="8" w:space="0" w:color="ADD095" w:themeColor="accent3"/>
          <w:bottom w:val="single" w:sz="8" w:space="0" w:color="ADD095" w:themeColor="accent3"/>
          <w:right w:val="single" w:sz="8" w:space="0" w:color="ADD095" w:themeColor="accent3"/>
        </w:tcBorders>
      </w:tcPr>
    </w:tblStylePr>
    <w:tblStylePr w:type="firstCol">
      <w:rPr>
        <w:b/>
        <w:bCs/>
      </w:rPr>
    </w:tblStylePr>
    <w:tblStylePr w:type="lastCol">
      <w:rPr>
        <w:b/>
        <w:bCs/>
      </w:rPr>
    </w:tblStylePr>
    <w:tblStylePr w:type="band1Vert">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tblStylePr w:type="band1Horz">
      <w:tblPr/>
      <w:tcPr>
        <w:tcBorders>
          <w:top w:val="single" w:sz="8" w:space="0" w:color="ADD095" w:themeColor="accent3"/>
          <w:left w:val="single" w:sz="8" w:space="0" w:color="ADD095" w:themeColor="accent3"/>
          <w:bottom w:val="single" w:sz="8" w:space="0" w:color="ADD095" w:themeColor="accent3"/>
          <w:right w:val="single" w:sz="8" w:space="0" w:color="ADD095" w:themeColor="accent3"/>
        </w:tcBorders>
      </w:tcPr>
    </w:tblStylePr>
  </w:style>
  <w:style w:type="table" w:styleId="LightList-Accent4">
    <w:name w:val="Light List Accent 4"/>
    <w:basedOn w:val="TableNormal"/>
    <w:uiPriority w:val="61"/>
    <w:unhideWhenUsed/>
    <w:rsid w:val="00920D86"/>
    <w:pPr>
      <w:spacing w:line="240" w:lineRule="auto"/>
    </w:p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pPr>
        <w:spacing w:before="0" w:after="0" w:line="240" w:lineRule="auto"/>
      </w:pPr>
      <w:rPr>
        <w:b/>
        <w:bCs/>
        <w:color w:val="FFFFFF" w:themeColor="background1"/>
      </w:rPr>
      <w:tblPr/>
      <w:tcPr>
        <w:shd w:val="clear" w:color="auto" w:fill="62294B" w:themeFill="accent4"/>
      </w:tcPr>
    </w:tblStylePr>
    <w:tblStylePr w:type="lastRow">
      <w:pPr>
        <w:spacing w:before="0" w:after="0" w:line="240" w:lineRule="auto"/>
      </w:pPr>
      <w:rPr>
        <w:b/>
        <w:bCs/>
      </w:rPr>
      <w:tblPr/>
      <w:tcPr>
        <w:tcBorders>
          <w:top w:val="double" w:sz="6" w:space="0" w:color="62294B" w:themeColor="accent4"/>
          <w:left w:val="single" w:sz="8" w:space="0" w:color="62294B" w:themeColor="accent4"/>
          <w:bottom w:val="single" w:sz="8" w:space="0" w:color="62294B" w:themeColor="accent4"/>
          <w:right w:val="single" w:sz="8" w:space="0" w:color="62294B" w:themeColor="accent4"/>
        </w:tcBorders>
      </w:tcPr>
    </w:tblStylePr>
    <w:tblStylePr w:type="firstCol">
      <w:rPr>
        <w:b/>
        <w:bCs/>
      </w:rPr>
    </w:tblStylePr>
    <w:tblStylePr w:type="lastCol">
      <w:rPr>
        <w:b/>
        <w:bCs/>
      </w:rPr>
    </w:tblStylePr>
    <w:tblStylePr w:type="band1Vert">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tblStylePr w:type="band1Horz">
      <w:tblPr/>
      <w:tcPr>
        <w:tcBorders>
          <w:top w:val="single" w:sz="8" w:space="0" w:color="62294B" w:themeColor="accent4"/>
          <w:left w:val="single" w:sz="8" w:space="0" w:color="62294B" w:themeColor="accent4"/>
          <w:bottom w:val="single" w:sz="8" w:space="0" w:color="62294B" w:themeColor="accent4"/>
          <w:right w:val="single" w:sz="8" w:space="0" w:color="62294B" w:themeColor="accent4"/>
        </w:tcBorders>
      </w:tcPr>
    </w:tblStylePr>
  </w:style>
  <w:style w:type="table" w:styleId="LightList-Accent5">
    <w:name w:val="Light List Accent 5"/>
    <w:basedOn w:val="TableNormal"/>
    <w:uiPriority w:val="61"/>
    <w:unhideWhenUsed/>
    <w:rsid w:val="00920D86"/>
    <w:pPr>
      <w:spacing w:line="240" w:lineRule="auto"/>
    </w:p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pPr>
        <w:spacing w:before="0" w:after="0" w:line="240" w:lineRule="auto"/>
      </w:pPr>
      <w:rPr>
        <w:b/>
        <w:bCs/>
        <w:color w:val="FFFFFF" w:themeColor="background1"/>
      </w:rPr>
      <w:tblPr/>
      <w:tcPr>
        <w:shd w:val="clear" w:color="auto" w:fill="FF8855" w:themeFill="accent5"/>
      </w:tcPr>
    </w:tblStylePr>
    <w:tblStylePr w:type="lastRow">
      <w:pPr>
        <w:spacing w:before="0" w:after="0" w:line="240" w:lineRule="auto"/>
      </w:pPr>
      <w:rPr>
        <w:b/>
        <w:bCs/>
      </w:rPr>
      <w:tblPr/>
      <w:tcPr>
        <w:tcBorders>
          <w:top w:val="double" w:sz="6" w:space="0" w:color="FF8855" w:themeColor="accent5"/>
          <w:left w:val="single" w:sz="8" w:space="0" w:color="FF8855" w:themeColor="accent5"/>
          <w:bottom w:val="single" w:sz="8" w:space="0" w:color="FF8855" w:themeColor="accent5"/>
          <w:right w:val="single" w:sz="8" w:space="0" w:color="FF8855" w:themeColor="accent5"/>
        </w:tcBorders>
      </w:tcPr>
    </w:tblStylePr>
    <w:tblStylePr w:type="firstCol">
      <w:rPr>
        <w:b/>
        <w:bCs/>
      </w:rPr>
    </w:tblStylePr>
    <w:tblStylePr w:type="lastCol">
      <w:rPr>
        <w:b/>
        <w:bCs/>
      </w:rPr>
    </w:tblStylePr>
    <w:tblStylePr w:type="band1Vert">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tblStylePr w:type="band1Horz">
      <w:tblPr/>
      <w:tcPr>
        <w:tcBorders>
          <w:top w:val="single" w:sz="8" w:space="0" w:color="FF8855" w:themeColor="accent5"/>
          <w:left w:val="single" w:sz="8" w:space="0" w:color="FF8855" w:themeColor="accent5"/>
          <w:bottom w:val="single" w:sz="8" w:space="0" w:color="FF8855" w:themeColor="accent5"/>
          <w:right w:val="single" w:sz="8" w:space="0" w:color="FF8855" w:themeColor="accent5"/>
        </w:tcBorders>
      </w:tcPr>
    </w:tblStylePr>
  </w:style>
  <w:style w:type="table" w:styleId="LightList-Accent6">
    <w:name w:val="Light List Accent 6"/>
    <w:basedOn w:val="TableNormal"/>
    <w:uiPriority w:val="61"/>
    <w:unhideWhenUsed/>
    <w:rsid w:val="00920D86"/>
    <w:pPr>
      <w:spacing w:line="240" w:lineRule="auto"/>
    </w:p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pPr>
        <w:spacing w:before="0" w:after="0" w:line="240" w:lineRule="auto"/>
      </w:pPr>
      <w:rPr>
        <w:b/>
        <w:bCs/>
        <w:color w:val="FFFFFF" w:themeColor="background1"/>
      </w:rPr>
      <w:tblPr/>
      <w:tcPr>
        <w:shd w:val="clear" w:color="auto" w:fill="E3E1D8" w:themeFill="accent6"/>
      </w:tcPr>
    </w:tblStylePr>
    <w:tblStylePr w:type="lastRow">
      <w:pPr>
        <w:spacing w:before="0" w:after="0" w:line="240" w:lineRule="auto"/>
      </w:pPr>
      <w:rPr>
        <w:b/>
        <w:bCs/>
      </w:rPr>
      <w:tblPr/>
      <w:tcPr>
        <w:tcBorders>
          <w:top w:val="double" w:sz="6" w:space="0" w:color="E3E1D8" w:themeColor="accent6"/>
          <w:left w:val="single" w:sz="8" w:space="0" w:color="E3E1D8" w:themeColor="accent6"/>
          <w:bottom w:val="single" w:sz="8" w:space="0" w:color="E3E1D8" w:themeColor="accent6"/>
          <w:right w:val="single" w:sz="8" w:space="0" w:color="E3E1D8" w:themeColor="accent6"/>
        </w:tcBorders>
      </w:tcPr>
    </w:tblStylePr>
    <w:tblStylePr w:type="firstCol">
      <w:rPr>
        <w:b/>
        <w:bCs/>
      </w:rPr>
    </w:tblStylePr>
    <w:tblStylePr w:type="lastCol">
      <w:rPr>
        <w:b/>
        <w:bCs/>
      </w:rPr>
    </w:tblStylePr>
    <w:tblStylePr w:type="band1Vert">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tblStylePr w:type="band1Horz">
      <w:tblPr/>
      <w:tcPr>
        <w:tcBorders>
          <w:top w:val="single" w:sz="8" w:space="0" w:color="E3E1D8" w:themeColor="accent6"/>
          <w:left w:val="single" w:sz="8" w:space="0" w:color="E3E1D8" w:themeColor="accent6"/>
          <w:bottom w:val="single" w:sz="8" w:space="0" w:color="E3E1D8" w:themeColor="accent6"/>
          <w:right w:val="single" w:sz="8" w:space="0" w:color="E3E1D8" w:themeColor="accent6"/>
        </w:tcBorders>
      </w:tcPr>
    </w:tblStylePr>
  </w:style>
  <w:style w:type="table" w:styleId="LightShading">
    <w:name w:val="Light Shading"/>
    <w:basedOn w:val="TableNormal"/>
    <w:uiPriority w:val="60"/>
    <w:unhideWhenUsed/>
    <w:rsid w:val="00920D8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920D86"/>
    <w:pPr>
      <w:spacing w:line="240" w:lineRule="auto"/>
    </w:pPr>
    <w:rPr>
      <w:color w:val="032552" w:themeColor="accent1" w:themeShade="BF"/>
    </w:rPr>
    <w:tblPr>
      <w:tblStyleRowBandSize w:val="1"/>
      <w:tblStyleColBandSize w:val="1"/>
      <w:tblBorders>
        <w:top w:val="single" w:sz="8" w:space="0" w:color="05326E" w:themeColor="accent1"/>
        <w:bottom w:val="single" w:sz="8" w:space="0" w:color="05326E" w:themeColor="accent1"/>
      </w:tblBorders>
    </w:tblPr>
    <w:tblStylePr w:type="fir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lastRow">
      <w:pPr>
        <w:spacing w:before="0" w:after="0" w:line="240" w:lineRule="auto"/>
      </w:pPr>
      <w:rPr>
        <w:b/>
        <w:bCs/>
      </w:rPr>
      <w:tblPr/>
      <w:tcPr>
        <w:tcBorders>
          <w:top w:val="single" w:sz="8" w:space="0" w:color="05326E" w:themeColor="accent1"/>
          <w:left w:val="nil"/>
          <w:bottom w:val="single" w:sz="8" w:space="0" w:color="05326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left w:val="nil"/>
          <w:right w:val="nil"/>
          <w:insideH w:val="nil"/>
          <w:insideV w:val="nil"/>
        </w:tcBorders>
        <w:shd w:val="clear" w:color="auto" w:fill="A1C7FA" w:themeFill="accent1" w:themeFillTint="3F"/>
      </w:tcPr>
    </w:tblStylePr>
  </w:style>
  <w:style w:type="table" w:styleId="LightShading-Accent2">
    <w:name w:val="Light Shading Accent 2"/>
    <w:basedOn w:val="TableNormal"/>
    <w:uiPriority w:val="60"/>
    <w:unhideWhenUsed/>
    <w:rsid w:val="00920D86"/>
    <w:pPr>
      <w:spacing w:line="240" w:lineRule="auto"/>
    </w:pPr>
    <w:rPr>
      <w:color w:val="0D432F" w:themeColor="accent2" w:themeShade="BF"/>
    </w:rPr>
    <w:tblPr>
      <w:tblStyleRowBandSize w:val="1"/>
      <w:tblStyleColBandSize w:val="1"/>
      <w:tblBorders>
        <w:top w:val="single" w:sz="8" w:space="0" w:color="125A40" w:themeColor="accent2"/>
        <w:bottom w:val="single" w:sz="8" w:space="0" w:color="125A40" w:themeColor="accent2"/>
      </w:tblBorders>
    </w:tblPr>
    <w:tblStylePr w:type="fir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lastRow">
      <w:pPr>
        <w:spacing w:before="0" w:after="0" w:line="240" w:lineRule="auto"/>
      </w:pPr>
      <w:rPr>
        <w:b/>
        <w:bCs/>
      </w:rPr>
      <w:tblPr/>
      <w:tcPr>
        <w:tcBorders>
          <w:top w:val="single" w:sz="8" w:space="0" w:color="125A40" w:themeColor="accent2"/>
          <w:left w:val="nil"/>
          <w:bottom w:val="single" w:sz="8" w:space="0" w:color="125A4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left w:val="nil"/>
          <w:right w:val="nil"/>
          <w:insideH w:val="nil"/>
          <w:insideV w:val="nil"/>
        </w:tcBorders>
        <w:shd w:val="clear" w:color="auto" w:fill="ACEED6" w:themeFill="accent2" w:themeFillTint="3F"/>
      </w:tcPr>
    </w:tblStylePr>
  </w:style>
  <w:style w:type="table" w:styleId="LightShading-Accent3">
    <w:name w:val="Light Shading Accent 3"/>
    <w:basedOn w:val="TableNormal"/>
    <w:uiPriority w:val="60"/>
    <w:unhideWhenUsed/>
    <w:rsid w:val="00920D86"/>
    <w:pPr>
      <w:spacing w:line="240" w:lineRule="auto"/>
    </w:pPr>
    <w:rPr>
      <w:color w:val="7CB456" w:themeColor="accent3" w:themeShade="BF"/>
    </w:rPr>
    <w:tblPr>
      <w:tblStyleRowBandSize w:val="1"/>
      <w:tblStyleColBandSize w:val="1"/>
      <w:tblBorders>
        <w:top w:val="single" w:sz="8" w:space="0" w:color="ADD095" w:themeColor="accent3"/>
        <w:bottom w:val="single" w:sz="8" w:space="0" w:color="ADD095" w:themeColor="accent3"/>
      </w:tblBorders>
    </w:tblPr>
    <w:tblStylePr w:type="fir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lastRow">
      <w:pPr>
        <w:spacing w:before="0" w:after="0" w:line="240" w:lineRule="auto"/>
      </w:pPr>
      <w:rPr>
        <w:b/>
        <w:bCs/>
      </w:rPr>
      <w:tblPr/>
      <w:tcPr>
        <w:tcBorders>
          <w:top w:val="single" w:sz="8" w:space="0" w:color="ADD095" w:themeColor="accent3"/>
          <w:left w:val="nil"/>
          <w:bottom w:val="single" w:sz="8" w:space="0" w:color="ADD09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left w:val="nil"/>
          <w:right w:val="nil"/>
          <w:insideH w:val="nil"/>
          <w:insideV w:val="nil"/>
        </w:tcBorders>
        <w:shd w:val="clear" w:color="auto" w:fill="EAF3E4" w:themeFill="accent3" w:themeFillTint="3F"/>
      </w:tcPr>
    </w:tblStylePr>
  </w:style>
  <w:style w:type="table" w:styleId="LightShading-Accent4">
    <w:name w:val="Light Shading Accent 4"/>
    <w:basedOn w:val="TableNormal"/>
    <w:uiPriority w:val="60"/>
    <w:unhideWhenUsed/>
    <w:rsid w:val="00920D86"/>
    <w:pPr>
      <w:spacing w:line="240" w:lineRule="auto"/>
    </w:pPr>
    <w:rPr>
      <w:color w:val="491E38" w:themeColor="accent4" w:themeShade="BF"/>
    </w:rPr>
    <w:tblPr>
      <w:tblStyleRowBandSize w:val="1"/>
      <w:tblStyleColBandSize w:val="1"/>
      <w:tblBorders>
        <w:top w:val="single" w:sz="8" w:space="0" w:color="62294B" w:themeColor="accent4"/>
        <w:bottom w:val="single" w:sz="8" w:space="0" w:color="62294B" w:themeColor="accent4"/>
      </w:tblBorders>
    </w:tblPr>
    <w:tblStylePr w:type="fir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lastRow">
      <w:pPr>
        <w:spacing w:before="0" w:after="0" w:line="240" w:lineRule="auto"/>
      </w:pPr>
      <w:rPr>
        <w:b/>
        <w:bCs/>
      </w:rPr>
      <w:tblPr/>
      <w:tcPr>
        <w:tcBorders>
          <w:top w:val="single" w:sz="8" w:space="0" w:color="62294B" w:themeColor="accent4"/>
          <w:left w:val="nil"/>
          <w:bottom w:val="single" w:sz="8" w:space="0" w:color="62294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left w:val="nil"/>
          <w:right w:val="nil"/>
          <w:insideH w:val="nil"/>
          <w:insideV w:val="nil"/>
        </w:tcBorders>
        <w:shd w:val="clear" w:color="auto" w:fill="E4BED4" w:themeFill="accent4" w:themeFillTint="3F"/>
      </w:tcPr>
    </w:tblStylePr>
  </w:style>
  <w:style w:type="table" w:styleId="LightShading-Accent5">
    <w:name w:val="Light Shading Accent 5"/>
    <w:basedOn w:val="TableNormal"/>
    <w:uiPriority w:val="60"/>
    <w:unhideWhenUsed/>
    <w:rsid w:val="00920D86"/>
    <w:pPr>
      <w:spacing w:line="240" w:lineRule="auto"/>
    </w:pPr>
    <w:rPr>
      <w:color w:val="FE4B00" w:themeColor="accent5" w:themeShade="BF"/>
    </w:rPr>
    <w:tblPr>
      <w:tblStyleRowBandSize w:val="1"/>
      <w:tblStyleColBandSize w:val="1"/>
      <w:tblBorders>
        <w:top w:val="single" w:sz="8" w:space="0" w:color="FF8855" w:themeColor="accent5"/>
        <w:bottom w:val="single" w:sz="8" w:space="0" w:color="FF8855" w:themeColor="accent5"/>
      </w:tblBorders>
    </w:tblPr>
    <w:tblStylePr w:type="fir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lastRow">
      <w:pPr>
        <w:spacing w:before="0" w:after="0" w:line="240" w:lineRule="auto"/>
      </w:pPr>
      <w:rPr>
        <w:b/>
        <w:bCs/>
      </w:rPr>
      <w:tblPr/>
      <w:tcPr>
        <w:tcBorders>
          <w:top w:val="single" w:sz="8" w:space="0" w:color="FF8855" w:themeColor="accent5"/>
          <w:left w:val="nil"/>
          <w:bottom w:val="single" w:sz="8" w:space="0" w:color="FF885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left w:val="nil"/>
          <w:right w:val="nil"/>
          <w:insideH w:val="nil"/>
          <w:insideV w:val="nil"/>
        </w:tcBorders>
        <w:shd w:val="clear" w:color="auto" w:fill="FFE1D5" w:themeFill="accent5" w:themeFillTint="3F"/>
      </w:tcPr>
    </w:tblStylePr>
  </w:style>
  <w:style w:type="table" w:styleId="LightShading-Accent6">
    <w:name w:val="Light Shading Accent 6"/>
    <w:basedOn w:val="TableNormal"/>
    <w:uiPriority w:val="60"/>
    <w:unhideWhenUsed/>
    <w:rsid w:val="00920D86"/>
    <w:pPr>
      <w:spacing w:line="240" w:lineRule="auto"/>
    </w:pPr>
    <w:rPr>
      <w:color w:val="B4AF97" w:themeColor="accent6" w:themeShade="BF"/>
    </w:rPr>
    <w:tblPr>
      <w:tblStyleRowBandSize w:val="1"/>
      <w:tblStyleColBandSize w:val="1"/>
      <w:tblBorders>
        <w:top w:val="single" w:sz="8" w:space="0" w:color="E3E1D8" w:themeColor="accent6"/>
        <w:bottom w:val="single" w:sz="8" w:space="0" w:color="E3E1D8" w:themeColor="accent6"/>
      </w:tblBorders>
    </w:tblPr>
    <w:tblStylePr w:type="fir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lastRow">
      <w:pPr>
        <w:spacing w:before="0" w:after="0" w:line="240" w:lineRule="auto"/>
      </w:pPr>
      <w:rPr>
        <w:b/>
        <w:bCs/>
      </w:rPr>
      <w:tblPr/>
      <w:tcPr>
        <w:tcBorders>
          <w:top w:val="single" w:sz="8" w:space="0" w:color="E3E1D8" w:themeColor="accent6"/>
          <w:left w:val="nil"/>
          <w:bottom w:val="single" w:sz="8" w:space="0" w:color="E3E1D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left w:val="nil"/>
          <w:right w:val="nil"/>
          <w:insideH w:val="nil"/>
          <w:insideV w:val="nil"/>
        </w:tcBorders>
        <w:shd w:val="clear" w:color="auto" w:fill="F8F7F5" w:themeFill="accent6" w:themeFillTint="3F"/>
      </w:tcPr>
    </w:tblStylePr>
  </w:style>
  <w:style w:type="character" w:styleId="LineNumber">
    <w:name w:val="line number"/>
    <w:basedOn w:val="DefaultParagraphFont"/>
    <w:uiPriority w:val="99"/>
    <w:semiHidden/>
    <w:rsid w:val="00920D86"/>
    <w:rPr>
      <w:lang w:val="en-US"/>
    </w:rPr>
  </w:style>
  <w:style w:type="paragraph" w:styleId="List">
    <w:name w:val="List"/>
    <w:basedOn w:val="Normal"/>
    <w:uiPriority w:val="99"/>
    <w:rsid w:val="00920D86"/>
    <w:pPr>
      <w:ind w:left="283" w:hanging="283"/>
      <w:contextualSpacing/>
    </w:pPr>
  </w:style>
  <w:style w:type="paragraph" w:styleId="List2">
    <w:name w:val="List 2"/>
    <w:basedOn w:val="Normal"/>
    <w:uiPriority w:val="99"/>
    <w:rsid w:val="00920D86"/>
    <w:pPr>
      <w:ind w:left="566" w:hanging="283"/>
      <w:contextualSpacing/>
    </w:pPr>
  </w:style>
  <w:style w:type="paragraph" w:styleId="List3">
    <w:name w:val="List 3"/>
    <w:basedOn w:val="Normal"/>
    <w:uiPriority w:val="99"/>
    <w:rsid w:val="00920D86"/>
    <w:pPr>
      <w:ind w:left="849" w:hanging="283"/>
      <w:contextualSpacing/>
    </w:pPr>
  </w:style>
  <w:style w:type="paragraph" w:styleId="List4">
    <w:name w:val="List 4"/>
    <w:basedOn w:val="Normal"/>
    <w:uiPriority w:val="99"/>
    <w:semiHidden/>
    <w:rsid w:val="00920D86"/>
    <w:pPr>
      <w:ind w:left="1132" w:hanging="283"/>
      <w:contextualSpacing/>
    </w:pPr>
  </w:style>
  <w:style w:type="paragraph" w:styleId="List5">
    <w:name w:val="List 5"/>
    <w:basedOn w:val="Normal"/>
    <w:uiPriority w:val="99"/>
    <w:semiHidden/>
    <w:rsid w:val="00920D86"/>
    <w:pPr>
      <w:ind w:left="1415" w:hanging="283"/>
      <w:contextualSpacing/>
    </w:pPr>
  </w:style>
  <w:style w:type="paragraph" w:styleId="ListBullet2">
    <w:name w:val="List Bullet 2"/>
    <w:basedOn w:val="Normal"/>
    <w:uiPriority w:val="99"/>
    <w:rsid w:val="00920D86"/>
    <w:pPr>
      <w:numPr>
        <w:numId w:val="4"/>
      </w:numPr>
      <w:contextualSpacing/>
    </w:pPr>
  </w:style>
  <w:style w:type="paragraph" w:styleId="ListBullet3">
    <w:name w:val="List Bullet 3"/>
    <w:basedOn w:val="Normal"/>
    <w:uiPriority w:val="99"/>
    <w:rsid w:val="00920D86"/>
    <w:pPr>
      <w:numPr>
        <w:numId w:val="5"/>
      </w:numPr>
      <w:contextualSpacing/>
    </w:pPr>
  </w:style>
  <w:style w:type="paragraph" w:styleId="ListBullet4">
    <w:name w:val="List Bullet 4"/>
    <w:basedOn w:val="Normal"/>
    <w:uiPriority w:val="99"/>
    <w:semiHidden/>
    <w:rsid w:val="00920D86"/>
    <w:pPr>
      <w:numPr>
        <w:numId w:val="6"/>
      </w:numPr>
      <w:contextualSpacing/>
    </w:pPr>
  </w:style>
  <w:style w:type="paragraph" w:styleId="ListBullet5">
    <w:name w:val="List Bullet 5"/>
    <w:basedOn w:val="Normal"/>
    <w:uiPriority w:val="99"/>
    <w:semiHidden/>
    <w:rsid w:val="00920D86"/>
    <w:pPr>
      <w:numPr>
        <w:numId w:val="7"/>
      </w:numPr>
      <w:contextualSpacing/>
    </w:pPr>
  </w:style>
  <w:style w:type="paragraph" w:styleId="ListContinue">
    <w:name w:val="List Continue"/>
    <w:basedOn w:val="Normal"/>
    <w:uiPriority w:val="99"/>
    <w:rsid w:val="00920D86"/>
    <w:pPr>
      <w:spacing w:after="120"/>
      <w:ind w:left="283"/>
      <w:contextualSpacing/>
    </w:pPr>
  </w:style>
  <w:style w:type="paragraph" w:styleId="ListContinue2">
    <w:name w:val="List Continue 2"/>
    <w:basedOn w:val="Normal"/>
    <w:uiPriority w:val="99"/>
    <w:rsid w:val="00920D86"/>
    <w:pPr>
      <w:spacing w:after="120"/>
      <w:ind w:left="566"/>
      <w:contextualSpacing/>
    </w:pPr>
  </w:style>
  <w:style w:type="paragraph" w:styleId="ListContinue3">
    <w:name w:val="List Continue 3"/>
    <w:basedOn w:val="Normal"/>
    <w:uiPriority w:val="99"/>
    <w:rsid w:val="00920D86"/>
    <w:pPr>
      <w:spacing w:after="120"/>
      <w:ind w:left="849"/>
      <w:contextualSpacing/>
    </w:pPr>
  </w:style>
  <w:style w:type="paragraph" w:styleId="ListContinue4">
    <w:name w:val="List Continue 4"/>
    <w:basedOn w:val="Normal"/>
    <w:uiPriority w:val="99"/>
    <w:semiHidden/>
    <w:rsid w:val="00920D86"/>
    <w:pPr>
      <w:spacing w:after="120"/>
      <w:ind w:left="1132"/>
      <w:contextualSpacing/>
    </w:pPr>
  </w:style>
  <w:style w:type="paragraph" w:styleId="ListContinue5">
    <w:name w:val="List Continue 5"/>
    <w:basedOn w:val="Normal"/>
    <w:uiPriority w:val="99"/>
    <w:semiHidden/>
    <w:rsid w:val="00920D86"/>
    <w:pPr>
      <w:spacing w:after="120"/>
      <w:ind w:left="1415"/>
      <w:contextualSpacing/>
    </w:pPr>
  </w:style>
  <w:style w:type="paragraph" w:styleId="ListNumber2">
    <w:name w:val="List Number 2"/>
    <w:basedOn w:val="Normal"/>
    <w:uiPriority w:val="99"/>
    <w:rsid w:val="00920D86"/>
    <w:pPr>
      <w:numPr>
        <w:numId w:val="9"/>
      </w:numPr>
      <w:contextualSpacing/>
    </w:pPr>
  </w:style>
  <w:style w:type="paragraph" w:styleId="ListNumber3">
    <w:name w:val="List Number 3"/>
    <w:basedOn w:val="Normal"/>
    <w:uiPriority w:val="99"/>
    <w:rsid w:val="00920D86"/>
    <w:pPr>
      <w:numPr>
        <w:numId w:val="10"/>
      </w:numPr>
      <w:contextualSpacing/>
    </w:pPr>
  </w:style>
  <w:style w:type="paragraph" w:styleId="ListNumber4">
    <w:name w:val="List Number 4"/>
    <w:basedOn w:val="Normal"/>
    <w:uiPriority w:val="99"/>
    <w:semiHidden/>
    <w:rsid w:val="00920D86"/>
    <w:pPr>
      <w:numPr>
        <w:numId w:val="11"/>
      </w:numPr>
      <w:contextualSpacing/>
    </w:pPr>
  </w:style>
  <w:style w:type="paragraph" w:styleId="ListNumber5">
    <w:name w:val="List Number 5"/>
    <w:basedOn w:val="Normal"/>
    <w:uiPriority w:val="99"/>
    <w:semiHidden/>
    <w:rsid w:val="00920D86"/>
    <w:pPr>
      <w:numPr>
        <w:numId w:val="12"/>
      </w:numPr>
      <w:contextualSpacing/>
    </w:pPr>
  </w:style>
  <w:style w:type="paragraph" w:styleId="ListParagraph">
    <w:name w:val="List Paragraph"/>
    <w:aliases w:val="Heading1,body 2,List Paragraph1,Header bold,heading 7,List Paragraph11,bullets,Arial,Normal bullet 2,Forth level,List_Paragraph,Multilevel para_II,Listă colorată - Accentuare 11,Bullet,Citation List,Bullet line,Lista bullet,EU,lp1,Lista 1"/>
    <w:basedOn w:val="Normal"/>
    <w:link w:val="ListParagraphChar"/>
    <w:qFormat/>
    <w:rsid w:val="00920D86"/>
    <w:pPr>
      <w:ind w:left="720"/>
      <w:contextualSpacing/>
    </w:pPr>
  </w:style>
  <w:style w:type="table" w:styleId="ListTable1Light">
    <w:name w:val="List Table 1 Light"/>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1C78F4" w:themeColor="accent1" w:themeTint="99"/>
        </w:tcBorders>
      </w:tcPr>
    </w:tblStylePr>
    <w:tblStylePr w:type="lastRow">
      <w:rPr>
        <w:b/>
        <w:bCs/>
      </w:rPr>
      <w:tblPr/>
      <w:tcPr>
        <w:tcBorders>
          <w:top w:val="sing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1Light-Accent2">
    <w:name w:val="List Table 1 Light Accent 2"/>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35D69C" w:themeColor="accent2" w:themeTint="99"/>
        </w:tcBorders>
      </w:tcPr>
    </w:tblStylePr>
    <w:tblStylePr w:type="lastRow">
      <w:rPr>
        <w:b/>
        <w:bCs/>
      </w:rPr>
      <w:tblPr/>
      <w:tcPr>
        <w:tcBorders>
          <w:top w:val="sing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1Light-Accent3">
    <w:name w:val="List Table 1 Light Accent 3"/>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CDE2BF" w:themeColor="accent3" w:themeTint="99"/>
        </w:tcBorders>
      </w:tcPr>
    </w:tblStylePr>
    <w:tblStylePr w:type="lastRow">
      <w:rPr>
        <w:b/>
        <w:bCs/>
      </w:rPr>
      <w:tblPr/>
      <w:tcPr>
        <w:tcBorders>
          <w:top w:val="sing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1Light-Accent4">
    <w:name w:val="List Table 1 Light Accent 4"/>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BD6298" w:themeColor="accent4" w:themeTint="99"/>
        </w:tcBorders>
      </w:tcPr>
    </w:tblStylePr>
    <w:tblStylePr w:type="lastRow">
      <w:rPr>
        <w:b/>
        <w:bCs/>
      </w:rPr>
      <w:tblPr/>
      <w:tcPr>
        <w:tcBorders>
          <w:top w:val="sing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1Light-Accent5">
    <w:name w:val="List Table 1 Light Accent 5"/>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FFB799" w:themeColor="accent5" w:themeTint="99"/>
        </w:tcBorders>
      </w:tcPr>
    </w:tblStylePr>
    <w:tblStylePr w:type="lastRow">
      <w:rPr>
        <w:b/>
        <w:bCs/>
      </w:rPr>
      <w:tblPr/>
      <w:tcPr>
        <w:tcBorders>
          <w:top w:val="sing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1Light-Accent6">
    <w:name w:val="List Table 1 Light Accent 6"/>
    <w:basedOn w:val="TableNormal"/>
    <w:uiPriority w:val="46"/>
    <w:rsid w:val="00920D86"/>
    <w:pPr>
      <w:spacing w:line="240" w:lineRule="auto"/>
    </w:pPr>
    <w:tblPr>
      <w:tblStyleRowBandSize w:val="1"/>
      <w:tblStyleColBandSize w:val="1"/>
    </w:tblPr>
    <w:tblStylePr w:type="firstRow">
      <w:rPr>
        <w:b/>
        <w:bCs/>
      </w:rPr>
      <w:tblPr/>
      <w:tcPr>
        <w:tcBorders>
          <w:bottom w:val="single" w:sz="4" w:space="0" w:color="EEECE7" w:themeColor="accent6" w:themeTint="99"/>
        </w:tcBorders>
      </w:tcPr>
    </w:tblStylePr>
    <w:tblStylePr w:type="lastRow">
      <w:rPr>
        <w:b/>
        <w:bCs/>
      </w:rPr>
      <w:tblPr/>
      <w:tcPr>
        <w:tcBorders>
          <w:top w:val="sing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2">
    <w:name w:val="List Table 2"/>
    <w:basedOn w:val="TableNormal"/>
    <w:uiPriority w:val="47"/>
    <w:rsid w:val="00920D8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0D86"/>
    <w:pPr>
      <w:spacing w:line="240" w:lineRule="auto"/>
    </w:pPr>
    <w:tblPr>
      <w:tblStyleRowBandSize w:val="1"/>
      <w:tblStyleColBandSize w:val="1"/>
      <w:tblBorders>
        <w:top w:val="single" w:sz="4" w:space="0" w:color="1C78F4" w:themeColor="accent1" w:themeTint="99"/>
        <w:bottom w:val="single" w:sz="4" w:space="0" w:color="1C78F4" w:themeColor="accent1" w:themeTint="99"/>
        <w:insideH w:val="single" w:sz="4" w:space="0" w:color="1C78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2-Accent2">
    <w:name w:val="List Table 2 Accent 2"/>
    <w:basedOn w:val="TableNormal"/>
    <w:uiPriority w:val="47"/>
    <w:rsid w:val="00920D86"/>
    <w:pPr>
      <w:spacing w:line="240" w:lineRule="auto"/>
    </w:pPr>
    <w:tblPr>
      <w:tblStyleRowBandSize w:val="1"/>
      <w:tblStyleColBandSize w:val="1"/>
      <w:tblBorders>
        <w:top w:val="single" w:sz="4" w:space="0" w:color="35D69C" w:themeColor="accent2" w:themeTint="99"/>
        <w:bottom w:val="single" w:sz="4" w:space="0" w:color="35D69C" w:themeColor="accent2" w:themeTint="99"/>
        <w:insideH w:val="single" w:sz="4" w:space="0" w:color="35D69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2-Accent3">
    <w:name w:val="List Table 2 Accent 3"/>
    <w:basedOn w:val="TableNormal"/>
    <w:uiPriority w:val="47"/>
    <w:rsid w:val="00920D86"/>
    <w:pPr>
      <w:spacing w:line="240" w:lineRule="auto"/>
    </w:pPr>
    <w:tblPr>
      <w:tblStyleRowBandSize w:val="1"/>
      <w:tblStyleColBandSize w:val="1"/>
      <w:tblBorders>
        <w:top w:val="single" w:sz="4" w:space="0" w:color="CDE2BF" w:themeColor="accent3" w:themeTint="99"/>
        <w:bottom w:val="single" w:sz="4" w:space="0" w:color="CDE2BF" w:themeColor="accent3" w:themeTint="99"/>
        <w:insideH w:val="single" w:sz="4" w:space="0" w:color="CDE2B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2-Accent4">
    <w:name w:val="List Table 2 Accent 4"/>
    <w:basedOn w:val="TableNormal"/>
    <w:uiPriority w:val="47"/>
    <w:rsid w:val="00920D86"/>
    <w:pPr>
      <w:spacing w:line="240" w:lineRule="auto"/>
    </w:pPr>
    <w:tblPr>
      <w:tblStyleRowBandSize w:val="1"/>
      <w:tblStyleColBandSize w:val="1"/>
      <w:tblBorders>
        <w:top w:val="single" w:sz="4" w:space="0" w:color="BD6298" w:themeColor="accent4" w:themeTint="99"/>
        <w:bottom w:val="single" w:sz="4" w:space="0" w:color="BD6298" w:themeColor="accent4" w:themeTint="99"/>
        <w:insideH w:val="single" w:sz="4" w:space="0" w:color="BD629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2-Accent5">
    <w:name w:val="List Table 2 Accent 5"/>
    <w:basedOn w:val="TableNormal"/>
    <w:uiPriority w:val="47"/>
    <w:rsid w:val="00920D86"/>
    <w:pPr>
      <w:spacing w:line="240" w:lineRule="auto"/>
    </w:pPr>
    <w:tblPr>
      <w:tblStyleRowBandSize w:val="1"/>
      <w:tblStyleColBandSize w:val="1"/>
      <w:tblBorders>
        <w:top w:val="single" w:sz="4" w:space="0" w:color="FFB799" w:themeColor="accent5" w:themeTint="99"/>
        <w:bottom w:val="single" w:sz="4" w:space="0" w:color="FFB799" w:themeColor="accent5" w:themeTint="99"/>
        <w:insideH w:val="single" w:sz="4" w:space="0" w:color="FFB79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2-Accent6">
    <w:name w:val="List Table 2 Accent 6"/>
    <w:basedOn w:val="TableNormal"/>
    <w:uiPriority w:val="47"/>
    <w:rsid w:val="00920D86"/>
    <w:pPr>
      <w:spacing w:line="240" w:lineRule="auto"/>
    </w:pPr>
    <w:tblPr>
      <w:tblStyleRowBandSize w:val="1"/>
      <w:tblStyleColBandSize w:val="1"/>
      <w:tblBorders>
        <w:top w:val="single" w:sz="4" w:space="0" w:color="EEECE7" w:themeColor="accent6" w:themeTint="99"/>
        <w:bottom w:val="single" w:sz="4" w:space="0" w:color="EEECE7" w:themeColor="accent6" w:themeTint="99"/>
        <w:insideH w:val="single" w:sz="4" w:space="0" w:color="EEECE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3">
    <w:name w:val="List Table 3"/>
    <w:basedOn w:val="TableNormal"/>
    <w:uiPriority w:val="48"/>
    <w:rsid w:val="00920D8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0D86"/>
    <w:pPr>
      <w:spacing w:line="240" w:lineRule="auto"/>
    </w:pPr>
    <w:tblPr>
      <w:tblStyleRowBandSize w:val="1"/>
      <w:tblStyleColBandSize w:val="1"/>
      <w:tblBorders>
        <w:top w:val="single" w:sz="4" w:space="0" w:color="05326E" w:themeColor="accent1"/>
        <w:left w:val="single" w:sz="4" w:space="0" w:color="05326E" w:themeColor="accent1"/>
        <w:bottom w:val="single" w:sz="4" w:space="0" w:color="05326E" w:themeColor="accent1"/>
        <w:right w:val="single" w:sz="4" w:space="0" w:color="05326E" w:themeColor="accent1"/>
      </w:tblBorders>
    </w:tblPr>
    <w:tblStylePr w:type="firstRow">
      <w:rPr>
        <w:b/>
        <w:bCs/>
        <w:color w:val="FFFFFF" w:themeColor="background1"/>
      </w:rPr>
      <w:tblPr/>
      <w:tcPr>
        <w:shd w:val="clear" w:color="auto" w:fill="05326E" w:themeFill="accent1"/>
      </w:tcPr>
    </w:tblStylePr>
    <w:tblStylePr w:type="lastRow">
      <w:rPr>
        <w:b/>
        <w:bCs/>
      </w:rPr>
      <w:tblPr/>
      <w:tcPr>
        <w:tcBorders>
          <w:top w:val="double" w:sz="4" w:space="0" w:color="05326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326E" w:themeColor="accent1"/>
          <w:right w:val="single" w:sz="4" w:space="0" w:color="05326E" w:themeColor="accent1"/>
        </w:tcBorders>
      </w:tcPr>
    </w:tblStylePr>
    <w:tblStylePr w:type="band1Horz">
      <w:tblPr/>
      <w:tcPr>
        <w:tcBorders>
          <w:top w:val="single" w:sz="4" w:space="0" w:color="05326E" w:themeColor="accent1"/>
          <w:bottom w:val="single" w:sz="4" w:space="0" w:color="05326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326E" w:themeColor="accent1"/>
          <w:left w:val="nil"/>
        </w:tcBorders>
      </w:tcPr>
    </w:tblStylePr>
    <w:tblStylePr w:type="swCell">
      <w:tblPr/>
      <w:tcPr>
        <w:tcBorders>
          <w:top w:val="double" w:sz="4" w:space="0" w:color="05326E" w:themeColor="accent1"/>
          <w:right w:val="nil"/>
        </w:tcBorders>
      </w:tcPr>
    </w:tblStylePr>
  </w:style>
  <w:style w:type="table" w:styleId="ListTable3-Accent2">
    <w:name w:val="List Table 3 Accent 2"/>
    <w:basedOn w:val="TableNormal"/>
    <w:uiPriority w:val="48"/>
    <w:rsid w:val="00920D86"/>
    <w:pPr>
      <w:spacing w:line="240" w:lineRule="auto"/>
    </w:pPr>
    <w:tblPr>
      <w:tblStyleRowBandSize w:val="1"/>
      <w:tblStyleColBandSize w:val="1"/>
      <w:tblBorders>
        <w:top w:val="single" w:sz="4" w:space="0" w:color="125A40" w:themeColor="accent2"/>
        <w:left w:val="single" w:sz="4" w:space="0" w:color="125A40" w:themeColor="accent2"/>
        <w:bottom w:val="single" w:sz="4" w:space="0" w:color="125A40" w:themeColor="accent2"/>
        <w:right w:val="single" w:sz="4" w:space="0" w:color="125A40" w:themeColor="accent2"/>
      </w:tblBorders>
    </w:tblPr>
    <w:tblStylePr w:type="firstRow">
      <w:rPr>
        <w:b/>
        <w:bCs/>
        <w:color w:val="FFFFFF" w:themeColor="background1"/>
      </w:rPr>
      <w:tblPr/>
      <w:tcPr>
        <w:shd w:val="clear" w:color="auto" w:fill="125A40" w:themeFill="accent2"/>
      </w:tcPr>
    </w:tblStylePr>
    <w:tblStylePr w:type="lastRow">
      <w:rPr>
        <w:b/>
        <w:bCs/>
      </w:rPr>
      <w:tblPr/>
      <w:tcPr>
        <w:tcBorders>
          <w:top w:val="double" w:sz="4" w:space="0" w:color="125A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25A40" w:themeColor="accent2"/>
          <w:right w:val="single" w:sz="4" w:space="0" w:color="125A40" w:themeColor="accent2"/>
        </w:tcBorders>
      </w:tcPr>
    </w:tblStylePr>
    <w:tblStylePr w:type="band1Horz">
      <w:tblPr/>
      <w:tcPr>
        <w:tcBorders>
          <w:top w:val="single" w:sz="4" w:space="0" w:color="125A40" w:themeColor="accent2"/>
          <w:bottom w:val="single" w:sz="4" w:space="0" w:color="125A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25A40" w:themeColor="accent2"/>
          <w:left w:val="nil"/>
        </w:tcBorders>
      </w:tcPr>
    </w:tblStylePr>
    <w:tblStylePr w:type="swCell">
      <w:tblPr/>
      <w:tcPr>
        <w:tcBorders>
          <w:top w:val="double" w:sz="4" w:space="0" w:color="125A40" w:themeColor="accent2"/>
          <w:right w:val="nil"/>
        </w:tcBorders>
      </w:tcPr>
    </w:tblStylePr>
  </w:style>
  <w:style w:type="table" w:styleId="ListTable3-Accent3">
    <w:name w:val="List Table 3 Accent 3"/>
    <w:basedOn w:val="TableNormal"/>
    <w:uiPriority w:val="48"/>
    <w:rsid w:val="00920D86"/>
    <w:pPr>
      <w:spacing w:line="240" w:lineRule="auto"/>
    </w:pPr>
    <w:tblPr>
      <w:tblStyleRowBandSize w:val="1"/>
      <w:tblStyleColBandSize w:val="1"/>
      <w:tblBorders>
        <w:top w:val="single" w:sz="4" w:space="0" w:color="ADD095" w:themeColor="accent3"/>
        <w:left w:val="single" w:sz="4" w:space="0" w:color="ADD095" w:themeColor="accent3"/>
        <w:bottom w:val="single" w:sz="4" w:space="0" w:color="ADD095" w:themeColor="accent3"/>
        <w:right w:val="single" w:sz="4" w:space="0" w:color="ADD095" w:themeColor="accent3"/>
      </w:tblBorders>
    </w:tblPr>
    <w:tblStylePr w:type="firstRow">
      <w:rPr>
        <w:b/>
        <w:bCs/>
        <w:color w:val="FFFFFF" w:themeColor="background1"/>
      </w:rPr>
      <w:tblPr/>
      <w:tcPr>
        <w:shd w:val="clear" w:color="auto" w:fill="ADD095" w:themeFill="accent3"/>
      </w:tcPr>
    </w:tblStylePr>
    <w:tblStylePr w:type="lastRow">
      <w:rPr>
        <w:b/>
        <w:bCs/>
      </w:rPr>
      <w:tblPr/>
      <w:tcPr>
        <w:tcBorders>
          <w:top w:val="double" w:sz="4" w:space="0" w:color="ADD09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095" w:themeColor="accent3"/>
          <w:right w:val="single" w:sz="4" w:space="0" w:color="ADD095" w:themeColor="accent3"/>
        </w:tcBorders>
      </w:tcPr>
    </w:tblStylePr>
    <w:tblStylePr w:type="band1Horz">
      <w:tblPr/>
      <w:tcPr>
        <w:tcBorders>
          <w:top w:val="single" w:sz="4" w:space="0" w:color="ADD095" w:themeColor="accent3"/>
          <w:bottom w:val="single" w:sz="4" w:space="0" w:color="ADD09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095" w:themeColor="accent3"/>
          <w:left w:val="nil"/>
        </w:tcBorders>
      </w:tcPr>
    </w:tblStylePr>
    <w:tblStylePr w:type="swCell">
      <w:tblPr/>
      <w:tcPr>
        <w:tcBorders>
          <w:top w:val="double" w:sz="4" w:space="0" w:color="ADD095" w:themeColor="accent3"/>
          <w:right w:val="nil"/>
        </w:tcBorders>
      </w:tcPr>
    </w:tblStylePr>
  </w:style>
  <w:style w:type="table" w:styleId="ListTable3-Accent4">
    <w:name w:val="List Table 3 Accent 4"/>
    <w:basedOn w:val="TableNormal"/>
    <w:uiPriority w:val="48"/>
    <w:rsid w:val="00920D86"/>
    <w:pPr>
      <w:spacing w:line="240" w:lineRule="auto"/>
    </w:pPr>
    <w:tblPr>
      <w:tblStyleRowBandSize w:val="1"/>
      <w:tblStyleColBandSize w:val="1"/>
      <w:tblBorders>
        <w:top w:val="single" w:sz="4" w:space="0" w:color="62294B" w:themeColor="accent4"/>
        <w:left w:val="single" w:sz="4" w:space="0" w:color="62294B" w:themeColor="accent4"/>
        <w:bottom w:val="single" w:sz="4" w:space="0" w:color="62294B" w:themeColor="accent4"/>
        <w:right w:val="single" w:sz="4" w:space="0" w:color="62294B" w:themeColor="accent4"/>
      </w:tblBorders>
    </w:tblPr>
    <w:tblStylePr w:type="firstRow">
      <w:rPr>
        <w:b/>
        <w:bCs/>
        <w:color w:val="FFFFFF" w:themeColor="background1"/>
      </w:rPr>
      <w:tblPr/>
      <w:tcPr>
        <w:shd w:val="clear" w:color="auto" w:fill="62294B" w:themeFill="accent4"/>
      </w:tcPr>
    </w:tblStylePr>
    <w:tblStylePr w:type="lastRow">
      <w:rPr>
        <w:b/>
        <w:bCs/>
      </w:rPr>
      <w:tblPr/>
      <w:tcPr>
        <w:tcBorders>
          <w:top w:val="double" w:sz="4" w:space="0" w:color="62294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294B" w:themeColor="accent4"/>
          <w:right w:val="single" w:sz="4" w:space="0" w:color="62294B" w:themeColor="accent4"/>
        </w:tcBorders>
      </w:tcPr>
    </w:tblStylePr>
    <w:tblStylePr w:type="band1Horz">
      <w:tblPr/>
      <w:tcPr>
        <w:tcBorders>
          <w:top w:val="single" w:sz="4" w:space="0" w:color="62294B" w:themeColor="accent4"/>
          <w:bottom w:val="single" w:sz="4" w:space="0" w:color="62294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294B" w:themeColor="accent4"/>
          <w:left w:val="nil"/>
        </w:tcBorders>
      </w:tcPr>
    </w:tblStylePr>
    <w:tblStylePr w:type="swCell">
      <w:tblPr/>
      <w:tcPr>
        <w:tcBorders>
          <w:top w:val="double" w:sz="4" w:space="0" w:color="62294B" w:themeColor="accent4"/>
          <w:right w:val="nil"/>
        </w:tcBorders>
      </w:tcPr>
    </w:tblStylePr>
  </w:style>
  <w:style w:type="table" w:styleId="ListTable3-Accent5">
    <w:name w:val="List Table 3 Accent 5"/>
    <w:basedOn w:val="TableNormal"/>
    <w:uiPriority w:val="48"/>
    <w:rsid w:val="00920D86"/>
    <w:pPr>
      <w:spacing w:line="240" w:lineRule="auto"/>
    </w:pPr>
    <w:tblPr>
      <w:tblStyleRowBandSize w:val="1"/>
      <w:tblStyleColBandSize w:val="1"/>
      <w:tblBorders>
        <w:top w:val="single" w:sz="4" w:space="0" w:color="FF8855" w:themeColor="accent5"/>
        <w:left w:val="single" w:sz="4" w:space="0" w:color="FF8855" w:themeColor="accent5"/>
        <w:bottom w:val="single" w:sz="4" w:space="0" w:color="FF8855" w:themeColor="accent5"/>
        <w:right w:val="single" w:sz="4" w:space="0" w:color="FF8855" w:themeColor="accent5"/>
      </w:tblBorders>
    </w:tblPr>
    <w:tblStylePr w:type="firstRow">
      <w:rPr>
        <w:b/>
        <w:bCs/>
        <w:color w:val="FFFFFF" w:themeColor="background1"/>
      </w:rPr>
      <w:tblPr/>
      <w:tcPr>
        <w:shd w:val="clear" w:color="auto" w:fill="FF8855" w:themeFill="accent5"/>
      </w:tcPr>
    </w:tblStylePr>
    <w:tblStylePr w:type="lastRow">
      <w:rPr>
        <w:b/>
        <w:bCs/>
      </w:rPr>
      <w:tblPr/>
      <w:tcPr>
        <w:tcBorders>
          <w:top w:val="double" w:sz="4" w:space="0" w:color="FF885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855" w:themeColor="accent5"/>
          <w:right w:val="single" w:sz="4" w:space="0" w:color="FF8855" w:themeColor="accent5"/>
        </w:tcBorders>
      </w:tcPr>
    </w:tblStylePr>
    <w:tblStylePr w:type="band1Horz">
      <w:tblPr/>
      <w:tcPr>
        <w:tcBorders>
          <w:top w:val="single" w:sz="4" w:space="0" w:color="FF8855" w:themeColor="accent5"/>
          <w:bottom w:val="single" w:sz="4" w:space="0" w:color="FF885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855" w:themeColor="accent5"/>
          <w:left w:val="nil"/>
        </w:tcBorders>
      </w:tcPr>
    </w:tblStylePr>
    <w:tblStylePr w:type="swCell">
      <w:tblPr/>
      <w:tcPr>
        <w:tcBorders>
          <w:top w:val="double" w:sz="4" w:space="0" w:color="FF8855" w:themeColor="accent5"/>
          <w:right w:val="nil"/>
        </w:tcBorders>
      </w:tcPr>
    </w:tblStylePr>
  </w:style>
  <w:style w:type="table" w:styleId="ListTable3-Accent6">
    <w:name w:val="List Table 3 Accent 6"/>
    <w:basedOn w:val="TableNormal"/>
    <w:uiPriority w:val="48"/>
    <w:rsid w:val="00920D86"/>
    <w:pPr>
      <w:spacing w:line="240" w:lineRule="auto"/>
    </w:pPr>
    <w:tblPr>
      <w:tblStyleRowBandSize w:val="1"/>
      <w:tblStyleColBandSize w:val="1"/>
      <w:tblBorders>
        <w:top w:val="single" w:sz="4" w:space="0" w:color="E3E1D8" w:themeColor="accent6"/>
        <w:left w:val="single" w:sz="4" w:space="0" w:color="E3E1D8" w:themeColor="accent6"/>
        <w:bottom w:val="single" w:sz="4" w:space="0" w:color="E3E1D8" w:themeColor="accent6"/>
        <w:right w:val="single" w:sz="4" w:space="0" w:color="E3E1D8" w:themeColor="accent6"/>
      </w:tblBorders>
    </w:tblPr>
    <w:tblStylePr w:type="firstRow">
      <w:rPr>
        <w:b/>
        <w:bCs/>
        <w:color w:val="FFFFFF" w:themeColor="background1"/>
      </w:rPr>
      <w:tblPr/>
      <w:tcPr>
        <w:shd w:val="clear" w:color="auto" w:fill="E3E1D8" w:themeFill="accent6"/>
      </w:tcPr>
    </w:tblStylePr>
    <w:tblStylePr w:type="lastRow">
      <w:rPr>
        <w:b/>
        <w:bCs/>
      </w:rPr>
      <w:tblPr/>
      <w:tcPr>
        <w:tcBorders>
          <w:top w:val="double" w:sz="4" w:space="0" w:color="E3E1D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3E1D8" w:themeColor="accent6"/>
          <w:right w:val="single" w:sz="4" w:space="0" w:color="E3E1D8" w:themeColor="accent6"/>
        </w:tcBorders>
      </w:tcPr>
    </w:tblStylePr>
    <w:tblStylePr w:type="band1Horz">
      <w:tblPr/>
      <w:tcPr>
        <w:tcBorders>
          <w:top w:val="single" w:sz="4" w:space="0" w:color="E3E1D8" w:themeColor="accent6"/>
          <w:bottom w:val="single" w:sz="4" w:space="0" w:color="E3E1D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3E1D8" w:themeColor="accent6"/>
          <w:left w:val="nil"/>
        </w:tcBorders>
      </w:tcPr>
    </w:tblStylePr>
    <w:tblStylePr w:type="swCell">
      <w:tblPr/>
      <w:tcPr>
        <w:tcBorders>
          <w:top w:val="double" w:sz="4" w:space="0" w:color="E3E1D8" w:themeColor="accent6"/>
          <w:right w:val="nil"/>
        </w:tcBorders>
      </w:tcPr>
    </w:tblStylePr>
  </w:style>
  <w:style w:type="table" w:styleId="ListTable4">
    <w:name w:val="List Table 4"/>
    <w:basedOn w:val="TableNormal"/>
    <w:uiPriority w:val="49"/>
    <w:rsid w:val="00920D8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0D86"/>
    <w:pPr>
      <w:spacing w:line="240" w:lineRule="auto"/>
    </w:pPr>
    <w:tblPr>
      <w:tblStyleRowBandSize w:val="1"/>
      <w:tblStyleColBandSize w:val="1"/>
      <w:tblBorders>
        <w:top w:val="single" w:sz="4" w:space="0" w:color="1C78F4" w:themeColor="accent1" w:themeTint="99"/>
        <w:left w:val="single" w:sz="4" w:space="0" w:color="1C78F4" w:themeColor="accent1" w:themeTint="99"/>
        <w:bottom w:val="single" w:sz="4" w:space="0" w:color="1C78F4" w:themeColor="accent1" w:themeTint="99"/>
        <w:right w:val="single" w:sz="4" w:space="0" w:color="1C78F4" w:themeColor="accent1" w:themeTint="99"/>
        <w:insideH w:val="single" w:sz="4" w:space="0" w:color="1C78F4" w:themeColor="accent1" w:themeTint="99"/>
      </w:tblBorders>
    </w:tblPr>
    <w:tblStylePr w:type="firstRow">
      <w:rPr>
        <w:b/>
        <w:bCs/>
        <w:color w:val="FFFFFF" w:themeColor="background1"/>
      </w:rPr>
      <w:tblPr/>
      <w:tcPr>
        <w:tcBorders>
          <w:top w:val="single" w:sz="4" w:space="0" w:color="05326E" w:themeColor="accent1"/>
          <w:left w:val="single" w:sz="4" w:space="0" w:color="05326E" w:themeColor="accent1"/>
          <w:bottom w:val="single" w:sz="4" w:space="0" w:color="05326E" w:themeColor="accent1"/>
          <w:right w:val="single" w:sz="4" w:space="0" w:color="05326E" w:themeColor="accent1"/>
          <w:insideH w:val="nil"/>
        </w:tcBorders>
        <w:shd w:val="clear" w:color="auto" w:fill="05326E" w:themeFill="accent1"/>
      </w:tcPr>
    </w:tblStylePr>
    <w:tblStylePr w:type="lastRow">
      <w:rPr>
        <w:b/>
        <w:bCs/>
      </w:rPr>
      <w:tblPr/>
      <w:tcPr>
        <w:tcBorders>
          <w:top w:val="double" w:sz="4" w:space="0" w:color="1C78F4" w:themeColor="accent1" w:themeTint="99"/>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4-Accent2">
    <w:name w:val="List Table 4 Accent 2"/>
    <w:basedOn w:val="TableNormal"/>
    <w:uiPriority w:val="49"/>
    <w:rsid w:val="00920D86"/>
    <w:pPr>
      <w:spacing w:line="240" w:lineRule="auto"/>
    </w:pPr>
    <w:tblPr>
      <w:tblStyleRowBandSize w:val="1"/>
      <w:tblStyleColBandSize w:val="1"/>
      <w:tblBorders>
        <w:top w:val="single" w:sz="4" w:space="0" w:color="35D69C" w:themeColor="accent2" w:themeTint="99"/>
        <w:left w:val="single" w:sz="4" w:space="0" w:color="35D69C" w:themeColor="accent2" w:themeTint="99"/>
        <w:bottom w:val="single" w:sz="4" w:space="0" w:color="35D69C" w:themeColor="accent2" w:themeTint="99"/>
        <w:right w:val="single" w:sz="4" w:space="0" w:color="35D69C" w:themeColor="accent2" w:themeTint="99"/>
        <w:insideH w:val="single" w:sz="4" w:space="0" w:color="35D69C" w:themeColor="accent2" w:themeTint="99"/>
      </w:tblBorders>
    </w:tblPr>
    <w:tblStylePr w:type="firstRow">
      <w:rPr>
        <w:b/>
        <w:bCs/>
        <w:color w:val="FFFFFF" w:themeColor="background1"/>
      </w:rPr>
      <w:tblPr/>
      <w:tcPr>
        <w:tcBorders>
          <w:top w:val="single" w:sz="4" w:space="0" w:color="125A40" w:themeColor="accent2"/>
          <w:left w:val="single" w:sz="4" w:space="0" w:color="125A40" w:themeColor="accent2"/>
          <w:bottom w:val="single" w:sz="4" w:space="0" w:color="125A40" w:themeColor="accent2"/>
          <w:right w:val="single" w:sz="4" w:space="0" w:color="125A40" w:themeColor="accent2"/>
          <w:insideH w:val="nil"/>
        </w:tcBorders>
        <w:shd w:val="clear" w:color="auto" w:fill="125A40" w:themeFill="accent2"/>
      </w:tcPr>
    </w:tblStylePr>
    <w:tblStylePr w:type="lastRow">
      <w:rPr>
        <w:b/>
        <w:bCs/>
      </w:rPr>
      <w:tblPr/>
      <w:tcPr>
        <w:tcBorders>
          <w:top w:val="double" w:sz="4" w:space="0" w:color="35D69C" w:themeColor="accent2" w:themeTint="99"/>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4-Accent3">
    <w:name w:val="List Table 4 Accent 3"/>
    <w:basedOn w:val="TableNormal"/>
    <w:uiPriority w:val="49"/>
    <w:rsid w:val="00920D86"/>
    <w:pPr>
      <w:spacing w:line="240" w:lineRule="auto"/>
    </w:pPr>
    <w:tblPr>
      <w:tblStyleRowBandSize w:val="1"/>
      <w:tblStyleColBandSize w:val="1"/>
      <w:tblBorders>
        <w:top w:val="single" w:sz="4" w:space="0" w:color="CDE2BF" w:themeColor="accent3" w:themeTint="99"/>
        <w:left w:val="single" w:sz="4" w:space="0" w:color="CDE2BF" w:themeColor="accent3" w:themeTint="99"/>
        <w:bottom w:val="single" w:sz="4" w:space="0" w:color="CDE2BF" w:themeColor="accent3" w:themeTint="99"/>
        <w:right w:val="single" w:sz="4" w:space="0" w:color="CDE2BF" w:themeColor="accent3" w:themeTint="99"/>
        <w:insideH w:val="single" w:sz="4" w:space="0" w:color="CDE2BF" w:themeColor="accent3" w:themeTint="99"/>
      </w:tblBorders>
    </w:tblPr>
    <w:tblStylePr w:type="firstRow">
      <w:rPr>
        <w:b/>
        <w:bCs/>
        <w:color w:val="FFFFFF" w:themeColor="background1"/>
      </w:rPr>
      <w:tblPr/>
      <w:tcPr>
        <w:tcBorders>
          <w:top w:val="single" w:sz="4" w:space="0" w:color="ADD095" w:themeColor="accent3"/>
          <w:left w:val="single" w:sz="4" w:space="0" w:color="ADD095" w:themeColor="accent3"/>
          <w:bottom w:val="single" w:sz="4" w:space="0" w:color="ADD095" w:themeColor="accent3"/>
          <w:right w:val="single" w:sz="4" w:space="0" w:color="ADD095" w:themeColor="accent3"/>
          <w:insideH w:val="nil"/>
        </w:tcBorders>
        <w:shd w:val="clear" w:color="auto" w:fill="ADD095" w:themeFill="accent3"/>
      </w:tcPr>
    </w:tblStylePr>
    <w:tblStylePr w:type="lastRow">
      <w:rPr>
        <w:b/>
        <w:bCs/>
      </w:rPr>
      <w:tblPr/>
      <w:tcPr>
        <w:tcBorders>
          <w:top w:val="double" w:sz="4" w:space="0" w:color="CDE2BF" w:themeColor="accent3" w:themeTint="99"/>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4-Accent4">
    <w:name w:val="List Table 4 Accent 4"/>
    <w:basedOn w:val="TableNormal"/>
    <w:uiPriority w:val="49"/>
    <w:rsid w:val="00920D86"/>
    <w:pPr>
      <w:spacing w:line="240" w:lineRule="auto"/>
    </w:pPr>
    <w:tblPr>
      <w:tblStyleRowBandSize w:val="1"/>
      <w:tblStyleColBandSize w:val="1"/>
      <w:tblBorders>
        <w:top w:val="single" w:sz="4" w:space="0" w:color="BD6298" w:themeColor="accent4" w:themeTint="99"/>
        <w:left w:val="single" w:sz="4" w:space="0" w:color="BD6298" w:themeColor="accent4" w:themeTint="99"/>
        <w:bottom w:val="single" w:sz="4" w:space="0" w:color="BD6298" w:themeColor="accent4" w:themeTint="99"/>
        <w:right w:val="single" w:sz="4" w:space="0" w:color="BD6298" w:themeColor="accent4" w:themeTint="99"/>
        <w:insideH w:val="single" w:sz="4" w:space="0" w:color="BD6298" w:themeColor="accent4" w:themeTint="99"/>
      </w:tblBorders>
    </w:tblPr>
    <w:tblStylePr w:type="firstRow">
      <w:rPr>
        <w:b/>
        <w:bCs/>
        <w:color w:val="FFFFFF" w:themeColor="background1"/>
      </w:rPr>
      <w:tblPr/>
      <w:tcPr>
        <w:tcBorders>
          <w:top w:val="single" w:sz="4" w:space="0" w:color="62294B" w:themeColor="accent4"/>
          <w:left w:val="single" w:sz="4" w:space="0" w:color="62294B" w:themeColor="accent4"/>
          <w:bottom w:val="single" w:sz="4" w:space="0" w:color="62294B" w:themeColor="accent4"/>
          <w:right w:val="single" w:sz="4" w:space="0" w:color="62294B" w:themeColor="accent4"/>
          <w:insideH w:val="nil"/>
        </w:tcBorders>
        <w:shd w:val="clear" w:color="auto" w:fill="62294B" w:themeFill="accent4"/>
      </w:tcPr>
    </w:tblStylePr>
    <w:tblStylePr w:type="lastRow">
      <w:rPr>
        <w:b/>
        <w:bCs/>
      </w:rPr>
      <w:tblPr/>
      <w:tcPr>
        <w:tcBorders>
          <w:top w:val="double" w:sz="4" w:space="0" w:color="BD6298" w:themeColor="accent4" w:themeTint="99"/>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4-Accent5">
    <w:name w:val="List Table 4 Accent 5"/>
    <w:basedOn w:val="TableNormal"/>
    <w:uiPriority w:val="49"/>
    <w:rsid w:val="00920D86"/>
    <w:pPr>
      <w:spacing w:line="240" w:lineRule="auto"/>
    </w:pPr>
    <w:tblPr>
      <w:tblStyleRowBandSize w:val="1"/>
      <w:tblStyleColBandSize w:val="1"/>
      <w:tblBorders>
        <w:top w:val="single" w:sz="4" w:space="0" w:color="FFB799" w:themeColor="accent5" w:themeTint="99"/>
        <w:left w:val="single" w:sz="4" w:space="0" w:color="FFB799" w:themeColor="accent5" w:themeTint="99"/>
        <w:bottom w:val="single" w:sz="4" w:space="0" w:color="FFB799" w:themeColor="accent5" w:themeTint="99"/>
        <w:right w:val="single" w:sz="4" w:space="0" w:color="FFB799" w:themeColor="accent5" w:themeTint="99"/>
        <w:insideH w:val="single" w:sz="4" w:space="0" w:color="FFB799" w:themeColor="accent5" w:themeTint="99"/>
      </w:tblBorders>
    </w:tblPr>
    <w:tblStylePr w:type="firstRow">
      <w:rPr>
        <w:b/>
        <w:bCs/>
        <w:color w:val="FFFFFF" w:themeColor="background1"/>
      </w:rPr>
      <w:tblPr/>
      <w:tcPr>
        <w:tcBorders>
          <w:top w:val="single" w:sz="4" w:space="0" w:color="FF8855" w:themeColor="accent5"/>
          <w:left w:val="single" w:sz="4" w:space="0" w:color="FF8855" w:themeColor="accent5"/>
          <w:bottom w:val="single" w:sz="4" w:space="0" w:color="FF8855" w:themeColor="accent5"/>
          <w:right w:val="single" w:sz="4" w:space="0" w:color="FF8855" w:themeColor="accent5"/>
          <w:insideH w:val="nil"/>
        </w:tcBorders>
        <w:shd w:val="clear" w:color="auto" w:fill="FF8855" w:themeFill="accent5"/>
      </w:tcPr>
    </w:tblStylePr>
    <w:tblStylePr w:type="lastRow">
      <w:rPr>
        <w:b/>
        <w:bCs/>
      </w:rPr>
      <w:tblPr/>
      <w:tcPr>
        <w:tcBorders>
          <w:top w:val="double" w:sz="4" w:space="0" w:color="FFB799" w:themeColor="accent5" w:themeTint="99"/>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4-Accent6">
    <w:name w:val="List Table 4 Accent 6"/>
    <w:basedOn w:val="TableNormal"/>
    <w:uiPriority w:val="49"/>
    <w:rsid w:val="00920D86"/>
    <w:pPr>
      <w:spacing w:line="240" w:lineRule="auto"/>
    </w:pPr>
    <w:tblPr>
      <w:tblStyleRowBandSize w:val="1"/>
      <w:tblStyleColBandSize w:val="1"/>
      <w:tblBorders>
        <w:top w:val="single" w:sz="4" w:space="0" w:color="EEECE7" w:themeColor="accent6" w:themeTint="99"/>
        <w:left w:val="single" w:sz="4" w:space="0" w:color="EEECE7" w:themeColor="accent6" w:themeTint="99"/>
        <w:bottom w:val="single" w:sz="4" w:space="0" w:color="EEECE7" w:themeColor="accent6" w:themeTint="99"/>
        <w:right w:val="single" w:sz="4" w:space="0" w:color="EEECE7" w:themeColor="accent6" w:themeTint="99"/>
        <w:insideH w:val="single" w:sz="4" w:space="0" w:color="EEECE7" w:themeColor="accent6" w:themeTint="99"/>
      </w:tblBorders>
    </w:tblPr>
    <w:tblStylePr w:type="firstRow">
      <w:rPr>
        <w:b/>
        <w:bCs/>
        <w:color w:val="FFFFFF" w:themeColor="background1"/>
      </w:rPr>
      <w:tblPr/>
      <w:tcPr>
        <w:tcBorders>
          <w:top w:val="single" w:sz="4" w:space="0" w:color="E3E1D8" w:themeColor="accent6"/>
          <w:left w:val="single" w:sz="4" w:space="0" w:color="E3E1D8" w:themeColor="accent6"/>
          <w:bottom w:val="single" w:sz="4" w:space="0" w:color="E3E1D8" w:themeColor="accent6"/>
          <w:right w:val="single" w:sz="4" w:space="0" w:color="E3E1D8" w:themeColor="accent6"/>
          <w:insideH w:val="nil"/>
        </w:tcBorders>
        <w:shd w:val="clear" w:color="auto" w:fill="E3E1D8" w:themeFill="accent6"/>
      </w:tcPr>
    </w:tblStylePr>
    <w:tblStylePr w:type="lastRow">
      <w:rPr>
        <w:b/>
        <w:bCs/>
      </w:rPr>
      <w:tblPr/>
      <w:tcPr>
        <w:tcBorders>
          <w:top w:val="double" w:sz="4" w:space="0" w:color="EEECE7" w:themeColor="accent6" w:themeTint="99"/>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5Dark">
    <w:name w:val="List Table 5 Dark"/>
    <w:basedOn w:val="TableNormal"/>
    <w:uiPriority w:val="50"/>
    <w:rsid w:val="00920D8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0D86"/>
    <w:pPr>
      <w:spacing w:line="240" w:lineRule="auto"/>
    </w:pPr>
    <w:rPr>
      <w:color w:val="FFFFFF" w:themeColor="background1"/>
    </w:rPr>
    <w:tblPr>
      <w:tblStyleRowBandSize w:val="1"/>
      <w:tblStyleColBandSize w:val="1"/>
      <w:tblBorders>
        <w:top w:val="single" w:sz="24" w:space="0" w:color="05326E" w:themeColor="accent1"/>
        <w:left w:val="single" w:sz="24" w:space="0" w:color="05326E" w:themeColor="accent1"/>
        <w:bottom w:val="single" w:sz="24" w:space="0" w:color="05326E" w:themeColor="accent1"/>
        <w:right w:val="single" w:sz="24" w:space="0" w:color="05326E" w:themeColor="accent1"/>
      </w:tblBorders>
    </w:tblPr>
    <w:tcPr>
      <w:shd w:val="clear" w:color="auto" w:fill="05326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0D86"/>
    <w:pPr>
      <w:spacing w:line="240" w:lineRule="auto"/>
    </w:pPr>
    <w:rPr>
      <w:color w:val="FFFFFF" w:themeColor="background1"/>
    </w:rPr>
    <w:tblPr>
      <w:tblStyleRowBandSize w:val="1"/>
      <w:tblStyleColBandSize w:val="1"/>
      <w:tblBorders>
        <w:top w:val="single" w:sz="24" w:space="0" w:color="125A40" w:themeColor="accent2"/>
        <w:left w:val="single" w:sz="24" w:space="0" w:color="125A40" w:themeColor="accent2"/>
        <w:bottom w:val="single" w:sz="24" w:space="0" w:color="125A40" w:themeColor="accent2"/>
        <w:right w:val="single" w:sz="24" w:space="0" w:color="125A40" w:themeColor="accent2"/>
      </w:tblBorders>
    </w:tblPr>
    <w:tcPr>
      <w:shd w:val="clear" w:color="auto" w:fill="125A4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0D86"/>
    <w:pPr>
      <w:spacing w:line="240" w:lineRule="auto"/>
    </w:pPr>
    <w:rPr>
      <w:color w:val="FFFFFF" w:themeColor="background1"/>
    </w:rPr>
    <w:tblPr>
      <w:tblStyleRowBandSize w:val="1"/>
      <w:tblStyleColBandSize w:val="1"/>
      <w:tblBorders>
        <w:top w:val="single" w:sz="24" w:space="0" w:color="ADD095" w:themeColor="accent3"/>
        <w:left w:val="single" w:sz="24" w:space="0" w:color="ADD095" w:themeColor="accent3"/>
        <w:bottom w:val="single" w:sz="24" w:space="0" w:color="ADD095" w:themeColor="accent3"/>
        <w:right w:val="single" w:sz="24" w:space="0" w:color="ADD095" w:themeColor="accent3"/>
      </w:tblBorders>
    </w:tblPr>
    <w:tcPr>
      <w:shd w:val="clear" w:color="auto" w:fill="ADD09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0D86"/>
    <w:pPr>
      <w:spacing w:line="240" w:lineRule="auto"/>
    </w:pPr>
    <w:rPr>
      <w:color w:val="FFFFFF" w:themeColor="background1"/>
    </w:rPr>
    <w:tblPr>
      <w:tblStyleRowBandSize w:val="1"/>
      <w:tblStyleColBandSize w:val="1"/>
      <w:tblBorders>
        <w:top w:val="single" w:sz="24" w:space="0" w:color="62294B" w:themeColor="accent4"/>
        <w:left w:val="single" w:sz="24" w:space="0" w:color="62294B" w:themeColor="accent4"/>
        <w:bottom w:val="single" w:sz="24" w:space="0" w:color="62294B" w:themeColor="accent4"/>
        <w:right w:val="single" w:sz="24" w:space="0" w:color="62294B" w:themeColor="accent4"/>
      </w:tblBorders>
    </w:tblPr>
    <w:tcPr>
      <w:shd w:val="clear" w:color="auto" w:fill="62294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0D86"/>
    <w:pPr>
      <w:spacing w:line="240" w:lineRule="auto"/>
    </w:pPr>
    <w:rPr>
      <w:color w:val="FFFFFF" w:themeColor="background1"/>
    </w:rPr>
    <w:tblPr>
      <w:tblStyleRowBandSize w:val="1"/>
      <w:tblStyleColBandSize w:val="1"/>
      <w:tblBorders>
        <w:top w:val="single" w:sz="24" w:space="0" w:color="FF8855" w:themeColor="accent5"/>
        <w:left w:val="single" w:sz="24" w:space="0" w:color="FF8855" w:themeColor="accent5"/>
        <w:bottom w:val="single" w:sz="24" w:space="0" w:color="FF8855" w:themeColor="accent5"/>
        <w:right w:val="single" w:sz="24" w:space="0" w:color="FF8855" w:themeColor="accent5"/>
      </w:tblBorders>
    </w:tblPr>
    <w:tcPr>
      <w:shd w:val="clear" w:color="auto" w:fill="FF885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0D86"/>
    <w:pPr>
      <w:spacing w:line="240" w:lineRule="auto"/>
    </w:pPr>
    <w:rPr>
      <w:color w:val="FFFFFF" w:themeColor="background1"/>
    </w:rPr>
    <w:tblPr>
      <w:tblStyleRowBandSize w:val="1"/>
      <w:tblStyleColBandSize w:val="1"/>
      <w:tblBorders>
        <w:top w:val="single" w:sz="24" w:space="0" w:color="E3E1D8" w:themeColor="accent6"/>
        <w:left w:val="single" w:sz="24" w:space="0" w:color="E3E1D8" w:themeColor="accent6"/>
        <w:bottom w:val="single" w:sz="24" w:space="0" w:color="E3E1D8" w:themeColor="accent6"/>
        <w:right w:val="single" w:sz="24" w:space="0" w:color="E3E1D8" w:themeColor="accent6"/>
      </w:tblBorders>
    </w:tblPr>
    <w:tcPr>
      <w:shd w:val="clear" w:color="auto" w:fill="E3E1D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0D8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0D86"/>
    <w:pPr>
      <w:spacing w:line="240" w:lineRule="auto"/>
    </w:pPr>
    <w:rPr>
      <w:color w:val="032552" w:themeColor="accent1" w:themeShade="BF"/>
    </w:rPr>
    <w:tblPr>
      <w:tblStyleRowBandSize w:val="1"/>
      <w:tblStyleColBandSize w:val="1"/>
      <w:tblBorders>
        <w:top w:val="single" w:sz="4" w:space="0" w:color="05326E" w:themeColor="accent1"/>
        <w:bottom w:val="single" w:sz="4" w:space="0" w:color="05326E" w:themeColor="accent1"/>
      </w:tblBorders>
    </w:tblPr>
    <w:tblStylePr w:type="firstRow">
      <w:rPr>
        <w:b/>
        <w:bCs/>
      </w:rPr>
      <w:tblPr/>
      <w:tcPr>
        <w:tcBorders>
          <w:bottom w:val="single" w:sz="4" w:space="0" w:color="05326E" w:themeColor="accent1"/>
        </w:tcBorders>
      </w:tcPr>
    </w:tblStylePr>
    <w:tblStylePr w:type="lastRow">
      <w:rPr>
        <w:b/>
        <w:bCs/>
      </w:rPr>
      <w:tblPr/>
      <w:tcPr>
        <w:tcBorders>
          <w:top w:val="double" w:sz="4" w:space="0" w:color="05326E" w:themeColor="accent1"/>
        </w:tcBorders>
      </w:tcPr>
    </w:tblStylePr>
    <w:tblStylePr w:type="firstCol">
      <w:rPr>
        <w:b/>
        <w:bCs/>
      </w:rPr>
    </w:tblStylePr>
    <w:tblStylePr w:type="lastCol">
      <w:rPr>
        <w:b/>
        <w:bCs/>
      </w:rPr>
    </w:tblStylePr>
    <w:tblStylePr w:type="band1Vert">
      <w:tblPr/>
      <w:tcPr>
        <w:shd w:val="clear" w:color="auto" w:fill="B3D2FB" w:themeFill="accent1" w:themeFillTint="33"/>
      </w:tcPr>
    </w:tblStylePr>
    <w:tblStylePr w:type="band1Horz">
      <w:tblPr/>
      <w:tcPr>
        <w:shd w:val="clear" w:color="auto" w:fill="B3D2FB" w:themeFill="accent1" w:themeFillTint="33"/>
      </w:tcPr>
    </w:tblStylePr>
  </w:style>
  <w:style w:type="table" w:styleId="ListTable6Colorful-Accent2">
    <w:name w:val="List Table 6 Colorful Accent 2"/>
    <w:basedOn w:val="TableNormal"/>
    <w:uiPriority w:val="51"/>
    <w:rsid w:val="00920D86"/>
    <w:pPr>
      <w:spacing w:line="240" w:lineRule="auto"/>
    </w:pPr>
    <w:rPr>
      <w:color w:val="0D432F" w:themeColor="accent2" w:themeShade="BF"/>
    </w:rPr>
    <w:tblPr>
      <w:tblStyleRowBandSize w:val="1"/>
      <w:tblStyleColBandSize w:val="1"/>
      <w:tblBorders>
        <w:top w:val="single" w:sz="4" w:space="0" w:color="125A40" w:themeColor="accent2"/>
        <w:bottom w:val="single" w:sz="4" w:space="0" w:color="125A40" w:themeColor="accent2"/>
      </w:tblBorders>
    </w:tblPr>
    <w:tblStylePr w:type="firstRow">
      <w:rPr>
        <w:b/>
        <w:bCs/>
      </w:rPr>
      <w:tblPr/>
      <w:tcPr>
        <w:tcBorders>
          <w:bottom w:val="single" w:sz="4" w:space="0" w:color="125A40" w:themeColor="accent2"/>
        </w:tcBorders>
      </w:tcPr>
    </w:tblStylePr>
    <w:tblStylePr w:type="lastRow">
      <w:rPr>
        <w:b/>
        <w:bCs/>
      </w:rPr>
      <w:tblPr/>
      <w:tcPr>
        <w:tcBorders>
          <w:top w:val="double" w:sz="4" w:space="0" w:color="125A40" w:themeColor="accent2"/>
        </w:tcBorders>
      </w:tcPr>
    </w:tblStylePr>
    <w:tblStylePr w:type="firstCol">
      <w:rPr>
        <w:b/>
        <w:bCs/>
      </w:rPr>
    </w:tblStylePr>
    <w:tblStylePr w:type="lastCol">
      <w:rPr>
        <w:b/>
        <w:bCs/>
      </w:rPr>
    </w:tblStylePr>
    <w:tblStylePr w:type="band1Vert">
      <w:tblPr/>
      <w:tcPr>
        <w:shd w:val="clear" w:color="auto" w:fill="BBF1DD" w:themeFill="accent2" w:themeFillTint="33"/>
      </w:tcPr>
    </w:tblStylePr>
    <w:tblStylePr w:type="band1Horz">
      <w:tblPr/>
      <w:tcPr>
        <w:shd w:val="clear" w:color="auto" w:fill="BBF1DD" w:themeFill="accent2" w:themeFillTint="33"/>
      </w:tcPr>
    </w:tblStylePr>
  </w:style>
  <w:style w:type="table" w:styleId="ListTable6Colorful-Accent3">
    <w:name w:val="List Table 6 Colorful Accent 3"/>
    <w:basedOn w:val="TableNormal"/>
    <w:uiPriority w:val="51"/>
    <w:rsid w:val="00920D86"/>
    <w:pPr>
      <w:spacing w:line="240" w:lineRule="auto"/>
    </w:pPr>
    <w:rPr>
      <w:color w:val="7CB456" w:themeColor="accent3" w:themeShade="BF"/>
    </w:rPr>
    <w:tblPr>
      <w:tblStyleRowBandSize w:val="1"/>
      <w:tblStyleColBandSize w:val="1"/>
      <w:tblBorders>
        <w:top w:val="single" w:sz="4" w:space="0" w:color="ADD095" w:themeColor="accent3"/>
        <w:bottom w:val="single" w:sz="4" w:space="0" w:color="ADD095" w:themeColor="accent3"/>
      </w:tblBorders>
    </w:tblPr>
    <w:tblStylePr w:type="firstRow">
      <w:rPr>
        <w:b/>
        <w:bCs/>
      </w:rPr>
      <w:tblPr/>
      <w:tcPr>
        <w:tcBorders>
          <w:bottom w:val="single" w:sz="4" w:space="0" w:color="ADD095" w:themeColor="accent3"/>
        </w:tcBorders>
      </w:tcPr>
    </w:tblStylePr>
    <w:tblStylePr w:type="lastRow">
      <w:rPr>
        <w:b/>
        <w:bCs/>
      </w:rPr>
      <w:tblPr/>
      <w:tcPr>
        <w:tcBorders>
          <w:top w:val="double" w:sz="4" w:space="0" w:color="ADD095" w:themeColor="accent3"/>
        </w:tcBorders>
      </w:tcPr>
    </w:tblStylePr>
    <w:tblStylePr w:type="firstCol">
      <w:rPr>
        <w:b/>
        <w:bCs/>
      </w:rPr>
    </w:tblStylePr>
    <w:tblStylePr w:type="lastCol">
      <w:rPr>
        <w:b/>
        <w:bCs/>
      </w:rPr>
    </w:tblStylePr>
    <w:tblStylePr w:type="band1Vert">
      <w:tblPr/>
      <w:tcPr>
        <w:shd w:val="clear" w:color="auto" w:fill="EEF5E9" w:themeFill="accent3" w:themeFillTint="33"/>
      </w:tcPr>
    </w:tblStylePr>
    <w:tblStylePr w:type="band1Horz">
      <w:tblPr/>
      <w:tcPr>
        <w:shd w:val="clear" w:color="auto" w:fill="EEF5E9" w:themeFill="accent3" w:themeFillTint="33"/>
      </w:tcPr>
    </w:tblStylePr>
  </w:style>
  <w:style w:type="table" w:styleId="ListTable6Colorful-Accent4">
    <w:name w:val="List Table 6 Colorful Accent 4"/>
    <w:basedOn w:val="TableNormal"/>
    <w:uiPriority w:val="51"/>
    <w:rsid w:val="00920D86"/>
    <w:pPr>
      <w:spacing w:line="240" w:lineRule="auto"/>
    </w:pPr>
    <w:rPr>
      <w:color w:val="491E38" w:themeColor="accent4" w:themeShade="BF"/>
    </w:rPr>
    <w:tblPr>
      <w:tblStyleRowBandSize w:val="1"/>
      <w:tblStyleColBandSize w:val="1"/>
      <w:tblBorders>
        <w:top w:val="single" w:sz="4" w:space="0" w:color="62294B" w:themeColor="accent4"/>
        <w:bottom w:val="single" w:sz="4" w:space="0" w:color="62294B" w:themeColor="accent4"/>
      </w:tblBorders>
    </w:tblPr>
    <w:tblStylePr w:type="firstRow">
      <w:rPr>
        <w:b/>
        <w:bCs/>
      </w:rPr>
      <w:tblPr/>
      <w:tcPr>
        <w:tcBorders>
          <w:bottom w:val="single" w:sz="4" w:space="0" w:color="62294B" w:themeColor="accent4"/>
        </w:tcBorders>
      </w:tcPr>
    </w:tblStylePr>
    <w:tblStylePr w:type="lastRow">
      <w:rPr>
        <w:b/>
        <w:bCs/>
      </w:rPr>
      <w:tblPr/>
      <w:tcPr>
        <w:tcBorders>
          <w:top w:val="double" w:sz="4" w:space="0" w:color="62294B" w:themeColor="accent4"/>
        </w:tcBorders>
      </w:tcPr>
    </w:tblStylePr>
    <w:tblStylePr w:type="firstCol">
      <w:rPr>
        <w:b/>
        <w:bCs/>
      </w:rPr>
    </w:tblStylePr>
    <w:tblStylePr w:type="lastCol">
      <w:rPr>
        <w:b/>
        <w:bCs/>
      </w:rPr>
    </w:tblStylePr>
    <w:tblStylePr w:type="band1Vert">
      <w:tblPr/>
      <w:tcPr>
        <w:shd w:val="clear" w:color="auto" w:fill="E9CADC" w:themeFill="accent4" w:themeFillTint="33"/>
      </w:tcPr>
    </w:tblStylePr>
    <w:tblStylePr w:type="band1Horz">
      <w:tblPr/>
      <w:tcPr>
        <w:shd w:val="clear" w:color="auto" w:fill="E9CADC" w:themeFill="accent4" w:themeFillTint="33"/>
      </w:tcPr>
    </w:tblStylePr>
  </w:style>
  <w:style w:type="table" w:styleId="ListTable6Colorful-Accent5">
    <w:name w:val="List Table 6 Colorful Accent 5"/>
    <w:basedOn w:val="TableNormal"/>
    <w:uiPriority w:val="51"/>
    <w:rsid w:val="00920D86"/>
    <w:pPr>
      <w:spacing w:line="240" w:lineRule="auto"/>
    </w:pPr>
    <w:rPr>
      <w:color w:val="FE4B00" w:themeColor="accent5" w:themeShade="BF"/>
    </w:rPr>
    <w:tblPr>
      <w:tblStyleRowBandSize w:val="1"/>
      <w:tblStyleColBandSize w:val="1"/>
      <w:tblBorders>
        <w:top w:val="single" w:sz="4" w:space="0" w:color="FF8855" w:themeColor="accent5"/>
        <w:bottom w:val="single" w:sz="4" w:space="0" w:color="FF8855" w:themeColor="accent5"/>
      </w:tblBorders>
    </w:tblPr>
    <w:tblStylePr w:type="firstRow">
      <w:rPr>
        <w:b/>
        <w:bCs/>
      </w:rPr>
      <w:tblPr/>
      <w:tcPr>
        <w:tcBorders>
          <w:bottom w:val="single" w:sz="4" w:space="0" w:color="FF8855" w:themeColor="accent5"/>
        </w:tcBorders>
      </w:tcPr>
    </w:tblStylePr>
    <w:tblStylePr w:type="lastRow">
      <w:rPr>
        <w:b/>
        <w:bCs/>
      </w:rPr>
      <w:tblPr/>
      <w:tcPr>
        <w:tcBorders>
          <w:top w:val="double" w:sz="4" w:space="0" w:color="FF8855" w:themeColor="accent5"/>
        </w:tcBorders>
      </w:tcPr>
    </w:tblStylePr>
    <w:tblStylePr w:type="firstCol">
      <w:rPr>
        <w:b/>
        <w:bCs/>
      </w:rPr>
    </w:tblStylePr>
    <w:tblStylePr w:type="lastCol">
      <w:rPr>
        <w:b/>
        <w:bCs/>
      </w:rPr>
    </w:tblStylePr>
    <w:tblStylePr w:type="band1Vert">
      <w:tblPr/>
      <w:tcPr>
        <w:shd w:val="clear" w:color="auto" w:fill="FFE7DD" w:themeFill="accent5" w:themeFillTint="33"/>
      </w:tcPr>
    </w:tblStylePr>
    <w:tblStylePr w:type="band1Horz">
      <w:tblPr/>
      <w:tcPr>
        <w:shd w:val="clear" w:color="auto" w:fill="FFE7DD" w:themeFill="accent5" w:themeFillTint="33"/>
      </w:tcPr>
    </w:tblStylePr>
  </w:style>
  <w:style w:type="table" w:styleId="ListTable6Colorful-Accent6">
    <w:name w:val="List Table 6 Colorful Accent 6"/>
    <w:basedOn w:val="TableNormal"/>
    <w:uiPriority w:val="51"/>
    <w:rsid w:val="00920D86"/>
    <w:pPr>
      <w:spacing w:line="240" w:lineRule="auto"/>
    </w:pPr>
    <w:rPr>
      <w:color w:val="B4AF97" w:themeColor="accent6" w:themeShade="BF"/>
    </w:rPr>
    <w:tblPr>
      <w:tblStyleRowBandSize w:val="1"/>
      <w:tblStyleColBandSize w:val="1"/>
      <w:tblBorders>
        <w:top w:val="single" w:sz="4" w:space="0" w:color="E3E1D8" w:themeColor="accent6"/>
        <w:bottom w:val="single" w:sz="4" w:space="0" w:color="E3E1D8" w:themeColor="accent6"/>
      </w:tblBorders>
    </w:tblPr>
    <w:tblStylePr w:type="firstRow">
      <w:rPr>
        <w:b/>
        <w:bCs/>
      </w:rPr>
      <w:tblPr/>
      <w:tcPr>
        <w:tcBorders>
          <w:bottom w:val="single" w:sz="4" w:space="0" w:color="E3E1D8" w:themeColor="accent6"/>
        </w:tcBorders>
      </w:tcPr>
    </w:tblStylePr>
    <w:tblStylePr w:type="lastRow">
      <w:rPr>
        <w:b/>
        <w:bCs/>
      </w:rPr>
      <w:tblPr/>
      <w:tcPr>
        <w:tcBorders>
          <w:top w:val="double" w:sz="4" w:space="0" w:color="E3E1D8" w:themeColor="accent6"/>
        </w:tcBorders>
      </w:tcPr>
    </w:tblStylePr>
    <w:tblStylePr w:type="firstCol">
      <w:rPr>
        <w:b/>
        <w:bCs/>
      </w:rPr>
    </w:tblStylePr>
    <w:tblStylePr w:type="lastCol">
      <w:rPr>
        <w:b/>
        <w:bCs/>
      </w:rPr>
    </w:tblStylePr>
    <w:tblStylePr w:type="band1Vert">
      <w:tblPr/>
      <w:tcPr>
        <w:shd w:val="clear" w:color="auto" w:fill="F9F8F7" w:themeFill="accent6" w:themeFillTint="33"/>
      </w:tcPr>
    </w:tblStylePr>
    <w:tblStylePr w:type="band1Horz">
      <w:tblPr/>
      <w:tcPr>
        <w:shd w:val="clear" w:color="auto" w:fill="F9F8F7" w:themeFill="accent6" w:themeFillTint="33"/>
      </w:tcPr>
    </w:tblStylePr>
  </w:style>
  <w:style w:type="table" w:styleId="ListTable7Colorful">
    <w:name w:val="List Table 7 Colorful"/>
    <w:basedOn w:val="TableNormal"/>
    <w:uiPriority w:val="52"/>
    <w:rsid w:val="00920D8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0D86"/>
    <w:pPr>
      <w:spacing w:line="240" w:lineRule="auto"/>
    </w:pPr>
    <w:rPr>
      <w:color w:val="032552"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326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326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326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326E" w:themeColor="accent1"/>
        </w:tcBorders>
        <w:shd w:val="clear" w:color="auto" w:fill="FFFFFF" w:themeFill="background1"/>
      </w:tcPr>
    </w:tblStylePr>
    <w:tblStylePr w:type="band1Vert">
      <w:tblPr/>
      <w:tcPr>
        <w:shd w:val="clear" w:color="auto" w:fill="B3D2FB" w:themeFill="accent1" w:themeFillTint="33"/>
      </w:tcPr>
    </w:tblStylePr>
    <w:tblStylePr w:type="band1Horz">
      <w:tblPr/>
      <w:tcPr>
        <w:shd w:val="clear" w:color="auto" w:fill="B3D2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0D86"/>
    <w:pPr>
      <w:spacing w:line="240" w:lineRule="auto"/>
    </w:pPr>
    <w:rPr>
      <w:color w:val="0D432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25A4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25A4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25A4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25A40" w:themeColor="accent2"/>
        </w:tcBorders>
        <w:shd w:val="clear" w:color="auto" w:fill="FFFFFF" w:themeFill="background1"/>
      </w:tcPr>
    </w:tblStylePr>
    <w:tblStylePr w:type="band1Vert">
      <w:tblPr/>
      <w:tcPr>
        <w:shd w:val="clear" w:color="auto" w:fill="BBF1DD" w:themeFill="accent2" w:themeFillTint="33"/>
      </w:tcPr>
    </w:tblStylePr>
    <w:tblStylePr w:type="band1Horz">
      <w:tblPr/>
      <w:tcPr>
        <w:shd w:val="clear" w:color="auto" w:fill="BBF1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0D86"/>
    <w:pPr>
      <w:spacing w:line="240" w:lineRule="auto"/>
    </w:pPr>
    <w:rPr>
      <w:color w:val="7CB45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09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09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09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095" w:themeColor="accent3"/>
        </w:tcBorders>
        <w:shd w:val="clear" w:color="auto" w:fill="FFFFFF" w:themeFill="background1"/>
      </w:tcPr>
    </w:tblStylePr>
    <w:tblStylePr w:type="band1Vert">
      <w:tblPr/>
      <w:tcPr>
        <w:shd w:val="clear" w:color="auto" w:fill="EEF5E9" w:themeFill="accent3" w:themeFillTint="33"/>
      </w:tcPr>
    </w:tblStylePr>
    <w:tblStylePr w:type="band1Horz">
      <w:tblPr/>
      <w:tcPr>
        <w:shd w:val="clear" w:color="auto" w:fill="EEF5E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0D86"/>
    <w:pPr>
      <w:spacing w:line="240" w:lineRule="auto"/>
    </w:pPr>
    <w:rPr>
      <w:color w:val="491E3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294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294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294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294B" w:themeColor="accent4"/>
        </w:tcBorders>
        <w:shd w:val="clear" w:color="auto" w:fill="FFFFFF" w:themeFill="background1"/>
      </w:tcPr>
    </w:tblStylePr>
    <w:tblStylePr w:type="band1Vert">
      <w:tblPr/>
      <w:tcPr>
        <w:shd w:val="clear" w:color="auto" w:fill="E9CADC" w:themeFill="accent4" w:themeFillTint="33"/>
      </w:tcPr>
    </w:tblStylePr>
    <w:tblStylePr w:type="band1Horz">
      <w:tblPr/>
      <w:tcPr>
        <w:shd w:val="clear" w:color="auto" w:fill="E9CAD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0D86"/>
    <w:pPr>
      <w:spacing w:line="240" w:lineRule="auto"/>
    </w:pPr>
    <w:rPr>
      <w:color w:val="FE4B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85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85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85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855" w:themeColor="accent5"/>
        </w:tcBorders>
        <w:shd w:val="clear" w:color="auto" w:fill="FFFFFF" w:themeFill="background1"/>
      </w:tcPr>
    </w:tblStylePr>
    <w:tblStylePr w:type="band1Vert">
      <w:tblPr/>
      <w:tcPr>
        <w:shd w:val="clear" w:color="auto" w:fill="FFE7DD" w:themeFill="accent5" w:themeFillTint="33"/>
      </w:tcPr>
    </w:tblStylePr>
    <w:tblStylePr w:type="band1Horz">
      <w:tblPr/>
      <w:tcPr>
        <w:shd w:val="clear" w:color="auto" w:fill="FFE7D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0D86"/>
    <w:pPr>
      <w:spacing w:line="240" w:lineRule="auto"/>
    </w:pPr>
    <w:rPr>
      <w:color w:val="B4AF9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3E1D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3E1D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3E1D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3E1D8" w:themeColor="accent6"/>
        </w:tcBorders>
        <w:shd w:val="clear" w:color="auto" w:fill="FFFFFF" w:themeFill="background1"/>
      </w:tcPr>
    </w:tblStylePr>
    <w:tblStylePr w:type="band1Vert">
      <w:tblPr/>
      <w:tcPr>
        <w:shd w:val="clear" w:color="auto" w:fill="F9F8F7" w:themeFill="accent6" w:themeFillTint="33"/>
      </w:tcPr>
    </w:tblStylePr>
    <w:tblStylePr w:type="band1Horz">
      <w:tblPr/>
      <w:tcPr>
        <w:shd w:val="clear" w:color="auto" w:fill="F9F8F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rsid w:val="00920D86"/>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rsid w:val="00920D86"/>
    <w:rPr>
      <w:rFonts w:ascii="Consolas" w:hAnsi="Consolas"/>
      <w:sz w:val="20"/>
      <w:szCs w:val="20"/>
      <w:lang w:val="en-US"/>
    </w:rPr>
  </w:style>
  <w:style w:type="table" w:styleId="MediumGrid1">
    <w:name w:val="Medium Grid 1"/>
    <w:basedOn w:val="TableNormal"/>
    <w:uiPriority w:val="67"/>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insideV w:val="single" w:sz="8" w:space="0" w:color="095CCC" w:themeColor="accent1" w:themeTint="BF"/>
      </w:tblBorders>
    </w:tblPr>
    <w:tcPr>
      <w:shd w:val="clear" w:color="auto" w:fill="A1C7FA" w:themeFill="accent1" w:themeFillTint="3F"/>
    </w:tcPr>
    <w:tblStylePr w:type="firstRow">
      <w:rPr>
        <w:b/>
        <w:bCs/>
      </w:rPr>
    </w:tblStylePr>
    <w:tblStylePr w:type="lastRow">
      <w:rPr>
        <w:b/>
        <w:bCs/>
      </w:rPr>
      <w:tblPr/>
      <w:tcPr>
        <w:tcBorders>
          <w:top w:val="single" w:sz="18" w:space="0" w:color="095CCC" w:themeColor="accent1" w:themeTint="BF"/>
        </w:tcBorders>
      </w:tcPr>
    </w:tblStylePr>
    <w:tblStylePr w:type="firstCol">
      <w:rPr>
        <w:b/>
        <w:bCs/>
      </w:rPr>
    </w:tblStylePr>
    <w:tblStylePr w:type="lastCol">
      <w:rPr>
        <w:b/>
        <w:bCs/>
      </w:rPr>
    </w:tblStylePr>
    <w:tblStylePr w:type="band1Vert">
      <w:tblPr/>
      <w:tcPr>
        <w:shd w:val="clear" w:color="auto" w:fill="428FF6" w:themeFill="accent1" w:themeFillTint="7F"/>
      </w:tcPr>
    </w:tblStylePr>
    <w:tblStylePr w:type="band1Horz">
      <w:tblPr/>
      <w:tcPr>
        <w:shd w:val="clear" w:color="auto" w:fill="428FF6" w:themeFill="accent1" w:themeFillTint="7F"/>
      </w:tcPr>
    </w:tblStylePr>
  </w:style>
  <w:style w:type="table" w:styleId="MediumGrid1-Accent2">
    <w:name w:val="Medium Grid 1 Accent 2"/>
    <w:basedOn w:val="TableNormal"/>
    <w:uiPriority w:val="67"/>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insideV w:val="single" w:sz="8" w:space="0" w:color="22AD7B" w:themeColor="accent2" w:themeTint="BF"/>
      </w:tblBorders>
    </w:tblPr>
    <w:tcPr>
      <w:shd w:val="clear" w:color="auto" w:fill="ACEED6" w:themeFill="accent2" w:themeFillTint="3F"/>
    </w:tcPr>
    <w:tblStylePr w:type="firstRow">
      <w:rPr>
        <w:b/>
        <w:bCs/>
      </w:rPr>
    </w:tblStylePr>
    <w:tblStylePr w:type="lastRow">
      <w:rPr>
        <w:b/>
        <w:bCs/>
      </w:rPr>
      <w:tblPr/>
      <w:tcPr>
        <w:tcBorders>
          <w:top w:val="single" w:sz="18" w:space="0" w:color="22AD7B" w:themeColor="accent2" w:themeTint="BF"/>
        </w:tcBorders>
      </w:tcPr>
    </w:tblStylePr>
    <w:tblStylePr w:type="firstCol">
      <w:rPr>
        <w:b/>
        <w:bCs/>
      </w:rPr>
    </w:tblStylePr>
    <w:tblStylePr w:type="lastCol">
      <w:rPr>
        <w:b/>
        <w:bCs/>
      </w:rPr>
    </w:tblStylePr>
    <w:tblStylePr w:type="band1Vert">
      <w:tblPr/>
      <w:tcPr>
        <w:shd w:val="clear" w:color="auto" w:fill="58DDAC" w:themeFill="accent2" w:themeFillTint="7F"/>
      </w:tcPr>
    </w:tblStylePr>
    <w:tblStylePr w:type="band1Horz">
      <w:tblPr/>
      <w:tcPr>
        <w:shd w:val="clear" w:color="auto" w:fill="58DDAC" w:themeFill="accent2" w:themeFillTint="7F"/>
      </w:tcPr>
    </w:tblStylePr>
  </w:style>
  <w:style w:type="table" w:styleId="MediumGrid1-Accent3">
    <w:name w:val="Medium Grid 1 Accent 3"/>
    <w:basedOn w:val="TableNormal"/>
    <w:uiPriority w:val="67"/>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insideV w:val="single" w:sz="8" w:space="0" w:color="C1DBAF" w:themeColor="accent3" w:themeTint="BF"/>
      </w:tblBorders>
    </w:tblPr>
    <w:tcPr>
      <w:shd w:val="clear" w:color="auto" w:fill="EAF3E4" w:themeFill="accent3" w:themeFillTint="3F"/>
    </w:tcPr>
    <w:tblStylePr w:type="firstRow">
      <w:rPr>
        <w:b/>
        <w:bCs/>
      </w:rPr>
    </w:tblStylePr>
    <w:tblStylePr w:type="lastRow">
      <w:rPr>
        <w:b/>
        <w:bCs/>
      </w:rPr>
      <w:tblPr/>
      <w:tcPr>
        <w:tcBorders>
          <w:top w:val="single" w:sz="18" w:space="0" w:color="C1DBAF" w:themeColor="accent3" w:themeTint="BF"/>
        </w:tcBorders>
      </w:tcPr>
    </w:tblStylePr>
    <w:tblStylePr w:type="firstCol">
      <w:rPr>
        <w:b/>
        <w:bCs/>
      </w:rPr>
    </w:tblStylePr>
    <w:tblStylePr w:type="lastCol">
      <w:rPr>
        <w:b/>
        <w:bCs/>
      </w:rPr>
    </w:tblStylePr>
    <w:tblStylePr w:type="band1Vert">
      <w:tblPr/>
      <w:tcPr>
        <w:shd w:val="clear" w:color="auto" w:fill="D5E7CA" w:themeFill="accent3" w:themeFillTint="7F"/>
      </w:tcPr>
    </w:tblStylePr>
    <w:tblStylePr w:type="band1Horz">
      <w:tblPr/>
      <w:tcPr>
        <w:shd w:val="clear" w:color="auto" w:fill="D5E7CA" w:themeFill="accent3" w:themeFillTint="7F"/>
      </w:tcPr>
    </w:tblStylePr>
  </w:style>
  <w:style w:type="table" w:styleId="MediumGrid1-Accent4">
    <w:name w:val="Medium Grid 1 Accent 4"/>
    <w:basedOn w:val="TableNormal"/>
    <w:uiPriority w:val="67"/>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insideV w:val="single" w:sz="8" w:space="0" w:color="A3447D" w:themeColor="accent4" w:themeTint="BF"/>
      </w:tblBorders>
    </w:tblPr>
    <w:tcPr>
      <w:shd w:val="clear" w:color="auto" w:fill="E4BED4" w:themeFill="accent4" w:themeFillTint="3F"/>
    </w:tcPr>
    <w:tblStylePr w:type="firstRow">
      <w:rPr>
        <w:b/>
        <w:bCs/>
      </w:rPr>
    </w:tblStylePr>
    <w:tblStylePr w:type="lastRow">
      <w:rPr>
        <w:b/>
        <w:bCs/>
      </w:rPr>
      <w:tblPr/>
      <w:tcPr>
        <w:tcBorders>
          <w:top w:val="single" w:sz="18" w:space="0" w:color="A3447D" w:themeColor="accent4" w:themeTint="BF"/>
        </w:tcBorders>
      </w:tcPr>
    </w:tblStylePr>
    <w:tblStylePr w:type="firstCol">
      <w:rPr>
        <w:b/>
        <w:bCs/>
      </w:rPr>
    </w:tblStylePr>
    <w:tblStylePr w:type="lastCol">
      <w:rPr>
        <w:b/>
        <w:bCs/>
      </w:rPr>
    </w:tblStylePr>
    <w:tblStylePr w:type="band1Vert">
      <w:tblPr/>
      <w:tcPr>
        <w:shd w:val="clear" w:color="auto" w:fill="C87CA9" w:themeFill="accent4" w:themeFillTint="7F"/>
      </w:tcPr>
    </w:tblStylePr>
    <w:tblStylePr w:type="band1Horz">
      <w:tblPr/>
      <w:tcPr>
        <w:shd w:val="clear" w:color="auto" w:fill="C87CA9" w:themeFill="accent4" w:themeFillTint="7F"/>
      </w:tcPr>
    </w:tblStylePr>
  </w:style>
  <w:style w:type="table" w:styleId="MediumGrid1-Accent5">
    <w:name w:val="Medium Grid 1 Accent 5"/>
    <w:basedOn w:val="TableNormal"/>
    <w:uiPriority w:val="67"/>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insideV w:val="single" w:sz="8" w:space="0" w:color="FFA57F" w:themeColor="accent5" w:themeTint="BF"/>
      </w:tblBorders>
    </w:tblPr>
    <w:tcPr>
      <w:shd w:val="clear" w:color="auto" w:fill="FFE1D5" w:themeFill="accent5" w:themeFillTint="3F"/>
    </w:tcPr>
    <w:tblStylePr w:type="firstRow">
      <w:rPr>
        <w:b/>
        <w:bCs/>
      </w:rPr>
    </w:tblStylePr>
    <w:tblStylePr w:type="lastRow">
      <w:rPr>
        <w:b/>
        <w:bCs/>
      </w:rPr>
      <w:tblPr/>
      <w:tcPr>
        <w:tcBorders>
          <w:top w:val="single" w:sz="18" w:space="0" w:color="FFA57F" w:themeColor="accent5" w:themeTint="BF"/>
        </w:tcBorders>
      </w:tcPr>
    </w:tblStylePr>
    <w:tblStylePr w:type="firstCol">
      <w:rPr>
        <w:b/>
        <w:bCs/>
      </w:rPr>
    </w:tblStylePr>
    <w:tblStylePr w:type="lastCol">
      <w:rPr>
        <w:b/>
        <w:bCs/>
      </w:rPr>
    </w:tblStylePr>
    <w:tblStylePr w:type="band1Vert">
      <w:tblPr/>
      <w:tcPr>
        <w:shd w:val="clear" w:color="auto" w:fill="FFC3AA" w:themeFill="accent5" w:themeFillTint="7F"/>
      </w:tcPr>
    </w:tblStylePr>
    <w:tblStylePr w:type="band1Horz">
      <w:tblPr/>
      <w:tcPr>
        <w:shd w:val="clear" w:color="auto" w:fill="FFC3AA" w:themeFill="accent5" w:themeFillTint="7F"/>
      </w:tcPr>
    </w:tblStylePr>
  </w:style>
  <w:style w:type="table" w:styleId="MediumGrid1-Accent6">
    <w:name w:val="Medium Grid 1 Accent 6"/>
    <w:basedOn w:val="TableNormal"/>
    <w:uiPriority w:val="67"/>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insideV w:val="single" w:sz="8" w:space="0" w:color="EAE8E1" w:themeColor="accent6" w:themeTint="BF"/>
      </w:tblBorders>
    </w:tblPr>
    <w:tcPr>
      <w:shd w:val="clear" w:color="auto" w:fill="F8F7F5" w:themeFill="accent6" w:themeFillTint="3F"/>
    </w:tcPr>
    <w:tblStylePr w:type="firstRow">
      <w:rPr>
        <w:b/>
        <w:bCs/>
      </w:rPr>
    </w:tblStylePr>
    <w:tblStylePr w:type="lastRow">
      <w:rPr>
        <w:b/>
        <w:bCs/>
      </w:rPr>
      <w:tblPr/>
      <w:tcPr>
        <w:tcBorders>
          <w:top w:val="single" w:sz="18" w:space="0" w:color="EAE8E1" w:themeColor="accent6" w:themeTint="BF"/>
        </w:tcBorders>
      </w:tcPr>
    </w:tblStylePr>
    <w:tblStylePr w:type="firstCol">
      <w:rPr>
        <w:b/>
        <w:bCs/>
      </w:rPr>
    </w:tblStylePr>
    <w:tblStylePr w:type="lastCol">
      <w:rPr>
        <w:b/>
        <w:bCs/>
      </w:rPr>
    </w:tblStylePr>
    <w:tblStylePr w:type="band1Vert">
      <w:tblPr/>
      <w:tcPr>
        <w:shd w:val="clear" w:color="auto" w:fill="F1EFEB" w:themeFill="accent6" w:themeFillTint="7F"/>
      </w:tcPr>
    </w:tblStylePr>
    <w:tblStylePr w:type="band1Horz">
      <w:tblPr/>
      <w:tcPr>
        <w:shd w:val="clear" w:color="auto" w:fill="F1EFEB" w:themeFill="accent6" w:themeFillTint="7F"/>
      </w:tcPr>
    </w:tblStylePr>
  </w:style>
  <w:style w:type="table" w:styleId="MediumGrid2">
    <w:name w:val="Medium Grid 2"/>
    <w:basedOn w:val="TableNormal"/>
    <w:uiPriority w:val="68"/>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insideH w:val="single" w:sz="8" w:space="0" w:color="05326E" w:themeColor="accent1"/>
        <w:insideV w:val="single" w:sz="8" w:space="0" w:color="05326E" w:themeColor="accent1"/>
      </w:tblBorders>
    </w:tblPr>
    <w:tcPr>
      <w:shd w:val="clear" w:color="auto" w:fill="A1C7FA" w:themeFill="accent1" w:themeFillTint="3F"/>
    </w:tcPr>
    <w:tblStylePr w:type="firstRow">
      <w:rPr>
        <w:b/>
        <w:bCs/>
        <w:color w:val="000000" w:themeColor="text1"/>
      </w:rPr>
      <w:tblPr/>
      <w:tcPr>
        <w:shd w:val="clear" w:color="auto" w:fill="D9E8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D2FB" w:themeFill="accent1" w:themeFillTint="33"/>
      </w:tcPr>
    </w:tblStylePr>
    <w:tblStylePr w:type="band1Vert">
      <w:tblPr/>
      <w:tcPr>
        <w:shd w:val="clear" w:color="auto" w:fill="428FF6" w:themeFill="accent1" w:themeFillTint="7F"/>
      </w:tcPr>
    </w:tblStylePr>
    <w:tblStylePr w:type="band1Horz">
      <w:tblPr/>
      <w:tcPr>
        <w:tcBorders>
          <w:insideH w:val="single" w:sz="6" w:space="0" w:color="05326E" w:themeColor="accent1"/>
          <w:insideV w:val="single" w:sz="6" w:space="0" w:color="05326E" w:themeColor="accent1"/>
        </w:tcBorders>
        <w:shd w:val="clear" w:color="auto" w:fill="428FF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insideH w:val="single" w:sz="8" w:space="0" w:color="125A40" w:themeColor="accent2"/>
        <w:insideV w:val="single" w:sz="8" w:space="0" w:color="125A40" w:themeColor="accent2"/>
      </w:tblBorders>
    </w:tblPr>
    <w:tcPr>
      <w:shd w:val="clear" w:color="auto" w:fill="ACEED6" w:themeFill="accent2" w:themeFillTint="3F"/>
    </w:tcPr>
    <w:tblStylePr w:type="firstRow">
      <w:rPr>
        <w:b/>
        <w:bCs/>
        <w:color w:val="000000" w:themeColor="text1"/>
      </w:rPr>
      <w:tblPr/>
      <w:tcPr>
        <w:shd w:val="clear" w:color="auto" w:fill="DDF8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F1DD" w:themeFill="accent2" w:themeFillTint="33"/>
      </w:tcPr>
    </w:tblStylePr>
    <w:tblStylePr w:type="band1Vert">
      <w:tblPr/>
      <w:tcPr>
        <w:shd w:val="clear" w:color="auto" w:fill="58DDAC" w:themeFill="accent2" w:themeFillTint="7F"/>
      </w:tcPr>
    </w:tblStylePr>
    <w:tblStylePr w:type="band1Horz">
      <w:tblPr/>
      <w:tcPr>
        <w:tcBorders>
          <w:insideH w:val="single" w:sz="6" w:space="0" w:color="125A40" w:themeColor="accent2"/>
          <w:insideV w:val="single" w:sz="6" w:space="0" w:color="125A40" w:themeColor="accent2"/>
        </w:tcBorders>
        <w:shd w:val="clear" w:color="auto" w:fill="58DD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insideH w:val="single" w:sz="8" w:space="0" w:color="ADD095" w:themeColor="accent3"/>
        <w:insideV w:val="single" w:sz="8" w:space="0" w:color="ADD095" w:themeColor="accent3"/>
      </w:tblBorders>
    </w:tblPr>
    <w:tcPr>
      <w:shd w:val="clear" w:color="auto" w:fill="EAF3E4" w:themeFill="accent3" w:themeFillTint="3F"/>
    </w:tcPr>
    <w:tblStylePr w:type="firstRow">
      <w:rPr>
        <w:b/>
        <w:bCs/>
        <w:color w:val="000000" w:themeColor="text1"/>
      </w:rPr>
      <w:tblPr/>
      <w:tcPr>
        <w:shd w:val="clear" w:color="auto" w:fill="F6FA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F5E9" w:themeFill="accent3" w:themeFillTint="33"/>
      </w:tcPr>
    </w:tblStylePr>
    <w:tblStylePr w:type="band1Vert">
      <w:tblPr/>
      <w:tcPr>
        <w:shd w:val="clear" w:color="auto" w:fill="D5E7CA" w:themeFill="accent3" w:themeFillTint="7F"/>
      </w:tcPr>
    </w:tblStylePr>
    <w:tblStylePr w:type="band1Horz">
      <w:tblPr/>
      <w:tcPr>
        <w:tcBorders>
          <w:insideH w:val="single" w:sz="6" w:space="0" w:color="ADD095" w:themeColor="accent3"/>
          <w:insideV w:val="single" w:sz="6" w:space="0" w:color="ADD095" w:themeColor="accent3"/>
        </w:tcBorders>
        <w:shd w:val="clear" w:color="auto" w:fill="D5E7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insideH w:val="single" w:sz="8" w:space="0" w:color="62294B" w:themeColor="accent4"/>
        <w:insideV w:val="single" w:sz="8" w:space="0" w:color="62294B" w:themeColor="accent4"/>
      </w:tblBorders>
    </w:tblPr>
    <w:tcPr>
      <w:shd w:val="clear" w:color="auto" w:fill="E4BED4" w:themeFill="accent4" w:themeFillTint="3F"/>
    </w:tcPr>
    <w:tblStylePr w:type="firstRow">
      <w:rPr>
        <w:b/>
        <w:bCs/>
        <w:color w:val="000000" w:themeColor="text1"/>
      </w:rPr>
      <w:tblPr/>
      <w:tcPr>
        <w:shd w:val="clear" w:color="auto" w:fill="F4E5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CADC" w:themeFill="accent4" w:themeFillTint="33"/>
      </w:tcPr>
    </w:tblStylePr>
    <w:tblStylePr w:type="band1Vert">
      <w:tblPr/>
      <w:tcPr>
        <w:shd w:val="clear" w:color="auto" w:fill="C87CA9" w:themeFill="accent4" w:themeFillTint="7F"/>
      </w:tcPr>
    </w:tblStylePr>
    <w:tblStylePr w:type="band1Horz">
      <w:tblPr/>
      <w:tcPr>
        <w:tcBorders>
          <w:insideH w:val="single" w:sz="6" w:space="0" w:color="62294B" w:themeColor="accent4"/>
          <w:insideV w:val="single" w:sz="6" w:space="0" w:color="62294B" w:themeColor="accent4"/>
        </w:tcBorders>
        <w:shd w:val="clear" w:color="auto" w:fill="C87CA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insideH w:val="single" w:sz="8" w:space="0" w:color="FF8855" w:themeColor="accent5"/>
        <w:insideV w:val="single" w:sz="8" w:space="0" w:color="FF8855" w:themeColor="accent5"/>
      </w:tblBorders>
    </w:tblPr>
    <w:tcPr>
      <w:shd w:val="clear" w:color="auto" w:fill="FFE1D5" w:themeFill="accent5" w:themeFillTint="3F"/>
    </w:tcPr>
    <w:tblStylePr w:type="firstRow">
      <w:rPr>
        <w:b/>
        <w:bCs/>
        <w:color w:val="000000" w:themeColor="text1"/>
      </w:rPr>
      <w:tblPr/>
      <w:tcPr>
        <w:shd w:val="clear" w:color="auto" w:fill="FFF3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7DD" w:themeFill="accent5" w:themeFillTint="33"/>
      </w:tcPr>
    </w:tblStylePr>
    <w:tblStylePr w:type="band1Vert">
      <w:tblPr/>
      <w:tcPr>
        <w:shd w:val="clear" w:color="auto" w:fill="FFC3AA" w:themeFill="accent5" w:themeFillTint="7F"/>
      </w:tcPr>
    </w:tblStylePr>
    <w:tblStylePr w:type="band1Horz">
      <w:tblPr/>
      <w:tcPr>
        <w:tcBorders>
          <w:insideH w:val="single" w:sz="6" w:space="0" w:color="FF8855" w:themeColor="accent5"/>
          <w:insideV w:val="single" w:sz="6" w:space="0" w:color="FF8855" w:themeColor="accent5"/>
        </w:tcBorders>
        <w:shd w:val="clear" w:color="auto" w:fill="FFC3A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insideH w:val="single" w:sz="8" w:space="0" w:color="E3E1D8" w:themeColor="accent6"/>
        <w:insideV w:val="single" w:sz="8" w:space="0" w:color="E3E1D8" w:themeColor="accent6"/>
      </w:tblBorders>
    </w:tblPr>
    <w:tcPr>
      <w:shd w:val="clear" w:color="auto" w:fill="F8F7F5" w:themeFill="accent6" w:themeFillTint="3F"/>
    </w:tcPr>
    <w:tblStylePr w:type="firstRow">
      <w:rPr>
        <w:b/>
        <w:bCs/>
        <w:color w:val="000000" w:themeColor="text1"/>
      </w:rPr>
      <w:tblPr/>
      <w:tcPr>
        <w:shd w:val="clear" w:color="auto" w:fill="FCFC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8F7" w:themeFill="accent6" w:themeFillTint="33"/>
      </w:tcPr>
    </w:tblStylePr>
    <w:tblStylePr w:type="band1Vert">
      <w:tblPr/>
      <w:tcPr>
        <w:shd w:val="clear" w:color="auto" w:fill="F1EFEB" w:themeFill="accent6" w:themeFillTint="7F"/>
      </w:tcPr>
    </w:tblStylePr>
    <w:tblStylePr w:type="band1Horz">
      <w:tblPr/>
      <w:tcPr>
        <w:tcBorders>
          <w:insideH w:val="single" w:sz="6" w:space="0" w:color="E3E1D8" w:themeColor="accent6"/>
          <w:insideV w:val="single" w:sz="6" w:space="0" w:color="E3E1D8" w:themeColor="accent6"/>
        </w:tcBorders>
        <w:shd w:val="clear" w:color="auto" w:fill="F1EFE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7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326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326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326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F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FF6" w:themeFill="accent1" w:themeFillTint="7F"/>
      </w:tcPr>
    </w:tblStylePr>
  </w:style>
  <w:style w:type="table" w:styleId="MediumGrid3-Accent2">
    <w:name w:val="Medium Grid 3 Accent 2"/>
    <w:basedOn w:val="TableNormal"/>
    <w:uiPriority w:val="69"/>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CEE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25A4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25A4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25A4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8DD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8DDAC" w:themeFill="accent2" w:themeFillTint="7F"/>
      </w:tcPr>
    </w:tblStylePr>
  </w:style>
  <w:style w:type="table" w:styleId="MediumGrid3-Accent3">
    <w:name w:val="Medium Grid 3 Accent 3"/>
    <w:basedOn w:val="TableNormal"/>
    <w:uiPriority w:val="69"/>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3E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09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09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09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7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7CA" w:themeFill="accent3" w:themeFillTint="7F"/>
      </w:tcPr>
    </w:tblStylePr>
  </w:style>
  <w:style w:type="table" w:styleId="MediumGrid3-Accent4">
    <w:name w:val="Medium Grid 3 Accent 4"/>
    <w:basedOn w:val="TableNormal"/>
    <w:uiPriority w:val="69"/>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BED4"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294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294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294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7CA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7CA9" w:themeFill="accent4" w:themeFillTint="7F"/>
      </w:tcPr>
    </w:tblStylePr>
  </w:style>
  <w:style w:type="table" w:styleId="MediumGrid3-Accent5">
    <w:name w:val="Medium Grid 3 Accent 5"/>
    <w:basedOn w:val="TableNormal"/>
    <w:uiPriority w:val="69"/>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1D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85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85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85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3A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3AA" w:themeFill="accent5" w:themeFillTint="7F"/>
      </w:tcPr>
    </w:tblStylePr>
  </w:style>
  <w:style w:type="table" w:styleId="MediumGrid3-Accent6">
    <w:name w:val="Medium Grid 3 Accent 6"/>
    <w:basedOn w:val="TableNormal"/>
    <w:uiPriority w:val="69"/>
    <w:unhideWhenUsed/>
    <w:rsid w:val="00920D8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3E1D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3E1D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3E1D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FE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EFEB" w:themeFill="accent6" w:themeFillTint="7F"/>
      </w:tcPr>
    </w:tblStylePr>
  </w:style>
  <w:style w:type="table" w:styleId="MediumList1">
    <w:name w:val="Medium List 1"/>
    <w:basedOn w:val="TableNormal"/>
    <w:uiPriority w:val="65"/>
    <w:unhideWhenUsed/>
    <w:rsid w:val="00920D86"/>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F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920D86"/>
    <w:pPr>
      <w:spacing w:line="240" w:lineRule="auto"/>
    </w:pPr>
    <w:rPr>
      <w:color w:val="000000" w:themeColor="text1"/>
    </w:rPr>
    <w:tblPr>
      <w:tblStyleRowBandSize w:val="1"/>
      <w:tblStyleColBandSize w:val="1"/>
      <w:tblBorders>
        <w:top w:val="single" w:sz="8" w:space="0" w:color="05326E" w:themeColor="accent1"/>
        <w:bottom w:val="single" w:sz="8" w:space="0" w:color="05326E" w:themeColor="accent1"/>
      </w:tblBorders>
    </w:tblPr>
    <w:tblStylePr w:type="firstRow">
      <w:rPr>
        <w:rFonts w:asciiTheme="majorHAnsi" w:eastAsiaTheme="majorEastAsia" w:hAnsiTheme="majorHAnsi" w:cstheme="majorBidi"/>
      </w:rPr>
      <w:tblPr/>
      <w:tcPr>
        <w:tcBorders>
          <w:top w:val="nil"/>
          <w:bottom w:val="single" w:sz="8" w:space="0" w:color="05326E" w:themeColor="accent1"/>
        </w:tcBorders>
      </w:tcPr>
    </w:tblStylePr>
    <w:tblStylePr w:type="lastRow">
      <w:rPr>
        <w:b/>
        <w:bCs/>
        <w:color w:val="009DF0" w:themeColor="text2"/>
      </w:rPr>
      <w:tblPr/>
      <w:tcPr>
        <w:tcBorders>
          <w:top w:val="single" w:sz="8" w:space="0" w:color="05326E" w:themeColor="accent1"/>
          <w:bottom w:val="single" w:sz="8" w:space="0" w:color="05326E" w:themeColor="accent1"/>
        </w:tcBorders>
      </w:tcPr>
    </w:tblStylePr>
    <w:tblStylePr w:type="firstCol">
      <w:rPr>
        <w:b/>
        <w:bCs/>
      </w:rPr>
    </w:tblStylePr>
    <w:tblStylePr w:type="lastCol">
      <w:rPr>
        <w:b/>
        <w:bCs/>
      </w:rPr>
      <w:tblPr/>
      <w:tcPr>
        <w:tcBorders>
          <w:top w:val="single" w:sz="8" w:space="0" w:color="05326E" w:themeColor="accent1"/>
          <w:bottom w:val="single" w:sz="8" w:space="0" w:color="05326E" w:themeColor="accent1"/>
        </w:tcBorders>
      </w:tcPr>
    </w:tblStylePr>
    <w:tblStylePr w:type="band1Vert">
      <w:tblPr/>
      <w:tcPr>
        <w:shd w:val="clear" w:color="auto" w:fill="A1C7FA" w:themeFill="accent1" w:themeFillTint="3F"/>
      </w:tcPr>
    </w:tblStylePr>
    <w:tblStylePr w:type="band1Horz">
      <w:tblPr/>
      <w:tcPr>
        <w:shd w:val="clear" w:color="auto" w:fill="A1C7FA" w:themeFill="accent1" w:themeFillTint="3F"/>
      </w:tcPr>
    </w:tblStylePr>
  </w:style>
  <w:style w:type="table" w:styleId="MediumList1-Accent2">
    <w:name w:val="Medium List 1 Accent 2"/>
    <w:basedOn w:val="TableNormal"/>
    <w:uiPriority w:val="65"/>
    <w:unhideWhenUsed/>
    <w:rsid w:val="00920D86"/>
    <w:pPr>
      <w:spacing w:line="240" w:lineRule="auto"/>
    </w:pPr>
    <w:rPr>
      <w:color w:val="000000" w:themeColor="text1"/>
    </w:rPr>
    <w:tblPr>
      <w:tblStyleRowBandSize w:val="1"/>
      <w:tblStyleColBandSize w:val="1"/>
      <w:tblBorders>
        <w:top w:val="single" w:sz="8" w:space="0" w:color="125A40" w:themeColor="accent2"/>
        <w:bottom w:val="single" w:sz="8" w:space="0" w:color="125A40" w:themeColor="accent2"/>
      </w:tblBorders>
    </w:tblPr>
    <w:tblStylePr w:type="firstRow">
      <w:rPr>
        <w:rFonts w:asciiTheme="majorHAnsi" w:eastAsiaTheme="majorEastAsia" w:hAnsiTheme="majorHAnsi" w:cstheme="majorBidi"/>
      </w:rPr>
      <w:tblPr/>
      <w:tcPr>
        <w:tcBorders>
          <w:top w:val="nil"/>
          <w:bottom w:val="single" w:sz="8" w:space="0" w:color="125A40" w:themeColor="accent2"/>
        </w:tcBorders>
      </w:tcPr>
    </w:tblStylePr>
    <w:tblStylePr w:type="lastRow">
      <w:rPr>
        <w:b/>
        <w:bCs/>
        <w:color w:val="009DF0" w:themeColor="text2"/>
      </w:rPr>
      <w:tblPr/>
      <w:tcPr>
        <w:tcBorders>
          <w:top w:val="single" w:sz="8" w:space="0" w:color="125A40" w:themeColor="accent2"/>
          <w:bottom w:val="single" w:sz="8" w:space="0" w:color="125A40" w:themeColor="accent2"/>
        </w:tcBorders>
      </w:tcPr>
    </w:tblStylePr>
    <w:tblStylePr w:type="firstCol">
      <w:rPr>
        <w:b/>
        <w:bCs/>
      </w:rPr>
    </w:tblStylePr>
    <w:tblStylePr w:type="lastCol">
      <w:rPr>
        <w:b/>
        <w:bCs/>
      </w:rPr>
      <w:tblPr/>
      <w:tcPr>
        <w:tcBorders>
          <w:top w:val="single" w:sz="8" w:space="0" w:color="125A40" w:themeColor="accent2"/>
          <w:bottom w:val="single" w:sz="8" w:space="0" w:color="125A40" w:themeColor="accent2"/>
        </w:tcBorders>
      </w:tcPr>
    </w:tblStylePr>
    <w:tblStylePr w:type="band1Vert">
      <w:tblPr/>
      <w:tcPr>
        <w:shd w:val="clear" w:color="auto" w:fill="ACEED6" w:themeFill="accent2" w:themeFillTint="3F"/>
      </w:tcPr>
    </w:tblStylePr>
    <w:tblStylePr w:type="band1Horz">
      <w:tblPr/>
      <w:tcPr>
        <w:shd w:val="clear" w:color="auto" w:fill="ACEED6" w:themeFill="accent2" w:themeFillTint="3F"/>
      </w:tcPr>
    </w:tblStylePr>
  </w:style>
  <w:style w:type="table" w:styleId="MediumList1-Accent3">
    <w:name w:val="Medium List 1 Accent 3"/>
    <w:basedOn w:val="TableNormal"/>
    <w:uiPriority w:val="65"/>
    <w:unhideWhenUsed/>
    <w:rsid w:val="00920D86"/>
    <w:pPr>
      <w:spacing w:line="240" w:lineRule="auto"/>
    </w:pPr>
    <w:rPr>
      <w:color w:val="000000" w:themeColor="text1"/>
    </w:rPr>
    <w:tblPr>
      <w:tblStyleRowBandSize w:val="1"/>
      <w:tblStyleColBandSize w:val="1"/>
      <w:tblBorders>
        <w:top w:val="single" w:sz="8" w:space="0" w:color="ADD095" w:themeColor="accent3"/>
        <w:bottom w:val="single" w:sz="8" w:space="0" w:color="ADD095" w:themeColor="accent3"/>
      </w:tblBorders>
    </w:tblPr>
    <w:tblStylePr w:type="firstRow">
      <w:rPr>
        <w:rFonts w:asciiTheme="majorHAnsi" w:eastAsiaTheme="majorEastAsia" w:hAnsiTheme="majorHAnsi" w:cstheme="majorBidi"/>
      </w:rPr>
      <w:tblPr/>
      <w:tcPr>
        <w:tcBorders>
          <w:top w:val="nil"/>
          <w:bottom w:val="single" w:sz="8" w:space="0" w:color="ADD095" w:themeColor="accent3"/>
        </w:tcBorders>
      </w:tcPr>
    </w:tblStylePr>
    <w:tblStylePr w:type="lastRow">
      <w:rPr>
        <w:b/>
        <w:bCs/>
        <w:color w:val="009DF0" w:themeColor="text2"/>
      </w:rPr>
      <w:tblPr/>
      <w:tcPr>
        <w:tcBorders>
          <w:top w:val="single" w:sz="8" w:space="0" w:color="ADD095" w:themeColor="accent3"/>
          <w:bottom w:val="single" w:sz="8" w:space="0" w:color="ADD095" w:themeColor="accent3"/>
        </w:tcBorders>
      </w:tcPr>
    </w:tblStylePr>
    <w:tblStylePr w:type="firstCol">
      <w:rPr>
        <w:b/>
        <w:bCs/>
      </w:rPr>
    </w:tblStylePr>
    <w:tblStylePr w:type="lastCol">
      <w:rPr>
        <w:b/>
        <w:bCs/>
      </w:rPr>
      <w:tblPr/>
      <w:tcPr>
        <w:tcBorders>
          <w:top w:val="single" w:sz="8" w:space="0" w:color="ADD095" w:themeColor="accent3"/>
          <w:bottom w:val="single" w:sz="8" w:space="0" w:color="ADD095" w:themeColor="accent3"/>
        </w:tcBorders>
      </w:tcPr>
    </w:tblStylePr>
    <w:tblStylePr w:type="band1Vert">
      <w:tblPr/>
      <w:tcPr>
        <w:shd w:val="clear" w:color="auto" w:fill="EAF3E4" w:themeFill="accent3" w:themeFillTint="3F"/>
      </w:tcPr>
    </w:tblStylePr>
    <w:tblStylePr w:type="band1Horz">
      <w:tblPr/>
      <w:tcPr>
        <w:shd w:val="clear" w:color="auto" w:fill="EAF3E4" w:themeFill="accent3" w:themeFillTint="3F"/>
      </w:tcPr>
    </w:tblStylePr>
  </w:style>
  <w:style w:type="table" w:styleId="MediumList1-Accent4">
    <w:name w:val="Medium List 1 Accent 4"/>
    <w:basedOn w:val="TableNormal"/>
    <w:uiPriority w:val="65"/>
    <w:unhideWhenUsed/>
    <w:rsid w:val="00920D86"/>
    <w:pPr>
      <w:spacing w:line="240" w:lineRule="auto"/>
    </w:pPr>
    <w:rPr>
      <w:color w:val="000000" w:themeColor="text1"/>
    </w:rPr>
    <w:tblPr>
      <w:tblStyleRowBandSize w:val="1"/>
      <w:tblStyleColBandSize w:val="1"/>
      <w:tblBorders>
        <w:top w:val="single" w:sz="8" w:space="0" w:color="62294B" w:themeColor="accent4"/>
        <w:bottom w:val="single" w:sz="8" w:space="0" w:color="62294B" w:themeColor="accent4"/>
      </w:tblBorders>
    </w:tblPr>
    <w:tblStylePr w:type="firstRow">
      <w:rPr>
        <w:rFonts w:asciiTheme="majorHAnsi" w:eastAsiaTheme="majorEastAsia" w:hAnsiTheme="majorHAnsi" w:cstheme="majorBidi"/>
      </w:rPr>
      <w:tblPr/>
      <w:tcPr>
        <w:tcBorders>
          <w:top w:val="nil"/>
          <w:bottom w:val="single" w:sz="8" w:space="0" w:color="62294B" w:themeColor="accent4"/>
        </w:tcBorders>
      </w:tcPr>
    </w:tblStylePr>
    <w:tblStylePr w:type="lastRow">
      <w:rPr>
        <w:b/>
        <w:bCs/>
        <w:color w:val="009DF0" w:themeColor="text2"/>
      </w:rPr>
      <w:tblPr/>
      <w:tcPr>
        <w:tcBorders>
          <w:top w:val="single" w:sz="8" w:space="0" w:color="62294B" w:themeColor="accent4"/>
          <w:bottom w:val="single" w:sz="8" w:space="0" w:color="62294B" w:themeColor="accent4"/>
        </w:tcBorders>
      </w:tcPr>
    </w:tblStylePr>
    <w:tblStylePr w:type="firstCol">
      <w:rPr>
        <w:b/>
        <w:bCs/>
      </w:rPr>
    </w:tblStylePr>
    <w:tblStylePr w:type="lastCol">
      <w:rPr>
        <w:b/>
        <w:bCs/>
      </w:rPr>
      <w:tblPr/>
      <w:tcPr>
        <w:tcBorders>
          <w:top w:val="single" w:sz="8" w:space="0" w:color="62294B" w:themeColor="accent4"/>
          <w:bottom w:val="single" w:sz="8" w:space="0" w:color="62294B" w:themeColor="accent4"/>
        </w:tcBorders>
      </w:tcPr>
    </w:tblStylePr>
    <w:tblStylePr w:type="band1Vert">
      <w:tblPr/>
      <w:tcPr>
        <w:shd w:val="clear" w:color="auto" w:fill="E4BED4" w:themeFill="accent4" w:themeFillTint="3F"/>
      </w:tcPr>
    </w:tblStylePr>
    <w:tblStylePr w:type="band1Horz">
      <w:tblPr/>
      <w:tcPr>
        <w:shd w:val="clear" w:color="auto" w:fill="E4BED4" w:themeFill="accent4" w:themeFillTint="3F"/>
      </w:tcPr>
    </w:tblStylePr>
  </w:style>
  <w:style w:type="table" w:styleId="MediumList1-Accent5">
    <w:name w:val="Medium List 1 Accent 5"/>
    <w:basedOn w:val="TableNormal"/>
    <w:uiPriority w:val="65"/>
    <w:unhideWhenUsed/>
    <w:rsid w:val="00920D86"/>
    <w:pPr>
      <w:spacing w:line="240" w:lineRule="auto"/>
    </w:pPr>
    <w:rPr>
      <w:color w:val="000000" w:themeColor="text1"/>
    </w:rPr>
    <w:tblPr>
      <w:tblStyleRowBandSize w:val="1"/>
      <w:tblStyleColBandSize w:val="1"/>
      <w:tblBorders>
        <w:top w:val="single" w:sz="8" w:space="0" w:color="FF8855" w:themeColor="accent5"/>
        <w:bottom w:val="single" w:sz="8" w:space="0" w:color="FF8855" w:themeColor="accent5"/>
      </w:tblBorders>
    </w:tblPr>
    <w:tblStylePr w:type="firstRow">
      <w:rPr>
        <w:rFonts w:asciiTheme="majorHAnsi" w:eastAsiaTheme="majorEastAsia" w:hAnsiTheme="majorHAnsi" w:cstheme="majorBidi"/>
      </w:rPr>
      <w:tblPr/>
      <w:tcPr>
        <w:tcBorders>
          <w:top w:val="nil"/>
          <w:bottom w:val="single" w:sz="8" w:space="0" w:color="FF8855" w:themeColor="accent5"/>
        </w:tcBorders>
      </w:tcPr>
    </w:tblStylePr>
    <w:tblStylePr w:type="lastRow">
      <w:rPr>
        <w:b/>
        <w:bCs/>
        <w:color w:val="009DF0" w:themeColor="text2"/>
      </w:rPr>
      <w:tblPr/>
      <w:tcPr>
        <w:tcBorders>
          <w:top w:val="single" w:sz="8" w:space="0" w:color="FF8855" w:themeColor="accent5"/>
          <w:bottom w:val="single" w:sz="8" w:space="0" w:color="FF8855" w:themeColor="accent5"/>
        </w:tcBorders>
      </w:tcPr>
    </w:tblStylePr>
    <w:tblStylePr w:type="firstCol">
      <w:rPr>
        <w:b/>
        <w:bCs/>
      </w:rPr>
    </w:tblStylePr>
    <w:tblStylePr w:type="lastCol">
      <w:rPr>
        <w:b/>
        <w:bCs/>
      </w:rPr>
      <w:tblPr/>
      <w:tcPr>
        <w:tcBorders>
          <w:top w:val="single" w:sz="8" w:space="0" w:color="FF8855" w:themeColor="accent5"/>
          <w:bottom w:val="single" w:sz="8" w:space="0" w:color="FF8855" w:themeColor="accent5"/>
        </w:tcBorders>
      </w:tcPr>
    </w:tblStylePr>
    <w:tblStylePr w:type="band1Vert">
      <w:tblPr/>
      <w:tcPr>
        <w:shd w:val="clear" w:color="auto" w:fill="FFE1D5" w:themeFill="accent5" w:themeFillTint="3F"/>
      </w:tcPr>
    </w:tblStylePr>
    <w:tblStylePr w:type="band1Horz">
      <w:tblPr/>
      <w:tcPr>
        <w:shd w:val="clear" w:color="auto" w:fill="FFE1D5" w:themeFill="accent5" w:themeFillTint="3F"/>
      </w:tcPr>
    </w:tblStylePr>
  </w:style>
  <w:style w:type="table" w:styleId="MediumList1-Accent6">
    <w:name w:val="Medium List 1 Accent 6"/>
    <w:basedOn w:val="TableNormal"/>
    <w:uiPriority w:val="65"/>
    <w:unhideWhenUsed/>
    <w:rsid w:val="00920D86"/>
    <w:pPr>
      <w:spacing w:line="240" w:lineRule="auto"/>
    </w:pPr>
    <w:rPr>
      <w:color w:val="000000" w:themeColor="text1"/>
    </w:rPr>
    <w:tblPr>
      <w:tblStyleRowBandSize w:val="1"/>
      <w:tblStyleColBandSize w:val="1"/>
      <w:tblBorders>
        <w:top w:val="single" w:sz="8" w:space="0" w:color="E3E1D8" w:themeColor="accent6"/>
        <w:bottom w:val="single" w:sz="8" w:space="0" w:color="E3E1D8" w:themeColor="accent6"/>
      </w:tblBorders>
    </w:tblPr>
    <w:tblStylePr w:type="firstRow">
      <w:rPr>
        <w:rFonts w:asciiTheme="majorHAnsi" w:eastAsiaTheme="majorEastAsia" w:hAnsiTheme="majorHAnsi" w:cstheme="majorBidi"/>
      </w:rPr>
      <w:tblPr/>
      <w:tcPr>
        <w:tcBorders>
          <w:top w:val="nil"/>
          <w:bottom w:val="single" w:sz="8" w:space="0" w:color="E3E1D8" w:themeColor="accent6"/>
        </w:tcBorders>
      </w:tcPr>
    </w:tblStylePr>
    <w:tblStylePr w:type="lastRow">
      <w:rPr>
        <w:b/>
        <w:bCs/>
        <w:color w:val="009DF0" w:themeColor="text2"/>
      </w:rPr>
      <w:tblPr/>
      <w:tcPr>
        <w:tcBorders>
          <w:top w:val="single" w:sz="8" w:space="0" w:color="E3E1D8" w:themeColor="accent6"/>
          <w:bottom w:val="single" w:sz="8" w:space="0" w:color="E3E1D8" w:themeColor="accent6"/>
        </w:tcBorders>
      </w:tcPr>
    </w:tblStylePr>
    <w:tblStylePr w:type="firstCol">
      <w:rPr>
        <w:b/>
        <w:bCs/>
      </w:rPr>
    </w:tblStylePr>
    <w:tblStylePr w:type="lastCol">
      <w:rPr>
        <w:b/>
        <w:bCs/>
      </w:rPr>
      <w:tblPr/>
      <w:tcPr>
        <w:tcBorders>
          <w:top w:val="single" w:sz="8" w:space="0" w:color="E3E1D8" w:themeColor="accent6"/>
          <w:bottom w:val="single" w:sz="8" w:space="0" w:color="E3E1D8" w:themeColor="accent6"/>
        </w:tcBorders>
      </w:tcPr>
    </w:tblStylePr>
    <w:tblStylePr w:type="band1Vert">
      <w:tblPr/>
      <w:tcPr>
        <w:shd w:val="clear" w:color="auto" w:fill="F8F7F5" w:themeFill="accent6" w:themeFillTint="3F"/>
      </w:tcPr>
    </w:tblStylePr>
    <w:tblStylePr w:type="band1Horz">
      <w:tblPr/>
      <w:tcPr>
        <w:shd w:val="clear" w:color="auto" w:fill="F8F7F5" w:themeFill="accent6" w:themeFillTint="3F"/>
      </w:tcPr>
    </w:tblStylePr>
  </w:style>
  <w:style w:type="table" w:styleId="MediumList2">
    <w:name w:val="Medium List 2"/>
    <w:basedOn w:val="TableNormal"/>
    <w:uiPriority w:val="66"/>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326E" w:themeColor="accent1"/>
        <w:left w:val="single" w:sz="8" w:space="0" w:color="05326E" w:themeColor="accent1"/>
        <w:bottom w:val="single" w:sz="8" w:space="0" w:color="05326E" w:themeColor="accent1"/>
        <w:right w:val="single" w:sz="8" w:space="0" w:color="05326E" w:themeColor="accent1"/>
      </w:tblBorders>
    </w:tblPr>
    <w:tblStylePr w:type="firstRow">
      <w:rPr>
        <w:sz w:val="24"/>
        <w:szCs w:val="24"/>
      </w:rPr>
      <w:tblPr/>
      <w:tcPr>
        <w:tcBorders>
          <w:top w:val="nil"/>
          <w:left w:val="nil"/>
          <w:bottom w:val="single" w:sz="24" w:space="0" w:color="05326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326E" w:themeColor="accent1"/>
          <w:insideH w:val="nil"/>
          <w:insideV w:val="nil"/>
        </w:tcBorders>
        <w:shd w:val="clear" w:color="auto" w:fill="FFFFFF" w:themeFill="background1"/>
      </w:tcPr>
    </w:tblStylePr>
    <w:tblStylePr w:type="lastCol">
      <w:tblPr/>
      <w:tcPr>
        <w:tcBorders>
          <w:top w:val="nil"/>
          <w:left w:val="single" w:sz="8" w:space="0" w:color="05326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7FA" w:themeFill="accent1" w:themeFillTint="3F"/>
      </w:tcPr>
    </w:tblStylePr>
    <w:tblStylePr w:type="band1Horz">
      <w:tblPr/>
      <w:tcPr>
        <w:tcBorders>
          <w:top w:val="nil"/>
          <w:bottom w:val="nil"/>
          <w:insideH w:val="nil"/>
          <w:insideV w:val="nil"/>
        </w:tcBorders>
        <w:shd w:val="clear" w:color="auto" w:fill="A1C7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25A40" w:themeColor="accent2"/>
        <w:left w:val="single" w:sz="8" w:space="0" w:color="125A40" w:themeColor="accent2"/>
        <w:bottom w:val="single" w:sz="8" w:space="0" w:color="125A40" w:themeColor="accent2"/>
        <w:right w:val="single" w:sz="8" w:space="0" w:color="125A40" w:themeColor="accent2"/>
      </w:tblBorders>
    </w:tblPr>
    <w:tblStylePr w:type="firstRow">
      <w:rPr>
        <w:sz w:val="24"/>
        <w:szCs w:val="24"/>
      </w:rPr>
      <w:tblPr/>
      <w:tcPr>
        <w:tcBorders>
          <w:top w:val="nil"/>
          <w:left w:val="nil"/>
          <w:bottom w:val="single" w:sz="24" w:space="0" w:color="125A4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25A40" w:themeColor="accent2"/>
          <w:insideH w:val="nil"/>
          <w:insideV w:val="nil"/>
        </w:tcBorders>
        <w:shd w:val="clear" w:color="auto" w:fill="FFFFFF" w:themeFill="background1"/>
      </w:tcPr>
    </w:tblStylePr>
    <w:tblStylePr w:type="lastCol">
      <w:tblPr/>
      <w:tcPr>
        <w:tcBorders>
          <w:top w:val="nil"/>
          <w:left w:val="single" w:sz="8" w:space="0" w:color="125A4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CEED6" w:themeFill="accent2" w:themeFillTint="3F"/>
      </w:tcPr>
    </w:tblStylePr>
    <w:tblStylePr w:type="band1Horz">
      <w:tblPr/>
      <w:tcPr>
        <w:tcBorders>
          <w:top w:val="nil"/>
          <w:bottom w:val="nil"/>
          <w:insideH w:val="nil"/>
          <w:insideV w:val="nil"/>
        </w:tcBorders>
        <w:shd w:val="clear" w:color="auto" w:fill="ACEE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D095" w:themeColor="accent3"/>
        <w:left w:val="single" w:sz="8" w:space="0" w:color="ADD095" w:themeColor="accent3"/>
        <w:bottom w:val="single" w:sz="8" w:space="0" w:color="ADD095" w:themeColor="accent3"/>
        <w:right w:val="single" w:sz="8" w:space="0" w:color="ADD095" w:themeColor="accent3"/>
      </w:tblBorders>
    </w:tblPr>
    <w:tblStylePr w:type="firstRow">
      <w:rPr>
        <w:sz w:val="24"/>
        <w:szCs w:val="24"/>
      </w:rPr>
      <w:tblPr/>
      <w:tcPr>
        <w:tcBorders>
          <w:top w:val="nil"/>
          <w:left w:val="nil"/>
          <w:bottom w:val="single" w:sz="24" w:space="0" w:color="ADD09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095" w:themeColor="accent3"/>
          <w:insideH w:val="nil"/>
          <w:insideV w:val="nil"/>
        </w:tcBorders>
        <w:shd w:val="clear" w:color="auto" w:fill="FFFFFF" w:themeFill="background1"/>
      </w:tcPr>
    </w:tblStylePr>
    <w:tblStylePr w:type="lastCol">
      <w:tblPr/>
      <w:tcPr>
        <w:tcBorders>
          <w:top w:val="nil"/>
          <w:left w:val="single" w:sz="8" w:space="0" w:color="ADD09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3E4" w:themeFill="accent3" w:themeFillTint="3F"/>
      </w:tcPr>
    </w:tblStylePr>
    <w:tblStylePr w:type="band1Horz">
      <w:tblPr/>
      <w:tcPr>
        <w:tcBorders>
          <w:top w:val="nil"/>
          <w:bottom w:val="nil"/>
          <w:insideH w:val="nil"/>
          <w:insideV w:val="nil"/>
        </w:tcBorders>
        <w:shd w:val="clear" w:color="auto" w:fill="EAF3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294B" w:themeColor="accent4"/>
        <w:left w:val="single" w:sz="8" w:space="0" w:color="62294B" w:themeColor="accent4"/>
        <w:bottom w:val="single" w:sz="8" w:space="0" w:color="62294B" w:themeColor="accent4"/>
        <w:right w:val="single" w:sz="8" w:space="0" w:color="62294B" w:themeColor="accent4"/>
      </w:tblBorders>
    </w:tblPr>
    <w:tblStylePr w:type="firstRow">
      <w:rPr>
        <w:sz w:val="24"/>
        <w:szCs w:val="24"/>
      </w:rPr>
      <w:tblPr/>
      <w:tcPr>
        <w:tcBorders>
          <w:top w:val="nil"/>
          <w:left w:val="nil"/>
          <w:bottom w:val="single" w:sz="24" w:space="0" w:color="62294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294B" w:themeColor="accent4"/>
          <w:insideH w:val="nil"/>
          <w:insideV w:val="nil"/>
        </w:tcBorders>
        <w:shd w:val="clear" w:color="auto" w:fill="FFFFFF" w:themeFill="background1"/>
      </w:tcPr>
    </w:tblStylePr>
    <w:tblStylePr w:type="lastCol">
      <w:tblPr/>
      <w:tcPr>
        <w:tcBorders>
          <w:top w:val="nil"/>
          <w:left w:val="single" w:sz="8" w:space="0" w:color="62294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BED4" w:themeFill="accent4" w:themeFillTint="3F"/>
      </w:tcPr>
    </w:tblStylePr>
    <w:tblStylePr w:type="band1Horz">
      <w:tblPr/>
      <w:tcPr>
        <w:tcBorders>
          <w:top w:val="nil"/>
          <w:bottom w:val="nil"/>
          <w:insideH w:val="nil"/>
          <w:insideV w:val="nil"/>
        </w:tcBorders>
        <w:shd w:val="clear" w:color="auto" w:fill="E4BED4"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855" w:themeColor="accent5"/>
        <w:left w:val="single" w:sz="8" w:space="0" w:color="FF8855" w:themeColor="accent5"/>
        <w:bottom w:val="single" w:sz="8" w:space="0" w:color="FF8855" w:themeColor="accent5"/>
        <w:right w:val="single" w:sz="8" w:space="0" w:color="FF8855" w:themeColor="accent5"/>
      </w:tblBorders>
    </w:tblPr>
    <w:tblStylePr w:type="firstRow">
      <w:rPr>
        <w:sz w:val="24"/>
        <w:szCs w:val="24"/>
      </w:rPr>
      <w:tblPr/>
      <w:tcPr>
        <w:tcBorders>
          <w:top w:val="nil"/>
          <w:left w:val="nil"/>
          <w:bottom w:val="single" w:sz="24" w:space="0" w:color="FF885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855" w:themeColor="accent5"/>
          <w:insideH w:val="nil"/>
          <w:insideV w:val="nil"/>
        </w:tcBorders>
        <w:shd w:val="clear" w:color="auto" w:fill="FFFFFF" w:themeFill="background1"/>
      </w:tcPr>
    </w:tblStylePr>
    <w:tblStylePr w:type="lastCol">
      <w:tblPr/>
      <w:tcPr>
        <w:tcBorders>
          <w:top w:val="nil"/>
          <w:left w:val="single" w:sz="8" w:space="0" w:color="FF885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1D5" w:themeFill="accent5" w:themeFillTint="3F"/>
      </w:tcPr>
    </w:tblStylePr>
    <w:tblStylePr w:type="band1Horz">
      <w:tblPr/>
      <w:tcPr>
        <w:tcBorders>
          <w:top w:val="nil"/>
          <w:bottom w:val="nil"/>
          <w:insideH w:val="nil"/>
          <w:insideV w:val="nil"/>
        </w:tcBorders>
        <w:shd w:val="clear" w:color="auto" w:fill="FFE1D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920D8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E1D8" w:themeColor="accent6"/>
        <w:left w:val="single" w:sz="8" w:space="0" w:color="E3E1D8" w:themeColor="accent6"/>
        <w:bottom w:val="single" w:sz="8" w:space="0" w:color="E3E1D8" w:themeColor="accent6"/>
        <w:right w:val="single" w:sz="8" w:space="0" w:color="E3E1D8" w:themeColor="accent6"/>
      </w:tblBorders>
    </w:tblPr>
    <w:tblStylePr w:type="firstRow">
      <w:rPr>
        <w:sz w:val="24"/>
        <w:szCs w:val="24"/>
      </w:rPr>
      <w:tblPr/>
      <w:tcPr>
        <w:tcBorders>
          <w:top w:val="nil"/>
          <w:left w:val="nil"/>
          <w:bottom w:val="single" w:sz="24" w:space="0" w:color="E3E1D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E1D8" w:themeColor="accent6"/>
          <w:insideH w:val="nil"/>
          <w:insideV w:val="nil"/>
        </w:tcBorders>
        <w:shd w:val="clear" w:color="auto" w:fill="FFFFFF" w:themeFill="background1"/>
      </w:tcPr>
    </w:tblStylePr>
    <w:tblStylePr w:type="lastCol">
      <w:tblPr/>
      <w:tcPr>
        <w:tcBorders>
          <w:top w:val="nil"/>
          <w:left w:val="single" w:sz="8" w:space="0" w:color="E3E1D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5" w:themeFill="accent6" w:themeFillTint="3F"/>
      </w:tcPr>
    </w:tblStylePr>
    <w:tblStylePr w:type="band1Horz">
      <w:tblPr/>
      <w:tcPr>
        <w:tcBorders>
          <w:top w:val="nil"/>
          <w:bottom w:val="nil"/>
          <w:insideH w:val="nil"/>
          <w:insideV w:val="nil"/>
        </w:tcBorders>
        <w:shd w:val="clear" w:color="auto" w:fill="F8F7F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920D86"/>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920D86"/>
    <w:pPr>
      <w:spacing w:line="240" w:lineRule="auto"/>
    </w:pPr>
    <w:tblPr>
      <w:tblStyleRowBandSize w:val="1"/>
      <w:tblStyleColBandSize w:val="1"/>
      <w:tbl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single" w:sz="8" w:space="0" w:color="095CCC" w:themeColor="accent1" w:themeTint="BF"/>
      </w:tblBorders>
    </w:tblPr>
    <w:tblStylePr w:type="firstRow">
      <w:pPr>
        <w:spacing w:before="0" w:after="0" w:line="240" w:lineRule="auto"/>
      </w:pPr>
      <w:rPr>
        <w:b/>
        <w:bCs/>
        <w:color w:val="FFFFFF" w:themeColor="background1"/>
      </w:rPr>
      <w:tblPr/>
      <w:tcPr>
        <w:tcBorders>
          <w:top w:val="single" w:sz="8"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shd w:val="clear" w:color="auto" w:fill="05326E" w:themeFill="accent1"/>
      </w:tcPr>
    </w:tblStylePr>
    <w:tblStylePr w:type="lastRow">
      <w:pPr>
        <w:spacing w:before="0" w:after="0" w:line="240" w:lineRule="auto"/>
      </w:pPr>
      <w:rPr>
        <w:b/>
        <w:bCs/>
      </w:rPr>
      <w:tblPr/>
      <w:tcPr>
        <w:tcBorders>
          <w:top w:val="double" w:sz="6" w:space="0" w:color="095CCC" w:themeColor="accent1" w:themeTint="BF"/>
          <w:left w:val="single" w:sz="8" w:space="0" w:color="095CCC" w:themeColor="accent1" w:themeTint="BF"/>
          <w:bottom w:val="single" w:sz="8" w:space="0" w:color="095CCC" w:themeColor="accent1" w:themeTint="BF"/>
          <w:right w:val="single" w:sz="8" w:space="0" w:color="095CCC"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7FA" w:themeFill="accent1" w:themeFillTint="3F"/>
      </w:tcPr>
    </w:tblStylePr>
    <w:tblStylePr w:type="band1Horz">
      <w:tblPr/>
      <w:tcPr>
        <w:tcBorders>
          <w:insideH w:val="nil"/>
          <w:insideV w:val="nil"/>
        </w:tcBorders>
        <w:shd w:val="clear" w:color="auto" w:fill="A1C7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920D86"/>
    <w:pPr>
      <w:spacing w:line="240" w:lineRule="auto"/>
    </w:pPr>
    <w:tblPr>
      <w:tblStyleRowBandSize w:val="1"/>
      <w:tblStyleColBandSize w:val="1"/>
      <w:tbl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single" w:sz="8" w:space="0" w:color="22AD7B" w:themeColor="accent2" w:themeTint="BF"/>
      </w:tblBorders>
    </w:tblPr>
    <w:tblStylePr w:type="firstRow">
      <w:pPr>
        <w:spacing w:before="0" w:after="0" w:line="240" w:lineRule="auto"/>
      </w:pPr>
      <w:rPr>
        <w:b/>
        <w:bCs/>
        <w:color w:val="FFFFFF" w:themeColor="background1"/>
      </w:rPr>
      <w:tblPr/>
      <w:tcPr>
        <w:tcBorders>
          <w:top w:val="single" w:sz="8"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shd w:val="clear" w:color="auto" w:fill="125A40" w:themeFill="accent2"/>
      </w:tcPr>
    </w:tblStylePr>
    <w:tblStylePr w:type="lastRow">
      <w:pPr>
        <w:spacing w:before="0" w:after="0" w:line="240" w:lineRule="auto"/>
      </w:pPr>
      <w:rPr>
        <w:b/>
        <w:bCs/>
      </w:rPr>
      <w:tblPr/>
      <w:tcPr>
        <w:tcBorders>
          <w:top w:val="double" w:sz="6" w:space="0" w:color="22AD7B" w:themeColor="accent2" w:themeTint="BF"/>
          <w:left w:val="single" w:sz="8" w:space="0" w:color="22AD7B" w:themeColor="accent2" w:themeTint="BF"/>
          <w:bottom w:val="single" w:sz="8" w:space="0" w:color="22AD7B" w:themeColor="accent2" w:themeTint="BF"/>
          <w:right w:val="single" w:sz="8" w:space="0" w:color="22AD7B" w:themeColor="accent2" w:themeTint="BF"/>
          <w:insideH w:val="nil"/>
          <w:insideV w:val="nil"/>
        </w:tcBorders>
      </w:tcPr>
    </w:tblStylePr>
    <w:tblStylePr w:type="firstCol">
      <w:rPr>
        <w:b/>
        <w:bCs/>
      </w:rPr>
    </w:tblStylePr>
    <w:tblStylePr w:type="lastCol">
      <w:rPr>
        <w:b/>
        <w:bCs/>
      </w:rPr>
    </w:tblStylePr>
    <w:tblStylePr w:type="band1Vert">
      <w:tblPr/>
      <w:tcPr>
        <w:shd w:val="clear" w:color="auto" w:fill="ACEED6" w:themeFill="accent2" w:themeFillTint="3F"/>
      </w:tcPr>
    </w:tblStylePr>
    <w:tblStylePr w:type="band1Horz">
      <w:tblPr/>
      <w:tcPr>
        <w:tcBorders>
          <w:insideH w:val="nil"/>
          <w:insideV w:val="nil"/>
        </w:tcBorders>
        <w:shd w:val="clear" w:color="auto" w:fill="ACEE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920D86"/>
    <w:pPr>
      <w:spacing w:line="240" w:lineRule="auto"/>
    </w:pPr>
    <w:tblPr>
      <w:tblStyleRowBandSize w:val="1"/>
      <w:tblStyleColBandSize w:val="1"/>
      <w:tbl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single" w:sz="8" w:space="0" w:color="C1DBAF" w:themeColor="accent3" w:themeTint="BF"/>
      </w:tblBorders>
    </w:tblPr>
    <w:tblStylePr w:type="firstRow">
      <w:pPr>
        <w:spacing w:before="0" w:after="0" w:line="240" w:lineRule="auto"/>
      </w:pPr>
      <w:rPr>
        <w:b/>
        <w:bCs/>
        <w:color w:val="FFFFFF" w:themeColor="background1"/>
      </w:rPr>
      <w:tblPr/>
      <w:tcPr>
        <w:tcBorders>
          <w:top w:val="single" w:sz="8"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shd w:val="clear" w:color="auto" w:fill="ADD095" w:themeFill="accent3"/>
      </w:tcPr>
    </w:tblStylePr>
    <w:tblStylePr w:type="lastRow">
      <w:pPr>
        <w:spacing w:before="0" w:after="0" w:line="240" w:lineRule="auto"/>
      </w:pPr>
      <w:rPr>
        <w:b/>
        <w:bCs/>
      </w:rPr>
      <w:tblPr/>
      <w:tcPr>
        <w:tcBorders>
          <w:top w:val="double" w:sz="6" w:space="0" w:color="C1DBAF" w:themeColor="accent3" w:themeTint="BF"/>
          <w:left w:val="single" w:sz="8" w:space="0" w:color="C1DBAF" w:themeColor="accent3" w:themeTint="BF"/>
          <w:bottom w:val="single" w:sz="8" w:space="0" w:color="C1DBAF" w:themeColor="accent3" w:themeTint="BF"/>
          <w:right w:val="single" w:sz="8" w:space="0" w:color="C1DBA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AF3E4" w:themeFill="accent3" w:themeFillTint="3F"/>
      </w:tcPr>
    </w:tblStylePr>
    <w:tblStylePr w:type="band1Horz">
      <w:tblPr/>
      <w:tcPr>
        <w:tcBorders>
          <w:insideH w:val="nil"/>
          <w:insideV w:val="nil"/>
        </w:tcBorders>
        <w:shd w:val="clear" w:color="auto" w:fill="EAF3E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920D86"/>
    <w:pPr>
      <w:spacing w:line="240" w:lineRule="auto"/>
    </w:pPr>
    <w:tblPr>
      <w:tblStyleRowBandSize w:val="1"/>
      <w:tblStyleColBandSize w:val="1"/>
      <w:tbl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single" w:sz="8" w:space="0" w:color="A3447D" w:themeColor="accent4" w:themeTint="BF"/>
      </w:tblBorders>
    </w:tblPr>
    <w:tblStylePr w:type="firstRow">
      <w:pPr>
        <w:spacing w:before="0" w:after="0" w:line="240" w:lineRule="auto"/>
      </w:pPr>
      <w:rPr>
        <w:b/>
        <w:bCs/>
        <w:color w:val="FFFFFF" w:themeColor="background1"/>
      </w:rPr>
      <w:tblPr/>
      <w:tcPr>
        <w:tcBorders>
          <w:top w:val="single" w:sz="8"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shd w:val="clear" w:color="auto" w:fill="62294B" w:themeFill="accent4"/>
      </w:tcPr>
    </w:tblStylePr>
    <w:tblStylePr w:type="lastRow">
      <w:pPr>
        <w:spacing w:before="0" w:after="0" w:line="240" w:lineRule="auto"/>
      </w:pPr>
      <w:rPr>
        <w:b/>
        <w:bCs/>
      </w:rPr>
      <w:tblPr/>
      <w:tcPr>
        <w:tcBorders>
          <w:top w:val="double" w:sz="6" w:space="0" w:color="A3447D" w:themeColor="accent4" w:themeTint="BF"/>
          <w:left w:val="single" w:sz="8" w:space="0" w:color="A3447D" w:themeColor="accent4" w:themeTint="BF"/>
          <w:bottom w:val="single" w:sz="8" w:space="0" w:color="A3447D" w:themeColor="accent4" w:themeTint="BF"/>
          <w:right w:val="single" w:sz="8" w:space="0" w:color="A3447D"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BED4" w:themeFill="accent4" w:themeFillTint="3F"/>
      </w:tcPr>
    </w:tblStylePr>
    <w:tblStylePr w:type="band1Horz">
      <w:tblPr/>
      <w:tcPr>
        <w:tcBorders>
          <w:insideH w:val="nil"/>
          <w:insideV w:val="nil"/>
        </w:tcBorders>
        <w:shd w:val="clear" w:color="auto" w:fill="E4BED4"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920D86"/>
    <w:pPr>
      <w:spacing w:line="240" w:lineRule="auto"/>
    </w:pPr>
    <w:tblPr>
      <w:tblStyleRowBandSize w:val="1"/>
      <w:tblStyleColBandSize w:val="1"/>
      <w:tbl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single" w:sz="8" w:space="0" w:color="FFA57F" w:themeColor="accent5" w:themeTint="BF"/>
      </w:tblBorders>
    </w:tblPr>
    <w:tblStylePr w:type="firstRow">
      <w:pPr>
        <w:spacing w:before="0" w:after="0" w:line="240" w:lineRule="auto"/>
      </w:pPr>
      <w:rPr>
        <w:b/>
        <w:bCs/>
        <w:color w:val="FFFFFF" w:themeColor="background1"/>
      </w:rPr>
      <w:tblPr/>
      <w:tcPr>
        <w:tcBorders>
          <w:top w:val="single" w:sz="8"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shd w:val="clear" w:color="auto" w:fill="FF8855" w:themeFill="accent5"/>
      </w:tcPr>
    </w:tblStylePr>
    <w:tblStylePr w:type="lastRow">
      <w:pPr>
        <w:spacing w:before="0" w:after="0" w:line="240" w:lineRule="auto"/>
      </w:pPr>
      <w:rPr>
        <w:b/>
        <w:bCs/>
      </w:rPr>
      <w:tblPr/>
      <w:tcPr>
        <w:tcBorders>
          <w:top w:val="double" w:sz="6" w:space="0" w:color="FFA57F" w:themeColor="accent5" w:themeTint="BF"/>
          <w:left w:val="single" w:sz="8" w:space="0" w:color="FFA57F" w:themeColor="accent5" w:themeTint="BF"/>
          <w:bottom w:val="single" w:sz="8" w:space="0" w:color="FFA57F" w:themeColor="accent5" w:themeTint="BF"/>
          <w:right w:val="single" w:sz="8" w:space="0" w:color="FFA57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1D5" w:themeFill="accent5" w:themeFillTint="3F"/>
      </w:tcPr>
    </w:tblStylePr>
    <w:tblStylePr w:type="band1Horz">
      <w:tblPr/>
      <w:tcPr>
        <w:tcBorders>
          <w:insideH w:val="nil"/>
          <w:insideV w:val="nil"/>
        </w:tcBorders>
        <w:shd w:val="clear" w:color="auto" w:fill="FFE1D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920D86"/>
    <w:pPr>
      <w:spacing w:line="240" w:lineRule="auto"/>
    </w:pPr>
    <w:tblPr>
      <w:tblStyleRowBandSize w:val="1"/>
      <w:tblStyleColBandSize w:val="1"/>
      <w:tbl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single" w:sz="8" w:space="0" w:color="EAE8E1" w:themeColor="accent6" w:themeTint="BF"/>
      </w:tblBorders>
    </w:tblPr>
    <w:tblStylePr w:type="firstRow">
      <w:pPr>
        <w:spacing w:before="0" w:after="0" w:line="240" w:lineRule="auto"/>
      </w:pPr>
      <w:rPr>
        <w:b/>
        <w:bCs/>
        <w:color w:val="FFFFFF" w:themeColor="background1"/>
      </w:rPr>
      <w:tblPr/>
      <w:tcPr>
        <w:tcBorders>
          <w:top w:val="single" w:sz="8"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shd w:val="clear" w:color="auto" w:fill="E3E1D8" w:themeFill="accent6"/>
      </w:tcPr>
    </w:tblStylePr>
    <w:tblStylePr w:type="lastRow">
      <w:pPr>
        <w:spacing w:before="0" w:after="0" w:line="240" w:lineRule="auto"/>
      </w:pPr>
      <w:rPr>
        <w:b/>
        <w:bCs/>
      </w:rPr>
      <w:tblPr/>
      <w:tcPr>
        <w:tcBorders>
          <w:top w:val="double" w:sz="6" w:space="0" w:color="EAE8E1" w:themeColor="accent6" w:themeTint="BF"/>
          <w:left w:val="single" w:sz="8" w:space="0" w:color="EAE8E1" w:themeColor="accent6" w:themeTint="BF"/>
          <w:bottom w:val="single" w:sz="8" w:space="0" w:color="EAE8E1" w:themeColor="accent6" w:themeTint="BF"/>
          <w:right w:val="single" w:sz="8" w:space="0" w:color="EAE8E1"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F7F5" w:themeFill="accent6" w:themeFillTint="3F"/>
      </w:tcPr>
    </w:tblStylePr>
    <w:tblStylePr w:type="band1Horz">
      <w:tblPr/>
      <w:tcPr>
        <w:tcBorders>
          <w:insideH w:val="nil"/>
          <w:insideV w:val="nil"/>
        </w:tcBorders>
        <w:shd w:val="clear" w:color="auto" w:fill="F8F7F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326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5326E" w:themeFill="accent1"/>
      </w:tcPr>
    </w:tblStylePr>
    <w:tblStylePr w:type="lastCol">
      <w:rPr>
        <w:b/>
        <w:bCs/>
        <w:color w:val="FFFFFF" w:themeColor="background1"/>
      </w:rPr>
      <w:tblPr/>
      <w:tcPr>
        <w:tcBorders>
          <w:left w:val="nil"/>
          <w:right w:val="nil"/>
          <w:insideH w:val="nil"/>
          <w:insideV w:val="nil"/>
        </w:tcBorders>
        <w:shd w:val="clear" w:color="auto" w:fill="05326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25A4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25A40" w:themeFill="accent2"/>
      </w:tcPr>
    </w:tblStylePr>
    <w:tblStylePr w:type="lastCol">
      <w:rPr>
        <w:b/>
        <w:bCs/>
        <w:color w:val="FFFFFF" w:themeColor="background1"/>
      </w:rPr>
      <w:tblPr/>
      <w:tcPr>
        <w:tcBorders>
          <w:left w:val="nil"/>
          <w:right w:val="nil"/>
          <w:insideH w:val="nil"/>
          <w:insideV w:val="nil"/>
        </w:tcBorders>
        <w:shd w:val="clear" w:color="auto" w:fill="125A4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09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095" w:themeFill="accent3"/>
      </w:tcPr>
    </w:tblStylePr>
    <w:tblStylePr w:type="lastCol">
      <w:rPr>
        <w:b/>
        <w:bCs/>
        <w:color w:val="FFFFFF" w:themeColor="background1"/>
      </w:rPr>
      <w:tblPr/>
      <w:tcPr>
        <w:tcBorders>
          <w:left w:val="nil"/>
          <w:right w:val="nil"/>
          <w:insideH w:val="nil"/>
          <w:insideV w:val="nil"/>
        </w:tcBorders>
        <w:shd w:val="clear" w:color="auto" w:fill="ADD09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294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294B" w:themeFill="accent4"/>
      </w:tcPr>
    </w:tblStylePr>
    <w:tblStylePr w:type="lastCol">
      <w:rPr>
        <w:b/>
        <w:bCs/>
        <w:color w:val="FFFFFF" w:themeColor="background1"/>
      </w:rPr>
      <w:tblPr/>
      <w:tcPr>
        <w:tcBorders>
          <w:left w:val="nil"/>
          <w:right w:val="nil"/>
          <w:insideH w:val="nil"/>
          <w:insideV w:val="nil"/>
        </w:tcBorders>
        <w:shd w:val="clear" w:color="auto" w:fill="62294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85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855" w:themeFill="accent5"/>
      </w:tcPr>
    </w:tblStylePr>
    <w:tblStylePr w:type="lastCol">
      <w:rPr>
        <w:b/>
        <w:bCs/>
        <w:color w:val="FFFFFF" w:themeColor="background1"/>
      </w:rPr>
      <w:tblPr/>
      <w:tcPr>
        <w:tcBorders>
          <w:left w:val="nil"/>
          <w:right w:val="nil"/>
          <w:insideH w:val="nil"/>
          <w:insideV w:val="nil"/>
        </w:tcBorders>
        <w:shd w:val="clear" w:color="auto" w:fill="FF885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unhideWhenUsed/>
    <w:rsid w:val="00920D86"/>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3E1D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3E1D8" w:themeFill="accent6"/>
      </w:tcPr>
    </w:tblStylePr>
    <w:tblStylePr w:type="lastCol">
      <w:rPr>
        <w:b/>
        <w:bCs/>
        <w:color w:val="FFFFFF" w:themeColor="background1"/>
      </w:rPr>
      <w:tblPr/>
      <w:tcPr>
        <w:tcBorders>
          <w:left w:val="nil"/>
          <w:right w:val="nil"/>
          <w:insideH w:val="nil"/>
          <w:insideV w:val="nil"/>
        </w:tcBorders>
        <w:shd w:val="clear" w:color="auto" w:fill="E3E1D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920D86"/>
    <w:rPr>
      <w:color w:val="2B579A"/>
      <w:shd w:val="clear" w:color="auto" w:fill="E6E6E6"/>
      <w:lang w:val="en-US"/>
    </w:rPr>
  </w:style>
  <w:style w:type="paragraph" w:styleId="MessageHeader">
    <w:name w:val="Message Header"/>
    <w:basedOn w:val="Normal"/>
    <w:link w:val="MessageHeaderChar"/>
    <w:uiPriority w:val="99"/>
    <w:semiHidden/>
    <w:rsid w:val="00920D86"/>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0D86"/>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920D86"/>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920D86"/>
    <w:pPr>
      <w:spacing w:line="240" w:lineRule="auto"/>
    </w:pPr>
  </w:style>
  <w:style w:type="character" w:customStyle="1" w:styleId="NoteHeadingChar">
    <w:name w:val="Note Heading Char"/>
    <w:basedOn w:val="DefaultParagraphFont"/>
    <w:link w:val="NoteHeading"/>
    <w:uiPriority w:val="99"/>
    <w:semiHidden/>
    <w:rsid w:val="00920D86"/>
    <w:rPr>
      <w:lang w:val="en-US"/>
    </w:rPr>
  </w:style>
  <w:style w:type="table" w:styleId="PlainTable1">
    <w:name w:val="Plain Table 1"/>
    <w:basedOn w:val="TableNormal"/>
    <w:uiPriority w:val="41"/>
    <w:rsid w:val="00920D8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0D8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0D8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0D8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0D8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920D8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0D86"/>
    <w:rPr>
      <w:rFonts w:ascii="Consolas" w:hAnsi="Consolas"/>
      <w:sz w:val="21"/>
      <w:szCs w:val="21"/>
      <w:lang w:val="en-US"/>
    </w:rPr>
  </w:style>
  <w:style w:type="paragraph" w:styleId="Salutation">
    <w:name w:val="Salutation"/>
    <w:basedOn w:val="Normal"/>
    <w:next w:val="Normal"/>
    <w:link w:val="SalutationChar"/>
    <w:uiPriority w:val="99"/>
    <w:semiHidden/>
    <w:rsid w:val="00920D86"/>
  </w:style>
  <w:style w:type="character" w:customStyle="1" w:styleId="SalutationChar">
    <w:name w:val="Salutation Char"/>
    <w:basedOn w:val="DefaultParagraphFont"/>
    <w:link w:val="Salutation"/>
    <w:uiPriority w:val="99"/>
    <w:semiHidden/>
    <w:rsid w:val="00920D86"/>
    <w:rPr>
      <w:lang w:val="en-US"/>
    </w:rPr>
  </w:style>
  <w:style w:type="character" w:styleId="SmartHyperlink">
    <w:name w:val="Smart Hyperlink"/>
    <w:basedOn w:val="DefaultParagraphFont"/>
    <w:uiPriority w:val="99"/>
    <w:semiHidden/>
    <w:rsid w:val="00920D86"/>
    <w:rPr>
      <w:u w:val="dotted"/>
      <w:lang w:val="en-US"/>
    </w:rPr>
  </w:style>
  <w:style w:type="table" w:styleId="Table3Deffects1">
    <w:name w:val="Table 3D effects 1"/>
    <w:basedOn w:val="TableNormal"/>
    <w:uiPriority w:val="99"/>
    <w:semiHidden/>
    <w:unhideWhenUsed/>
    <w:rsid w:val="00920D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0D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0D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0D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0D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0D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0D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0D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0D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0D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0D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0D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0D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0D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0D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0D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0D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0D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0D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0D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0D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0D8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0D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0D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0D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0D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0D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20D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0D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0D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0D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0D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0D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0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0D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0D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0D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rsid w:val="00920D86"/>
    <w:rPr>
      <w:color w:val="808080"/>
      <w:shd w:val="clear" w:color="auto" w:fill="E6E6E6"/>
      <w:lang w:val="en-US"/>
    </w:rPr>
  </w:style>
  <w:style w:type="paragraph" w:customStyle="1" w:styleId="DocumentInfo">
    <w:name w:val="Document Info"/>
    <w:basedOn w:val="Normal"/>
    <w:uiPriority w:val="6"/>
    <w:semiHidden/>
    <w:rsid w:val="00920D86"/>
    <w:pPr>
      <w:spacing w:line="200" w:lineRule="atLeast"/>
    </w:pPr>
    <w:rPr>
      <w:sz w:val="14"/>
    </w:rPr>
  </w:style>
  <w:style w:type="paragraph" w:customStyle="1" w:styleId="DearRow">
    <w:name w:val="DearRow"/>
    <w:basedOn w:val="Normal"/>
    <w:uiPriority w:val="99"/>
    <w:semiHidden/>
    <w:rsid w:val="00920D86"/>
    <w:pPr>
      <w:spacing w:after="40"/>
      <w:contextualSpacing/>
    </w:pPr>
    <w:rPr>
      <w:rFonts w:eastAsia="Times New Roman" w:cs="Times New Roman"/>
    </w:rPr>
  </w:style>
  <w:style w:type="paragraph" w:customStyle="1" w:styleId="Template-CompanyInfo">
    <w:name w:val="Template - Company Info"/>
    <w:basedOn w:val="Template"/>
    <w:uiPriority w:val="8"/>
    <w:semiHidden/>
    <w:rsid w:val="00920D86"/>
    <w:rPr>
      <w:sz w:val="12"/>
    </w:rPr>
  </w:style>
  <w:style w:type="paragraph" w:customStyle="1" w:styleId="Template-FilePath">
    <w:name w:val="Template - File Path"/>
    <w:basedOn w:val="Template"/>
    <w:uiPriority w:val="8"/>
    <w:semiHidden/>
    <w:rsid w:val="00920D86"/>
    <w:pPr>
      <w:spacing w:line="160" w:lineRule="atLeast"/>
    </w:pPr>
    <w:rPr>
      <w:sz w:val="10"/>
    </w:rPr>
  </w:style>
  <w:style w:type="paragraph" w:customStyle="1" w:styleId="Template-DocId">
    <w:name w:val="Template - Doc Id"/>
    <w:basedOn w:val="Template"/>
    <w:uiPriority w:val="8"/>
    <w:semiHidden/>
    <w:rsid w:val="00920D86"/>
    <w:rPr>
      <w:sz w:val="12"/>
    </w:rPr>
  </w:style>
  <w:style w:type="table" w:customStyle="1" w:styleId="Ramboll-Table">
    <w:name w:val="Ramboll - Table"/>
    <w:basedOn w:val="TableNormal"/>
    <w:uiPriority w:val="99"/>
    <w:rsid w:val="00920D86"/>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920D86"/>
    <w:rPr>
      <w:b/>
    </w:rPr>
  </w:style>
  <w:style w:type="character" w:customStyle="1" w:styleId="TOC4Char">
    <w:name w:val="TOC 4 Char"/>
    <w:basedOn w:val="DefaultParagraphFont"/>
    <w:link w:val="TOC4"/>
    <w:uiPriority w:val="39"/>
    <w:semiHidden/>
    <w:rsid w:val="00920D86"/>
    <w:rPr>
      <w:rFonts w:eastAsia="Times New Roman" w:cs="Times New Roman"/>
      <w:lang w:val="en-US"/>
    </w:rPr>
  </w:style>
  <w:style w:type="paragraph" w:customStyle="1" w:styleId="Documentdataleadtext">
    <w:name w:val="Document data leadtext"/>
    <w:basedOn w:val="Normal"/>
    <w:uiPriority w:val="8"/>
    <w:semiHidden/>
    <w:rsid w:val="00920D86"/>
    <w:rPr>
      <w:rFonts w:eastAsia="Times New Roman" w:cs="Times New Roman"/>
      <w:sz w:val="14"/>
    </w:rPr>
  </w:style>
  <w:style w:type="paragraph" w:customStyle="1" w:styleId="Documentdatatext">
    <w:name w:val="Document data text"/>
    <w:basedOn w:val="Normal"/>
    <w:uiPriority w:val="8"/>
    <w:semiHidden/>
    <w:rsid w:val="00920D86"/>
    <w:rPr>
      <w:rFonts w:eastAsia="Times New Roman" w:cs="Times New Roman"/>
      <w:b/>
    </w:rPr>
  </w:style>
  <w:style w:type="paragraph" w:customStyle="1" w:styleId="FrontpageHeading1">
    <w:name w:val="Frontpage Heading 1"/>
    <w:basedOn w:val="Normal"/>
    <w:link w:val="FrontpageHeading1Char"/>
    <w:uiPriority w:val="8"/>
    <w:rsid w:val="00053E7C"/>
    <w:pPr>
      <w:spacing w:after="500" w:line="1080" w:lineRule="exact"/>
      <w:contextualSpacing/>
    </w:pPr>
    <w:rPr>
      <w:rFonts w:eastAsia="Times New Roman" w:cs="Times New Roman"/>
      <w:color w:val="FFFFFF"/>
      <w:sz w:val="102"/>
    </w:rPr>
  </w:style>
  <w:style w:type="paragraph" w:customStyle="1" w:styleId="H1-NOTTOC">
    <w:name w:val="H1 - NOT TOC"/>
    <w:basedOn w:val="Heading1"/>
    <w:next w:val="Normal"/>
    <w:uiPriority w:val="4"/>
    <w:rsid w:val="00920D86"/>
    <w:pPr>
      <w:numPr>
        <w:numId w:val="1"/>
      </w:numPr>
      <w:outlineLvl w:val="9"/>
    </w:pPr>
  </w:style>
  <w:style w:type="character" w:customStyle="1" w:styleId="FrontpageHeading1Char">
    <w:name w:val="Frontpage Heading 1 Char"/>
    <w:basedOn w:val="DefaultParagraphFont"/>
    <w:link w:val="FrontpageHeading1"/>
    <w:uiPriority w:val="8"/>
    <w:rsid w:val="00053E7C"/>
    <w:rPr>
      <w:rFonts w:eastAsia="Times New Roman" w:cs="Times New Roman"/>
      <w:color w:val="FFFFFF"/>
      <w:sz w:val="102"/>
      <w:lang w:val="en-US"/>
    </w:rPr>
  </w:style>
  <w:style w:type="character" w:customStyle="1" w:styleId="Caption-Header">
    <w:name w:val="Caption - Header"/>
    <w:basedOn w:val="DefaultParagraphFont"/>
    <w:uiPriority w:val="6"/>
    <w:qFormat/>
    <w:rsid w:val="00920D86"/>
    <w:rPr>
      <w:rFonts w:ascii="Verdana" w:hAnsi="Verdana" w:cs="Times New Roman"/>
      <w:color w:val="009DE0"/>
      <w:sz w:val="13"/>
      <w:lang w:val="en-US"/>
    </w:rPr>
  </w:style>
  <w:style w:type="paragraph" w:customStyle="1" w:styleId="Template-ReftoFrontpageheading2">
    <w:name w:val="Template - Ref to Frontpage heading 2"/>
    <w:basedOn w:val="Normal"/>
    <w:link w:val="Template-ReftoFrontpageheading2Char"/>
    <w:uiPriority w:val="8"/>
    <w:semiHidden/>
    <w:rsid w:val="00920D86"/>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920D86"/>
    <w:rPr>
      <w:rFonts w:eastAsia="Times New Roman" w:cs="Times New Roman"/>
      <w:b/>
      <w:caps/>
      <w:noProof/>
      <w:color w:val="009DE0"/>
      <w:sz w:val="22"/>
      <w:szCs w:val="24"/>
      <w:lang w:val="en-US"/>
    </w:rPr>
  </w:style>
  <w:style w:type="paragraph" w:customStyle="1" w:styleId="RevisionData">
    <w:name w:val="Revision Data"/>
    <w:basedOn w:val="Normal"/>
    <w:uiPriority w:val="7"/>
    <w:semiHidden/>
    <w:rsid w:val="00920D86"/>
    <w:rPr>
      <w:rFonts w:eastAsia="Times New Roman" w:cs="Times New Roman"/>
      <w:sz w:val="14"/>
    </w:rPr>
  </w:style>
  <w:style w:type="paragraph" w:customStyle="1" w:styleId="RevisionDataText">
    <w:name w:val="Revision Data Text"/>
    <w:basedOn w:val="Normal"/>
    <w:uiPriority w:val="7"/>
    <w:semiHidden/>
    <w:rsid w:val="00920D86"/>
    <w:rPr>
      <w:rFonts w:eastAsia="Times New Roman" w:cs="Times New Roman"/>
      <w:b/>
    </w:rPr>
  </w:style>
  <w:style w:type="paragraph" w:customStyle="1" w:styleId="Optional1">
    <w:name w:val="Optional 1"/>
    <w:basedOn w:val="RevisionDataText"/>
    <w:uiPriority w:val="7"/>
    <w:semiHidden/>
    <w:rsid w:val="00920D86"/>
  </w:style>
  <w:style w:type="paragraph" w:customStyle="1" w:styleId="Optional2">
    <w:name w:val="Optional 2"/>
    <w:basedOn w:val="RevisionDataText"/>
    <w:uiPriority w:val="7"/>
    <w:semiHidden/>
    <w:rsid w:val="00920D86"/>
  </w:style>
  <w:style w:type="paragraph" w:customStyle="1" w:styleId="Normal-Optional1leadtext">
    <w:name w:val="Normal - Optional 1 leadtext"/>
    <w:basedOn w:val="Documentdataleadtext"/>
    <w:uiPriority w:val="99"/>
    <w:semiHidden/>
    <w:rsid w:val="00920D86"/>
  </w:style>
  <w:style w:type="paragraph" w:customStyle="1" w:styleId="Optional2leadtext">
    <w:name w:val="Optional 2 leadtext"/>
    <w:basedOn w:val="Normal-Optional1leadtext"/>
    <w:uiPriority w:val="7"/>
    <w:semiHidden/>
    <w:rsid w:val="00920D86"/>
  </w:style>
  <w:style w:type="paragraph" w:customStyle="1" w:styleId="Template-Disclaimer">
    <w:name w:val="Template - Disclaimer"/>
    <w:basedOn w:val="Normal"/>
    <w:uiPriority w:val="8"/>
    <w:semiHidden/>
    <w:rsid w:val="00920D86"/>
    <w:pPr>
      <w:spacing w:line="200" w:lineRule="atLeast"/>
    </w:pPr>
    <w:rPr>
      <w:sz w:val="14"/>
    </w:rPr>
  </w:style>
  <w:style w:type="paragraph" w:customStyle="1" w:styleId="FactBoxHeading1">
    <w:name w:val="Fact Box Heading 1"/>
    <w:basedOn w:val="Normal"/>
    <w:next w:val="Normal"/>
    <w:uiPriority w:val="7"/>
    <w:rsid w:val="00920D86"/>
    <w:pPr>
      <w:spacing w:line="320" w:lineRule="atLeast"/>
    </w:pPr>
    <w:rPr>
      <w:rFonts w:eastAsia="Times New Roman" w:cs="Times New Roman"/>
      <w:b/>
      <w:color w:val="FFFFFF"/>
      <w:sz w:val="30"/>
    </w:rPr>
  </w:style>
  <w:style w:type="paragraph" w:customStyle="1" w:styleId="FactBoxHeading3">
    <w:name w:val="Fact Box Heading 3"/>
    <w:basedOn w:val="Normal"/>
    <w:next w:val="FactBoxBodytext"/>
    <w:uiPriority w:val="7"/>
    <w:rsid w:val="00920D86"/>
    <w:pPr>
      <w:spacing w:after="100" w:line="220" w:lineRule="atLeast"/>
    </w:pPr>
    <w:rPr>
      <w:rFonts w:eastAsia="Times New Roman" w:cs="Times New Roman"/>
      <w:b/>
      <w:color w:val="FFFFFF"/>
    </w:rPr>
  </w:style>
  <w:style w:type="paragraph" w:customStyle="1" w:styleId="FactBoxBodytext">
    <w:name w:val="Fact Box Body text"/>
    <w:basedOn w:val="Normal"/>
    <w:uiPriority w:val="7"/>
    <w:rsid w:val="00920D86"/>
    <w:pPr>
      <w:spacing w:after="120" w:line="280" w:lineRule="atLeast"/>
      <w:contextualSpacing/>
    </w:pPr>
    <w:rPr>
      <w:rFonts w:eastAsia="Times New Roman" w:cs="Times New Roman"/>
      <w:color w:val="FFFFFF"/>
    </w:rPr>
  </w:style>
  <w:style w:type="paragraph" w:customStyle="1" w:styleId="Caption-Text">
    <w:name w:val="Caption - Text"/>
    <w:basedOn w:val="Normal"/>
    <w:next w:val="Normal"/>
    <w:uiPriority w:val="6"/>
    <w:rsid w:val="00920D86"/>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7"/>
    <w:semiHidden/>
    <w:rsid w:val="00920D86"/>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7"/>
    <w:semiHidden/>
    <w:rsid w:val="00920D86"/>
    <w:pPr>
      <w:keepNext w:val="0"/>
      <w:keepLines w:val="0"/>
      <w:numPr>
        <w:numId w:val="13"/>
      </w:numPr>
      <w:spacing w:before="0"/>
      <w:outlineLvl w:val="7"/>
    </w:pPr>
  </w:style>
  <w:style w:type="paragraph" w:customStyle="1" w:styleId="TOCHeading-Indent">
    <w:name w:val="TOC Heading - Indent"/>
    <w:basedOn w:val="TOCHeading"/>
    <w:uiPriority w:val="39"/>
    <w:semiHidden/>
    <w:rsid w:val="00920D86"/>
    <w:pPr>
      <w:ind w:left="-567"/>
    </w:pPr>
  </w:style>
  <w:style w:type="paragraph" w:customStyle="1" w:styleId="FactBoxHeading2">
    <w:name w:val="Fact Box Heading 2"/>
    <w:basedOn w:val="Normal"/>
    <w:uiPriority w:val="7"/>
    <w:rsid w:val="00920D86"/>
    <w:pPr>
      <w:spacing w:after="160"/>
    </w:pPr>
    <w:rPr>
      <w:rFonts w:eastAsia="Times New Roman" w:cs="Times New Roman"/>
      <w:b/>
      <w:color w:val="FFFFFF"/>
      <w:sz w:val="22"/>
    </w:rPr>
  </w:style>
  <w:style w:type="paragraph" w:customStyle="1" w:styleId="FrontpageInfo">
    <w:name w:val="Frontpage Info"/>
    <w:basedOn w:val="Normal"/>
    <w:uiPriority w:val="8"/>
    <w:rsid w:val="00053E7C"/>
    <w:pPr>
      <w:spacing w:line="360" w:lineRule="atLeast"/>
    </w:pPr>
    <w:rPr>
      <w:color w:val="FFFFFF"/>
      <w:sz w:val="30"/>
    </w:rPr>
  </w:style>
  <w:style w:type="paragraph" w:customStyle="1" w:styleId="H2-NOTTOC">
    <w:name w:val="H2 - NOT TOC"/>
    <w:basedOn w:val="Heading2"/>
    <w:next w:val="Normal"/>
    <w:uiPriority w:val="4"/>
    <w:rsid w:val="00920D86"/>
    <w:pPr>
      <w:numPr>
        <w:numId w:val="1"/>
      </w:numPr>
      <w:outlineLvl w:val="9"/>
    </w:pPr>
  </w:style>
  <w:style w:type="paragraph" w:customStyle="1" w:styleId="H3-NOTTOC">
    <w:name w:val="H3 - NOT TOC"/>
    <w:basedOn w:val="Heading3"/>
    <w:next w:val="Normal"/>
    <w:uiPriority w:val="4"/>
    <w:rsid w:val="00920D86"/>
    <w:pPr>
      <w:numPr>
        <w:numId w:val="1"/>
      </w:numPr>
      <w:outlineLvl w:val="9"/>
    </w:pPr>
  </w:style>
  <w:style w:type="paragraph" w:customStyle="1" w:styleId="H4-NOTTOC">
    <w:name w:val="H4 - NOT TOC"/>
    <w:basedOn w:val="Heading4"/>
    <w:next w:val="Normal"/>
    <w:uiPriority w:val="4"/>
    <w:rsid w:val="00920D86"/>
    <w:pPr>
      <w:numPr>
        <w:numId w:val="1"/>
      </w:numPr>
      <w:outlineLvl w:val="9"/>
    </w:pPr>
  </w:style>
  <w:style w:type="paragraph" w:customStyle="1" w:styleId="Titlepage">
    <w:name w:val="Titlepage"/>
    <w:basedOn w:val="Subtitle"/>
    <w:uiPriority w:val="8"/>
    <w:semiHidden/>
    <w:qFormat/>
    <w:rsid w:val="00920D86"/>
    <w:pPr>
      <w:framePr w:wrap="around" w:vAnchor="page" w:hAnchor="page" w:x="1163" w:y="4310"/>
      <w:numPr>
        <w:ilvl w:val="0"/>
      </w:numPr>
      <w:contextualSpacing w:val="0"/>
    </w:pPr>
    <w:rPr>
      <w:rFonts w:eastAsia="Times New Roman" w:cs="Times New Roman"/>
      <w:b/>
      <w:iCs w:val="0"/>
      <w:color w:val="009DF0" w:themeColor="text2"/>
    </w:rPr>
  </w:style>
  <w:style w:type="paragraph" w:customStyle="1" w:styleId="Headnote">
    <w:name w:val="Head note"/>
    <w:basedOn w:val="Normal"/>
    <w:uiPriority w:val="2"/>
    <w:rsid w:val="00920D86"/>
    <w:pPr>
      <w:spacing w:after="280" w:line="280" w:lineRule="atLeast"/>
    </w:pPr>
    <w:rPr>
      <w:rFonts w:eastAsia="Times New Roman" w:cs="Times New Roman"/>
      <w:b/>
      <w:color w:val="4D4D4D"/>
      <w:sz w:val="21"/>
    </w:rPr>
  </w:style>
  <w:style w:type="paragraph" w:customStyle="1" w:styleId="FigureHeading">
    <w:name w:val="Figure Heading"/>
    <w:basedOn w:val="Normal"/>
    <w:uiPriority w:val="5"/>
    <w:rsid w:val="00920D86"/>
    <w:rPr>
      <w:b/>
      <w:color w:val="009DF0" w:themeColor="text2"/>
    </w:rPr>
  </w:style>
  <w:style w:type="paragraph" w:customStyle="1" w:styleId="OrgName">
    <w:name w:val="Org Name"/>
    <w:basedOn w:val="Normal"/>
    <w:uiPriority w:val="5"/>
    <w:rsid w:val="00920D86"/>
    <w:pPr>
      <w:spacing w:line="200" w:lineRule="atLeast"/>
    </w:pPr>
    <w:rPr>
      <w:rFonts w:eastAsia="Times New Roman" w:cs="Times New Roman"/>
      <w:b/>
      <w:color w:val="FFFFFF"/>
      <w:sz w:val="16"/>
    </w:rPr>
  </w:style>
  <w:style w:type="paragraph" w:customStyle="1" w:styleId="BackpageWeb">
    <w:name w:val="Backpage Web"/>
    <w:basedOn w:val="Normal"/>
    <w:uiPriority w:val="8"/>
    <w:rsid w:val="00E37AEE"/>
    <w:pPr>
      <w:spacing w:line="290" w:lineRule="atLeast"/>
    </w:pPr>
    <w:rPr>
      <w:color w:val="009DF0" w:themeColor="text2"/>
      <w:sz w:val="24"/>
    </w:rPr>
  </w:style>
  <w:style w:type="paragraph" w:customStyle="1" w:styleId="Default">
    <w:name w:val="Default"/>
    <w:rsid w:val="00964042"/>
    <w:pPr>
      <w:autoSpaceDE w:val="0"/>
      <w:autoSpaceDN w:val="0"/>
      <w:adjustRightInd w:val="0"/>
      <w:spacing w:line="240" w:lineRule="auto"/>
    </w:pPr>
    <w:rPr>
      <w:rFonts w:ascii="Calibri" w:hAnsi="Calibri" w:cs="Calibri"/>
      <w:color w:val="000000"/>
      <w:sz w:val="24"/>
      <w:szCs w:val="24"/>
      <w:lang w:val="ro-RO"/>
    </w:rPr>
  </w:style>
  <w:style w:type="character" w:customStyle="1" w:styleId="ListParagraphChar">
    <w:name w:val="List Paragraph Char"/>
    <w:aliases w:val="Heading1 Char,body 2 Char,List Paragraph1 Char,Header bold Char,heading 7 Char,List Paragraph11 Char,bullets Char,Arial Char,Normal bullet 2 Char,Forth level Char,List_Paragraph Char,Multilevel para_II Char,Bullet Char,EU Char"/>
    <w:link w:val="ListParagraph"/>
    <w:uiPriority w:val="34"/>
    <w:qFormat/>
    <w:locked/>
    <w:rsid w:val="00964042"/>
    <w:rPr>
      <w:lang w:val="en-US"/>
    </w:rPr>
  </w:style>
  <w:style w:type="character" w:customStyle="1" w:styleId="CaptionChar">
    <w:name w:val="Caption Char"/>
    <w:link w:val="Caption"/>
    <w:locked/>
    <w:rsid w:val="00BC1CD7"/>
    <w:rPr>
      <w:b/>
      <w:bCs/>
      <w:color w:val="009DF0" w:themeColor="text2"/>
      <w:sz w:val="14"/>
      <w:lang w:val="en-US"/>
    </w:rPr>
  </w:style>
  <w:style w:type="paragraph" w:styleId="Revision">
    <w:name w:val="Revision"/>
    <w:hidden/>
    <w:uiPriority w:val="99"/>
    <w:semiHidden/>
    <w:rsid w:val="00693554"/>
    <w:pPr>
      <w:spacing w:line="240" w:lineRule="auto"/>
    </w:pPr>
    <w:rPr>
      <w:lang w:val="en-US"/>
    </w:rPr>
  </w:style>
  <w:style w:type="table" w:customStyle="1" w:styleId="Rambolltebel11">
    <w:name w:val="Ramboll tebel 11"/>
    <w:basedOn w:val="TableNormal"/>
    <w:next w:val="GridTable5Dark-Accent1"/>
    <w:uiPriority w:val="50"/>
    <w:rsid w:val="00FD4EE4"/>
    <w:pPr>
      <w:spacing w:before="60" w:after="60" w:line="276" w:lineRule="auto"/>
    </w:pPr>
    <w:rPr>
      <w:sz w:val="16"/>
    </w:rPr>
    <w:tblPr>
      <w:tblStyleRowBandSize w:val="1"/>
      <w:tblStyleCol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vAlign w:val="center"/>
    </w:tcPr>
    <w:tblStylePr w:type="firstRow">
      <w:rPr>
        <w:rFonts w:ascii="Verdana" w:hAnsi="Verdana"/>
        <w:b/>
        <w:bCs/>
        <w:color w:val="FFFFFF"/>
        <w:sz w:val="18"/>
      </w:rPr>
      <w:tblPr/>
      <w:tcPr>
        <w:shd w:val="clear" w:color="auto" w:fill="009DF0"/>
      </w:tcPr>
    </w:tblStylePr>
    <w:tblStylePr w:type="lastRow">
      <w:rPr>
        <w:rFonts w:ascii="Verdana" w:hAnsi="Verdana"/>
        <w:b/>
        <w:bCs/>
        <w:color w:val="auto"/>
        <w:sz w:val="18"/>
      </w:rPr>
      <w:tblPr/>
      <w:tcPr>
        <w:shd w:val="clear" w:color="auto" w:fill="BFBFBF"/>
      </w:tcPr>
    </w:tblStylePr>
    <w:tblStylePr w:type="firstCol">
      <w:pPr>
        <w:wordWrap/>
        <w:jc w:val="center"/>
      </w:pPr>
      <w:rPr>
        <w:rFonts w:ascii="Verdana" w:hAnsi="Verdana"/>
        <w:b/>
        <w:bCs/>
        <w:color w:val="FFFFFF"/>
        <w:sz w:val="16"/>
      </w:rPr>
      <w:tblPr/>
      <w:tcPr>
        <w:shd w:val="clear" w:color="auto" w:fill="009DF0"/>
      </w:tcPr>
    </w:tblStylePr>
    <w:tblStylePr w:type="lastCol">
      <w:rPr>
        <w:rFonts w:ascii="Verdana" w:hAnsi="Verdana"/>
        <w:b w:val="0"/>
        <w:bCs/>
        <w:color w:val="FFFFFF"/>
        <w:sz w:val="16"/>
      </w:rPr>
      <w:tblPr/>
      <w:tcPr>
        <w:shd w:val="clear" w:color="auto" w:fill="FFFFFF"/>
      </w:tcPr>
    </w:tblStylePr>
    <w:tblStylePr w:type="band1Vert">
      <w:rPr>
        <w:rFonts w:ascii="Verdana" w:hAnsi="Verdana"/>
        <w:sz w:val="16"/>
      </w:rPr>
      <w:tblPr/>
      <w:tcPr>
        <w:shd w:val="clear" w:color="auto" w:fill="FFFFFF"/>
      </w:tcPr>
    </w:tblStylePr>
    <w:tblStylePr w:type="band2Vert">
      <w:rPr>
        <w:rFonts w:ascii="Verdana" w:hAnsi="Verdana"/>
        <w:sz w:val="16"/>
      </w:rPr>
      <w:tblPr/>
      <w:tcPr>
        <w:shd w:val="clear" w:color="auto" w:fill="FFFFFF"/>
      </w:tcPr>
    </w:tblStylePr>
    <w:tblStylePr w:type="band1Horz">
      <w:rPr>
        <w:rFonts w:ascii="Verdana" w:hAnsi="Verdana"/>
        <w:sz w:val="16"/>
      </w:rPr>
    </w:tblStylePr>
    <w:tblStylePr w:type="band2Horz">
      <w:rPr>
        <w:rFonts w:ascii="Verdana" w:hAnsi="Verdana"/>
        <w:sz w:val="16"/>
      </w:rPr>
    </w:tblStylePr>
  </w:style>
  <w:style w:type="paragraph" w:customStyle="1" w:styleId="text-start">
    <w:name w:val="text-start"/>
    <w:basedOn w:val="Normal"/>
    <w:rsid w:val="00AF32D5"/>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msonormal0">
    <w:name w:val="msonormal"/>
    <w:basedOn w:val="Normal"/>
    <w:rsid w:val="00FC3738"/>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customStyle="1" w:styleId="xl64">
    <w:name w:val="xl64"/>
    <w:basedOn w:val="Normal"/>
    <w:rsid w:val="00FC3738"/>
    <w:pPr>
      <w:spacing w:before="100" w:beforeAutospacing="1" w:after="100" w:afterAutospacing="1" w:line="240" w:lineRule="auto"/>
      <w:textAlignment w:val="center"/>
    </w:pPr>
    <w:rPr>
      <w:rFonts w:ascii="Times New Roman" w:eastAsia="Times New Roman" w:hAnsi="Times New Roman" w:cs="Times New Roman"/>
      <w:sz w:val="24"/>
      <w:szCs w:val="24"/>
      <w:lang w:val="ro-RO" w:eastAsia="ro-RO"/>
    </w:rPr>
  </w:style>
  <w:style w:type="paragraph" w:customStyle="1" w:styleId="xl65">
    <w:name w:val="xl65"/>
    <w:basedOn w:val="Normal"/>
    <w:rsid w:val="00FC3738"/>
    <w:pPr>
      <w:spacing w:before="100" w:beforeAutospacing="1" w:after="100" w:afterAutospacing="1" w:line="240" w:lineRule="auto"/>
      <w:jc w:val="center"/>
      <w:textAlignment w:val="center"/>
    </w:pPr>
    <w:rPr>
      <w:rFonts w:ascii="Times New Roman" w:eastAsia="Times New Roman" w:hAnsi="Times New Roman" w:cs="Times New Roman"/>
      <w:sz w:val="24"/>
      <w:szCs w:val="24"/>
      <w:lang w:val="ro-RO" w:eastAsia="ro-RO"/>
    </w:rPr>
  </w:style>
  <w:style w:type="paragraph" w:customStyle="1" w:styleId="xl63">
    <w:name w:val="xl63"/>
    <w:basedOn w:val="Normal"/>
    <w:rsid w:val="00081F91"/>
    <w:pPr>
      <w:pBdr>
        <w:top w:val="single" w:sz="4" w:space="0" w:color="B4C6E7"/>
        <w:left w:val="single" w:sz="4" w:space="0" w:color="B4C6E7"/>
        <w:bottom w:val="single" w:sz="4" w:space="0" w:color="B4C6E7"/>
      </w:pBdr>
      <w:spacing w:before="100" w:beforeAutospacing="1" w:after="100" w:afterAutospacing="1" w:line="240" w:lineRule="auto"/>
    </w:pPr>
    <w:rPr>
      <w:rFonts w:ascii="Arial" w:eastAsia="Times New Roman" w:hAnsi="Arial" w:cs="Arial"/>
      <w:b/>
      <w:bCs/>
      <w:lang w:val="ro-RO" w:eastAsia="ro-RO"/>
    </w:rPr>
  </w:style>
  <w:style w:type="paragraph" w:customStyle="1" w:styleId="xl66">
    <w:name w:val="xl66"/>
    <w:basedOn w:val="Normal"/>
    <w:rsid w:val="00081F91"/>
    <w:pPr>
      <w:pBdr>
        <w:top w:val="single" w:sz="4" w:space="0" w:color="B4C6E7"/>
        <w:left w:val="single" w:sz="4" w:space="0" w:color="B4C6E7"/>
        <w:bottom w:val="single" w:sz="4" w:space="0" w:color="B4C6E7"/>
        <w:right w:val="single" w:sz="4" w:space="0" w:color="B4C6E7"/>
      </w:pBdr>
      <w:shd w:val="clear" w:color="0066CC" w:fill="2E75B6"/>
      <w:spacing w:before="100" w:beforeAutospacing="1" w:after="100" w:afterAutospacing="1" w:line="240" w:lineRule="auto"/>
      <w:jc w:val="center"/>
      <w:textAlignment w:val="center"/>
    </w:pPr>
    <w:rPr>
      <w:rFonts w:ascii="Arial" w:eastAsia="Times New Roman" w:hAnsi="Arial" w:cs="Arial"/>
      <w:b/>
      <w:bCs/>
      <w:color w:val="FFFFFF"/>
      <w:sz w:val="20"/>
      <w:szCs w:val="20"/>
      <w:lang w:val="ro-RO" w:eastAsia="ro-RO"/>
    </w:rPr>
  </w:style>
  <w:style w:type="paragraph" w:customStyle="1" w:styleId="xl67">
    <w:name w:val="xl67"/>
    <w:basedOn w:val="Normal"/>
    <w:rsid w:val="00081F91"/>
    <w:pPr>
      <w:pBdr>
        <w:top w:val="single" w:sz="4" w:space="0" w:color="B4C6E7"/>
        <w:left w:val="single" w:sz="4" w:space="0" w:color="B4C6E7"/>
        <w:bottom w:val="single" w:sz="4" w:space="0" w:color="B4C6E7"/>
        <w:right w:val="single" w:sz="4" w:space="0" w:color="B4C6E7"/>
      </w:pBdr>
      <w:shd w:val="clear" w:color="E8F4F8" w:fill="F2F2F2"/>
      <w:spacing w:before="100" w:beforeAutospacing="1" w:after="100" w:afterAutospacing="1" w:line="240" w:lineRule="auto"/>
      <w:jc w:val="center"/>
      <w:textAlignment w:val="center"/>
    </w:pPr>
    <w:rPr>
      <w:rFonts w:ascii="Arial" w:eastAsia="Times New Roman" w:hAnsi="Arial" w:cs="Arial"/>
      <w:lang w:val="ro-RO" w:eastAsia="ro-RO"/>
    </w:rPr>
  </w:style>
  <w:style w:type="paragraph" w:customStyle="1" w:styleId="xl68">
    <w:name w:val="xl68"/>
    <w:basedOn w:val="Normal"/>
    <w:rsid w:val="00081F91"/>
    <w:pPr>
      <w:pBdr>
        <w:top w:val="single" w:sz="4" w:space="0" w:color="B4C6E7"/>
        <w:left w:val="single" w:sz="4" w:space="0" w:color="B4C6E7"/>
        <w:bottom w:val="single" w:sz="4" w:space="0" w:color="B4C6E7"/>
        <w:right w:val="single" w:sz="4" w:space="0" w:color="B4C6E7"/>
      </w:pBdr>
      <w:shd w:val="clear" w:color="E8F4F8" w:fill="F2F2F2"/>
      <w:spacing w:before="100" w:beforeAutospacing="1" w:after="100" w:afterAutospacing="1" w:line="240" w:lineRule="auto"/>
      <w:jc w:val="center"/>
      <w:textAlignment w:val="center"/>
    </w:pPr>
    <w:rPr>
      <w:rFonts w:ascii="Arial" w:eastAsia="Times New Roman" w:hAnsi="Arial" w:cs="Arial"/>
      <w:b/>
      <w:bCs/>
      <w:lang w:val="ro-RO" w:eastAsia="ro-RO"/>
    </w:rPr>
  </w:style>
  <w:style w:type="paragraph" w:customStyle="1" w:styleId="xl69">
    <w:name w:val="xl69"/>
    <w:basedOn w:val="Normal"/>
    <w:rsid w:val="00081F91"/>
    <w:pPr>
      <w:pBdr>
        <w:top w:val="single" w:sz="4" w:space="0" w:color="B4C6E7"/>
        <w:left w:val="single" w:sz="4" w:space="7" w:color="B4C6E7"/>
        <w:bottom w:val="single" w:sz="4" w:space="0" w:color="B4C6E7"/>
        <w:right w:val="single" w:sz="4" w:space="0" w:color="B4C6E7"/>
      </w:pBdr>
      <w:shd w:val="clear" w:color="E8F4F8" w:fill="F2F2F2"/>
      <w:spacing w:before="100" w:beforeAutospacing="1" w:after="100" w:afterAutospacing="1" w:line="240" w:lineRule="auto"/>
      <w:ind w:firstLineChars="100" w:firstLine="100"/>
      <w:textAlignment w:val="center"/>
    </w:pPr>
    <w:rPr>
      <w:rFonts w:ascii="Arial" w:eastAsia="Times New Roman" w:hAnsi="Arial" w:cs="Arial"/>
      <w:lang w:val="ro-RO" w:eastAsia="ro-RO"/>
    </w:rPr>
  </w:style>
  <w:style w:type="paragraph" w:customStyle="1" w:styleId="xl70">
    <w:name w:val="xl70"/>
    <w:basedOn w:val="Normal"/>
    <w:rsid w:val="00081F91"/>
    <w:pPr>
      <w:pBdr>
        <w:top w:val="single" w:sz="4" w:space="0" w:color="B4C6E7"/>
        <w:left w:val="single" w:sz="4" w:space="0" w:color="B4C6E7"/>
        <w:bottom w:val="single" w:sz="4" w:space="0" w:color="B4C6E7"/>
        <w:right w:val="single" w:sz="4" w:space="0" w:color="B4C6E7"/>
      </w:pBdr>
      <w:shd w:val="clear" w:color="D6E4F0" w:fill="DAEEF3"/>
      <w:spacing w:before="100" w:beforeAutospacing="1" w:after="100" w:afterAutospacing="1" w:line="240" w:lineRule="auto"/>
      <w:jc w:val="center"/>
      <w:textAlignment w:val="center"/>
    </w:pPr>
    <w:rPr>
      <w:rFonts w:ascii="Arial" w:eastAsia="Times New Roman" w:hAnsi="Arial" w:cs="Arial"/>
      <w:b/>
      <w:bCs/>
      <w:color w:val="0000FF"/>
      <w:lang w:val="ro-RO" w:eastAsia="ro-RO"/>
    </w:rPr>
  </w:style>
  <w:style w:type="paragraph" w:customStyle="1" w:styleId="xl71">
    <w:name w:val="xl71"/>
    <w:basedOn w:val="Normal"/>
    <w:rsid w:val="00081F91"/>
    <w:pPr>
      <w:pBdr>
        <w:top w:val="single" w:sz="4" w:space="0" w:color="B4C6E7"/>
        <w:left w:val="single" w:sz="4" w:space="0" w:color="B4C6E7"/>
        <w:bottom w:val="single" w:sz="4" w:space="0" w:color="B4C6E7"/>
        <w:right w:val="single" w:sz="4" w:space="0" w:color="B4C6E7"/>
      </w:pBdr>
      <w:shd w:val="clear" w:color="E8F4F8" w:fill="F2F2F2"/>
      <w:spacing w:before="100" w:beforeAutospacing="1" w:after="100" w:afterAutospacing="1" w:line="240" w:lineRule="auto"/>
      <w:jc w:val="center"/>
      <w:textAlignment w:val="center"/>
    </w:pPr>
    <w:rPr>
      <w:rFonts w:ascii="Arial" w:eastAsia="Times New Roman" w:hAnsi="Arial" w:cs="Arial"/>
      <w:b/>
      <w:bCs/>
      <w:sz w:val="24"/>
      <w:szCs w:val="24"/>
      <w:lang w:val="ro-RO" w:eastAsia="ro-RO"/>
    </w:rPr>
  </w:style>
  <w:style w:type="paragraph" w:customStyle="1" w:styleId="xl72">
    <w:name w:val="xl72"/>
    <w:basedOn w:val="Normal"/>
    <w:rsid w:val="00081F91"/>
    <w:pPr>
      <w:pBdr>
        <w:top w:val="single" w:sz="4" w:space="0" w:color="B4C6E7"/>
        <w:left w:val="single" w:sz="4" w:space="0" w:color="B4C6E7"/>
        <w:bottom w:val="single" w:sz="4" w:space="0" w:color="B4C6E7"/>
        <w:right w:val="single" w:sz="4" w:space="0" w:color="B4C6E7"/>
      </w:pBdr>
      <w:shd w:val="clear" w:color="F2F2F2" w:fill="FFFFFF"/>
      <w:spacing w:before="100" w:beforeAutospacing="1" w:after="100" w:afterAutospacing="1" w:line="240" w:lineRule="auto"/>
      <w:jc w:val="center"/>
      <w:textAlignment w:val="center"/>
    </w:pPr>
    <w:rPr>
      <w:rFonts w:ascii="Arial" w:eastAsia="Times New Roman" w:hAnsi="Arial" w:cs="Arial"/>
      <w:lang w:val="ro-RO" w:eastAsia="ro-RO"/>
    </w:rPr>
  </w:style>
  <w:style w:type="paragraph" w:customStyle="1" w:styleId="xl73">
    <w:name w:val="xl73"/>
    <w:basedOn w:val="Normal"/>
    <w:rsid w:val="00081F91"/>
    <w:pPr>
      <w:pBdr>
        <w:top w:val="single" w:sz="4" w:space="0" w:color="B4C6E7"/>
        <w:left w:val="single" w:sz="4" w:space="0" w:color="B4C6E7"/>
        <w:bottom w:val="single" w:sz="4" w:space="0" w:color="B4C6E7"/>
        <w:right w:val="single" w:sz="4" w:space="0" w:color="B4C6E7"/>
      </w:pBdr>
      <w:shd w:val="clear" w:color="F2F2F2" w:fill="FFFFFF"/>
      <w:spacing w:before="100" w:beforeAutospacing="1" w:after="100" w:afterAutospacing="1" w:line="240" w:lineRule="auto"/>
      <w:jc w:val="center"/>
      <w:textAlignment w:val="center"/>
    </w:pPr>
    <w:rPr>
      <w:rFonts w:ascii="Arial" w:eastAsia="Times New Roman" w:hAnsi="Arial" w:cs="Arial"/>
      <w:b/>
      <w:bCs/>
      <w:lang w:val="ro-RO" w:eastAsia="ro-RO"/>
    </w:rPr>
  </w:style>
  <w:style w:type="paragraph" w:customStyle="1" w:styleId="xl74">
    <w:name w:val="xl74"/>
    <w:basedOn w:val="Normal"/>
    <w:rsid w:val="00081F91"/>
    <w:pPr>
      <w:pBdr>
        <w:top w:val="single" w:sz="4" w:space="0" w:color="B4C6E7"/>
        <w:left w:val="single" w:sz="4" w:space="7" w:color="B4C6E7"/>
        <w:bottom w:val="single" w:sz="4" w:space="0" w:color="B4C6E7"/>
        <w:right w:val="single" w:sz="4" w:space="0" w:color="B4C6E7"/>
      </w:pBdr>
      <w:shd w:val="clear" w:color="F2F2F2" w:fill="FFFFFF"/>
      <w:spacing w:before="100" w:beforeAutospacing="1" w:after="100" w:afterAutospacing="1" w:line="240" w:lineRule="auto"/>
      <w:ind w:firstLineChars="100" w:firstLine="100"/>
      <w:textAlignment w:val="center"/>
    </w:pPr>
    <w:rPr>
      <w:rFonts w:ascii="Arial" w:eastAsia="Times New Roman" w:hAnsi="Arial" w:cs="Arial"/>
      <w:lang w:val="ro-RO" w:eastAsia="ro-RO"/>
    </w:rPr>
  </w:style>
  <w:style w:type="paragraph" w:customStyle="1" w:styleId="xl75">
    <w:name w:val="xl75"/>
    <w:basedOn w:val="Normal"/>
    <w:rsid w:val="00081F91"/>
    <w:pPr>
      <w:pBdr>
        <w:top w:val="single" w:sz="4" w:space="0" w:color="B4C6E7"/>
        <w:left w:val="single" w:sz="4" w:space="0" w:color="B4C6E7"/>
        <w:bottom w:val="single" w:sz="4" w:space="0" w:color="B4C6E7"/>
        <w:right w:val="single" w:sz="4" w:space="0" w:color="B4C6E7"/>
      </w:pBdr>
      <w:shd w:val="clear" w:color="F2F2F2" w:fill="E8F4F8"/>
      <w:spacing w:before="100" w:beforeAutospacing="1" w:after="100" w:afterAutospacing="1" w:line="240" w:lineRule="auto"/>
      <w:jc w:val="center"/>
      <w:textAlignment w:val="center"/>
    </w:pPr>
    <w:rPr>
      <w:rFonts w:ascii="Arial" w:eastAsia="Times New Roman" w:hAnsi="Arial" w:cs="Arial"/>
      <w:b/>
      <w:bCs/>
      <w:color w:val="0000FF"/>
      <w:lang w:val="ro-RO" w:eastAsia="ro-RO"/>
    </w:rPr>
  </w:style>
  <w:style w:type="paragraph" w:customStyle="1" w:styleId="xl76">
    <w:name w:val="xl76"/>
    <w:basedOn w:val="Normal"/>
    <w:rsid w:val="00081F91"/>
    <w:pPr>
      <w:pBdr>
        <w:top w:val="single" w:sz="4" w:space="0" w:color="B4C6E7"/>
        <w:left w:val="single" w:sz="4" w:space="0" w:color="B4C6E7"/>
        <w:bottom w:val="single" w:sz="4" w:space="0" w:color="B4C6E7"/>
        <w:right w:val="single" w:sz="4" w:space="0" w:color="B4C6E7"/>
      </w:pBdr>
      <w:shd w:val="clear" w:color="F2F2F2" w:fill="FFFFFF"/>
      <w:spacing w:before="100" w:beforeAutospacing="1" w:after="100" w:afterAutospacing="1" w:line="240" w:lineRule="auto"/>
      <w:jc w:val="center"/>
      <w:textAlignment w:val="center"/>
    </w:pPr>
    <w:rPr>
      <w:rFonts w:ascii="Arial" w:eastAsia="Times New Roman" w:hAnsi="Arial" w:cs="Arial"/>
      <w:b/>
      <w:bCs/>
      <w:sz w:val="24"/>
      <w:szCs w:val="24"/>
      <w:lang w:val="ro-RO" w:eastAsia="ro-RO"/>
    </w:rPr>
  </w:style>
  <w:style w:type="paragraph" w:customStyle="1" w:styleId="xl77">
    <w:name w:val="xl77"/>
    <w:basedOn w:val="Normal"/>
    <w:rsid w:val="00081F91"/>
    <w:pPr>
      <w:pBdr>
        <w:top w:val="single" w:sz="4" w:space="0" w:color="B4C6E7"/>
        <w:left w:val="single" w:sz="4" w:space="0" w:color="B4C6E7"/>
        <w:bottom w:val="single" w:sz="4" w:space="0" w:color="B4C6E7"/>
        <w:right w:val="single" w:sz="4" w:space="0" w:color="B4C6E7"/>
      </w:pBdr>
      <w:shd w:val="clear" w:color="D9E2F3" w:fill="D6E4F0"/>
      <w:spacing w:before="100" w:beforeAutospacing="1" w:after="100" w:afterAutospacing="1" w:line="240" w:lineRule="auto"/>
      <w:jc w:val="center"/>
      <w:textAlignment w:val="center"/>
    </w:pPr>
    <w:rPr>
      <w:rFonts w:ascii="Arial" w:eastAsia="Times New Roman" w:hAnsi="Arial" w:cs="Arial"/>
      <w:b/>
      <w:bCs/>
      <w:lang w:val="ro-RO" w:eastAsia="ro-RO"/>
    </w:rPr>
  </w:style>
  <w:style w:type="paragraph" w:customStyle="1" w:styleId="xl78">
    <w:name w:val="xl78"/>
    <w:basedOn w:val="Normal"/>
    <w:rsid w:val="00081F91"/>
    <w:pPr>
      <w:pBdr>
        <w:top w:val="single" w:sz="4" w:space="0" w:color="B4C6E7"/>
        <w:left w:val="single" w:sz="4" w:space="0" w:color="B4C6E7"/>
        <w:bottom w:val="single" w:sz="4" w:space="0" w:color="B4C6E7"/>
        <w:right w:val="single" w:sz="4" w:space="0" w:color="B4C6E7"/>
      </w:pBdr>
      <w:shd w:val="clear" w:color="D9E2F3" w:fill="D6E4F0"/>
      <w:spacing w:before="100" w:beforeAutospacing="1" w:after="100" w:afterAutospacing="1" w:line="240" w:lineRule="auto"/>
      <w:jc w:val="center"/>
      <w:textAlignment w:val="center"/>
    </w:pPr>
    <w:rPr>
      <w:rFonts w:ascii="Arial" w:eastAsia="Times New Roman" w:hAnsi="Arial" w:cs="Arial"/>
      <w:b/>
      <w:bCs/>
      <w:sz w:val="24"/>
      <w:szCs w:val="24"/>
      <w:lang w:val="ro-RO" w:eastAsia="ro-RO"/>
    </w:rPr>
  </w:style>
  <w:style w:type="paragraph" w:customStyle="1" w:styleId="xl79">
    <w:name w:val="xl79"/>
    <w:basedOn w:val="Normal"/>
    <w:rsid w:val="00081F91"/>
    <w:pPr>
      <w:pBdr>
        <w:top w:val="single" w:sz="4" w:space="0" w:color="B4C6E7"/>
        <w:left w:val="single" w:sz="4" w:space="0" w:color="B4C6E7"/>
        <w:bottom w:val="single" w:sz="4" w:space="0" w:color="B4C6E7"/>
        <w:right w:val="single" w:sz="4" w:space="0" w:color="B4C6E7"/>
      </w:pBdr>
      <w:spacing w:before="100" w:beforeAutospacing="1" w:after="100" w:afterAutospacing="1" w:line="240" w:lineRule="auto"/>
      <w:jc w:val="center"/>
      <w:textAlignment w:val="center"/>
    </w:pPr>
    <w:rPr>
      <w:rFonts w:ascii="Arial" w:eastAsia="Times New Roman" w:hAnsi="Arial" w:cs="Arial"/>
      <w:b/>
      <w:bCs/>
      <w:lang w:val="ro-RO" w:eastAsia="ro-RO"/>
    </w:rPr>
  </w:style>
  <w:style w:type="paragraph" w:customStyle="1" w:styleId="xl80">
    <w:name w:val="xl80"/>
    <w:basedOn w:val="Normal"/>
    <w:rsid w:val="00081F91"/>
    <w:pPr>
      <w:spacing w:before="100" w:beforeAutospacing="1" w:after="100" w:afterAutospacing="1" w:line="240" w:lineRule="auto"/>
      <w:jc w:val="center"/>
      <w:textAlignment w:val="center"/>
    </w:pPr>
    <w:rPr>
      <w:rFonts w:ascii="Arial" w:eastAsia="Times New Roman" w:hAnsi="Arial" w:cs="Arial"/>
      <w:i/>
      <w:iCs/>
      <w:sz w:val="16"/>
      <w:szCs w:val="16"/>
      <w:lang w:val="ro-RO" w:eastAsia="ro-RO"/>
    </w:rPr>
  </w:style>
  <w:style w:type="paragraph" w:customStyle="1" w:styleId="Strong1">
    <w:name w:val="Strong1"/>
    <w:qFormat/>
    <w:rsid w:val="00023275"/>
    <w:pPr>
      <w:spacing w:line="240" w:lineRule="auto"/>
    </w:pPr>
    <w:rPr>
      <w:rFonts w:ascii="Arial" w:eastAsia="Arial" w:hAnsi="Arial" w:cs="Arial"/>
      <w:b/>
      <w:bCs/>
      <w:sz w:val="20"/>
      <w:szCs w:val="20"/>
      <w:lang w:val="ro-RO" w:eastAsia="ro-RO"/>
    </w:rPr>
  </w:style>
  <w:style w:type="table" w:customStyle="1" w:styleId="Rambolltebel12">
    <w:name w:val="Ramboll tebel 12"/>
    <w:basedOn w:val="TableNormal"/>
    <w:next w:val="GridTable5Dark-Accent1"/>
    <w:uiPriority w:val="50"/>
    <w:rsid w:val="00585855"/>
    <w:pPr>
      <w:spacing w:before="60" w:after="60" w:line="276" w:lineRule="auto"/>
    </w:pPr>
    <w:rPr>
      <w:sz w:val="16"/>
    </w:rPr>
    <w:tblPr>
      <w:tblStyleRowBandSize w:val="1"/>
      <w:tblStyleColBandSize w:val="1"/>
    </w:tblPr>
    <w:tcPr>
      <w:shd w:val="clear" w:color="auto" w:fill="FFFFFF" w:themeFill="background1"/>
      <w:vAlign w:val="center"/>
    </w:tcPr>
    <w:tblStylePr w:type="firstRow">
      <w:rPr>
        <w:rFonts w:ascii="Verdana" w:hAnsi="Verdana"/>
        <w:b/>
        <w:bCs/>
        <w:color w:val="FFFFFF" w:themeColor="background1"/>
        <w:sz w:val="18"/>
      </w:rPr>
      <w:tblPr/>
      <w:tcPr>
        <w:shd w:val="clear" w:color="auto" w:fill="009DF0" w:themeFill="text2"/>
      </w:tcPr>
    </w:tblStylePr>
    <w:tblStylePr w:type="lastRow">
      <w:rPr>
        <w:rFonts w:asciiTheme="minorHAnsi" w:hAnsiTheme="minorHAnsi"/>
        <w:b/>
        <w:bCs/>
        <w:color w:val="auto"/>
        <w:sz w:val="18"/>
      </w:rPr>
      <w:tblPr/>
      <w:tcPr>
        <w:shd w:val="clear" w:color="auto" w:fill="BFBFBF" w:themeFill="background1" w:themeFillShade="BF"/>
      </w:tcPr>
    </w:tblStylePr>
    <w:tblStylePr w:type="firstCol">
      <w:pPr>
        <w:wordWrap/>
        <w:jc w:val="center"/>
      </w:pPr>
      <w:rPr>
        <w:rFonts w:ascii="Verdana" w:hAnsi="Verdana"/>
        <w:b/>
        <w:bCs/>
        <w:color w:val="FFFFFF" w:themeColor="background1"/>
        <w:sz w:val="16"/>
      </w:rPr>
      <w:tblPr/>
      <w:tcPr>
        <w:shd w:val="clear" w:color="auto" w:fill="009DF0" w:themeFill="text2"/>
      </w:tcPr>
    </w:tblStylePr>
    <w:tblStylePr w:type="lastCol">
      <w:rPr>
        <w:rFonts w:ascii="Verdana" w:hAnsi="Verdana"/>
        <w:b w:val="0"/>
        <w:bCs/>
        <w:color w:val="FFFFFF" w:themeColor="background1"/>
        <w:sz w:val="16"/>
      </w:rPr>
    </w:tblStylePr>
    <w:tblStylePr w:type="band1Vert">
      <w:rPr>
        <w:rFonts w:ascii="Verdana" w:hAnsi="Verdana"/>
        <w:sz w:val="16"/>
      </w:rPr>
    </w:tblStylePr>
    <w:tblStylePr w:type="band2Vert">
      <w:rPr>
        <w:rFonts w:ascii="Verdana" w:hAnsi="Verdana"/>
        <w:sz w:val="16"/>
      </w:rPr>
    </w:tblStylePr>
    <w:tblStylePr w:type="band1Horz">
      <w:rPr>
        <w:rFonts w:ascii="Verdana" w:hAnsi="Verdana"/>
        <w:sz w:val="16"/>
      </w:rPr>
    </w:tblStylePr>
    <w:tblStylePr w:type="band2Horz">
      <w:rPr>
        <w:rFonts w:ascii="Verdana" w:hAnsi="Verdana"/>
        <w:sz w:val="1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286">
      <w:bodyDiv w:val="1"/>
      <w:marLeft w:val="0"/>
      <w:marRight w:val="0"/>
      <w:marTop w:val="0"/>
      <w:marBottom w:val="0"/>
      <w:divBdr>
        <w:top w:val="none" w:sz="0" w:space="0" w:color="auto"/>
        <w:left w:val="none" w:sz="0" w:space="0" w:color="auto"/>
        <w:bottom w:val="none" w:sz="0" w:space="0" w:color="auto"/>
        <w:right w:val="none" w:sz="0" w:space="0" w:color="auto"/>
      </w:divBdr>
    </w:div>
    <w:div w:id="69355409">
      <w:bodyDiv w:val="1"/>
      <w:marLeft w:val="0"/>
      <w:marRight w:val="0"/>
      <w:marTop w:val="0"/>
      <w:marBottom w:val="0"/>
      <w:divBdr>
        <w:top w:val="none" w:sz="0" w:space="0" w:color="auto"/>
        <w:left w:val="none" w:sz="0" w:space="0" w:color="auto"/>
        <w:bottom w:val="none" w:sz="0" w:space="0" w:color="auto"/>
        <w:right w:val="none" w:sz="0" w:space="0" w:color="auto"/>
      </w:divBdr>
    </w:div>
    <w:div w:id="179439379">
      <w:bodyDiv w:val="1"/>
      <w:marLeft w:val="0"/>
      <w:marRight w:val="0"/>
      <w:marTop w:val="0"/>
      <w:marBottom w:val="0"/>
      <w:divBdr>
        <w:top w:val="none" w:sz="0" w:space="0" w:color="auto"/>
        <w:left w:val="none" w:sz="0" w:space="0" w:color="auto"/>
        <w:bottom w:val="none" w:sz="0" w:space="0" w:color="auto"/>
        <w:right w:val="none" w:sz="0" w:space="0" w:color="auto"/>
      </w:divBdr>
    </w:div>
    <w:div w:id="219950637">
      <w:bodyDiv w:val="1"/>
      <w:marLeft w:val="0"/>
      <w:marRight w:val="0"/>
      <w:marTop w:val="0"/>
      <w:marBottom w:val="0"/>
      <w:divBdr>
        <w:top w:val="none" w:sz="0" w:space="0" w:color="auto"/>
        <w:left w:val="none" w:sz="0" w:space="0" w:color="auto"/>
        <w:bottom w:val="none" w:sz="0" w:space="0" w:color="auto"/>
        <w:right w:val="none" w:sz="0" w:space="0" w:color="auto"/>
      </w:divBdr>
    </w:div>
    <w:div w:id="306008830">
      <w:bodyDiv w:val="1"/>
      <w:marLeft w:val="0"/>
      <w:marRight w:val="0"/>
      <w:marTop w:val="0"/>
      <w:marBottom w:val="0"/>
      <w:divBdr>
        <w:top w:val="none" w:sz="0" w:space="0" w:color="auto"/>
        <w:left w:val="none" w:sz="0" w:space="0" w:color="auto"/>
        <w:bottom w:val="none" w:sz="0" w:space="0" w:color="auto"/>
        <w:right w:val="none" w:sz="0" w:space="0" w:color="auto"/>
      </w:divBdr>
    </w:div>
    <w:div w:id="437992385">
      <w:bodyDiv w:val="1"/>
      <w:marLeft w:val="0"/>
      <w:marRight w:val="0"/>
      <w:marTop w:val="0"/>
      <w:marBottom w:val="0"/>
      <w:divBdr>
        <w:top w:val="none" w:sz="0" w:space="0" w:color="auto"/>
        <w:left w:val="none" w:sz="0" w:space="0" w:color="auto"/>
        <w:bottom w:val="none" w:sz="0" w:space="0" w:color="auto"/>
        <w:right w:val="none" w:sz="0" w:space="0" w:color="auto"/>
      </w:divBdr>
    </w:div>
    <w:div w:id="485780448">
      <w:bodyDiv w:val="1"/>
      <w:marLeft w:val="0"/>
      <w:marRight w:val="0"/>
      <w:marTop w:val="0"/>
      <w:marBottom w:val="0"/>
      <w:divBdr>
        <w:top w:val="none" w:sz="0" w:space="0" w:color="auto"/>
        <w:left w:val="none" w:sz="0" w:space="0" w:color="auto"/>
        <w:bottom w:val="none" w:sz="0" w:space="0" w:color="auto"/>
        <w:right w:val="none" w:sz="0" w:space="0" w:color="auto"/>
      </w:divBdr>
      <w:divsChild>
        <w:div w:id="120660124">
          <w:marLeft w:val="0"/>
          <w:marRight w:val="0"/>
          <w:marTop w:val="0"/>
          <w:marBottom w:val="0"/>
          <w:divBdr>
            <w:top w:val="none" w:sz="0" w:space="0" w:color="auto"/>
            <w:left w:val="none" w:sz="0" w:space="0" w:color="auto"/>
            <w:bottom w:val="none" w:sz="0" w:space="0" w:color="auto"/>
            <w:right w:val="none" w:sz="0" w:space="0" w:color="auto"/>
          </w:divBdr>
        </w:div>
      </w:divsChild>
    </w:div>
    <w:div w:id="524101729">
      <w:bodyDiv w:val="1"/>
      <w:marLeft w:val="0"/>
      <w:marRight w:val="0"/>
      <w:marTop w:val="0"/>
      <w:marBottom w:val="0"/>
      <w:divBdr>
        <w:top w:val="none" w:sz="0" w:space="0" w:color="auto"/>
        <w:left w:val="none" w:sz="0" w:space="0" w:color="auto"/>
        <w:bottom w:val="none" w:sz="0" w:space="0" w:color="auto"/>
        <w:right w:val="none" w:sz="0" w:space="0" w:color="auto"/>
      </w:divBdr>
    </w:div>
    <w:div w:id="575015896">
      <w:bodyDiv w:val="1"/>
      <w:marLeft w:val="0"/>
      <w:marRight w:val="0"/>
      <w:marTop w:val="0"/>
      <w:marBottom w:val="0"/>
      <w:divBdr>
        <w:top w:val="none" w:sz="0" w:space="0" w:color="auto"/>
        <w:left w:val="none" w:sz="0" w:space="0" w:color="auto"/>
        <w:bottom w:val="none" w:sz="0" w:space="0" w:color="auto"/>
        <w:right w:val="none" w:sz="0" w:space="0" w:color="auto"/>
      </w:divBdr>
    </w:div>
    <w:div w:id="744841612">
      <w:bodyDiv w:val="1"/>
      <w:marLeft w:val="0"/>
      <w:marRight w:val="0"/>
      <w:marTop w:val="0"/>
      <w:marBottom w:val="0"/>
      <w:divBdr>
        <w:top w:val="none" w:sz="0" w:space="0" w:color="auto"/>
        <w:left w:val="none" w:sz="0" w:space="0" w:color="auto"/>
        <w:bottom w:val="none" w:sz="0" w:space="0" w:color="auto"/>
        <w:right w:val="none" w:sz="0" w:space="0" w:color="auto"/>
      </w:divBdr>
    </w:div>
    <w:div w:id="772551189">
      <w:bodyDiv w:val="1"/>
      <w:marLeft w:val="0"/>
      <w:marRight w:val="0"/>
      <w:marTop w:val="0"/>
      <w:marBottom w:val="0"/>
      <w:divBdr>
        <w:top w:val="none" w:sz="0" w:space="0" w:color="auto"/>
        <w:left w:val="none" w:sz="0" w:space="0" w:color="auto"/>
        <w:bottom w:val="none" w:sz="0" w:space="0" w:color="auto"/>
        <w:right w:val="none" w:sz="0" w:space="0" w:color="auto"/>
      </w:divBdr>
    </w:div>
    <w:div w:id="796610543">
      <w:bodyDiv w:val="1"/>
      <w:marLeft w:val="0"/>
      <w:marRight w:val="0"/>
      <w:marTop w:val="0"/>
      <w:marBottom w:val="0"/>
      <w:divBdr>
        <w:top w:val="none" w:sz="0" w:space="0" w:color="auto"/>
        <w:left w:val="none" w:sz="0" w:space="0" w:color="auto"/>
        <w:bottom w:val="none" w:sz="0" w:space="0" w:color="auto"/>
        <w:right w:val="none" w:sz="0" w:space="0" w:color="auto"/>
      </w:divBdr>
    </w:div>
    <w:div w:id="844589142">
      <w:bodyDiv w:val="1"/>
      <w:marLeft w:val="0"/>
      <w:marRight w:val="0"/>
      <w:marTop w:val="0"/>
      <w:marBottom w:val="0"/>
      <w:divBdr>
        <w:top w:val="none" w:sz="0" w:space="0" w:color="auto"/>
        <w:left w:val="none" w:sz="0" w:space="0" w:color="auto"/>
        <w:bottom w:val="none" w:sz="0" w:space="0" w:color="auto"/>
        <w:right w:val="none" w:sz="0" w:space="0" w:color="auto"/>
      </w:divBdr>
    </w:div>
    <w:div w:id="845250324">
      <w:bodyDiv w:val="1"/>
      <w:marLeft w:val="0"/>
      <w:marRight w:val="0"/>
      <w:marTop w:val="0"/>
      <w:marBottom w:val="0"/>
      <w:divBdr>
        <w:top w:val="none" w:sz="0" w:space="0" w:color="auto"/>
        <w:left w:val="none" w:sz="0" w:space="0" w:color="auto"/>
        <w:bottom w:val="none" w:sz="0" w:space="0" w:color="auto"/>
        <w:right w:val="none" w:sz="0" w:space="0" w:color="auto"/>
      </w:divBdr>
    </w:div>
    <w:div w:id="847258411">
      <w:bodyDiv w:val="1"/>
      <w:marLeft w:val="0"/>
      <w:marRight w:val="0"/>
      <w:marTop w:val="0"/>
      <w:marBottom w:val="0"/>
      <w:divBdr>
        <w:top w:val="none" w:sz="0" w:space="0" w:color="auto"/>
        <w:left w:val="none" w:sz="0" w:space="0" w:color="auto"/>
        <w:bottom w:val="none" w:sz="0" w:space="0" w:color="auto"/>
        <w:right w:val="none" w:sz="0" w:space="0" w:color="auto"/>
      </w:divBdr>
    </w:div>
    <w:div w:id="908347972">
      <w:bodyDiv w:val="1"/>
      <w:marLeft w:val="0"/>
      <w:marRight w:val="0"/>
      <w:marTop w:val="0"/>
      <w:marBottom w:val="0"/>
      <w:divBdr>
        <w:top w:val="none" w:sz="0" w:space="0" w:color="auto"/>
        <w:left w:val="none" w:sz="0" w:space="0" w:color="auto"/>
        <w:bottom w:val="none" w:sz="0" w:space="0" w:color="auto"/>
        <w:right w:val="none" w:sz="0" w:space="0" w:color="auto"/>
      </w:divBdr>
    </w:div>
    <w:div w:id="962886031">
      <w:bodyDiv w:val="1"/>
      <w:marLeft w:val="0"/>
      <w:marRight w:val="0"/>
      <w:marTop w:val="0"/>
      <w:marBottom w:val="0"/>
      <w:divBdr>
        <w:top w:val="none" w:sz="0" w:space="0" w:color="auto"/>
        <w:left w:val="none" w:sz="0" w:space="0" w:color="auto"/>
        <w:bottom w:val="none" w:sz="0" w:space="0" w:color="auto"/>
        <w:right w:val="none" w:sz="0" w:space="0" w:color="auto"/>
      </w:divBdr>
    </w:div>
    <w:div w:id="1042628898">
      <w:bodyDiv w:val="1"/>
      <w:marLeft w:val="0"/>
      <w:marRight w:val="0"/>
      <w:marTop w:val="0"/>
      <w:marBottom w:val="0"/>
      <w:divBdr>
        <w:top w:val="none" w:sz="0" w:space="0" w:color="auto"/>
        <w:left w:val="none" w:sz="0" w:space="0" w:color="auto"/>
        <w:bottom w:val="none" w:sz="0" w:space="0" w:color="auto"/>
        <w:right w:val="none" w:sz="0" w:space="0" w:color="auto"/>
      </w:divBdr>
    </w:div>
    <w:div w:id="1067143826">
      <w:bodyDiv w:val="1"/>
      <w:marLeft w:val="0"/>
      <w:marRight w:val="0"/>
      <w:marTop w:val="0"/>
      <w:marBottom w:val="0"/>
      <w:divBdr>
        <w:top w:val="none" w:sz="0" w:space="0" w:color="auto"/>
        <w:left w:val="none" w:sz="0" w:space="0" w:color="auto"/>
        <w:bottom w:val="none" w:sz="0" w:space="0" w:color="auto"/>
        <w:right w:val="none" w:sz="0" w:space="0" w:color="auto"/>
      </w:divBdr>
    </w:div>
    <w:div w:id="1070536772">
      <w:bodyDiv w:val="1"/>
      <w:marLeft w:val="0"/>
      <w:marRight w:val="0"/>
      <w:marTop w:val="0"/>
      <w:marBottom w:val="0"/>
      <w:divBdr>
        <w:top w:val="none" w:sz="0" w:space="0" w:color="auto"/>
        <w:left w:val="none" w:sz="0" w:space="0" w:color="auto"/>
        <w:bottom w:val="none" w:sz="0" w:space="0" w:color="auto"/>
        <w:right w:val="none" w:sz="0" w:space="0" w:color="auto"/>
      </w:divBdr>
    </w:div>
    <w:div w:id="1107651467">
      <w:bodyDiv w:val="1"/>
      <w:marLeft w:val="0"/>
      <w:marRight w:val="0"/>
      <w:marTop w:val="0"/>
      <w:marBottom w:val="0"/>
      <w:divBdr>
        <w:top w:val="none" w:sz="0" w:space="0" w:color="auto"/>
        <w:left w:val="none" w:sz="0" w:space="0" w:color="auto"/>
        <w:bottom w:val="none" w:sz="0" w:space="0" w:color="auto"/>
        <w:right w:val="none" w:sz="0" w:space="0" w:color="auto"/>
      </w:divBdr>
    </w:div>
    <w:div w:id="1179390687">
      <w:bodyDiv w:val="1"/>
      <w:marLeft w:val="0"/>
      <w:marRight w:val="0"/>
      <w:marTop w:val="0"/>
      <w:marBottom w:val="0"/>
      <w:divBdr>
        <w:top w:val="none" w:sz="0" w:space="0" w:color="auto"/>
        <w:left w:val="none" w:sz="0" w:space="0" w:color="auto"/>
        <w:bottom w:val="none" w:sz="0" w:space="0" w:color="auto"/>
        <w:right w:val="none" w:sz="0" w:space="0" w:color="auto"/>
      </w:divBdr>
    </w:div>
    <w:div w:id="1197432036">
      <w:bodyDiv w:val="1"/>
      <w:marLeft w:val="0"/>
      <w:marRight w:val="0"/>
      <w:marTop w:val="0"/>
      <w:marBottom w:val="0"/>
      <w:divBdr>
        <w:top w:val="none" w:sz="0" w:space="0" w:color="auto"/>
        <w:left w:val="none" w:sz="0" w:space="0" w:color="auto"/>
        <w:bottom w:val="none" w:sz="0" w:space="0" w:color="auto"/>
        <w:right w:val="none" w:sz="0" w:space="0" w:color="auto"/>
      </w:divBdr>
    </w:div>
    <w:div w:id="1200627983">
      <w:bodyDiv w:val="1"/>
      <w:marLeft w:val="0"/>
      <w:marRight w:val="0"/>
      <w:marTop w:val="0"/>
      <w:marBottom w:val="0"/>
      <w:divBdr>
        <w:top w:val="none" w:sz="0" w:space="0" w:color="auto"/>
        <w:left w:val="none" w:sz="0" w:space="0" w:color="auto"/>
        <w:bottom w:val="none" w:sz="0" w:space="0" w:color="auto"/>
        <w:right w:val="none" w:sz="0" w:space="0" w:color="auto"/>
      </w:divBdr>
    </w:div>
    <w:div w:id="1228878081">
      <w:bodyDiv w:val="1"/>
      <w:marLeft w:val="0"/>
      <w:marRight w:val="0"/>
      <w:marTop w:val="0"/>
      <w:marBottom w:val="0"/>
      <w:divBdr>
        <w:top w:val="none" w:sz="0" w:space="0" w:color="auto"/>
        <w:left w:val="none" w:sz="0" w:space="0" w:color="auto"/>
        <w:bottom w:val="none" w:sz="0" w:space="0" w:color="auto"/>
        <w:right w:val="none" w:sz="0" w:space="0" w:color="auto"/>
      </w:divBdr>
    </w:div>
    <w:div w:id="1278869699">
      <w:bodyDiv w:val="1"/>
      <w:marLeft w:val="0"/>
      <w:marRight w:val="0"/>
      <w:marTop w:val="0"/>
      <w:marBottom w:val="0"/>
      <w:divBdr>
        <w:top w:val="none" w:sz="0" w:space="0" w:color="auto"/>
        <w:left w:val="none" w:sz="0" w:space="0" w:color="auto"/>
        <w:bottom w:val="none" w:sz="0" w:space="0" w:color="auto"/>
        <w:right w:val="none" w:sz="0" w:space="0" w:color="auto"/>
      </w:divBdr>
    </w:div>
    <w:div w:id="1305432530">
      <w:bodyDiv w:val="1"/>
      <w:marLeft w:val="0"/>
      <w:marRight w:val="0"/>
      <w:marTop w:val="0"/>
      <w:marBottom w:val="0"/>
      <w:divBdr>
        <w:top w:val="none" w:sz="0" w:space="0" w:color="auto"/>
        <w:left w:val="none" w:sz="0" w:space="0" w:color="auto"/>
        <w:bottom w:val="none" w:sz="0" w:space="0" w:color="auto"/>
        <w:right w:val="none" w:sz="0" w:space="0" w:color="auto"/>
      </w:divBdr>
    </w:div>
    <w:div w:id="1397776182">
      <w:bodyDiv w:val="1"/>
      <w:marLeft w:val="0"/>
      <w:marRight w:val="0"/>
      <w:marTop w:val="0"/>
      <w:marBottom w:val="0"/>
      <w:divBdr>
        <w:top w:val="none" w:sz="0" w:space="0" w:color="auto"/>
        <w:left w:val="none" w:sz="0" w:space="0" w:color="auto"/>
        <w:bottom w:val="none" w:sz="0" w:space="0" w:color="auto"/>
        <w:right w:val="none" w:sz="0" w:space="0" w:color="auto"/>
      </w:divBdr>
    </w:div>
    <w:div w:id="1451390707">
      <w:bodyDiv w:val="1"/>
      <w:marLeft w:val="0"/>
      <w:marRight w:val="0"/>
      <w:marTop w:val="0"/>
      <w:marBottom w:val="0"/>
      <w:divBdr>
        <w:top w:val="none" w:sz="0" w:space="0" w:color="auto"/>
        <w:left w:val="none" w:sz="0" w:space="0" w:color="auto"/>
        <w:bottom w:val="none" w:sz="0" w:space="0" w:color="auto"/>
        <w:right w:val="none" w:sz="0" w:space="0" w:color="auto"/>
      </w:divBdr>
    </w:div>
    <w:div w:id="1458530495">
      <w:bodyDiv w:val="1"/>
      <w:marLeft w:val="0"/>
      <w:marRight w:val="0"/>
      <w:marTop w:val="0"/>
      <w:marBottom w:val="0"/>
      <w:divBdr>
        <w:top w:val="none" w:sz="0" w:space="0" w:color="auto"/>
        <w:left w:val="none" w:sz="0" w:space="0" w:color="auto"/>
        <w:bottom w:val="none" w:sz="0" w:space="0" w:color="auto"/>
        <w:right w:val="none" w:sz="0" w:space="0" w:color="auto"/>
      </w:divBdr>
    </w:div>
    <w:div w:id="1496721669">
      <w:bodyDiv w:val="1"/>
      <w:marLeft w:val="0"/>
      <w:marRight w:val="0"/>
      <w:marTop w:val="0"/>
      <w:marBottom w:val="0"/>
      <w:divBdr>
        <w:top w:val="none" w:sz="0" w:space="0" w:color="auto"/>
        <w:left w:val="none" w:sz="0" w:space="0" w:color="auto"/>
        <w:bottom w:val="none" w:sz="0" w:space="0" w:color="auto"/>
        <w:right w:val="none" w:sz="0" w:space="0" w:color="auto"/>
      </w:divBdr>
    </w:div>
    <w:div w:id="1637444491">
      <w:bodyDiv w:val="1"/>
      <w:marLeft w:val="0"/>
      <w:marRight w:val="0"/>
      <w:marTop w:val="0"/>
      <w:marBottom w:val="0"/>
      <w:divBdr>
        <w:top w:val="none" w:sz="0" w:space="0" w:color="auto"/>
        <w:left w:val="none" w:sz="0" w:space="0" w:color="auto"/>
        <w:bottom w:val="none" w:sz="0" w:space="0" w:color="auto"/>
        <w:right w:val="none" w:sz="0" w:space="0" w:color="auto"/>
      </w:divBdr>
    </w:div>
    <w:div w:id="1669601416">
      <w:bodyDiv w:val="1"/>
      <w:marLeft w:val="0"/>
      <w:marRight w:val="0"/>
      <w:marTop w:val="0"/>
      <w:marBottom w:val="0"/>
      <w:divBdr>
        <w:top w:val="none" w:sz="0" w:space="0" w:color="auto"/>
        <w:left w:val="none" w:sz="0" w:space="0" w:color="auto"/>
        <w:bottom w:val="none" w:sz="0" w:space="0" w:color="auto"/>
        <w:right w:val="none" w:sz="0" w:space="0" w:color="auto"/>
      </w:divBdr>
    </w:div>
    <w:div w:id="1740251595">
      <w:bodyDiv w:val="1"/>
      <w:marLeft w:val="0"/>
      <w:marRight w:val="0"/>
      <w:marTop w:val="0"/>
      <w:marBottom w:val="0"/>
      <w:divBdr>
        <w:top w:val="none" w:sz="0" w:space="0" w:color="auto"/>
        <w:left w:val="none" w:sz="0" w:space="0" w:color="auto"/>
        <w:bottom w:val="none" w:sz="0" w:space="0" w:color="auto"/>
        <w:right w:val="none" w:sz="0" w:space="0" w:color="auto"/>
      </w:divBdr>
    </w:div>
    <w:div w:id="1801613136">
      <w:bodyDiv w:val="1"/>
      <w:marLeft w:val="0"/>
      <w:marRight w:val="0"/>
      <w:marTop w:val="0"/>
      <w:marBottom w:val="0"/>
      <w:divBdr>
        <w:top w:val="none" w:sz="0" w:space="0" w:color="auto"/>
        <w:left w:val="none" w:sz="0" w:space="0" w:color="auto"/>
        <w:bottom w:val="none" w:sz="0" w:space="0" w:color="auto"/>
        <w:right w:val="none" w:sz="0" w:space="0" w:color="auto"/>
      </w:divBdr>
    </w:div>
    <w:div w:id="1876501862">
      <w:bodyDiv w:val="1"/>
      <w:marLeft w:val="0"/>
      <w:marRight w:val="0"/>
      <w:marTop w:val="0"/>
      <w:marBottom w:val="0"/>
      <w:divBdr>
        <w:top w:val="none" w:sz="0" w:space="0" w:color="auto"/>
        <w:left w:val="none" w:sz="0" w:space="0" w:color="auto"/>
        <w:bottom w:val="none" w:sz="0" w:space="0" w:color="auto"/>
        <w:right w:val="none" w:sz="0" w:space="0" w:color="auto"/>
      </w:divBdr>
    </w:div>
    <w:div w:id="1936667938">
      <w:bodyDiv w:val="1"/>
      <w:marLeft w:val="0"/>
      <w:marRight w:val="0"/>
      <w:marTop w:val="0"/>
      <w:marBottom w:val="0"/>
      <w:divBdr>
        <w:top w:val="none" w:sz="0" w:space="0" w:color="auto"/>
        <w:left w:val="none" w:sz="0" w:space="0" w:color="auto"/>
        <w:bottom w:val="none" w:sz="0" w:space="0" w:color="auto"/>
        <w:right w:val="none" w:sz="0" w:space="0" w:color="auto"/>
      </w:divBdr>
    </w:div>
    <w:div w:id="1976332325">
      <w:bodyDiv w:val="1"/>
      <w:marLeft w:val="0"/>
      <w:marRight w:val="0"/>
      <w:marTop w:val="0"/>
      <w:marBottom w:val="0"/>
      <w:divBdr>
        <w:top w:val="none" w:sz="0" w:space="0" w:color="auto"/>
        <w:left w:val="none" w:sz="0" w:space="0" w:color="auto"/>
        <w:bottom w:val="none" w:sz="0" w:space="0" w:color="auto"/>
        <w:right w:val="none" w:sz="0" w:space="0" w:color="auto"/>
      </w:divBdr>
    </w:div>
    <w:div w:id="2001040855">
      <w:bodyDiv w:val="1"/>
      <w:marLeft w:val="0"/>
      <w:marRight w:val="0"/>
      <w:marTop w:val="0"/>
      <w:marBottom w:val="0"/>
      <w:divBdr>
        <w:top w:val="none" w:sz="0" w:space="0" w:color="auto"/>
        <w:left w:val="none" w:sz="0" w:space="0" w:color="auto"/>
        <w:bottom w:val="none" w:sz="0" w:space="0" w:color="auto"/>
        <w:right w:val="none" w:sz="0" w:space="0" w:color="auto"/>
      </w:divBdr>
    </w:div>
    <w:div w:id="2017687333">
      <w:bodyDiv w:val="1"/>
      <w:marLeft w:val="0"/>
      <w:marRight w:val="0"/>
      <w:marTop w:val="0"/>
      <w:marBottom w:val="0"/>
      <w:divBdr>
        <w:top w:val="none" w:sz="0" w:space="0" w:color="auto"/>
        <w:left w:val="none" w:sz="0" w:space="0" w:color="auto"/>
        <w:bottom w:val="none" w:sz="0" w:space="0" w:color="auto"/>
        <w:right w:val="none" w:sz="0" w:space="0" w:color="auto"/>
      </w:divBdr>
    </w:div>
    <w:div w:id="2118286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yperlink" Target="https://www.unep.org/inc-plastic-pollution" TargetMode="External"/><Relationship Id="rId39" Type="http://schemas.openxmlformats.org/officeDocument/2006/relationships/hyperlink" Target="https://eur-lex.europa.eu/legal-content/EN/TXT/?uri=CELEX%3A32018L0850" TargetMode="External"/><Relationship Id="rId21" Type="http://schemas.openxmlformats.org/officeDocument/2006/relationships/hyperlink" Target="https://www.basel.int" TargetMode="External"/><Relationship Id="rId34" Type="http://schemas.openxmlformats.org/officeDocument/2006/relationships/hyperlink" Target="https://eur-lex.europa.eu/legal-content/EN/TXT/?uri=CELEX%3A52021DC0699" TargetMode="External"/><Relationship Id="rId42" Type="http://schemas.openxmlformats.org/officeDocument/2006/relationships/hyperlink" Target="https://eur-lex.europa.eu/legal-content/EN/TXT/?uri=CELEX%3A32024R1781" TargetMode="External"/><Relationship Id="rId47" Type="http://schemas.openxmlformats.org/officeDocument/2006/relationships/hyperlink" Target="https://legislatie.just.ro/Public/DetaliiDocument/259832" TargetMode="External"/><Relationship Id="rId50" Type="http://schemas.openxmlformats.org/officeDocument/2006/relationships/hyperlink" Target="https://legislatie.just.ro/Public/DetaliiDocument/273977" TargetMode="External"/><Relationship Id="rId55" Type="http://schemas.openxmlformats.org/officeDocument/2006/relationships/hyperlink" Target="https://mmediu.ro/en/domenii/ape/directive-europene/directiva-cadru-strategia-pentru-mediul-marin-2008-56-ce-marine-strategy-framework-directive/" TargetMode="External"/><Relationship Id="rId63" Type="http://schemas.openxmlformats.org/officeDocument/2006/relationships/hyperlink" Target="https://anpm.ro/planuri-judetene-de-gestionare-a-deseurilor/" TargetMode="External"/><Relationship Id="rId68" Type="http://schemas.openxmlformats.org/officeDocument/2006/relationships/hyperlink" Target="https://mmediu.ro/" TargetMode="Externa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www.pfrr.ro/ro/covenant-of-mayors" TargetMode="Externa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eur-lex.europa.eu/legal-content/EN/TXT/?uri=CELEX%3A52019DC0640" TargetMode="External"/><Relationship Id="rId11" Type="http://schemas.openxmlformats.org/officeDocument/2006/relationships/image" Target="media/image2.jpeg"/><Relationship Id="rId24" Type="http://schemas.openxmlformats.org/officeDocument/2006/relationships/hyperlink" Target="https://unfccc.int/process-and-meetings/the-paris-agreement" TargetMode="External"/><Relationship Id="rId32" Type="http://schemas.openxmlformats.org/officeDocument/2006/relationships/hyperlink" Target="https://eur-lex.europa.eu/legal-content/EN/TXT/?uri=CELEX%3A52021DC0400" TargetMode="External"/><Relationship Id="rId37" Type="http://schemas.openxmlformats.org/officeDocument/2006/relationships/hyperlink" Target="https://eur-lex.europa.eu/legal-content/EN/TXT/?uri=CELEX%3A52020DC0667" TargetMode="External"/><Relationship Id="rId40" Type="http://schemas.openxmlformats.org/officeDocument/2006/relationships/hyperlink" Target="https://eur-lex.europa.eu/legal-content/EN/TXT/?uri=CELEX%3A32019L0904" TargetMode="External"/><Relationship Id="rId45" Type="http://schemas.openxmlformats.org/officeDocument/2006/relationships/hyperlink" Target="https://eur-lex.europa.eu/legal-content/EN/TXT/?uri=OJ:L_202401785" TargetMode="External"/><Relationship Id="rId53" Type="http://schemas.openxmlformats.org/officeDocument/2006/relationships/hyperlink" Target="https://mmediu.ro/domenii/mediu/sol-si-subsol/situri-contaminate/" TargetMode="External"/><Relationship Id="rId58" Type="http://schemas.openxmlformats.org/officeDocument/2006/relationships/hyperlink" Target="https://dezvoltaredurabila.gov.ro" TargetMode="External"/><Relationship Id="rId66" Type="http://schemas.openxmlformats.org/officeDocument/2006/relationships/hyperlink" Target="https://inforegio.ro/ro/programe-regionale-2021-2027" TargetMode="External"/><Relationship Id="rId74" Type="http://schemas.openxmlformats.org/officeDocument/2006/relationships/footer" Target="footer9.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www.mercuryconvention.org" TargetMode="External"/><Relationship Id="rId28" Type="http://schemas.openxmlformats.org/officeDocument/2006/relationships/hyperlink" Target="https://unece.org/environment-policy/air" TargetMode="External"/><Relationship Id="rId36" Type="http://schemas.openxmlformats.org/officeDocument/2006/relationships/hyperlink" Target="https://eur-lex.europa.eu/legal-content/EN/TXT/?uri=CELEX%3A52021DC0082" TargetMode="External"/><Relationship Id="rId49" Type="http://schemas.openxmlformats.org/officeDocument/2006/relationships/hyperlink" Target="https://energie.gov.ro/pniesc/" TargetMode="External"/><Relationship Id="rId57" Type="http://schemas.openxmlformats.org/officeDocument/2006/relationships/hyperlink" Target="https://mmediu.ro/en/domenii/mediu/schimbari-climatice/adaptarea-la-schimbarile-climatice/cadrul-national/" TargetMode="External"/><Relationship Id="rId61" Type="http://schemas.openxmlformats.org/officeDocument/2006/relationships/hyperlink" Target="https://mmediu.ro/en/despre-noi/programe-si-strategii/strategia-nationala-pentru-paduri-2030/" TargetMode="External"/><Relationship Id="rId10" Type="http://schemas.openxmlformats.org/officeDocument/2006/relationships/image" Target="media/image1.jpeg"/><Relationship Id="rId19" Type="http://schemas.openxmlformats.org/officeDocument/2006/relationships/footer" Target="footer6.xml"/><Relationship Id="rId31" Type="http://schemas.openxmlformats.org/officeDocument/2006/relationships/hyperlink" Target="https://eur-lex.europa.eu/legal-content/EN/TXT/?uri=CELEX%3A52020DC0098" TargetMode="External"/><Relationship Id="rId44" Type="http://schemas.openxmlformats.org/officeDocument/2006/relationships/hyperlink" Target="https://eur-lex.europa.eu/legal-content/EN/TXT/?uri=CELEX%3A52020DC0381" TargetMode="External"/><Relationship Id="rId52" Type="http://schemas.openxmlformats.org/officeDocument/2006/relationships/hyperlink" Target="https://inundatii.ro" TargetMode="External"/><Relationship Id="rId60" Type="http://schemas.openxmlformats.org/officeDocument/2006/relationships/hyperlink" Target="https://mfe.gov.ro/" TargetMode="External"/><Relationship Id="rId65" Type="http://schemas.openxmlformats.org/officeDocument/2006/relationships/hyperlink" Target="https://inforegio.ro/ro/planuri-de-dezvoltare-regionala" TargetMode="External"/><Relationship Id="rId73" Type="http://schemas.openxmlformats.org/officeDocument/2006/relationships/footer" Target="footer8.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pops.int" TargetMode="External"/><Relationship Id="rId27" Type="http://schemas.openxmlformats.org/officeDocument/2006/relationships/hyperlink" Target="http://www.blacksea-commission.org" TargetMode="External"/><Relationship Id="rId30" Type="http://schemas.openxmlformats.org/officeDocument/2006/relationships/hyperlink" Target="https://eur-lex.europa.eu/legal-content/EN/TXT/?uri=CELEX%3A32022D0591" TargetMode="External"/><Relationship Id="rId35" Type="http://schemas.openxmlformats.org/officeDocument/2006/relationships/hyperlink" Target="https://eur-lex.europa.eu/legal-content/EN/TXT/?uri=CELEX%3A52022DC0141" TargetMode="External"/><Relationship Id="rId43" Type="http://schemas.openxmlformats.org/officeDocument/2006/relationships/hyperlink" Target="https://eur-lex.europa.eu/legal-content/EN/TXT/?uri=CELEX%3A32025R0040" TargetMode="External"/><Relationship Id="rId48" Type="http://schemas.openxmlformats.org/officeDocument/2006/relationships/hyperlink" Target="https://legislatie.just.ro/Public/DetaliiDocument/275218" TargetMode="External"/><Relationship Id="rId56" Type="http://schemas.openxmlformats.org/officeDocument/2006/relationships/hyperlink" Target="https://legislatie.just.ro/Public/DetaliiDocument/153283" TargetMode="External"/><Relationship Id="rId64" Type="http://schemas.openxmlformats.org/officeDocument/2006/relationships/hyperlink" Target="https://mfe.gov.ro/" TargetMode="External"/><Relationship Id="rId69" Type="http://schemas.openxmlformats.org/officeDocument/2006/relationships/hyperlink" Target="https://mdlpa.ro/" TargetMode="External"/><Relationship Id="rId8" Type="http://schemas.openxmlformats.org/officeDocument/2006/relationships/footnotes" Target="footnotes.xml"/><Relationship Id="rId51" Type="http://schemas.openxmlformats.org/officeDocument/2006/relationships/hyperlink" Target="https://legislatie.just.ro/Public/DetaliiDocument/271443" TargetMode="External"/><Relationship Id="rId72" Type="http://schemas.openxmlformats.org/officeDocument/2006/relationships/footer" Target="footer7.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footer" Target="footer4.xml"/><Relationship Id="rId25" Type="http://schemas.openxmlformats.org/officeDocument/2006/relationships/hyperlink" Target="https://www.cbd.int/gbf" TargetMode="External"/><Relationship Id="rId33" Type="http://schemas.openxmlformats.org/officeDocument/2006/relationships/hyperlink" Target="https://eur-lex.europa.eu/legal-content/EN/TXT/?uri=CELEX%3A52020DC0380" TargetMode="External"/><Relationship Id="rId38" Type="http://schemas.openxmlformats.org/officeDocument/2006/relationships/hyperlink" Target="https://eur-lex.europa.eu/legal-content/EN/TXT/?uri=CELEX%3A02008L0098-20240218" TargetMode="External"/><Relationship Id="rId46" Type="http://schemas.openxmlformats.org/officeDocument/2006/relationships/hyperlink" Target="https://eur-lex.europa.eu/legal-content/EN/TXT/?uri=CELEX%3A32024R1252" TargetMode="External"/><Relationship Id="rId59" Type="http://schemas.openxmlformats.org/officeDocument/2006/relationships/hyperlink" Target="https://mfe.gov.ro/pnrr/" TargetMode="External"/><Relationship Id="rId67" Type="http://schemas.openxmlformats.org/officeDocument/2006/relationships/hyperlink" Target="https://inforegio.ro/ro/programe-regionale-2021-2027" TargetMode="External"/><Relationship Id="rId20" Type="http://schemas.openxmlformats.org/officeDocument/2006/relationships/hyperlink" Target="https://sdgs.un.org/goals" TargetMode="External"/><Relationship Id="rId41" Type="http://schemas.openxmlformats.org/officeDocument/2006/relationships/hyperlink" Target="https://eur-lex.europa.eu/legal-content/EN/TXT/?uri=CELEX%3A32024R1157" TargetMode="External"/><Relationship Id="rId54" Type="http://schemas.openxmlformats.org/officeDocument/2006/relationships/hyperlink" Target="https://mmediu.ro/domenii/mediu/biodiversitate/" TargetMode="External"/><Relationship Id="rId62" Type="http://schemas.openxmlformats.org/officeDocument/2006/relationships/hyperlink" Target="https://mmediu.ro/en/domenii/mediu/deseuri/strategii-planuri-studii/" TargetMode="External"/><Relationship Id="rId70" Type="http://schemas.openxmlformats.org/officeDocument/2006/relationships/hyperlink" Target="https://www.cfrr.ro/"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musat\AppData\Local\Temp\Templafy\WordVsto\Cover%20and%20Content,%20narrow%20text.dotx" TargetMode="External"/></Relationships>
</file>

<file path=word/theme/theme1.xml><?xml version="1.0" encoding="utf-8"?>
<a:theme xmlns:a="http://schemas.openxmlformats.org/drawingml/2006/main" name="Ramboll">
  <a:themeElements>
    <a:clrScheme name="Rambøll_2021">
      <a:dk1>
        <a:srgbClr val="000000"/>
      </a:dk1>
      <a:lt1>
        <a:srgbClr val="FFFFFF"/>
      </a:lt1>
      <a:dk2>
        <a:srgbClr val="009DF0"/>
      </a:dk2>
      <a:lt2>
        <a:srgbClr val="273943"/>
      </a:lt2>
      <a:accent1>
        <a:srgbClr val="05326E"/>
      </a:accent1>
      <a:accent2>
        <a:srgbClr val="125A40"/>
      </a:accent2>
      <a:accent3>
        <a:srgbClr val="ADD095"/>
      </a:accent3>
      <a:accent4>
        <a:srgbClr val="62294B"/>
      </a:accent4>
      <a:accent5>
        <a:srgbClr val="FF8855"/>
      </a:accent5>
      <a:accent6>
        <a:srgbClr val="E3E1D8"/>
      </a:accent6>
      <a:hlink>
        <a:srgbClr val="009DF0"/>
      </a:hlink>
      <a:folHlink>
        <a:srgbClr val="CCEBFD"/>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lack">
      <a:srgbClr val="000000"/>
    </a:custClr>
    <a:custClr name="Mountain 100%">
      <a:srgbClr val="273943"/>
    </a:custClr>
    <a:custClr name="Cyan 100%">
      <a:srgbClr val="009DF0"/>
    </a:custClr>
    <a:custClr name="Ocean 100%">
      <a:srgbClr val="05326E"/>
    </a:custClr>
    <a:custClr name="Forest 100%">
      <a:srgbClr val="125A40"/>
    </a:custClr>
    <a:custClr name="Grass 100%">
      <a:srgbClr val="ADD095"/>
    </a:custClr>
    <a:custClr name="Heath 100%">
      <a:srgbClr val="61294B"/>
    </a:custClr>
    <a:custClr name="Field 100%">
      <a:srgbClr val="FF8855"/>
    </a:custClr>
    <a:custClr name="Pebble 100%">
      <a:srgbClr val="E3E1D8"/>
    </a:custClr>
    <a:custClr name="Sand 100%">
      <a:srgbClr val="FFE682"/>
    </a:custClr>
    <a:custClr name="Text color">
      <a:srgbClr val="333333"/>
    </a:custClr>
    <a:custClr name="Mountain 80%">
      <a:srgbClr val="47525A"/>
    </a:custClr>
    <a:custClr name="Cyan 80%">
      <a:srgbClr val="33B1F3"/>
    </a:custClr>
    <a:custClr name="Ocean 80%">
      <a:srgbClr val="375B8B"/>
    </a:custClr>
    <a:custClr name="Forest 80%">
      <a:srgbClr val="417B66"/>
    </a:custClr>
    <a:custClr name="Grass 80%">
      <a:srgbClr val="BDD9AA"/>
    </a:custClr>
    <a:custClr name="Heath 80%">
      <a:srgbClr val="794B62"/>
    </a:custClr>
    <a:custClr name="Field 80%">
      <a:srgbClr val="F89D73"/>
    </a:custClr>
    <a:custClr name="Pebble 80%">
      <a:srgbClr val="E9E7E0"/>
    </a:custClr>
    <a:custClr name="Sand 80%">
      <a:srgbClr val="FCE783"/>
    </a:custClr>
    <a:custClr name="White">
      <a:srgbClr val="FFFFFF"/>
    </a:custClr>
    <a:custClr name="Mountain 60%">
      <a:srgbClr val="7D888E"/>
    </a:custClr>
    <a:custClr name="Cyan 60%">
      <a:srgbClr val="66C4F6"/>
    </a:custClr>
    <a:custClr name="Ocean 60%">
      <a:srgbClr val="6984A8"/>
    </a:custClr>
    <a:custClr name="Forest 60%">
      <a:srgbClr val="719C8C"/>
    </a:custClr>
    <a:custClr name="Grass 60%">
      <a:srgbClr val="CEE3BF"/>
    </a:custClr>
    <a:custClr name="Heath 60%">
      <a:srgbClr val="A17F93"/>
    </a:custClr>
    <a:custClr name="Field 60%">
      <a:srgbClr val="FFB899"/>
    </a:custClr>
    <a:custClr name="Pebble 60%">
      <a:srgbClr val="EEEDE8"/>
    </a:custClr>
    <a:custClr name="Sand 60%">
      <a:srgbClr val="FFFAB4"/>
    </a:custClr>
    <a:custClr name="White">
      <a:srgbClr val="FFFFFF"/>
    </a:custClr>
    <a:custClr name="Mountain 40%">
      <a:srgbClr val="D3D7D9"/>
    </a:custClr>
    <a:custClr name="Cyan 40%">
      <a:srgbClr val="CCEBFD"/>
    </a:custClr>
    <a:custClr name="Ocean 40%">
      <a:srgbClr val="CED6E3"/>
    </a:custClr>
    <a:custClr name="Forest 40%">
      <a:srgbClr val="CFDED9"/>
    </a:custClr>
    <a:custClr name="Grass 40%">
      <a:srgbClr val="EFF7EA"/>
    </a:custClr>
    <a:custClr name="Heath 40%">
      <a:srgbClr val="DFD4DA"/>
    </a:custClr>
    <a:custClr name="Field 40%">
      <a:srgbClr val="FFE7DD"/>
    </a:custClr>
    <a:custClr name="Pebble 40%">
      <a:srgbClr val="F9F9F7"/>
    </a:custClr>
    <a:custClr name="Sand 40%">
      <a:srgbClr val="FFFAE6"/>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TemplateConfiguration><![CDATA[{"elementsMetadata":[{"elementConfiguration":{"binding":"{{Translate(\"ProjectName\")}}","promptAiService":false,"visibility":"","removeAndKeepContent":false,"disableUpdates":false,"type":"text"},"type":"richTextContentControl","id":"88958f1b-2fd1-4a0f-a91f-5564b6dbf8a6"},{"elementConfiguration":{"binding":"{{Translate(\"ClientName\")}}","promptAiService":false,"visibility":"","removeAndKeepContent":false,"disableUpdates":false,"type":"text"},"type":"richTextContentControl","id":"0ca994c5-e279-4b3a-bf1b-8436622ea3ec"},{"elementConfiguration":{"binding":"{{Translate(\"PreparedBy\")}}","promptAiService":false,"visibility":"","removeAndKeepContent":false,"disableUpdates":false,"type":"text"},"type":"richTextContentControl","id":"a1b60c01-5927-4a20-a241-17f72813e87b"},{"elementConfiguration":{"binding":"{{Translate(\"Checkedby\")}}","promptAiService":false,"visibility":"","removeAndKeepContent":false,"disableUpdates":false,"type":"text"},"type":"richTextContentControl","id":"f0141311-fc6c-45c6-9129-212bafdb5c2e"},{"elementConfiguration":{"binding":"{{Translate(\"Approvedby\")}}","promptAiService":false,"visibility":"","removeAndKeepContent":false,"disableUpdates":false,"type":"text"},"type":"richTextContentControl","id":"cb73afe2-cc2f-41d8-bca4-6c95d505c659"},{"elementConfiguration":{"binding":"{{Translate(\"TypeOfProposal\")}}","promptAiService":false,"visibility":"","removeAndKeepContent":false,"disableUpdates":false,"type":"text"},"type":"richTextContentControl","id":"bf2a6679-18cb-4834-9f3f-122b270dc084"},{"elementConfiguration":{"binding":"{{Translate(\"Date\")}}","promptAiService":false,"visibility":"","removeAndKeepContent":false,"disableUpdates":false,"type":"text"},"type":"richTextContentControl","id":"d31364c2-7446-414c-b5c3-080ba40ccc6e"},{"elementConfiguration":{"binding":"{{Translate(\"BidderTender\")}}","promptAiService":false,"visibility":"","removeAndKeepContent":false,"disableUpdates":false,"type":"text"},"type":"richTextContentControl","id":"db5cae09-a890-4699-b9c4-d5d95c5b86fc"},{"elementConfiguration":{"binding":"{{Translate(\"Contents\")}}","promptAiService":false,"visibility":"","removeAndKeepContent":false,"disableUpdates":false,"type":"text"},"type":"richTextContentControl","id":"a3a0a0e1-d2dd-412a-af24-2b0b326f6eef"},{"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e9fc2e7d-f9ab-45c8-a6a8-51ae0e6c1fc5"},{"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93b35a16-eb92-4f02-a58d-14de74921cb4"},{"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7b7ccf6f-3a97-4579-8532-1560cbcaa7ef"},{"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6eb60b7b-2a9d-44e8-958d-78cf4cb3c4bc"},{"elementConfiguration":{"visibility":"{{IfElse(Equals(UserProfile.Office.Phone, \"\"), VisibilityType.Hidden, VisibilityType.Visible)}}","disableUpdates":false,"type":"group"},"type":"richTextContentControl","id":"96f6d9e1-727c-4c67-b7a9-1f4b5fae4de5"},{"elementConfiguration":{"binding":"{{Translate(\"T\")}}","promptAiService":false,"removeAndKeepContent":false,"disableUpdates":false,"type":"text"},"type":"richTextContentControl","id":"73cd7f23-a96b-4419-b07d-00b3d6b07ca8"},{"elementConfiguration":{"binding":"{{UserProfile.Office.Phone}}","promptAiService":false,"visibility":"","removeAndKeepContent":false,"disableUpdates":false,"type":"text"},"type":"richTextContentControl","id":"f3cbd38e-db8e-4638-82ae-5c1678e8403f"},{"elementConfiguration":{"visibility":"{{IfElse(Equals(UserProfile.Office.Fax, \"\"), VisibilityType.Hidden, VisibilityType.Visible)}}","disableUpdates":false,"type":"group"},"type":"richTextContentControl","id":"7ed455e6-08fe-494e-97ef-a8d7018dfe2c"},{"elementConfiguration":{"binding":"{{Translate(\"F\")}}","promptAiService":false,"removeAndKeepContent":false,"disableUpdates":false,"type":"text"},"type":"richTextContentControl","id":"0eb7b62b-f0df-4a76-971a-82b6a1ba1da0"},{"elementConfiguration":{"binding":"{{UserProfile.Office.Fax}}","promptAiService":false,"visibility":"","removeAndKeepContent":false,"disableUpdates":false,"type":"text"},"type":"richTextContentControl","id":"622dd437-b611-447a-94ab-4567187c07df"},{"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1af4992a-c2b3-4dbd-ad0a-ff0dcab3172b"},{"elementConfiguration":{"binding":"{{Switch(UserProfile.DocumentLanguage.Language, \"da-DK\", UserProfile.Office.CompanyNameLocal, \"en-GB\", UserProfile.Office.CompanyNameEnglish, \"en-US\", UserProfile.Office.CompanyNameEnglish, \"et-EE\", UserProfile.Office.CompanyNameLocal, \"fo-FO\", UserProfile.Office.CompanyNameLocal, \"fi-FI\", UserProfile.Office.CompanyNameLocal, \"fr-FR\", UserProfile.Office.CompanyNameLocal, \"de-DE\", UserProfile.Office.CompanyNameLocal, \"it-IT\", UserProfile.Office.CompanyNameLocal, \"ja-JP\", UserProfile.Office.CompanyNameLocal, \"mi-NZ\", UserProfile.Office.CompanyNameLocal, \"nb-NO\", UserProfile.Office.CompanyNameLocal, \"nn-NO\", UserProfile.Office.CompanyNameLocal, \"pl-PL\", UserProfile.Office.CompanyNameLocal, \"ru-RU\", UserProfile.Office.CompanyNameLocal, \"es-ES\", UserProfile.Office.CompanyNameLocal, \"sv-SE\", UserProfile.Office.CompanyNameLocal,UserProfile.Office.CompanyNameLocal)}}","promptAiService":false,"visibility":"","removeAndKeepContent":false,"disableUpdates":false,"type":"text"},"type":"richTextContentControl","id":"a175b555-f159-4e99-b70d-b5a104e5b490"},{"elementConfiguration":{"binding":"{{Switch(UserProfile.DocumentLanguage.Language, \"da-DK\", UserProfile.Office.AddressLocal, \"en-GB\", UserProfile.Office.AddressEnglish, \"en-US\", UserProfile.Office.AddressEnglish, \"et-EE\", UserProfile.Office.AddressLocal, \"fo-FO\", UserProfile.Office.AddressLocal, \"fi-FI\", UserProfile.Office.AddressLocal, \"fr-FR\", UserProfile.Office.AddressLocal, \"de-DE\", UserProfile.Office.AddressLocal, \"it-IT\", UserProfile.Office.AddressLocal, \"ja-JP\", UserProfile.Office.AddressLocal, \"mi-NZ\", UserProfile.Office.AddressLocal, \"nb-NO\", UserProfile.Office.AddressLocal, \"nn-NO\", UserProfile.Office.AddressLocal, \"pl-PL\", UserProfile.Office.AddressLocal, \"ru-RU\", UserProfile.Office.AddressLocal, \"es-ES\", UserProfile.Office.AddressLocal, \"sv-SE\", UserProfile.Office.AddressLocal,\"da-DK\")}}","promptAiService":false,"visibility":"","removeAndKeepContent":false,"disableUpdates":false,"type":"text"},"type":"richTextContentControl","id":"532dd737-ae3b-452d-aedb-b31857ce3e03"},{"elementConfiguration":{"visibility":"{{IfElse(Equals(UserProfile.Office.Phone, \"\"), VisibilityType.Hidden, VisibilityType.Visible)}}","disableUpdates":false,"type":"group"},"type":"richTextContentControl","id":"e96527c1-574f-4796-aa52-fcef5290427e"},{"elementConfiguration":{"binding":"{{Translate(\"T\")}}","promptAiService":false,"removeAndKeepContent":false,"disableUpdates":false,"type":"text"},"type":"richTextContentControl","id":"de55d772-de5e-40cb-a19d-48f8eb44cfb9"},{"elementConfiguration":{"binding":"{{UserProfile.Office.Phone}}","promptAiService":false,"visibility":"","removeAndKeepContent":false,"disableUpdates":false,"type":"text"},"type":"richTextContentControl","id":"f6fb2989-2b1c-4378-9844-d44a7c28cacc"},{"elementConfiguration":{"visibility":"{{IfElse(Equals(UserProfile.Office.Fax, \"\"), VisibilityType.Hidden, VisibilityType.Visible)}}","disableUpdates":false,"type":"group"},"type":"richTextContentControl","id":"7abd2dea-d451-4659-9dc0-8b502ce09a24"},{"elementConfiguration":{"binding":"{{Translate(\"F\")}}","promptAiService":false,"removeAndKeepContent":false,"disableUpdates":false,"type":"text"},"type":"richTextContentControl","id":"e80c302e-4df2-478d-913e-b69e28690acb"},{"elementConfiguration":{"binding":"{{UserProfile.Office.Fax}}","promptAiService":false,"visibility":"","removeAndKeepContent":false,"disableUpdates":false,"type":"text"},"type":"richTextContentControl","id":"be280105-98d7-475f-aaf2-22ecb2e5cb4a"},{"elementConfiguration":{"binding":"{{Switch(UserProfile.DocumentLanguage.Language,\"en-US\", UserProfile.Office.WebEnglish,\"en-GB\", UserProfile.Office.WebLocal,\"de-DE\", UserProfile.Office.WebLocal,\"es-ES\", UserProfile.Office.WebLocal,\"et-EE\", UserProfile.Office.WebLocal,\"fr-FR\", UserProfile.Office.WebLocal,\"fo-FO\", UserProfile.Office.WebLocal,\"it-IT\", UserProfile.Office.WebLocal,\"nb-NO\", UserProfile.Office.WebLocal,\"nn-NO\", UserProfile.Office.WebLocal,\"pl-PL\", UserProfile.Office.WebLocal,\"ru-RU\", UserProfile.Office.WebLocal,\"sv-SE\",UserProfile.Office.WebLocal,UserProfile.Office.WebLocal)}}","promptAiService":false,"visibility":"","removeAndKeepContent":false,"disableUpdates":false,"type":"text"},"type":"richTextContentControl","id":"3fec30a7-2e25-46d5-b530-f32c15ec9bd0"},{"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4b371d69-f070-4ff4-aba6-438d72ce10e5"},{"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baa9a91c-9345-45df-a1b1-e022ba846b44"},{"elementConfiguration":{"binding":"{{Switch(UserProfile.DocumentLanguage.Language,\"en-US\", UserProfile.Office.LegalNameEnglish,\"en-GB\", UserProfile.Office.LegalNameLocal,\"de-DE\", UserProfile.Office.LegalNameLocal,\"es-ES\", UserProfile.Office.LegalNameLocal,\"et-EE\", UserProfile.Office.LegalNameLocal,\"fr-FR\", UserProfile.Office.LegalNameLocal,\"fo-FO\", UserProfile.Office.LegalNameLocal,\"it-IT\", UserProfile.Office.LegalNameLocal,\"nb-NO\", UserProfile.Office.LegalNameLocal,\"nn-NO\", UserProfile.Office.LegalNameLocal,\"pl-PL\", UserProfile.Office.LegalNameLocal,\"ru-RU\", UserProfile.Office.LegalNameLocal,\"sv-SE\",UserProfile.Office.LegalNameLocal,UserProfile.Office.LegalNameLocal)}}","promptAiService":false,"visibility":"","removeAndKeepContent":false,"disableUpdates":false,"type":"text"},"type":"richTextContentControl","id":"b0a6ee81-aceb-48c5-a781-9a15d1dc504c"},{"elementConfiguration":{"binding":"{{Switch(UserProfile.DocumentLanguage.Language,\"en-US\", UserProfile.Office.CvrEnglish,\"en-GB\", UserProfile.Office.CvrLocal,\"de-DE\", UserProfile.Office.CvrLocal,\"es-ES\", UserProfile.Office.CvrLocal,\"et-EE\", UserProfile.Office.CvrLocal,\"fr-FR\", UserProfile.Office.CvrLocal,\"fo-FO\", UserProfile.Office.CvrLocal,\"it-IT\", UserProfile.Office.CvrLocal,\"nb-NO\", UserProfile.Office.CvrLocal,\"nn-NO\", UserProfile.Office.CvrLocal,\"pl-PL\", UserProfile.Office.CvrLocal,\"ru-RU\", UserProfile.Office.CvrLocal,\"sv-SE\",UserProfile.Office.CvrLocal,UserProfile.Office.CvrLocal)}}","promptAiService":false,"visibility":"","removeAndKeepContent":false,"disableUpdates":false,"type":"text"},"type":"richTextContentControl","id":"dc0f2c2d-99d8-49c1-8b86-9a467087b821"},{"elementConfiguration":{"visibility":"{{IfElse(Equals(Form.FilePath.Filename, \"Exclude\"), VisibilityType.Hidden, VisibilityType.Visible)}}","disableUpdates":false,"type":"group"},"type":"richTextContentControl","id":"aa43fd63-ad5b-4535-9f99-9df62477479d"},{"elementConfiguration":{"visibility":"{{IfElse(Equals(Form.FilePath.Filename, \"Exclude\"), VisibilityType.Hidden, VisibilityType.Visible)}}","disableUpdates":false,"type":"group"},"type":"richTextContentControl","id":"55a2c2cf-4462-4ede-a1e1-d86299c017a1"},{"elementConfiguration":{"visibility":"{{IfElse(Equals(Form.FilePath.Filename, \"Exclude\"), VisibilityType.Hidden, VisibilityType.Visible)}}","disableUpdates":false,"type":"group"},"type":"richTextContentControl","id":"d0a5646a-1610-4830-8f6c-868e492a9074"},{"elementConfiguration":{"visibility":"{{IfElse(Equals(Form.FilePath.Filename, \"Exclude\"), VisibilityType.Hidden, VisibilityType.Visible)}}","disableUpdates":false,"type":"group"},"type":"richTextContentControl","id":"2394fdb2-24f9-4f93-92bb-9ed6b26b8460"},{"elementConfiguration":{"visibility":"{{IfElse(Equals(Form.FilePath.Filename, \"Exclude\"), VisibilityType.Hidden, VisibilityType.Visible)}}","disableUpdates":false,"type":"group"},"type":"richTextContentControl","id":"6e43c3f8-6b6b-4b29-ba5a-8803f7dbfac3"},{"elementConfiguration":{"visibility":"{{IfElse(Equals(Form.FilePath.Filename, \"Exclude\"), VisibilityType.Hidden, VisibilityType.Visible)}}","disableUpdates":false,"type":"group"},"type":"richTextContentControl","id":"efe0fa0d-2619-4db6-bb15-57f384347c38"}],"transformationConfigurations":[{"language":"{{DocumentLanguage}}","disableUpdates":false,"type":"proofingLanguage"},{"colorTheme":"{{UserProfile.Office.ColorThemeRef.ColorTheme}}","disableUpdates":false,"originalColorThemeXml":"<a:clrScheme name=\"Ramboll\" xmlns:a=\"http://schemas.openxmlformats.org/drawingml/2006/main\"><a:dk1><a:srgbClr val=\"333333\" /></a:dk1><a:lt1><a:srgbClr val=\"FFFFFF\" /></a:lt1><a:dk2><a:srgbClr val=\"009DF0\" /></a:dk2><a:lt2><a:srgbClr val=\"797766\" /></a:lt2><a:accent1><a:srgbClr val=\"ADDDFF\" /></a:accent1><a:accent2><a:srgbClr val=\"3AA551\" /></a:accent2><a:accent3><a:srgbClr val=\"A8D100\" /></a:accent3><a:accent4><a:srgbClr val=\"C40079\" /></a:accent4><a:accent5><a:srgbClr val=\"C63418\" /></a:accent5><a:accent6><a:srgbClr val=\"D0CFC9\" /></a:accent6><a:hlink><a:srgbClr val=\"009DF0\" /></a:hlink><a:folHlink><a:srgbClr val=\"ADDDFF\" /></a:folHlink></a:clrScheme>","type":"colorTheme"},{"propertyName":"Ram_Document_Date","propertyValue":"{{FormatDateTime(Form.Date,Translate(\"DateCustomA\"),DocumentLanguage)}}","disableUpdates":false,"type":"customDocumentProperty"}],"templateName":"Cover and Content, narrow text","templateDescription":"","enableDocumentContentUpdater":true,"version":"2.0"}]]></TemplafyTemplateConfiguration>
</file>

<file path=customXml/item2.xml><?xml version="1.0" encoding="utf-8"?>
<TemplafyFormConfiguration><![CDATA[{"formFields":[{"required":true,"helpTexts":{},"spacing":{},"shareValue":false,"type":"datePicker","name":"Date","label":"Date"},{"distinct":false,"hideIfNoUserInteractionRequired":false,"required":true,"defaultValue":"Exclude","autoSelectFirstOption":false,"helpTexts":{},"spacing":{},"shareValue":false,"type":"dropDown","dataSourceName":"Filename","dataSourceFieldName":"Filename","name":"FilePath","label":"File Path"}],"formDataEntries":[{"name":"Date","value":"krZ8ZpOil6vw/DwGsFvYUQ=="},{"name":"FilePath","value":"bU6CliS5PQ96wPysEIuDxM9wxSC5U6AtqAVekLmyXrY="}]}]]></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4ECF-2763-464C-AD61-D274C4536F32}">
  <ds:schemaRefs/>
</ds:datastoreItem>
</file>

<file path=customXml/itemProps2.xml><?xml version="1.0" encoding="utf-8"?>
<ds:datastoreItem xmlns:ds="http://schemas.openxmlformats.org/officeDocument/2006/customXml" ds:itemID="{05CFEE0F-62A4-4FEB-86F4-6D0D8E9653B3}">
  <ds:schemaRefs/>
</ds:datastoreItem>
</file>

<file path=customXml/itemProps3.xml><?xml version="1.0" encoding="utf-8"?>
<ds:datastoreItem xmlns:ds="http://schemas.openxmlformats.org/officeDocument/2006/customXml" ds:itemID="{BA0F4E66-68B3-4BA9-9FB3-36EF3CC0D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 and Content, narrow text.dotx</Template>
  <TotalTime>1341</TotalTime>
  <Pages>49</Pages>
  <Words>35932</Words>
  <Characters>204817</Characters>
  <Application>Microsoft Office Word</Application>
  <DocSecurity>0</DocSecurity>
  <Lines>1706</Lines>
  <Paragraphs>480</Paragraphs>
  <ScaleCrop>false</ScaleCrop>
  <HeadingPairs>
    <vt:vector size="2" baseType="variant">
      <vt:variant>
        <vt:lpstr>Title</vt:lpstr>
      </vt:variant>
      <vt:variant>
        <vt:i4>1</vt:i4>
      </vt:variant>
    </vt:vector>
  </HeadingPairs>
  <TitlesOfParts>
    <vt:vector size="1" baseType="lpstr">
      <vt:lpstr>Raport Mediu</vt:lpstr>
    </vt:vector>
  </TitlesOfParts>
  <Company/>
  <LinksUpToDate>false</LinksUpToDate>
  <CharactersWithSpaces>240269</CharactersWithSpaces>
  <SharedDoc>false</SharedDoc>
  <HLinks>
    <vt:vector size="312" baseType="variant">
      <vt:variant>
        <vt:i4>5636109</vt:i4>
      </vt:variant>
      <vt:variant>
        <vt:i4>291</vt:i4>
      </vt:variant>
      <vt:variant>
        <vt:i4>0</vt:i4>
      </vt:variant>
      <vt:variant>
        <vt:i4>5</vt:i4>
      </vt:variant>
      <vt:variant>
        <vt:lpwstr>https://www.pfrr.ro/ro/covenant-of-mayors</vt:lpwstr>
      </vt:variant>
      <vt:variant>
        <vt:lpwstr/>
      </vt:variant>
      <vt:variant>
        <vt:i4>65552</vt:i4>
      </vt:variant>
      <vt:variant>
        <vt:i4>288</vt:i4>
      </vt:variant>
      <vt:variant>
        <vt:i4>0</vt:i4>
      </vt:variant>
      <vt:variant>
        <vt:i4>5</vt:i4>
      </vt:variant>
      <vt:variant>
        <vt:lpwstr>https://www.cfrr.ro/</vt:lpwstr>
      </vt:variant>
      <vt:variant>
        <vt:lpwstr/>
      </vt:variant>
      <vt:variant>
        <vt:i4>4456530</vt:i4>
      </vt:variant>
      <vt:variant>
        <vt:i4>285</vt:i4>
      </vt:variant>
      <vt:variant>
        <vt:i4>0</vt:i4>
      </vt:variant>
      <vt:variant>
        <vt:i4>5</vt:i4>
      </vt:variant>
      <vt:variant>
        <vt:lpwstr>https://mdlpa.ro/</vt:lpwstr>
      </vt:variant>
      <vt:variant>
        <vt:lpwstr/>
      </vt:variant>
      <vt:variant>
        <vt:i4>3145824</vt:i4>
      </vt:variant>
      <vt:variant>
        <vt:i4>282</vt:i4>
      </vt:variant>
      <vt:variant>
        <vt:i4>0</vt:i4>
      </vt:variant>
      <vt:variant>
        <vt:i4>5</vt:i4>
      </vt:variant>
      <vt:variant>
        <vt:lpwstr>https://mmediu.ro/</vt:lpwstr>
      </vt:variant>
      <vt:variant>
        <vt:lpwstr/>
      </vt:variant>
      <vt:variant>
        <vt:i4>4521992</vt:i4>
      </vt:variant>
      <vt:variant>
        <vt:i4>279</vt:i4>
      </vt:variant>
      <vt:variant>
        <vt:i4>0</vt:i4>
      </vt:variant>
      <vt:variant>
        <vt:i4>5</vt:i4>
      </vt:variant>
      <vt:variant>
        <vt:lpwstr>https://inforegio.ro/ro/programe-regionale-2021-2027</vt:lpwstr>
      </vt:variant>
      <vt:variant>
        <vt:lpwstr/>
      </vt:variant>
      <vt:variant>
        <vt:i4>4521992</vt:i4>
      </vt:variant>
      <vt:variant>
        <vt:i4>276</vt:i4>
      </vt:variant>
      <vt:variant>
        <vt:i4>0</vt:i4>
      </vt:variant>
      <vt:variant>
        <vt:i4>5</vt:i4>
      </vt:variant>
      <vt:variant>
        <vt:lpwstr>https://inforegio.ro/ro/programe-regionale-2021-2027</vt:lpwstr>
      </vt:variant>
      <vt:variant>
        <vt:lpwstr/>
      </vt:variant>
      <vt:variant>
        <vt:i4>7077923</vt:i4>
      </vt:variant>
      <vt:variant>
        <vt:i4>273</vt:i4>
      </vt:variant>
      <vt:variant>
        <vt:i4>0</vt:i4>
      </vt:variant>
      <vt:variant>
        <vt:i4>5</vt:i4>
      </vt:variant>
      <vt:variant>
        <vt:lpwstr>https://inforegio.ro/ro/planuri-de-dezvoltare-regionala</vt:lpwstr>
      </vt:variant>
      <vt:variant>
        <vt:lpwstr/>
      </vt:variant>
      <vt:variant>
        <vt:i4>7798827</vt:i4>
      </vt:variant>
      <vt:variant>
        <vt:i4>270</vt:i4>
      </vt:variant>
      <vt:variant>
        <vt:i4>0</vt:i4>
      </vt:variant>
      <vt:variant>
        <vt:i4>5</vt:i4>
      </vt:variant>
      <vt:variant>
        <vt:lpwstr>https://mfe.gov.ro/</vt:lpwstr>
      </vt:variant>
      <vt:variant>
        <vt:lpwstr/>
      </vt:variant>
      <vt:variant>
        <vt:i4>1769548</vt:i4>
      </vt:variant>
      <vt:variant>
        <vt:i4>267</vt:i4>
      </vt:variant>
      <vt:variant>
        <vt:i4>0</vt:i4>
      </vt:variant>
      <vt:variant>
        <vt:i4>5</vt:i4>
      </vt:variant>
      <vt:variant>
        <vt:lpwstr>https://anpm.ro/planuri-judetene-de-gestionare-a-deseurilor/</vt:lpwstr>
      </vt:variant>
      <vt:variant>
        <vt:lpwstr/>
      </vt:variant>
      <vt:variant>
        <vt:i4>1114120</vt:i4>
      </vt:variant>
      <vt:variant>
        <vt:i4>264</vt:i4>
      </vt:variant>
      <vt:variant>
        <vt:i4>0</vt:i4>
      </vt:variant>
      <vt:variant>
        <vt:i4>5</vt:i4>
      </vt:variant>
      <vt:variant>
        <vt:lpwstr>https://mmediu.ro/en/domenii/mediu/deseuri/strategii-planuri-studii/</vt:lpwstr>
      </vt:variant>
      <vt:variant>
        <vt:lpwstr/>
      </vt:variant>
      <vt:variant>
        <vt:i4>1245273</vt:i4>
      </vt:variant>
      <vt:variant>
        <vt:i4>261</vt:i4>
      </vt:variant>
      <vt:variant>
        <vt:i4>0</vt:i4>
      </vt:variant>
      <vt:variant>
        <vt:i4>5</vt:i4>
      </vt:variant>
      <vt:variant>
        <vt:lpwstr>https://mmediu.ro/en/despre-noi/programe-si-strategii/strategia-nationala-pentru-paduri-2030/</vt:lpwstr>
      </vt:variant>
      <vt:variant>
        <vt:lpwstr/>
      </vt:variant>
      <vt:variant>
        <vt:i4>7798827</vt:i4>
      </vt:variant>
      <vt:variant>
        <vt:i4>258</vt:i4>
      </vt:variant>
      <vt:variant>
        <vt:i4>0</vt:i4>
      </vt:variant>
      <vt:variant>
        <vt:i4>5</vt:i4>
      </vt:variant>
      <vt:variant>
        <vt:lpwstr>https://mfe.gov.ro/</vt:lpwstr>
      </vt:variant>
      <vt:variant>
        <vt:lpwstr/>
      </vt:variant>
      <vt:variant>
        <vt:i4>5898264</vt:i4>
      </vt:variant>
      <vt:variant>
        <vt:i4>255</vt:i4>
      </vt:variant>
      <vt:variant>
        <vt:i4>0</vt:i4>
      </vt:variant>
      <vt:variant>
        <vt:i4>5</vt:i4>
      </vt:variant>
      <vt:variant>
        <vt:lpwstr>https://mfe.gov.ro/pnrr/</vt:lpwstr>
      </vt:variant>
      <vt:variant>
        <vt:lpwstr/>
      </vt:variant>
      <vt:variant>
        <vt:i4>3801135</vt:i4>
      </vt:variant>
      <vt:variant>
        <vt:i4>252</vt:i4>
      </vt:variant>
      <vt:variant>
        <vt:i4>0</vt:i4>
      </vt:variant>
      <vt:variant>
        <vt:i4>5</vt:i4>
      </vt:variant>
      <vt:variant>
        <vt:lpwstr>https://dezvoltaredurabila.gov.ro/</vt:lpwstr>
      </vt:variant>
      <vt:variant>
        <vt:lpwstr/>
      </vt:variant>
      <vt:variant>
        <vt:i4>3473470</vt:i4>
      </vt:variant>
      <vt:variant>
        <vt:i4>249</vt:i4>
      </vt:variant>
      <vt:variant>
        <vt:i4>0</vt:i4>
      </vt:variant>
      <vt:variant>
        <vt:i4>5</vt:i4>
      </vt:variant>
      <vt:variant>
        <vt:lpwstr>https://mmediu.ro/en/domenii/mediu/schimbari-climatice/adaptarea-la-schimbarile-climatice/cadrul-national/</vt:lpwstr>
      </vt:variant>
      <vt:variant>
        <vt:lpwstr/>
      </vt:variant>
      <vt:variant>
        <vt:i4>1966108</vt:i4>
      </vt:variant>
      <vt:variant>
        <vt:i4>246</vt:i4>
      </vt:variant>
      <vt:variant>
        <vt:i4>0</vt:i4>
      </vt:variant>
      <vt:variant>
        <vt:i4>5</vt:i4>
      </vt:variant>
      <vt:variant>
        <vt:lpwstr>https://legislatie.just.ro/Public/DetaliiDocument/153283</vt:lpwstr>
      </vt:variant>
      <vt:variant>
        <vt:lpwstr/>
      </vt:variant>
      <vt:variant>
        <vt:i4>851984</vt:i4>
      </vt:variant>
      <vt:variant>
        <vt:i4>243</vt:i4>
      </vt:variant>
      <vt:variant>
        <vt:i4>0</vt:i4>
      </vt:variant>
      <vt:variant>
        <vt:i4>5</vt:i4>
      </vt:variant>
      <vt:variant>
        <vt:lpwstr>https://mmediu.ro/en/domenii/ape/directive-europene/directiva-cadru-strategia-pentru-mediul-marin-2008-56-ce-marine-strategy-framework-directive/</vt:lpwstr>
      </vt:variant>
      <vt:variant>
        <vt:lpwstr/>
      </vt:variant>
      <vt:variant>
        <vt:i4>3866720</vt:i4>
      </vt:variant>
      <vt:variant>
        <vt:i4>240</vt:i4>
      </vt:variant>
      <vt:variant>
        <vt:i4>0</vt:i4>
      </vt:variant>
      <vt:variant>
        <vt:i4>5</vt:i4>
      </vt:variant>
      <vt:variant>
        <vt:lpwstr>https://mmediu.ro/domenii/mediu/biodiversitate/</vt:lpwstr>
      </vt:variant>
      <vt:variant>
        <vt:lpwstr/>
      </vt:variant>
      <vt:variant>
        <vt:i4>5308429</vt:i4>
      </vt:variant>
      <vt:variant>
        <vt:i4>237</vt:i4>
      </vt:variant>
      <vt:variant>
        <vt:i4>0</vt:i4>
      </vt:variant>
      <vt:variant>
        <vt:i4>5</vt:i4>
      </vt:variant>
      <vt:variant>
        <vt:lpwstr>https://mmediu.ro/domenii/mediu/sol-si-subsol/situri-contaminate/</vt:lpwstr>
      </vt:variant>
      <vt:variant>
        <vt:lpwstr/>
      </vt:variant>
      <vt:variant>
        <vt:i4>5767255</vt:i4>
      </vt:variant>
      <vt:variant>
        <vt:i4>234</vt:i4>
      </vt:variant>
      <vt:variant>
        <vt:i4>0</vt:i4>
      </vt:variant>
      <vt:variant>
        <vt:i4>5</vt:i4>
      </vt:variant>
      <vt:variant>
        <vt:lpwstr>https://inundatii.ro/</vt:lpwstr>
      </vt:variant>
      <vt:variant>
        <vt:lpwstr/>
      </vt:variant>
      <vt:variant>
        <vt:i4>1703953</vt:i4>
      </vt:variant>
      <vt:variant>
        <vt:i4>231</vt:i4>
      </vt:variant>
      <vt:variant>
        <vt:i4>0</vt:i4>
      </vt:variant>
      <vt:variant>
        <vt:i4>5</vt:i4>
      </vt:variant>
      <vt:variant>
        <vt:lpwstr>https://legislatie.just.ro/Public/DetaliiDocument/271443</vt:lpwstr>
      </vt:variant>
      <vt:variant>
        <vt:lpwstr/>
      </vt:variant>
      <vt:variant>
        <vt:i4>1245200</vt:i4>
      </vt:variant>
      <vt:variant>
        <vt:i4>228</vt:i4>
      </vt:variant>
      <vt:variant>
        <vt:i4>0</vt:i4>
      </vt:variant>
      <vt:variant>
        <vt:i4>5</vt:i4>
      </vt:variant>
      <vt:variant>
        <vt:lpwstr>https://legislatie.just.ro/Public/DetaliiDocument/273977</vt:lpwstr>
      </vt:variant>
      <vt:variant>
        <vt:lpwstr/>
      </vt:variant>
      <vt:variant>
        <vt:i4>2162790</vt:i4>
      </vt:variant>
      <vt:variant>
        <vt:i4>225</vt:i4>
      </vt:variant>
      <vt:variant>
        <vt:i4>0</vt:i4>
      </vt:variant>
      <vt:variant>
        <vt:i4>5</vt:i4>
      </vt:variant>
      <vt:variant>
        <vt:lpwstr>https://energie.gov.ro/pniesc/</vt:lpwstr>
      </vt:variant>
      <vt:variant>
        <vt:lpwstr/>
      </vt:variant>
      <vt:variant>
        <vt:i4>1507344</vt:i4>
      </vt:variant>
      <vt:variant>
        <vt:i4>222</vt:i4>
      </vt:variant>
      <vt:variant>
        <vt:i4>0</vt:i4>
      </vt:variant>
      <vt:variant>
        <vt:i4>5</vt:i4>
      </vt:variant>
      <vt:variant>
        <vt:lpwstr>https://legislatie.just.ro/Public/DetaliiDocument/275218</vt:lpwstr>
      </vt:variant>
      <vt:variant>
        <vt:lpwstr/>
      </vt:variant>
      <vt:variant>
        <vt:i4>1376286</vt:i4>
      </vt:variant>
      <vt:variant>
        <vt:i4>219</vt:i4>
      </vt:variant>
      <vt:variant>
        <vt:i4>0</vt:i4>
      </vt:variant>
      <vt:variant>
        <vt:i4>5</vt:i4>
      </vt:variant>
      <vt:variant>
        <vt:lpwstr>https://legislatie.just.ro/Public/DetaliiDocument/259832</vt:lpwstr>
      </vt:variant>
      <vt:variant>
        <vt:lpwstr/>
      </vt:variant>
      <vt:variant>
        <vt:i4>6815858</vt:i4>
      </vt:variant>
      <vt:variant>
        <vt:i4>216</vt:i4>
      </vt:variant>
      <vt:variant>
        <vt:i4>0</vt:i4>
      </vt:variant>
      <vt:variant>
        <vt:i4>5</vt:i4>
      </vt:variant>
      <vt:variant>
        <vt:lpwstr>https://eur-lex.europa.eu/legal-content/EN/TXT/?uri=CELEX%3A32024R1252</vt:lpwstr>
      </vt:variant>
      <vt:variant>
        <vt:lpwstr/>
      </vt:variant>
      <vt:variant>
        <vt:i4>6946818</vt:i4>
      </vt:variant>
      <vt:variant>
        <vt:i4>213</vt:i4>
      </vt:variant>
      <vt:variant>
        <vt:i4>0</vt:i4>
      </vt:variant>
      <vt:variant>
        <vt:i4>5</vt:i4>
      </vt:variant>
      <vt:variant>
        <vt:lpwstr>https://eur-lex.europa.eu/legal-content/EN/TXT/?uri=OJ:L_202401785</vt:lpwstr>
      </vt:variant>
      <vt:variant>
        <vt:lpwstr/>
      </vt:variant>
      <vt:variant>
        <vt:i4>7733284</vt:i4>
      </vt:variant>
      <vt:variant>
        <vt:i4>210</vt:i4>
      </vt:variant>
      <vt:variant>
        <vt:i4>0</vt:i4>
      </vt:variant>
      <vt:variant>
        <vt:i4>5</vt:i4>
      </vt:variant>
      <vt:variant>
        <vt:lpwstr>https://eur-lex.europa.eu/legal-content/EN/TXT/?uri=CELEX%3A52020DC0381</vt:lpwstr>
      </vt:variant>
      <vt:variant>
        <vt:lpwstr/>
      </vt:variant>
      <vt:variant>
        <vt:i4>6815859</vt:i4>
      </vt:variant>
      <vt:variant>
        <vt:i4>207</vt:i4>
      </vt:variant>
      <vt:variant>
        <vt:i4>0</vt:i4>
      </vt:variant>
      <vt:variant>
        <vt:i4>5</vt:i4>
      </vt:variant>
      <vt:variant>
        <vt:lpwstr>https://eur-lex.europa.eu/legal-content/EN/TXT/?uri=CELEX%3A32025R0040</vt:lpwstr>
      </vt:variant>
      <vt:variant>
        <vt:lpwstr/>
      </vt:variant>
      <vt:variant>
        <vt:i4>7209087</vt:i4>
      </vt:variant>
      <vt:variant>
        <vt:i4>204</vt:i4>
      </vt:variant>
      <vt:variant>
        <vt:i4>0</vt:i4>
      </vt:variant>
      <vt:variant>
        <vt:i4>5</vt:i4>
      </vt:variant>
      <vt:variant>
        <vt:lpwstr>https://eur-lex.europa.eu/legal-content/EN/TXT/?uri=CELEX%3A32024R1781</vt:lpwstr>
      </vt:variant>
      <vt:variant>
        <vt:lpwstr/>
      </vt:variant>
      <vt:variant>
        <vt:i4>7209074</vt:i4>
      </vt:variant>
      <vt:variant>
        <vt:i4>201</vt:i4>
      </vt:variant>
      <vt:variant>
        <vt:i4>0</vt:i4>
      </vt:variant>
      <vt:variant>
        <vt:i4>5</vt:i4>
      </vt:variant>
      <vt:variant>
        <vt:lpwstr>https://eur-lex.europa.eu/legal-content/EN/TXT/?uri=CELEX%3A32024R1157</vt:lpwstr>
      </vt:variant>
      <vt:variant>
        <vt:lpwstr/>
      </vt:variant>
      <vt:variant>
        <vt:i4>7864443</vt:i4>
      </vt:variant>
      <vt:variant>
        <vt:i4>198</vt:i4>
      </vt:variant>
      <vt:variant>
        <vt:i4>0</vt:i4>
      </vt:variant>
      <vt:variant>
        <vt:i4>5</vt:i4>
      </vt:variant>
      <vt:variant>
        <vt:lpwstr>https://eur-lex.europa.eu/legal-content/EN/TXT/?uri=CELEX%3A32019L0904</vt:lpwstr>
      </vt:variant>
      <vt:variant>
        <vt:lpwstr/>
      </vt:variant>
      <vt:variant>
        <vt:i4>8192127</vt:i4>
      </vt:variant>
      <vt:variant>
        <vt:i4>195</vt:i4>
      </vt:variant>
      <vt:variant>
        <vt:i4>0</vt:i4>
      </vt:variant>
      <vt:variant>
        <vt:i4>5</vt:i4>
      </vt:variant>
      <vt:variant>
        <vt:lpwstr>https://eur-lex.europa.eu/legal-content/EN/TXT/?uri=CELEX%3A32018L0850</vt:lpwstr>
      </vt:variant>
      <vt:variant>
        <vt:lpwstr/>
      </vt:variant>
      <vt:variant>
        <vt:i4>8192107</vt:i4>
      </vt:variant>
      <vt:variant>
        <vt:i4>192</vt:i4>
      </vt:variant>
      <vt:variant>
        <vt:i4>0</vt:i4>
      </vt:variant>
      <vt:variant>
        <vt:i4>5</vt:i4>
      </vt:variant>
      <vt:variant>
        <vt:lpwstr>https://eur-lex.europa.eu/legal-content/EN/TXT/?uri=CELEX%3A02008L0098-20240218</vt:lpwstr>
      </vt:variant>
      <vt:variant>
        <vt:lpwstr/>
      </vt:variant>
      <vt:variant>
        <vt:i4>7864353</vt:i4>
      </vt:variant>
      <vt:variant>
        <vt:i4>189</vt:i4>
      </vt:variant>
      <vt:variant>
        <vt:i4>0</vt:i4>
      </vt:variant>
      <vt:variant>
        <vt:i4>5</vt:i4>
      </vt:variant>
      <vt:variant>
        <vt:lpwstr>https://eur-lex.europa.eu/legal-content/EN/TXT/?uri=CELEX%3A52020DC0667</vt:lpwstr>
      </vt:variant>
      <vt:variant>
        <vt:lpwstr/>
      </vt:variant>
      <vt:variant>
        <vt:i4>7733286</vt:i4>
      </vt:variant>
      <vt:variant>
        <vt:i4>186</vt:i4>
      </vt:variant>
      <vt:variant>
        <vt:i4>0</vt:i4>
      </vt:variant>
      <vt:variant>
        <vt:i4>5</vt:i4>
      </vt:variant>
      <vt:variant>
        <vt:lpwstr>https://eur-lex.europa.eu/legal-content/EN/TXT/?uri=CELEX%3A52021DC0082</vt:lpwstr>
      </vt:variant>
      <vt:variant>
        <vt:lpwstr/>
      </vt:variant>
      <vt:variant>
        <vt:i4>7995428</vt:i4>
      </vt:variant>
      <vt:variant>
        <vt:i4>183</vt:i4>
      </vt:variant>
      <vt:variant>
        <vt:i4>0</vt:i4>
      </vt:variant>
      <vt:variant>
        <vt:i4>5</vt:i4>
      </vt:variant>
      <vt:variant>
        <vt:lpwstr>https://eur-lex.europa.eu/legal-content/EN/TXT/?uri=CELEX%3A52022DC0141</vt:lpwstr>
      </vt:variant>
      <vt:variant>
        <vt:lpwstr/>
      </vt:variant>
      <vt:variant>
        <vt:i4>7798816</vt:i4>
      </vt:variant>
      <vt:variant>
        <vt:i4>180</vt:i4>
      </vt:variant>
      <vt:variant>
        <vt:i4>0</vt:i4>
      </vt:variant>
      <vt:variant>
        <vt:i4>5</vt:i4>
      </vt:variant>
      <vt:variant>
        <vt:lpwstr>https://eur-lex.europa.eu/legal-content/EN/TXT/?uri=CELEX%3A52021DC0699</vt:lpwstr>
      </vt:variant>
      <vt:variant>
        <vt:lpwstr/>
      </vt:variant>
      <vt:variant>
        <vt:i4>7733284</vt:i4>
      </vt:variant>
      <vt:variant>
        <vt:i4>177</vt:i4>
      </vt:variant>
      <vt:variant>
        <vt:i4>0</vt:i4>
      </vt:variant>
      <vt:variant>
        <vt:i4>5</vt:i4>
      </vt:variant>
      <vt:variant>
        <vt:lpwstr>https://eur-lex.europa.eu/legal-content/EN/TXT/?uri=CELEX%3A52020DC0380</vt:lpwstr>
      </vt:variant>
      <vt:variant>
        <vt:lpwstr/>
      </vt:variant>
      <vt:variant>
        <vt:i4>8257570</vt:i4>
      </vt:variant>
      <vt:variant>
        <vt:i4>174</vt:i4>
      </vt:variant>
      <vt:variant>
        <vt:i4>0</vt:i4>
      </vt:variant>
      <vt:variant>
        <vt:i4>5</vt:i4>
      </vt:variant>
      <vt:variant>
        <vt:lpwstr>https://eur-lex.europa.eu/legal-content/EN/TXT/?uri=CELEX%3A52021DC0400</vt:lpwstr>
      </vt:variant>
      <vt:variant>
        <vt:lpwstr/>
      </vt:variant>
      <vt:variant>
        <vt:i4>7798823</vt:i4>
      </vt:variant>
      <vt:variant>
        <vt:i4>171</vt:i4>
      </vt:variant>
      <vt:variant>
        <vt:i4>0</vt:i4>
      </vt:variant>
      <vt:variant>
        <vt:i4>5</vt:i4>
      </vt:variant>
      <vt:variant>
        <vt:lpwstr>https://eur-lex.europa.eu/legal-content/EN/TXT/?uri=CELEX%3A52020DC0098</vt:lpwstr>
      </vt:variant>
      <vt:variant>
        <vt:lpwstr/>
      </vt:variant>
      <vt:variant>
        <vt:i4>7995513</vt:i4>
      </vt:variant>
      <vt:variant>
        <vt:i4>168</vt:i4>
      </vt:variant>
      <vt:variant>
        <vt:i4>0</vt:i4>
      </vt:variant>
      <vt:variant>
        <vt:i4>5</vt:i4>
      </vt:variant>
      <vt:variant>
        <vt:lpwstr>https://eur-lex.europa.eu/legal-content/EN/TXT/?uri=CELEX%3A32022D0591</vt:lpwstr>
      </vt:variant>
      <vt:variant>
        <vt:lpwstr/>
      </vt:variant>
      <vt:variant>
        <vt:i4>7929896</vt:i4>
      </vt:variant>
      <vt:variant>
        <vt:i4>165</vt:i4>
      </vt:variant>
      <vt:variant>
        <vt:i4>0</vt:i4>
      </vt:variant>
      <vt:variant>
        <vt:i4>5</vt:i4>
      </vt:variant>
      <vt:variant>
        <vt:lpwstr>https://eur-lex.europa.eu/legal-content/EN/TXT/?uri=CELEX%3A52019DC0640</vt:lpwstr>
      </vt:variant>
      <vt:variant>
        <vt:lpwstr/>
      </vt:variant>
      <vt:variant>
        <vt:i4>4522010</vt:i4>
      </vt:variant>
      <vt:variant>
        <vt:i4>162</vt:i4>
      </vt:variant>
      <vt:variant>
        <vt:i4>0</vt:i4>
      </vt:variant>
      <vt:variant>
        <vt:i4>5</vt:i4>
      </vt:variant>
      <vt:variant>
        <vt:lpwstr>https://unece.org/environment-policy/air</vt:lpwstr>
      </vt:variant>
      <vt:variant>
        <vt:lpwstr/>
      </vt:variant>
      <vt:variant>
        <vt:i4>7667818</vt:i4>
      </vt:variant>
      <vt:variant>
        <vt:i4>159</vt:i4>
      </vt:variant>
      <vt:variant>
        <vt:i4>0</vt:i4>
      </vt:variant>
      <vt:variant>
        <vt:i4>5</vt:i4>
      </vt:variant>
      <vt:variant>
        <vt:lpwstr>http://www.blacksea-commission.org/</vt:lpwstr>
      </vt:variant>
      <vt:variant>
        <vt:lpwstr/>
      </vt:variant>
      <vt:variant>
        <vt:i4>3932195</vt:i4>
      </vt:variant>
      <vt:variant>
        <vt:i4>156</vt:i4>
      </vt:variant>
      <vt:variant>
        <vt:i4>0</vt:i4>
      </vt:variant>
      <vt:variant>
        <vt:i4>5</vt:i4>
      </vt:variant>
      <vt:variant>
        <vt:lpwstr>https://www.unep.org/inc-plastic-pollution</vt:lpwstr>
      </vt:variant>
      <vt:variant>
        <vt:lpwstr/>
      </vt:variant>
      <vt:variant>
        <vt:i4>2555965</vt:i4>
      </vt:variant>
      <vt:variant>
        <vt:i4>153</vt:i4>
      </vt:variant>
      <vt:variant>
        <vt:i4>0</vt:i4>
      </vt:variant>
      <vt:variant>
        <vt:i4>5</vt:i4>
      </vt:variant>
      <vt:variant>
        <vt:lpwstr>https://www.cbd.int/gbf</vt:lpwstr>
      </vt:variant>
      <vt:variant>
        <vt:lpwstr/>
      </vt:variant>
      <vt:variant>
        <vt:i4>2490412</vt:i4>
      </vt:variant>
      <vt:variant>
        <vt:i4>150</vt:i4>
      </vt:variant>
      <vt:variant>
        <vt:i4>0</vt:i4>
      </vt:variant>
      <vt:variant>
        <vt:i4>5</vt:i4>
      </vt:variant>
      <vt:variant>
        <vt:lpwstr>https://unfccc.int/process-and-meetings/the-paris-agreement</vt:lpwstr>
      </vt:variant>
      <vt:variant>
        <vt:lpwstr/>
      </vt:variant>
      <vt:variant>
        <vt:i4>3932203</vt:i4>
      </vt:variant>
      <vt:variant>
        <vt:i4>147</vt:i4>
      </vt:variant>
      <vt:variant>
        <vt:i4>0</vt:i4>
      </vt:variant>
      <vt:variant>
        <vt:i4>5</vt:i4>
      </vt:variant>
      <vt:variant>
        <vt:lpwstr>https://www.mercuryconvention.org/</vt:lpwstr>
      </vt:variant>
      <vt:variant>
        <vt:lpwstr/>
      </vt:variant>
      <vt:variant>
        <vt:i4>4784128</vt:i4>
      </vt:variant>
      <vt:variant>
        <vt:i4>144</vt:i4>
      </vt:variant>
      <vt:variant>
        <vt:i4>0</vt:i4>
      </vt:variant>
      <vt:variant>
        <vt:i4>5</vt:i4>
      </vt:variant>
      <vt:variant>
        <vt:lpwstr>https://www.pops.int/</vt:lpwstr>
      </vt:variant>
      <vt:variant>
        <vt:lpwstr/>
      </vt:variant>
      <vt:variant>
        <vt:i4>2293792</vt:i4>
      </vt:variant>
      <vt:variant>
        <vt:i4>141</vt:i4>
      </vt:variant>
      <vt:variant>
        <vt:i4>0</vt:i4>
      </vt:variant>
      <vt:variant>
        <vt:i4>5</vt:i4>
      </vt:variant>
      <vt:variant>
        <vt:lpwstr>https://www.basel.int/</vt:lpwstr>
      </vt:variant>
      <vt:variant>
        <vt:lpwstr/>
      </vt:variant>
      <vt:variant>
        <vt:i4>196634</vt:i4>
      </vt:variant>
      <vt:variant>
        <vt:i4>138</vt:i4>
      </vt:variant>
      <vt:variant>
        <vt:i4>0</vt:i4>
      </vt:variant>
      <vt:variant>
        <vt:i4>5</vt:i4>
      </vt:variant>
      <vt:variant>
        <vt:lpwstr>https://sdgs.un.org/goals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Mediu</dc:title>
  <dc:subject/>
  <dc:creator>Nicoleta Gabriela Musat</dc:creator>
  <cp:keywords/>
  <dc:description/>
  <cp:lastModifiedBy>Nicoleta Gabriela Musat</cp:lastModifiedBy>
  <cp:revision>211</cp:revision>
  <dcterms:created xsi:type="dcterms:W3CDTF">2026-06-18T18:20:00Z</dcterms:created>
  <dcterms:modified xsi:type="dcterms:W3CDTF">2026-07-01T20:24:00Z</dcterms:modified>
  <cp:category>PLANUL NAȚIONAL DE GESTIONARE A DEȘEURILOR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ctbox">
    <vt:lpwstr>True</vt:lpwstr>
  </property>
  <property fmtid="{D5CDD505-2E9C-101B-9397-08002B2CF9AE}" pid="3" name="TenderInsertImage">
    <vt:lpwstr>True</vt:lpwstr>
  </property>
  <property fmtid="{D5CDD505-2E9C-101B-9397-08002B2CF9AE}" pid="4" name="TenderWhiteBorder">
    <vt:lpwstr>True</vt:lpwstr>
  </property>
  <property fmtid="{D5CDD505-2E9C-101B-9397-08002B2CF9AE}" pid="5" name="templatetype">
    <vt:lpwstr>coverandcontent</vt:lpwstr>
  </property>
  <property fmtid="{D5CDD505-2E9C-101B-9397-08002B2CF9AE}" pid="6" name="Doc_AcceptedBy">
    <vt:lpwstr> </vt:lpwstr>
  </property>
  <property fmtid="{D5CDD505-2E9C-101B-9397-08002B2CF9AE}" pid="7" name="Doc_AcceptedDate">
    <vt:lpwstr> </vt:lpwstr>
  </property>
  <property fmtid="{D5CDD505-2E9C-101B-9397-08002B2CF9AE}" pid="8" name="Doc_ApprovedPublicationBy">
    <vt:lpwstr> </vt:lpwstr>
  </property>
  <property fmtid="{D5CDD505-2E9C-101B-9397-08002B2CF9AE}" pid="9" name="Doc_ApprovedPublicationDate">
    <vt:lpwstr> </vt:lpwstr>
  </property>
  <property fmtid="{D5CDD505-2E9C-101B-9397-08002B2CF9AE}" pid="10" name="Doc_ApprovedSharingBy">
    <vt:lpwstr> </vt:lpwstr>
  </property>
  <property fmtid="{D5CDD505-2E9C-101B-9397-08002B2CF9AE}" pid="11" name="Doc_ApprovedSharingDate">
    <vt:lpwstr> </vt:lpwstr>
  </property>
  <property fmtid="{D5CDD505-2E9C-101B-9397-08002B2CF9AE}" pid="12" name="Doc_CheckedBy">
    <vt:lpwstr> </vt:lpwstr>
  </property>
  <property fmtid="{D5CDD505-2E9C-101B-9397-08002B2CF9AE}" pid="13" name="Doc_CheckedDate">
    <vt:lpwstr> </vt:lpwstr>
  </property>
  <property fmtid="{D5CDD505-2E9C-101B-9397-08002B2CF9AE}" pid="14" name="Doc_Client">
    <vt:lpwstr> </vt:lpwstr>
  </property>
  <property fmtid="{D5CDD505-2E9C-101B-9397-08002B2CF9AE}" pid="15" name="Doc_DesignStatus">
    <vt:lpwstr> </vt:lpwstr>
  </property>
  <property fmtid="{D5CDD505-2E9C-101B-9397-08002B2CF9AE}" pid="16" name="Doc_DocNumber">
    <vt:lpwstr> </vt:lpwstr>
  </property>
  <property fmtid="{D5CDD505-2E9C-101B-9397-08002B2CF9AE}" pid="17" name="Doc_DocTitle1">
    <vt:lpwstr> </vt:lpwstr>
  </property>
  <property fmtid="{D5CDD505-2E9C-101B-9397-08002B2CF9AE}" pid="18" name="Doc_DocTitle2">
    <vt:lpwstr> </vt:lpwstr>
  </property>
  <property fmtid="{D5CDD505-2E9C-101B-9397-08002B2CF9AE}" pid="19" name="Doc_DocTitle3">
    <vt:lpwstr> </vt:lpwstr>
  </property>
  <property fmtid="{D5CDD505-2E9C-101B-9397-08002B2CF9AE}" pid="20" name="Doc_DocTitle4">
    <vt:lpwstr> </vt:lpwstr>
  </property>
  <property fmtid="{D5CDD505-2E9C-101B-9397-08002B2CF9AE}" pid="21" name="Doc_MaconomyID">
    <vt:lpwstr> </vt:lpwstr>
  </property>
  <property fmtid="{D5CDD505-2E9C-101B-9397-08002B2CF9AE}" pid="22" name="Doc_Originator">
    <vt:lpwstr> </vt:lpwstr>
  </property>
  <property fmtid="{D5CDD505-2E9C-101B-9397-08002B2CF9AE}" pid="23" name="Doc_PreparedBy">
    <vt:lpwstr> </vt:lpwstr>
  </property>
  <property fmtid="{D5CDD505-2E9C-101B-9397-08002B2CF9AE}" pid="24" name="Doc_PreparedDate">
    <vt:lpwstr> </vt:lpwstr>
  </property>
  <property fmtid="{D5CDD505-2E9C-101B-9397-08002B2CF9AE}" pid="25" name="Doc_ProjectName">
    <vt:lpwstr> </vt:lpwstr>
  </property>
  <property fmtid="{D5CDD505-2E9C-101B-9397-08002B2CF9AE}" pid="26" name="Doc_Revision">
    <vt:lpwstr> </vt:lpwstr>
  </property>
  <property fmtid="{D5CDD505-2E9C-101B-9397-08002B2CF9AE}" pid="27" name="Doc_Revision1">
    <vt:lpwstr> </vt:lpwstr>
  </property>
  <property fmtid="{D5CDD505-2E9C-101B-9397-08002B2CF9AE}" pid="28" name="Doc_Revision10">
    <vt:lpwstr> </vt:lpwstr>
  </property>
  <property fmtid="{D5CDD505-2E9C-101B-9397-08002B2CF9AE}" pid="29" name="Doc_Revision10ApprovedBy">
    <vt:lpwstr> </vt:lpwstr>
  </property>
  <property fmtid="{D5CDD505-2E9C-101B-9397-08002B2CF9AE}" pid="30" name="Doc_Revision10CheckedBy">
    <vt:lpwstr> </vt:lpwstr>
  </property>
  <property fmtid="{D5CDD505-2E9C-101B-9397-08002B2CF9AE}" pid="31" name="Doc_Revision10Date">
    <vt:lpwstr> </vt:lpwstr>
  </property>
  <property fmtid="{D5CDD505-2E9C-101B-9397-08002B2CF9AE}" pid="32" name="Doc_Revision10DesignedBy">
    <vt:lpwstr> </vt:lpwstr>
  </property>
  <property fmtid="{D5CDD505-2E9C-101B-9397-08002B2CF9AE}" pid="33" name="Doc_Revision10Note">
    <vt:lpwstr> </vt:lpwstr>
  </property>
  <property fmtid="{D5CDD505-2E9C-101B-9397-08002B2CF9AE}" pid="34" name="Doc_Revision10PreparedBy">
    <vt:lpwstr> </vt:lpwstr>
  </property>
  <property fmtid="{D5CDD505-2E9C-101B-9397-08002B2CF9AE}" pid="35" name="Doc_Revision11">
    <vt:lpwstr> </vt:lpwstr>
  </property>
  <property fmtid="{D5CDD505-2E9C-101B-9397-08002B2CF9AE}" pid="36" name="Doc_Revision11ApprovedBy">
    <vt:lpwstr> </vt:lpwstr>
  </property>
  <property fmtid="{D5CDD505-2E9C-101B-9397-08002B2CF9AE}" pid="37" name="Doc_Revision11CheckedBy">
    <vt:lpwstr> </vt:lpwstr>
  </property>
  <property fmtid="{D5CDD505-2E9C-101B-9397-08002B2CF9AE}" pid="38" name="Doc_Revision11Date">
    <vt:lpwstr> </vt:lpwstr>
  </property>
  <property fmtid="{D5CDD505-2E9C-101B-9397-08002B2CF9AE}" pid="39" name="Doc_Revision11DesignedBy">
    <vt:lpwstr> </vt:lpwstr>
  </property>
  <property fmtid="{D5CDD505-2E9C-101B-9397-08002B2CF9AE}" pid="40" name="Doc_Revision11Note">
    <vt:lpwstr> </vt:lpwstr>
  </property>
  <property fmtid="{D5CDD505-2E9C-101B-9397-08002B2CF9AE}" pid="41" name="Doc_Revision11PreparedBy">
    <vt:lpwstr> </vt:lpwstr>
  </property>
  <property fmtid="{D5CDD505-2E9C-101B-9397-08002B2CF9AE}" pid="42" name="Doc_Revision12">
    <vt:lpwstr> </vt:lpwstr>
  </property>
  <property fmtid="{D5CDD505-2E9C-101B-9397-08002B2CF9AE}" pid="43" name="Doc_Revision12ApprovedBy">
    <vt:lpwstr> </vt:lpwstr>
  </property>
  <property fmtid="{D5CDD505-2E9C-101B-9397-08002B2CF9AE}" pid="44" name="Doc_Revision12CheckedBy">
    <vt:lpwstr> </vt:lpwstr>
  </property>
  <property fmtid="{D5CDD505-2E9C-101B-9397-08002B2CF9AE}" pid="45" name="Doc_Revision12Date">
    <vt:lpwstr> </vt:lpwstr>
  </property>
  <property fmtid="{D5CDD505-2E9C-101B-9397-08002B2CF9AE}" pid="46" name="Doc_Revision12DesignedBy">
    <vt:lpwstr> </vt:lpwstr>
  </property>
  <property fmtid="{D5CDD505-2E9C-101B-9397-08002B2CF9AE}" pid="47" name="Doc_Revision12Note">
    <vt:lpwstr> </vt:lpwstr>
  </property>
  <property fmtid="{D5CDD505-2E9C-101B-9397-08002B2CF9AE}" pid="48" name="Doc_Revision12PreparedBy">
    <vt:lpwstr> </vt:lpwstr>
  </property>
  <property fmtid="{D5CDD505-2E9C-101B-9397-08002B2CF9AE}" pid="49" name="Doc_Revision1ApprovedBy">
    <vt:lpwstr> </vt:lpwstr>
  </property>
  <property fmtid="{D5CDD505-2E9C-101B-9397-08002B2CF9AE}" pid="50" name="Doc_Revision1CheckedBy">
    <vt:lpwstr> </vt:lpwstr>
  </property>
  <property fmtid="{D5CDD505-2E9C-101B-9397-08002B2CF9AE}" pid="51" name="Doc_Revision1Date">
    <vt:lpwstr> </vt:lpwstr>
  </property>
  <property fmtid="{D5CDD505-2E9C-101B-9397-08002B2CF9AE}" pid="52" name="Doc_Revision1DesignedBy">
    <vt:lpwstr> </vt:lpwstr>
  </property>
  <property fmtid="{D5CDD505-2E9C-101B-9397-08002B2CF9AE}" pid="53" name="Doc_Revision1Note">
    <vt:lpwstr> </vt:lpwstr>
  </property>
  <property fmtid="{D5CDD505-2E9C-101B-9397-08002B2CF9AE}" pid="54" name="Doc_Revision1PreparedBy">
    <vt:lpwstr> </vt:lpwstr>
  </property>
  <property fmtid="{D5CDD505-2E9C-101B-9397-08002B2CF9AE}" pid="55" name="Doc_Revision2">
    <vt:lpwstr> </vt:lpwstr>
  </property>
  <property fmtid="{D5CDD505-2E9C-101B-9397-08002B2CF9AE}" pid="56" name="Doc_Revision2ApprovedBy">
    <vt:lpwstr> </vt:lpwstr>
  </property>
  <property fmtid="{D5CDD505-2E9C-101B-9397-08002B2CF9AE}" pid="57" name="Doc_Revision2CheckedBy">
    <vt:lpwstr> </vt:lpwstr>
  </property>
  <property fmtid="{D5CDD505-2E9C-101B-9397-08002B2CF9AE}" pid="58" name="Doc_Revision2Date">
    <vt:lpwstr> </vt:lpwstr>
  </property>
  <property fmtid="{D5CDD505-2E9C-101B-9397-08002B2CF9AE}" pid="59" name="Doc_Revision2DesignedBy">
    <vt:lpwstr> </vt:lpwstr>
  </property>
  <property fmtid="{D5CDD505-2E9C-101B-9397-08002B2CF9AE}" pid="60" name="Doc_Revision2Note">
    <vt:lpwstr> </vt:lpwstr>
  </property>
  <property fmtid="{D5CDD505-2E9C-101B-9397-08002B2CF9AE}" pid="61" name="Doc_Revision2PreparedBy">
    <vt:lpwstr> </vt:lpwstr>
  </property>
  <property fmtid="{D5CDD505-2E9C-101B-9397-08002B2CF9AE}" pid="62" name="Doc_Revision3">
    <vt:lpwstr> </vt:lpwstr>
  </property>
  <property fmtid="{D5CDD505-2E9C-101B-9397-08002B2CF9AE}" pid="63" name="Doc_Revision3ApprovedBy">
    <vt:lpwstr> </vt:lpwstr>
  </property>
  <property fmtid="{D5CDD505-2E9C-101B-9397-08002B2CF9AE}" pid="64" name="Doc_Revision3CheckedBy">
    <vt:lpwstr> </vt:lpwstr>
  </property>
  <property fmtid="{D5CDD505-2E9C-101B-9397-08002B2CF9AE}" pid="65" name="Doc_Revision3Date">
    <vt:lpwstr> </vt:lpwstr>
  </property>
  <property fmtid="{D5CDD505-2E9C-101B-9397-08002B2CF9AE}" pid="66" name="Doc_Revision3DesignedBy">
    <vt:lpwstr> </vt:lpwstr>
  </property>
  <property fmtid="{D5CDD505-2E9C-101B-9397-08002B2CF9AE}" pid="67" name="Doc_Revision3Note">
    <vt:lpwstr> </vt:lpwstr>
  </property>
  <property fmtid="{D5CDD505-2E9C-101B-9397-08002B2CF9AE}" pid="68" name="Doc_Revision3PreparedBy">
    <vt:lpwstr> </vt:lpwstr>
  </property>
  <property fmtid="{D5CDD505-2E9C-101B-9397-08002B2CF9AE}" pid="69" name="Doc_Revision4">
    <vt:lpwstr> </vt:lpwstr>
  </property>
  <property fmtid="{D5CDD505-2E9C-101B-9397-08002B2CF9AE}" pid="70" name="Doc_Revision4ApprovedBy">
    <vt:lpwstr> </vt:lpwstr>
  </property>
  <property fmtid="{D5CDD505-2E9C-101B-9397-08002B2CF9AE}" pid="71" name="Doc_Revision4CheckedBy">
    <vt:lpwstr> </vt:lpwstr>
  </property>
  <property fmtid="{D5CDD505-2E9C-101B-9397-08002B2CF9AE}" pid="72" name="Doc_Revision4Date">
    <vt:lpwstr> </vt:lpwstr>
  </property>
  <property fmtid="{D5CDD505-2E9C-101B-9397-08002B2CF9AE}" pid="73" name="Doc_Revision4DesignedBy">
    <vt:lpwstr> </vt:lpwstr>
  </property>
  <property fmtid="{D5CDD505-2E9C-101B-9397-08002B2CF9AE}" pid="74" name="Doc_Revision4Note">
    <vt:lpwstr> </vt:lpwstr>
  </property>
  <property fmtid="{D5CDD505-2E9C-101B-9397-08002B2CF9AE}" pid="75" name="Doc_Revision4PreparedBy">
    <vt:lpwstr> </vt:lpwstr>
  </property>
  <property fmtid="{D5CDD505-2E9C-101B-9397-08002B2CF9AE}" pid="76" name="Doc_Revision5">
    <vt:lpwstr> </vt:lpwstr>
  </property>
  <property fmtid="{D5CDD505-2E9C-101B-9397-08002B2CF9AE}" pid="77" name="Doc_Revision5ApprovedBy">
    <vt:lpwstr> </vt:lpwstr>
  </property>
  <property fmtid="{D5CDD505-2E9C-101B-9397-08002B2CF9AE}" pid="78" name="Doc_Revision5CheckedBy">
    <vt:lpwstr> </vt:lpwstr>
  </property>
  <property fmtid="{D5CDD505-2E9C-101B-9397-08002B2CF9AE}" pid="79" name="Doc_Revision5Date">
    <vt:lpwstr> </vt:lpwstr>
  </property>
  <property fmtid="{D5CDD505-2E9C-101B-9397-08002B2CF9AE}" pid="80" name="Doc_Revision5DesignedBy">
    <vt:lpwstr> </vt:lpwstr>
  </property>
  <property fmtid="{D5CDD505-2E9C-101B-9397-08002B2CF9AE}" pid="81" name="Doc_Revision5Note">
    <vt:lpwstr> </vt:lpwstr>
  </property>
  <property fmtid="{D5CDD505-2E9C-101B-9397-08002B2CF9AE}" pid="82" name="Doc_Revision5PreparedBy">
    <vt:lpwstr> </vt:lpwstr>
  </property>
  <property fmtid="{D5CDD505-2E9C-101B-9397-08002B2CF9AE}" pid="83" name="Doc_Revision6">
    <vt:lpwstr> </vt:lpwstr>
  </property>
  <property fmtid="{D5CDD505-2E9C-101B-9397-08002B2CF9AE}" pid="84" name="Doc_Revision6ApprovedBy">
    <vt:lpwstr> </vt:lpwstr>
  </property>
  <property fmtid="{D5CDD505-2E9C-101B-9397-08002B2CF9AE}" pid="85" name="Doc_Revision6CheckedBy">
    <vt:lpwstr> </vt:lpwstr>
  </property>
  <property fmtid="{D5CDD505-2E9C-101B-9397-08002B2CF9AE}" pid="86" name="Doc_Revision6Date">
    <vt:lpwstr> </vt:lpwstr>
  </property>
  <property fmtid="{D5CDD505-2E9C-101B-9397-08002B2CF9AE}" pid="87" name="Doc_Revision6DesignedBy">
    <vt:lpwstr> </vt:lpwstr>
  </property>
  <property fmtid="{D5CDD505-2E9C-101B-9397-08002B2CF9AE}" pid="88" name="Doc_Revision6Note">
    <vt:lpwstr> </vt:lpwstr>
  </property>
  <property fmtid="{D5CDD505-2E9C-101B-9397-08002B2CF9AE}" pid="89" name="Doc_Revision6PreparedBy">
    <vt:lpwstr> </vt:lpwstr>
  </property>
  <property fmtid="{D5CDD505-2E9C-101B-9397-08002B2CF9AE}" pid="90" name="Doc_Revision7">
    <vt:lpwstr> </vt:lpwstr>
  </property>
  <property fmtid="{D5CDD505-2E9C-101B-9397-08002B2CF9AE}" pid="91" name="Doc_Revision7ApprovedBy">
    <vt:lpwstr> </vt:lpwstr>
  </property>
  <property fmtid="{D5CDD505-2E9C-101B-9397-08002B2CF9AE}" pid="92" name="Doc_Revision7CheckedBy">
    <vt:lpwstr> </vt:lpwstr>
  </property>
  <property fmtid="{D5CDD505-2E9C-101B-9397-08002B2CF9AE}" pid="93" name="Doc_Revision7Date">
    <vt:lpwstr> </vt:lpwstr>
  </property>
  <property fmtid="{D5CDD505-2E9C-101B-9397-08002B2CF9AE}" pid="94" name="Doc_Revision7DesignedBy">
    <vt:lpwstr> </vt:lpwstr>
  </property>
  <property fmtid="{D5CDD505-2E9C-101B-9397-08002B2CF9AE}" pid="95" name="Doc_Revision7Note">
    <vt:lpwstr> </vt:lpwstr>
  </property>
  <property fmtid="{D5CDD505-2E9C-101B-9397-08002B2CF9AE}" pid="96" name="Doc_Revision7PreparedBy">
    <vt:lpwstr> </vt:lpwstr>
  </property>
  <property fmtid="{D5CDD505-2E9C-101B-9397-08002B2CF9AE}" pid="97" name="Doc_Revision8">
    <vt:lpwstr> </vt:lpwstr>
  </property>
  <property fmtid="{D5CDD505-2E9C-101B-9397-08002B2CF9AE}" pid="98" name="Doc_Revision8ApprovedBy">
    <vt:lpwstr> </vt:lpwstr>
  </property>
  <property fmtid="{D5CDD505-2E9C-101B-9397-08002B2CF9AE}" pid="99" name="Doc_Revision8CheckedBy">
    <vt:lpwstr> </vt:lpwstr>
  </property>
  <property fmtid="{D5CDD505-2E9C-101B-9397-08002B2CF9AE}" pid="100" name="Doc_Revision8Date">
    <vt:lpwstr> </vt:lpwstr>
  </property>
  <property fmtid="{D5CDD505-2E9C-101B-9397-08002B2CF9AE}" pid="101" name="Doc_Revision8DesignedBy">
    <vt:lpwstr> </vt:lpwstr>
  </property>
  <property fmtid="{D5CDD505-2E9C-101B-9397-08002B2CF9AE}" pid="102" name="Doc_Revision8Note">
    <vt:lpwstr> </vt:lpwstr>
  </property>
  <property fmtid="{D5CDD505-2E9C-101B-9397-08002B2CF9AE}" pid="103" name="Doc_Revision8PreparedBy">
    <vt:lpwstr> </vt:lpwstr>
  </property>
  <property fmtid="{D5CDD505-2E9C-101B-9397-08002B2CF9AE}" pid="104" name="Doc_Revision9">
    <vt:lpwstr> </vt:lpwstr>
  </property>
  <property fmtid="{D5CDD505-2E9C-101B-9397-08002B2CF9AE}" pid="105" name="Doc_Revision9ApprovedBy">
    <vt:lpwstr> </vt:lpwstr>
  </property>
  <property fmtid="{D5CDD505-2E9C-101B-9397-08002B2CF9AE}" pid="106" name="Doc_Revision9CheckedBy">
    <vt:lpwstr> </vt:lpwstr>
  </property>
  <property fmtid="{D5CDD505-2E9C-101B-9397-08002B2CF9AE}" pid="107" name="Doc_Revision9Date">
    <vt:lpwstr> </vt:lpwstr>
  </property>
  <property fmtid="{D5CDD505-2E9C-101B-9397-08002B2CF9AE}" pid="108" name="Doc_Revision9DesignedBy">
    <vt:lpwstr> </vt:lpwstr>
  </property>
  <property fmtid="{D5CDD505-2E9C-101B-9397-08002B2CF9AE}" pid="109" name="Doc_Revision9Note">
    <vt:lpwstr> </vt:lpwstr>
  </property>
  <property fmtid="{D5CDD505-2E9C-101B-9397-08002B2CF9AE}" pid="110" name="Doc_Revision9PreparedBy">
    <vt:lpwstr> </vt:lpwstr>
  </property>
  <property fmtid="{D5CDD505-2E9C-101B-9397-08002B2CF9AE}" pid="111" name="Doc_RevisionNote">
    <vt:lpwstr> </vt:lpwstr>
  </property>
  <property fmtid="{D5CDD505-2E9C-101B-9397-08002B2CF9AE}" pid="112" name="Doc_SecurityClassification">
    <vt:lpwstr> </vt:lpwstr>
  </property>
  <property fmtid="{D5CDD505-2E9C-101B-9397-08002B2CF9AE}" pid="113" name="Doc_Suitability">
    <vt:lpwstr> </vt:lpwstr>
  </property>
  <property fmtid="{D5CDD505-2E9C-101B-9397-08002B2CF9AE}" pid="114" name="Doc_Unique_ProjectID">
    <vt:lpwstr> </vt:lpwstr>
  </property>
  <property fmtid="{D5CDD505-2E9C-101B-9397-08002B2CF9AE}" pid="115" name="Document_FileName">
    <vt:lpwstr> </vt:lpwstr>
  </property>
  <property fmtid="{D5CDD505-2E9C-101B-9397-08002B2CF9AE}" pid="116" name="Document_Name">
    <vt:lpwstr> </vt:lpwstr>
  </property>
  <property fmtid="{D5CDD505-2E9C-101B-9397-08002B2CF9AE}" pid="117" name="Document_Number">
    <vt:lpwstr> </vt:lpwstr>
  </property>
  <property fmtid="{D5CDD505-2E9C-101B-9397-08002B2CF9AE}" pid="118" name="Document_Version">
    <vt:lpwstr> </vt:lpwstr>
  </property>
  <property fmtid="{D5CDD505-2E9C-101B-9397-08002B2CF9AE}" pid="119" name="Document_VersionSeq">
    <vt:lpwstr> </vt:lpwstr>
  </property>
  <property fmtid="{D5CDD505-2E9C-101B-9397-08002B2CF9AE}" pid="120" name="Folder_Code">
    <vt:lpwstr> </vt:lpwstr>
  </property>
  <property fmtid="{D5CDD505-2E9C-101B-9397-08002B2CF9AE}" pid="121" name="Folder_CreateDate">
    <vt:lpwstr> </vt:lpwstr>
  </property>
  <property fmtid="{D5CDD505-2E9C-101B-9397-08002B2CF9AE}" pid="122" name="Folder_Creator">
    <vt:lpwstr> </vt:lpwstr>
  </property>
  <property fmtid="{D5CDD505-2E9C-101B-9397-08002B2CF9AE}" pid="123" name="Folder_CreatorDesc">
    <vt:lpwstr> </vt:lpwstr>
  </property>
  <property fmtid="{D5CDD505-2E9C-101B-9397-08002B2CF9AE}" pid="124" name="Folder_Description">
    <vt:lpwstr> </vt:lpwstr>
  </property>
  <property fmtid="{D5CDD505-2E9C-101B-9397-08002B2CF9AE}" pid="125" name="Folder_Manager">
    <vt:lpwstr> </vt:lpwstr>
  </property>
  <property fmtid="{D5CDD505-2E9C-101B-9397-08002B2CF9AE}" pid="126" name="Folder_ManagerDesc">
    <vt:lpwstr> </vt:lpwstr>
  </property>
  <property fmtid="{D5CDD505-2E9C-101B-9397-08002B2CF9AE}" pid="127" name="Folder_Name">
    <vt:lpwstr> </vt:lpwstr>
  </property>
  <property fmtid="{D5CDD505-2E9C-101B-9397-08002B2CF9AE}" pid="128" name="Folder_Number">
    <vt:lpwstr> </vt:lpwstr>
  </property>
  <property fmtid="{D5CDD505-2E9C-101B-9397-08002B2CF9AE}" pid="129" name="Folder_Storage">
    <vt:lpwstr> </vt:lpwstr>
  </property>
  <property fmtid="{D5CDD505-2E9C-101B-9397-08002B2CF9AE}" pid="130" name="Folder_StorageDesc">
    <vt:lpwstr> </vt:lpwstr>
  </property>
  <property fmtid="{D5CDD505-2E9C-101B-9397-08002B2CF9AE}" pid="131" name="Folder_UpdateDate">
    <vt:lpwstr> </vt:lpwstr>
  </property>
  <property fmtid="{D5CDD505-2E9C-101B-9397-08002B2CF9AE}" pid="132" name="Folder_UpdateDesc">
    <vt:lpwstr> </vt:lpwstr>
  </property>
  <property fmtid="{D5CDD505-2E9C-101B-9397-08002B2CF9AE}" pid="133" name="Folder_Updater">
    <vt:lpwstr> </vt:lpwstr>
  </property>
  <property fmtid="{D5CDD505-2E9C-101B-9397-08002B2CF9AE}" pid="134" name="Ram_Document_AltName_AltName">
    <vt:lpwstr> </vt:lpwstr>
  </property>
  <property fmtid="{D5CDD505-2E9C-101B-9397-08002B2CF9AE}" pid="135" name="Ram_Document_AltName_DocName">
    <vt:lpwstr> </vt:lpwstr>
  </property>
  <property fmtid="{D5CDD505-2E9C-101B-9397-08002B2CF9AE}" pid="136" name="Ram_Document_AltName_Part1">
    <vt:lpwstr> </vt:lpwstr>
  </property>
  <property fmtid="{D5CDD505-2E9C-101B-9397-08002B2CF9AE}" pid="137" name="Ram_Document_AltName_Part2">
    <vt:lpwstr> </vt:lpwstr>
  </property>
  <property fmtid="{D5CDD505-2E9C-101B-9397-08002B2CF9AE}" pid="138" name="Ram_Document_AltName_Part3">
    <vt:lpwstr> </vt:lpwstr>
  </property>
  <property fmtid="{D5CDD505-2E9C-101B-9397-08002B2CF9AE}" pid="139" name="Ram_Document_AltName_Part4">
    <vt:lpwstr> </vt:lpwstr>
  </property>
  <property fmtid="{D5CDD505-2E9C-101B-9397-08002B2CF9AE}" pid="140" name="Ram_Document_AltName_Part5">
    <vt:lpwstr> </vt:lpwstr>
  </property>
  <property fmtid="{D5CDD505-2E9C-101B-9397-08002B2CF9AE}" pid="141" name="Ram_Document_AltName_Part6">
    <vt:lpwstr> </vt:lpwstr>
  </property>
  <property fmtid="{D5CDD505-2E9C-101B-9397-08002B2CF9AE}" pid="142" name="Ram_Document_AltName_Part7">
    <vt:lpwstr> </vt:lpwstr>
  </property>
  <property fmtid="{D5CDD505-2E9C-101B-9397-08002B2CF9AE}" pid="143" name="Ram_Document_AltName_Part8">
    <vt:lpwstr> </vt:lpwstr>
  </property>
  <property fmtid="{D5CDD505-2E9C-101B-9397-08002B2CF9AE}" pid="144" name="Ram_Document_AltName_Part9">
    <vt:lpwstr> </vt:lpwstr>
  </property>
  <property fmtid="{D5CDD505-2E9C-101B-9397-08002B2CF9AE}" pid="145" name="Ram_Document_CustomerDocName">
    <vt:lpwstr> </vt:lpwstr>
  </property>
  <property fmtid="{D5CDD505-2E9C-101B-9397-08002B2CF9AE}" pid="146" name="Ram_Document_CustomerDocNumber">
    <vt:lpwstr> </vt:lpwstr>
  </property>
  <property fmtid="{D5CDD505-2E9C-101B-9397-08002B2CF9AE}" pid="147" name="Ram_Project_ClientName">
    <vt:lpwstr> </vt:lpwstr>
  </property>
  <property fmtid="{D5CDD505-2E9C-101B-9397-08002B2CF9AE}" pid="148" name="Ram_WorkArea_Client">
    <vt:lpwstr> </vt:lpwstr>
  </property>
  <property fmtid="{D5CDD505-2E9C-101B-9397-08002B2CF9AE}" pid="149" name="Ram_WorkArea_ProjectName">
    <vt:lpwstr> </vt:lpwstr>
  </property>
  <property fmtid="{D5CDD505-2E9C-101B-9397-08002B2CF9AE}" pid="150" name="Ram_Document_ApprovedBy">
    <vt:lpwstr> </vt:lpwstr>
  </property>
  <property fmtid="{D5CDD505-2E9C-101B-9397-08002B2CF9AE}" pid="151" name="Ram_Document_CheckedBy">
    <vt:lpwstr> </vt:lpwstr>
  </property>
  <property fmtid="{D5CDD505-2E9C-101B-9397-08002B2CF9AE}" pid="152" name="Ram_Document_Date">
    <vt:lpwstr>February 17, 2025</vt:lpwstr>
  </property>
  <property fmtid="{D5CDD505-2E9C-101B-9397-08002B2CF9AE}" pid="153" name="Ram_Document_DocID">
    <vt:lpwstr> </vt:lpwstr>
  </property>
  <property fmtid="{D5CDD505-2E9C-101B-9397-08002B2CF9AE}" pid="154" name="Ram_Document_DocStructureID">
    <vt:lpwstr> </vt:lpwstr>
  </property>
  <property fmtid="{D5CDD505-2E9C-101B-9397-08002B2CF9AE}" pid="155" name="Ram_Document_PreparedBy">
    <vt:lpwstr> </vt:lpwstr>
  </property>
  <property fmtid="{D5CDD505-2E9C-101B-9397-08002B2CF9AE}" pid="156" name="Ram_Document_Title1">
    <vt:lpwstr> </vt:lpwstr>
  </property>
  <property fmtid="{D5CDD505-2E9C-101B-9397-08002B2CF9AE}" pid="157" name="Ram_Document_Title2">
    <vt:lpwstr> </vt:lpwstr>
  </property>
  <property fmtid="{D5CDD505-2E9C-101B-9397-08002B2CF9AE}" pid="158" name="Ram_Document_Version">
    <vt:lpwstr> </vt:lpwstr>
  </property>
  <property fmtid="{D5CDD505-2E9C-101B-9397-08002B2CF9AE}" pid="159" name="Ram_Document_VersionDescription">
    <vt:lpwstr> </vt:lpwstr>
  </property>
  <property fmtid="{D5CDD505-2E9C-101B-9397-08002B2CF9AE}" pid="160" name="Ram_Project_Name">
    <vt:lpwstr> </vt:lpwstr>
  </property>
  <property fmtid="{D5CDD505-2E9C-101B-9397-08002B2CF9AE}" pid="161" name="Ram_Project_Number">
    <vt:lpwstr> </vt:lpwstr>
  </property>
  <property fmtid="{D5CDD505-2E9C-101B-9397-08002B2CF9AE}" pid="162" name="Ram_Document_Project_Field1">
    <vt:lpwstr> </vt:lpwstr>
  </property>
  <property fmtid="{D5CDD505-2E9C-101B-9397-08002B2CF9AE}" pid="163" name="Ram_Document_Project_Field2">
    <vt:lpwstr> </vt:lpwstr>
  </property>
  <property fmtid="{D5CDD505-2E9C-101B-9397-08002B2CF9AE}" pid="164" name="Ram_Document_Project_Field3">
    <vt:lpwstr> </vt:lpwstr>
  </property>
  <property fmtid="{D5CDD505-2E9C-101B-9397-08002B2CF9AE}" pid="165" name="Ram_Document_PreparedBy_FullName">
    <vt:lpwstr> </vt:lpwstr>
  </property>
  <property fmtid="{D5CDD505-2E9C-101B-9397-08002B2CF9AE}" pid="166" name="Ram_Document_Client_Version">
    <vt:lpwstr> </vt:lpwstr>
  </property>
  <property fmtid="{D5CDD505-2E9C-101B-9397-08002B2CF9AE}" pid="167" name="Ram_Document_Client_Version_Description">
    <vt:lpwstr> </vt:lpwstr>
  </property>
  <property fmtid="{D5CDD505-2E9C-101B-9397-08002B2CF9AE}" pid="168" name="Ram_Document_URN">
    <vt:lpwstr> </vt:lpwstr>
  </property>
  <property fmtid="{D5CDD505-2E9C-101B-9397-08002B2CF9AE}" pid="169" name="Doc_CreatedDate">
    <vt:lpwstr> </vt:lpwstr>
  </property>
  <property fmtid="{D5CDD505-2E9C-101B-9397-08002B2CF9AE}" pid="170" name="InsertImageBackpage">
    <vt:lpwstr>True</vt:lpwstr>
  </property>
  <property fmtid="{D5CDD505-2E9C-101B-9397-08002B2CF9AE}" pid="171" name="TenderCoverpage">
    <vt:lpwstr>True</vt:lpwstr>
  </property>
  <property fmtid="{D5CDD505-2E9C-101B-9397-08002B2CF9AE}" pid="172" name="ExtraLogo">
    <vt:lpwstr>True</vt:lpwstr>
  </property>
  <property fmtid="{D5CDD505-2E9C-101B-9397-08002B2CF9AE}" pid="173" name="UpdateDocument">
    <vt:lpwstr>true</vt:lpwstr>
  </property>
  <property fmtid="{D5CDD505-2E9C-101B-9397-08002B2CF9AE}" pid="174" name="TemplafyTenantId">
    <vt:lpwstr>ramboll</vt:lpwstr>
  </property>
  <property fmtid="{D5CDD505-2E9C-101B-9397-08002B2CF9AE}" pid="175" name="TemplafyTemplateId">
    <vt:lpwstr>636452954907126925</vt:lpwstr>
  </property>
  <property fmtid="{D5CDD505-2E9C-101B-9397-08002B2CF9AE}" pid="176" name="TemplafyUserProfileId">
    <vt:lpwstr>637835489890785528</vt:lpwstr>
  </property>
  <property fmtid="{D5CDD505-2E9C-101B-9397-08002B2CF9AE}" pid="177" name="TemplafyLanguageCode">
    <vt:lpwstr>en-US</vt:lpwstr>
  </property>
  <property fmtid="{D5CDD505-2E9C-101B-9397-08002B2CF9AE}" pid="178" name="TemplafyFromBlank">
    <vt:bool>false</vt:bool>
  </property>
  <property fmtid="{D5CDD505-2E9C-101B-9397-08002B2CF9AE}" pid="179" name="Ram_Project_Manager">
    <vt:lpwstr> </vt:lpwstr>
  </property>
  <property fmtid="{D5CDD505-2E9C-101B-9397-08002B2CF9AE}" pid="180" name="Ram_WorkArea_MaconomyProjectID">
    <vt:lpwstr> </vt:lpwstr>
  </property>
  <property fmtid="{D5CDD505-2E9C-101B-9397-08002B2CF9AE}" pid="181" name="ClassificationContentMarkingFooterShapeIds">
    <vt:lpwstr>559068d4,177483f1,5b1f643f,478dd4c9,6fcb78c4,5469637d,75a54544,5e11480a,6a275e29,7e99c93b,6f23c499,568ddf07</vt:lpwstr>
  </property>
  <property fmtid="{D5CDD505-2E9C-101B-9397-08002B2CF9AE}" pid="182" name="ClassificationContentMarkingFooterFontProps">
    <vt:lpwstr>#000000,7,Verdana</vt:lpwstr>
  </property>
  <property fmtid="{D5CDD505-2E9C-101B-9397-08002B2CF9AE}" pid="183" name="ClassificationContentMarkingFooterText">
    <vt:lpwstr>Confidential</vt:lpwstr>
  </property>
  <property fmtid="{D5CDD505-2E9C-101B-9397-08002B2CF9AE}" pid="184" name="MSIP_Label_20ea7001-5c24-4702-a3ac-e436ccb02747_Enabled">
    <vt:lpwstr>true</vt:lpwstr>
  </property>
  <property fmtid="{D5CDD505-2E9C-101B-9397-08002B2CF9AE}" pid="185" name="MSIP_Label_20ea7001-5c24-4702-a3ac-e436ccb02747_SetDate">
    <vt:lpwstr>2025-02-17T15:31:52Z</vt:lpwstr>
  </property>
  <property fmtid="{D5CDD505-2E9C-101B-9397-08002B2CF9AE}" pid="186" name="MSIP_Label_20ea7001-5c24-4702-a3ac-e436ccb02747_Method">
    <vt:lpwstr>Standard</vt:lpwstr>
  </property>
  <property fmtid="{D5CDD505-2E9C-101B-9397-08002B2CF9AE}" pid="187" name="MSIP_Label_20ea7001-5c24-4702-a3ac-e436ccb02747_Name">
    <vt:lpwstr>Confidential</vt:lpwstr>
  </property>
  <property fmtid="{D5CDD505-2E9C-101B-9397-08002B2CF9AE}" pid="188" name="MSIP_Label_20ea7001-5c24-4702-a3ac-e436ccb02747_SiteId">
    <vt:lpwstr>c8823c91-be81-4f89-b024-6c3dd789c106</vt:lpwstr>
  </property>
  <property fmtid="{D5CDD505-2E9C-101B-9397-08002B2CF9AE}" pid="189" name="MSIP_Label_20ea7001-5c24-4702-a3ac-e436ccb02747_ActionId">
    <vt:lpwstr>2a488d5b-d9b7-4032-b03d-6fd4538dab35</vt:lpwstr>
  </property>
  <property fmtid="{D5CDD505-2E9C-101B-9397-08002B2CF9AE}" pid="190" name="MSIP_Label_20ea7001-5c24-4702-a3ac-e436ccb02747_ContentBits">
    <vt:lpwstr>2</vt:lpwstr>
  </property>
</Properties>
</file>