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1D6F6" w14:textId="50D56330" w:rsidR="00B10C6D" w:rsidRPr="0067604E" w:rsidRDefault="007379A4" w:rsidP="00B10C6D">
      <w:pPr>
        <w:rPr>
          <w:lang w:val="ro-RO"/>
        </w:rPr>
      </w:pPr>
      <w:r>
        <w:rPr>
          <w:noProof/>
          <w:lang w:val="ro-RO"/>
        </w:rPr>
        <w:drawing>
          <wp:anchor distT="0" distB="0" distL="114300" distR="114300" simplePos="0" relativeHeight="251658243" behindDoc="1" locked="0" layoutInCell="1" allowOverlap="1" wp14:anchorId="254AF70A" wp14:editId="4DE2B551">
            <wp:simplePos x="0" y="0"/>
            <wp:positionH relativeFrom="page">
              <wp:align>right</wp:align>
            </wp:positionH>
            <wp:positionV relativeFrom="paragraph">
              <wp:posOffset>-1278255</wp:posOffset>
            </wp:positionV>
            <wp:extent cx="7562215" cy="4256212"/>
            <wp:effectExtent l="0" t="0" r="635" b="0"/>
            <wp:wrapNone/>
            <wp:docPr id="1615381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381572" name="Picture 1"/>
                    <pic:cNvPicPr/>
                  </pic:nvPicPr>
                  <pic:blipFill rotWithShape="1">
                    <a:blip r:embed="rId10" cstate="print">
                      <a:extLst>
                        <a:ext uri="{28A0092B-C50C-407E-A947-70E740481C1C}">
                          <a14:useLocalDpi xmlns:a14="http://schemas.microsoft.com/office/drawing/2010/main" val="0"/>
                        </a:ext>
                      </a:extLst>
                    </a:blip>
                    <a:srcRect r="8"/>
                    <a:stretch/>
                  </pic:blipFill>
                  <pic:spPr>
                    <a:xfrm>
                      <a:off x="0" y="0"/>
                      <a:ext cx="7562215" cy="4256212"/>
                    </a:xfrm>
                    <a:prstGeom prst="rect">
                      <a:avLst/>
                    </a:prstGeom>
                  </pic:spPr>
                </pic:pic>
              </a:graphicData>
            </a:graphic>
            <wp14:sizeRelH relativeFrom="page">
              <wp14:pctWidth>0</wp14:pctWidth>
            </wp14:sizeRelH>
            <wp14:sizeRelV relativeFrom="page">
              <wp14:pctHeight>0</wp14:pctHeight>
            </wp14:sizeRelV>
          </wp:anchor>
        </w:drawing>
      </w:r>
    </w:p>
    <w:p w14:paraId="0B25159F" w14:textId="10612EF5" w:rsidR="00B10C6D" w:rsidRPr="0067604E" w:rsidRDefault="00B10C6D" w:rsidP="00B10C6D">
      <w:pPr>
        <w:rPr>
          <w:lang w:val="ro-RO"/>
        </w:rPr>
      </w:pPr>
    </w:p>
    <w:p w14:paraId="024ED2F7" w14:textId="77777777" w:rsidR="00B10C6D" w:rsidRPr="0067604E" w:rsidRDefault="00B10C6D" w:rsidP="00B10C6D">
      <w:pPr>
        <w:rPr>
          <w:lang w:val="ro-RO"/>
        </w:rPr>
      </w:pPr>
    </w:p>
    <w:p w14:paraId="0CD674DC" w14:textId="77777777" w:rsidR="00B10C6D" w:rsidRPr="0067604E" w:rsidRDefault="00B10C6D" w:rsidP="00B10C6D">
      <w:pPr>
        <w:rPr>
          <w:lang w:val="ro-RO"/>
        </w:rPr>
      </w:pPr>
    </w:p>
    <w:p w14:paraId="31EDA94A" w14:textId="77777777" w:rsidR="00B10C6D" w:rsidRPr="0067604E" w:rsidRDefault="00B10C6D" w:rsidP="00B10C6D">
      <w:pPr>
        <w:rPr>
          <w:lang w:val="ro-RO"/>
        </w:rPr>
      </w:pPr>
    </w:p>
    <w:p w14:paraId="55F91C49" w14:textId="37641765" w:rsidR="00B10C6D" w:rsidRPr="0067604E" w:rsidRDefault="00B10C6D" w:rsidP="00B10C6D">
      <w:pPr>
        <w:rPr>
          <w:lang w:val="ro-RO"/>
        </w:rPr>
      </w:pPr>
    </w:p>
    <w:p w14:paraId="0B2D853F" w14:textId="07FB625A" w:rsidR="00B10C6D" w:rsidRPr="0067604E" w:rsidRDefault="00B10C6D" w:rsidP="00B10C6D">
      <w:pPr>
        <w:rPr>
          <w:lang w:val="ro-RO"/>
        </w:rPr>
      </w:pPr>
    </w:p>
    <w:p w14:paraId="0D32DA6A" w14:textId="3ACAFB90" w:rsidR="00B10C6D" w:rsidRPr="0067604E" w:rsidRDefault="00B10C6D" w:rsidP="00B10C6D">
      <w:pPr>
        <w:rPr>
          <w:lang w:val="ro-RO"/>
        </w:rPr>
      </w:pPr>
    </w:p>
    <w:p w14:paraId="2386520C" w14:textId="77777777" w:rsidR="00B10C6D" w:rsidRPr="0067604E" w:rsidRDefault="00B10C6D" w:rsidP="00B10C6D">
      <w:pPr>
        <w:rPr>
          <w:lang w:val="ro-RO"/>
        </w:rPr>
      </w:pPr>
    </w:p>
    <w:p w14:paraId="7A6E2F86" w14:textId="45E16B2D" w:rsidR="00B10C6D" w:rsidRPr="0067604E" w:rsidRDefault="00245C61" w:rsidP="00245C61">
      <w:pPr>
        <w:tabs>
          <w:tab w:val="left" w:pos="5400"/>
        </w:tabs>
        <w:rPr>
          <w:lang w:val="ro-RO"/>
        </w:rPr>
      </w:pPr>
      <w:r>
        <w:rPr>
          <w:lang w:val="ro-RO"/>
        </w:rPr>
        <w:tab/>
      </w:r>
    </w:p>
    <w:p w14:paraId="190051F6" w14:textId="0F919364" w:rsidR="00B10C6D" w:rsidRPr="0067604E" w:rsidRDefault="00B10C6D" w:rsidP="00B10C6D">
      <w:pPr>
        <w:rPr>
          <w:lang w:val="ro-RO"/>
        </w:rPr>
      </w:pPr>
    </w:p>
    <w:p w14:paraId="5CBDD153" w14:textId="77777777" w:rsidR="00B10C6D" w:rsidRPr="0067604E" w:rsidRDefault="00B10C6D" w:rsidP="00B10C6D">
      <w:pPr>
        <w:rPr>
          <w:lang w:val="ro-RO"/>
        </w:rPr>
      </w:pPr>
    </w:p>
    <w:p w14:paraId="5648B26C" w14:textId="7089FF68" w:rsidR="00B10C6D" w:rsidRPr="0067604E" w:rsidRDefault="00B10C6D" w:rsidP="00B10C6D">
      <w:pPr>
        <w:rPr>
          <w:lang w:val="ro-RO"/>
        </w:rPr>
      </w:pPr>
    </w:p>
    <w:p w14:paraId="52A88657" w14:textId="19DB2922" w:rsidR="00B10C6D" w:rsidRPr="0067604E" w:rsidRDefault="00B10C6D" w:rsidP="00B10C6D">
      <w:pPr>
        <w:rPr>
          <w:lang w:val="ro-RO"/>
        </w:rPr>
      </w:pPr>
    </w:p>
    <w:p w14:paraId="6688865A" w14:textId="721214A4" w:rsidR="00B10C6D" w:rsidRPr="0067604E" w:rsidRDefault="00B10C6D" w:rsidP="00B10C6D">
      <w:pPr>
        <w:rPr>
          <w:lang w:val="ro-RO"/>
        </w:rPr>
      </w:pPr>
    </w:p>
    <w:p w14:paraId="06E28AA4" w14:textId="3AEB43B2" w:rsidR="00B10C6D" w:rsidRPr="0067604E" w:rsidRDefault="00B10C6D" w:rsidP="00B10C6D">
      <w:pPr>
        <w:rPr>
          <w:lang w:val="ro-RO"/>
        </w:rPr>
      </w:pPr>
    </w:p>
    <w:p w14:paraId="5C1036E2" w14:textId="42D35FE8" w:rsidR="00B10C6D" w:rsidRPr="0067604E" w:rsidRDefault="00B10C6D" w:rsidP="00B10C6D">
      <w:pPr>
        <w:rPr>
          <w:lang w:val="ro-RO"/>
        </w:rPr>
      </w:pPr>
    </w:p>
    <w:p w14:paraId="1993DBF0" w14:textId="696F9EBE" w:rsidR="00B10C6D" w:rsidRPr="0067604E" w:rsidRDefault="00B10C6D" w:rsidP="00B10C6D">
      <w:pPr>
        <w:rPr>
          <w:lang w:val="ro-RO"/>
        </w:rPr>
      </w:pPr>
    </w:p>
    <w:p w14:paraId="2B063188" w14:textId="09063725" w:rsidR="00B10C6D" w:rsidRPr="0067604E" w:rsidRDefault="00B10C6D" w:rsidP="00B10C6D">
      <w:pPr>
        <w:rPr>
          <w:lang w:val="ro-RO"/>
        </w:rPr>
      </w:pPr>
    </w:p>
    <w:p w14:paraId="000FE94A" w14:textId="5C53616C" w:rsidR="00B10C6D" w:rsidRPr="0067604E" w:rsidRDefault="00262F38" w:rsidP="00262F38">
      <w:pPr>
        <w:pStyle w:val="Heading1"/>
        <w:suppressAutoHyphens w:val="0"/>
        <w:spacing w:before="260" w:after="260" w:line="260" w:lineRule="atLeast"/>
        <w:jc w:val="both"/>
        <w:rPr>
          <w:rFonts w:ascii="Nunito" w:hAnsi="Nunito"/>
          <w:b w:val="0"/>
          <w:bCs w:val="0"/>
          <w:color w:val="00B0F0"/>
          <w:lang w:val="ro-RO"/>
        </w:rPr>
      </w:pPr>
      <w:bookmarkStart w:id="0" w:name="_Toc222903205"/>
      <w:r>
        <w:rPr>
          <w:rFonts w:ascii="Nunito" w:hAnsi="Nunito"/>
          <w:b w:val="0"/>
          <w:bCs w:val="0"/>
          <w:color w:val="00B0F0"/>
          <w:lang w:val="ro-RO"/>
        </w:rPr>
        <w:t>4. PROBLEME DE MEDIU EXISTENTE RELEVANTE PENTRU PLANUL NAȚIONAL DE GESTIONARE A DEȘEURILOR</w:t>
      </w:r>
      <w:bookmarkEnd w:id="0"/>
    </w:p>
    <w:p w14:paraId="78E26948" w14:textId="79181CBC" w:rsidR="00E51087" w:rsidRPr="0067604E" w:rsidRDefault="00371F04" w:rsidP="009B4554">
      <w:pPr>
        <w:rPr>
          <w:rFonts w:ascii="Nunito" w:hAnsi="Nunito"/>
          <w:lang w:val="ro-RO"/>
        </w:rPr>
        <w:sectPr w:rsidR="00E51087" w:rsidRPr="0067604E" w:rsidSect="00262F38">
          <w:headerReference w:type="default" r:id="rId11"/>
          <w:footerReference w:type="even" r:id="rId12"/>
          <w:footerReference w:type="default" r:id="rId13"/>
          <w:footerReference w:type="first" r:id="rId14"/>
          <w:pgSz w:w="11906" w:h="16838" w:code="9"/>
          <w:pgMar w:top="2013" w:right="1133" w:bottom="1418" w:left="1191" w:header="839" w:footer="680" w:gutter="0"/>
          <w:cols w:space="708"/>
          <w:docGrid w:linePitch="360"/>
        </w:sectPr>
      </w:pPr>
      <w:r>
        <w:rPr>
          <w:rFonts w:ascii="Nunito" w:hAnsi="Nunito"/>
          <w:b/>
          <w:bCs/>
          <w:noProof/>
          <w:color w:val="009DF0" w:themeColor="text2"/>
          <w:sz w:val="24"/>
          <w:szCs w:val="24"/>
          <w:lang w:val="ro-RO"/>
          <w14:ligatures w14:val="standardContextual"/>
        </w:rPr>
        <mc:AlternateContent>
          <mc:Choice Requires="wps">
            <w:drawing>
              <wp:anchor distT="0" distB="0" distL="114300" distR="114300" simplePos="0" relativeHeight="251660298" behindDoc="0" locked="0" layoutInCell="1" allowOverlap="1" wp14:anchorId="0AAD4752" wp14:editId="11D3D05E">
                <wp:simplePos x="0" y="0"/>
                <wp:positionH relativeFrom="column">
                  <wp:posOffset>-368096</wp:posOffset>
                </wp:positionH>
                <wp:positionV relativeFrom="paragraph">
                  <wp:posOffset>241071</wp:posOffset>
                </wp:positionV>
                <wp:extent cx="3928110" cy="4330599"/>
                <wp:effectExtent l="0" t="0" r="0" b="0"/>
                <wp:wrapNone/>
                <wp:docPr id="1872471891" name="Rectangle: Rounded Corners 1"/>
                <wp:cNvGraphicFramePr/>
                <a:graphic xmlns:a="http://schemas.openxmlformats.org/drawingml/2006/main">
                  <a:graphicData uri="http://schemas.microsoft.com/office/word/2010/wordprocessingShape">
                    <wps:wsp>
                      <wps:cNvSpPr/>
                      <wps:spPr>
                        <a:xfrm>
                          <a:off x="0" y="0"/>
                          <a:ext cx="3928110" cy="4330599"/>
                        </a:xfrm>
                        <a:prstGeom prst="roundRect">
                          <a:avLst>
                            <a:gd name="adj" fmla="val 845"/>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6E651CD" w14:textId="77777777" w:rsidR="00CA5DD3" w:rsidRPr="00371F04" w:rsidRDefault="00CA5DD3" w:rsidP="00EF732B">
                            <w:pPr>
                              <w:shd w:val="clear" w:color="auto" w:fill="F2F2F2" w:themeFill="background1" w:themeFillShade="F2"/>
                              <w:spacing w:after="120" w:line="240" w:lineRule="auto"/>
                              <w:jc w:val="both"/>
                              <w:rPr>
                                <w:rFonts w:ascii="Nunito" w:hAnsi="Nunito"/>
                                <w:color w:val="000000" w:themeColor="text1"/>
                                <w:lang w:val="pt-PT"/>
                              </w:rPr>
                            </w:pPr>
                            <w:r>
                              <w:rPr>
                                <w:rFonts w:ascii="Nunito" w:hAnsi="Nunito"/>
                                <w:color w:val="000000" w:themeColor="text1"/>
                                <w:lang w:val="pt-PT"/>
                              </w:rPr>
                              <w:t>Prezentul capitol identifică problemele de mediu existente relevante pentru Planul Național de Gestionare a Deșeurilor (PNGD), în conformitate cu cerința Directivei SEA (2001/42/CE, Anexa I, lit. (d)) de a prezenta „problemele de mediu existente care sunt relevante pentru plan sau program, inclusiv, în special, cele legate de zonele cu o importanță deosebită pentru mediu, cum ar fi zonele desemnate în temeiul Directivelor 2009/147/CE și 92/43/CEE” (rețeaua Natura 2000). Problemele identificate sunt cele rezultate din analiza stării actuale a mediului prezentată în Capitolul 3.</w:t>
                            </w:r>
                          </w:p>
                          <w:p w14:paraId="728A00B2" w14:textId="2B3D9047" w:rsidR="00262F38" w:rsidRPr="004B1279" w:rsidRDefault="00371F04" w:rsidP="00371F04">
                            <w:pPr>
                              <w:shd w:val="clear" w:color="auto" w:fill="F2F2F2" w:themeFill="background1" w:themeFillShade="F2"/>
                              <w:spacing w:after="120" w:line="240" w:lineRule="auto"/>
                              <w:jc w:val="both"/>
                              <w:rPr>
                                <w:color w:val="000000" w:themeColor="text1"/>
                                <w:lang w:val="pt-PT"/>
                              </w:rPr>
                            </w:pPr>
                            <w:r>
                              <w:rPr>
                                <w:rFonts w:ascii="Nunito" w:hAnsi="Nunito"/>
                                <w:color w:val="000000" w:themeColor="text1"/>
                                <w:lang w:val="pt-PT"/>
                              </w:rPr>
                              <w:t>Conform Ghidului de implementare a Directivei SEA, scopul acestor informații este de a oferi o evaluare a modului în care problemele de mediu existente afectează planul și a măsurii în care planul este de natură să agraveze, să reducă sau să afecteze în alt mod aceste probleme. În consecință, capitolul tratează separat, pentru fiecare problemă: (i) descrierea problemei de mediu existente și a căii de impact, fără a anticipa intervenția planului; (ii) clasificarea semnificației acesteia; și (iii) sensul probabil al efectului planului asupra problemei (reducere, agravare sau efect condiționat).</w:t>
                            </w:r>
                            <w:r>
                              <w:rPr>
                                <w:lang w:val="pt-PT"/>
                              </w:rPr>
                              <w:t xml:space="preserve"> </w:t>
                            </w:r>
                            <w:r>
                              <w:rPr>
                                <w:rFonts w:ascii="Nunito" w:hAnsi="Nunito"/>
                                <w:color w:val="000000" w:themeColor="text1"/>
                                <w:lang w:val="pt-PT"/>
                              </w:rPr>
                              <w:t>Identificarea problemelor de mediu și evaluarea semnificației lor se realizează fără a presupune implementarea efectivă a măsurilor prevăzute în PNGD. Această abordare corectează o limitare metodologică în care o presiune era considerată redusă tocmai pentru că ar fi „gestionabilă prin măsurile planului” - un raționament circular, incompatibil cu principiul precauției, întrucât presupune un rezultat (eficacitatea măsurilor) care nu este garantat.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AD4752" id="Rectangle: Rounded Corners 1" o:spid="_x0000_s1026" style="position:absolute;margin-left:-29pt;margin-top:19pt;width:309.3pt;height:341pt;z-index:2516602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55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6+rzFqAIAAL0FAAAOAAAAZHJzL2Uyb0RvYy54bWysVMFu2zAMvQ/YPwi6r7bTZGuCOkXQosOA bi3aDj0rshR7kERNUmJnXz9Kdpx263YYdpEpkXwkn0meX3RakZ1wvgFT0uIkp0QYDlVjNiX9+nj9 7owSH5ipmAIjSroXnl4s3745b+1CTKAGVQlHEMT4RWtLWodgF1nmeS008ydghUGlBKdZwKvbZJVj LaJrlU3y/H3WgqusAy68x9erXkmXCV9KwcOtlF4EokqKuYV0unSu45ktz9li45itGz6kwf4hC80a g0FHqCsWGNm65jco3XAHHmQ44aAzkLLhItWA1RT5L9U81MyKVAuS4+1Ik/9/sPzL7sHeOaShtX7h UYxVdNLp+MX8SJfI2o9kiS4Qjo+n88lZUSCnHHXT09N8Np9HOrOju3U+fBSgSRRK6mBrqnv8JYkp trvxIVFWEcM09garvlEitcIfsGOKnE1nA95gisgHxOjnQTXVdaNUusSGEZfKEXQt6XpTpCBqqz9D 1b/NZ3mefjjipP6K5infF0jKRDwDEbkvJ75kR3qSFPZKRDtl7oUkTYWETFLEEbkPyjgXJvTJ+JpV on8u/phLAozIEuOP2APAyyIP2H2Wg310FanxR+f8b4n1zqNHigwmjM66MeBeA1BY1RC5tz+Q1FMT WQrdukOTKK6h2t854qCfQG/5dYNNccN8uGMO/zg2Eq6RcIuHVNCWFAaJkhrcj9feoz1OAmopaXGE S+q/b5kTlKhPBmdkXkyncebTZTr7MMGLe65ZP9eYrb4EbJ0CF5blSYz2QR1E6UA/4bZZxaioYoZj 7JLy4A6Xy9CvFtxXXKxWyQzn3LJwYx4sj+CR4NjFj90Tc3aYjIBD9QUO484WqeF7co+20dPAahtA NiEqj7wOF9wRKL1YQs/vyeq4dZc/AQAA//8DAFBLAwQUAAYACAAAACEAER4LouAAAAAKAQAADwAA AGRycy9kb3ducmV2LnhtbEyPwU7DMBBE70j8g7VI3FqHVAlViFMBEr3AgbZItDcnNnGEvY5stw1/ z/YEp9VoRzNv6tXkLDvpEAePAu7mGTCNnVcD9gI+di+zJbCYJCppPWoBPzrCqrm+qmWl/Bk3+rRN PaMQjJUUYFIaK85jZ7STce5HjfT78sHJRDL0XAV5pnBneZ5lJXdyQGowctTPRnff26MT0BbGrp+m vfoMa/P61r3nu8MiF+L2Znp8AJb0lP7McMEndGiIqfVHVJFZAbNiSVuSgMXlkqEosxJYK+CeioE3 Nf8/ofkFAAD//wMAUEsBAi0AFAAGAAgAAAAhALaDOJL+AAAA4QEAABMAAAAAAAAAAAAAAAAAAAAA AFtDb250ZW50X1R5cGVzXS54bWxQSwECLQAUAAYACAAAACEAOP0h/9YAAACUAQAACwAAAAAAAAAA AAAAAAAvAQAAX3JlbHMvLnJlbHNQSwECLQAUAAYACAAAACEAOvq8xagCAAC9BQAADgAAAAAAAAAA AAAAAAAuAgAAZHJzL2Uyb0RvYy54bWxQSwECLQAUAAYACAAAACEAER4LouAAAAAKAQAADwAAAAAA AAAAAAAAAAACBQAAZHJzL2Rvd25yZXYueG1sUEsFBgAAAAAEAAQA8wAAAA8GAAAAAA== " fillcolor="#f2f2f2 [3052]" stroked="f" strokeweight="2pt">
                <v:textbox>
                  <w:txbxContent>
                    <w:p w14:paraId="66E651CD" w14:textId="77777777" w:rsidR="00CA5DD3" w:rsidRPr="00371F04" w:rsidRDefault="00CA5DD3" w:rsidP="00EF732B">
                      <w:pPr>
                        <w:shd w:val="clear" w:color="auto" w:fill="F2F2F2" w:themeFill="background1" w:themeFillShade="F2"/>
                        <w:spacing w:after="120" w:line="240" w:lineRule="auto"/>
                        <w:jc w:val="both"/>
                        <w:rPr>
                          <w:rFonts w:ascii="Nunito" w:hAnsi="Nunito"/>
                          <w:color w:val="000000" w:themeColor="text1"/>
                          <w:lang w:val="pt-PT"/>
                        </w:rPr>
                      </w:pPr>
                      <w:r>
                        <w:rPr>
                          <w:rFonts w:ascii="Nunito" w:hAnsi="Nunito"/>
                          <w:color w:val="000000" w:themeColor="text1"/>
                          <w:lang w:val="pt-PT"/>
                        </w:rPr>
                        <w:t>Prezentul capitol identifică problemele de mediu existente relevante pentru Planul Național de Gestionare a Deșeurilor (PNGD), în conformitate cu cerința Directivei SEA (2001/42/CE, Anexa I, lit. (d)) de a prezenta „problemele de mediu existente care sunt relevante pentru plan sau program, inclusiv, în special, cele legate de zonele cu o importanță deosebită pentru mediu, cum ar fi zonele desemnate în temeiul Directivelor 2009/147/CE și 92/43/CEE” (rețeaua Natura 2000). Problemele identificate sunt cele rezultate din analiza stării actuale a mediului prezentată în Capitolul 3.</w:t>
                      </w:r>
                    </w:p>
                    <w:p w14:paraId="728A00B2" w14:textId="2B3D9047" w:rsidR="00262F38" w:rsidRPr="004B1279" w:rsidRDefault="00371F04" w:rsidP="00371F04">
                      <w:pPr>
                        <w:shd w:val="clear" w:color="auto" w:fill="F2F2F2" w:themeFill="background1" w:themeFillShade="F2"/>
                        <w:spacing w:after="120" w:line="240" w:lineRule="auto"/>
                        <w:jc w:val="both"/>
                        <w:rPr>
                          <w:color w:val="000000" w:themeColor="text1"/>
                          <w:lang w:val="pt-PT"/>
                        </w:rPr>
                      </w:pPr>
                      <w:r>
                        <w:rPr>
                          <w:rFonts w:ascii="Nunito" w:hAnsi="Nunito"/>
                          <w:color w:val="000000" w:themeColor="text1"/>
                          <w:lang w:val="pt-PT"/>
                        </w:rPr>
                        <w:t>Conform Ghidului de implementare a Directivei SEA, scopul acestor informații este de a oferi o evaluare a modului în care problemele de mediu existente afectează planul și a măsurii în care planul este de natură să agraveze, să reducă sau să afecteze în alt mod aceste probleme. În consecință, capitolul tratează separat, pentru fiecare problemă: (i) descrierea problemei de mediu existente și a căii de impact, fără a anticipa intervenția planului; (ii) clasificarea semnificației acesteia; și (iii) sensul probabil al efectului planului asupra problemei (reducere, agravare sau efect condiționat).</w:t>
                      </w:r>
                      <w:r>
                        <w:rPr>
                          <w:lang w:val="pt-PT"/>
                        </w:rPr>
                        <w:t xml:space="preserve"> </w:t>
                      </w:r>
                      <w:r>
                        <w:rPr>
                          <w:rFonts w:ascii="Nunito" w:hAnsi="Nunito"/>
                          <w:color w:val="000000" w:themeColor="text1"/>
                          <w:lang w:val="pt-PT"/>
                        </w:rPr>
                        <w:t>Identificarea problemelor de mediu și evaluarea semnificației lor se realizează fără a presupune implementarea efectivă a măsurilor prevăzute în PNGD. Această abordare corectează o limitare metodologică în care o presiune era considerată redusă tocmai pentru că ar fi „gestionabilă prin măsurile planului” - un raționament circular, incompatibil cu principiul precauției, întrucât presupune un rezultat (eficacitatea măsurilor) care nu este garantat.</w:t>
                      </w:r>
                    </w:p>
                  </w:txbxContent>
                </v:textbox>
              </v:roundrect>
            </w:pict>
          </mc:Fallback>
        </mc:AlternateContent>
      </w:r>
      <w:r>
        <w:rPr>
          <w:rFonts w:ascii="Nunito" w:hAnsi="Nunito"/>
          <w:color w:val="009DF0" w:themeColor="text2"/>
          <w:lang w:val="ro-RO"/>
        </w:rPr>
        <w:t>___________________________________________________________________________________</w:t>
      </w:r>
      <w:r>
        <w:rPr>
          <w:rFonts w:ascii="Nunito" w:hAnsi="Nunito"/>
          <w:noProof/>
          <w:lang w:val="ro-RO"/>
          <w14:ligatures w14:val="standardContextual"/>
        </w:rPr>
        <w:drawing>
          <wp:anchor distT="0" distB="0" distL="114300" distR="114300" simplePos="0" relativeHeight="251669514" behindDoc="0" locked="0" layoutInCell="1" allowOverlap="1" wp14:anchorId="04987C6F" wp14:editId="363D1E55">
            <wp:simplePos x="0" y="0"/>
            <wp:positionH relativeFrom="column">
              <wp:posOffset>5698092</wp:posOffset>
            </wp:positionH>
            <wp:positionV relativeFrom="paragraph">
              <wp:posOffset>526681</wp:posOffset>
            </wp:positionV>
            <wp:extent cx="609600" cy="609600"/>
            <wp:effectExtent l="0" t="0" r="0" b="0"/>
            <wp:wrapNone/>
            <wp:docPr id="186650178"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46228" name="Graphic 2"/>
                    <pic:cNvPicPr/>
                  </pic:nvPicPr>
                  <pic:blipFill>
                    <a:blip r:embed="rId15">
                      <a:extLst>
                        <a:ext uri="{96DAC541-7B7A-43D3-8B79-37D633B846F1}">
                          <asvg:svgBlip xmlns:asvg="http://schemas.microsoft.com/office/drawing/2016/SVG/main" r:embed="rId16"/>
                        </a:ext>
                      </a:extLst>
                    </a:blip>
                    <a:stretch>
                      <a:fillRect/>
                    </a:stretch>
                  </pic:blipFill>
                  <pic:spPr>
                    <a:xfrm>
                      <a:off x="0" y="0"/>
                      <a:ext cx="609600" cy="609600"/>
                    </a:xfrm>
                    <a:prstGeom prst="rect">
                      <a:avLst/>
                    </a:prstGeom>
                  </pic:spPr>
                </pic:pic>
              </a:graphicData>
            </a:graphic>
          </wp:anchor>
        </w:drawing>
      </w:r>
      <w:r>
        <w:rPr>
          <w:rFonts w:ascii="Nunito" w:hAnsi="Nunito"/>
          <w:noProof/>
          <w:lang w:val="ro-RO"/>
          <w14:ligatures w14:val="standardContextual"/>
        </w:rPr>
        <mc:AlternateContent>
          <mc:Choice Requires="wps">
            <w:drawing>
              <wp:anchor distT="0" distB="0" distL="114300" distR="114300" simplePos="0" relativeHeight="251668490" behindDoc="0" locked="0" layoutInCell="1" allowOverlap="1" wp14:anchorId="4993B53F" wp14:editId="50E0C534">
                <wp:simplePos x="0" y="0"/>
                <wp:positionH relativeFrom="column">
                  <wp:posOffset>3664253</wp:posOffset>
                </wp:positionH>
                <wp:positionV relativeFrom="paragraph">
                  <wp:posOffset>399064</wp:posOffset>
                </wp:positionV>
                <wp:extent cx="2715904" cy="4088765"/>
                <wp:effectExtent l="0" t="0" r="8255" b="6985"/>
                <wp:wrapNone/>
                <wp:docPr id="477850817" name="Rectangle: Rounded Corners 1"/>
                <wp:cNvGraphicFramePr/>
                <a:graphic xmlns:a="http://schemas.openxmlformats.org/drawingml/2006/main">
                  <a:graphicData uri="http://schemas.microsoft.com/office/word/2010/wordprocessingShape">
                    <wps:wsp>
                      <wps:cNvSpPr/>
                      <wps:spPr>
                        <a:xfrm>
                          <a:off x="0" y="0"/>
                          <a:ext cx="2715904" cy="4088765"/>
                        </a:xfrm>
                        <a:prstGeom prst="roundRect">
                          <a:avLst>
                            <a:gd name="adj" fmla="val 2965"/>
                          </a:avLst>
                        </a:prstGeom>
                        <a:solidFill>
                          <a:srgbClr val="05326E"/>
                        </a:solidFill>
                        <a:ln w="25400" cap="flat" cmpd="sng" algn="ctr">
                          <a:noFill/>
                          <a:prstDash val="solid"/>
                        </a:ln>
                        <a:effectLst/>
                      </wps:spPr>
                      <wps:txbx>
                        <w:txbxContent>
                          <w:p w14:paraId="7B053104" w14:textId="77777777" w:rsidR="00D51E3E" w:rsidRPr="00621A71" w:rsidRDefault="00D51E3E" w:rsidP="00D51E3E">
                            <w:pPr>
                              <w:rPr>
                                <w:rFonts w:ascii="Nunito Light" w:hAnsi="Nunito Light"/>
                                <w:b/>
                                <w:bCs/>
                                <w:noProof/>
                                <w:color w:val="009DF0" w:themeColor="text2"/>
                                <w:sz w:val="24"/>
                                <w:szCs w:val="24"/>
                                <w14:ligatures w14:val="standardContextual"/>
                              </w:rPr>
                            </w:pPr>
                            <w:r>
                              <w:rPr>
                                <w:rFonts w:ascii="Nunito Light" w:hAnsi="Nunito Light"/>
                                <w:b/>
                                <w:bCs/>
                              </w:rPr>
                              <w:t>Aspecte de mediu</w:t>
                            </w:r>
                          </w:p>
                          <w:p w14:paraId="11365AE5" w14:textId="77777777" w:rsidR="00D51E3E" w:rsidRPr="000D5A4A" w:rsidRDefault="00D51E3E" w:rsidP="00D51E3E">
                            <w:pPr>
                              <w:rPr>
                                <w:b/>
                                <w:bCs/>
                              </w:rPr>
                            </w:pPr>
                            <w:r>
                              <w:rPr>
                                <w:b/>
                                <w:bCs/>
                                <w:noProof/>
                                <w:color w:val="009DF0" w:themeColor="text2"/>
                                <w:sz w:val="24"/>
                                <w:szCs w:val="24"/>
                                <w14:ligatures w14:val="standardContextual"/>
                              </w:rPr>
                              <w:t>______________</w:t>
                            </w:r>
                          </w:p>
                          <w:p w14:paraId="6D49C128" w14:textId="77777777" w:rsidR="00D51E3E" w:rsidRPr="00621A71" w:rsidRDefault="00D51E3E" w:rsidP="00D07880">
                            <w:pPr>
                              <w:pStyle w:val="ListParagraph"/>
                              <w:numPr>
                                <w:ilvl w:val="0"/>
                                <w:numId w:val="14"/>
                              </w:numPr>
                              <w:ind w:left="284" w:hanging="142"/>
                              <w:rPr>
                                <w:rFonts w:ascii="Nunito Light" w:hAnsi="Nunito Light"/>
                              </w:rPr>
                            </w:pPr>
                            <w:r>
                              <w:rPr>
                                <w:rFonts w:ascii="Nunito Light" w:hAnsi="Nunito Light"/>
                              </w:rPr>
                              <w:t>Apa</w:t>
                            </w:r>
                          </w:p>
                          <w:p w14:paraId="4183FDB0" w14:textId="77777777" w:rsidR="00D51E3E" w:rsidRPr="00621A71" w:rsidRDefault="00D51E3E" w:rsidP="00D07880">
                            <w:pPr>
                              <w:pStyle w:val="ListParagraph"/>
                              <w:numPr>
                                <w:ilvl w:val="0"/>
                                <w:numId w:val="14"/>
                              </w:numPr>
                              <w:ind w:left="284" w:hanging="142"/>
                              <w:rPr>
                                <w:rFonts w:ascii="Nunito Light" w:hAnsi="Nunito Light"/>
                              </w:rPr>
                            </w:pPr>
                            <w:r>
                              <w:rPr>
                                <w:rFonts w:ascii="Nunito Light" w:hAnsi="Nunito Light"/>
                              </w:rPr>
                              <w:t>Solul</w:t>
                            </w:r>
                          </w:p>
                          <w:p w14:paraId="7FA820FA" w14:textId="77777777" w:rsidR="00D51E3E" w:rsidRPr="00621A71" w:rsidRDefault="00D51E3E" w:rsidP="00D07880">
                            <w:pPr>
                              <w:pStyle w:val="ListParagraph"/>
                              <w:numPr>
                                <w:ilvl w:val="0"/>
                                <w:numId w:val="14"/>
                              </w:numPr>
                              <w:ind w:left="284" w:hanging="142"/>
                              <w:rPr>
                                <w:rFonts w:ascii="Nunito Light" w:hAnsi="Nunito Light"/>
                              </w:rPr>
                            </w:pPr>
                            <w:r>
                              <w:rPr>
                                <w:rFonts w:ascii="Nunito Light" w:hAnsi="Nunito Light"/>
                              </w:rPr>
                              <w:t>Aerul</w:t>
                            </w:r>
                          </w:p>
                          <w:p w14:paraId="70060111" w14:textId="77777777" w:rsidR="00D51E3E" w:rsidRPr="00621A71" w:rsidRDefault="00D51E3E" w:rsidP="00D07880">
                            <w:pPr>
                              <w:pStyle w:val="ListParagraph"/>
                              <w:numPr>
                                <w:ilvl w:val="0"/>
                                <w:numId w:val="14"/>
                              </w:numPr>
                              <w:ind w:left="284" w:hanging="142"/>
                              <w:rPr>
                                <w:rFonts w:ascii="Nunito Light" w:hAnsi="Nunito Light"/>
                              </w:rPr>
                            </w:pPr>
                            <w:r>
                              <w:rPr>
                                <w:rFonts w:ascii="Nunito Light" w:hAnsi="Nunito Light"/>
                              </w:rPr>
                              <w:t>Factorii climatici</w:t>
                            </w:r>
                          </w:p>
                          <w:p w14:paraId="3163D8E5" w14:textId="77777777" w:rsidR="00D51E3E" w:rsidRPr="00621A71" w:rsidRDefault="00D51E3E" w:rsidP="00D07880">
                            <w:pPr>
                              <w:pStyle w:val="ListParagraph"/>
                              <w:numPr>
                                <w:ilvl w:val="0"/>
                                <w:numId w:val="14"/>
                              </w:numPr>
                              <w:ind w:left="284" w:hanging="142"/>
                              <w:rPr>
                                <w:rFonts w:ascii="Nunito Light" w:hAnsi="Nunito Light"/>
                              </w:rPr>
                            </w:pPr>
                            <w:r>
                              <w:rPr>
                                <w:rFonts w:ascii="Nunito Light" w:hAnsi="Nunito Light"/>
                              </w:rPr>
                              <w:t>Biodiversitatea</w:t>
                            </w:r>
                          </w:p>
                          <w:p w14:paraId="5E849C6F" w14:textId="788474A6" w:rsidR="00D51E3E" w:rsidRPr="00E37AB1" w:rsidRDefault="00D51E3E" w:rsidP="00D07880">
                            <w:pPr>
                              <w:pStyle w:val="ListParagraph"/>
                              <w:numPr>
                                <w:ilvl w:val="0"/>
                                <w:numId w:val="14"/>
                              </w:numPr>
                              <w:ind w:left="284" w:hanging="142"/>
                              <w:rPr>
                                <w:rFonts w:ascii="Nunito Light" w:hAnsi="Nunito Light"/>
                                <w:lang w:val="pt-PT"/>
                              </w:rPr>
                            </w:pPr>
                            <w:r>
                              <w:rPr>
                                <w:rFonts w:ascii="Nunito Light" w:hAnsi="Nunito Light"/>
                                <w:lang w:val="pt-PT"/>
                              </w:rPr>
                              <w:t xml:space="preserve">Mediul social și economic inclusiv </w:t>
                            </w:r>
                            <w:r w:rsidR="001264B6">
                              <w:rPr>
                                <w:rFonts w:ascii="Nunito Light" w:hAnsi="Nunito Light"/>
                                <w:lang w:val="pt-PT"/>
                              </w:rPr>
                              <w:t>populația și sănătatea umană</w:t>
                            </w:r>
                          </w:p>
                          <w:p w14:paraId="207246F6" w14:textId="77777777" w:rsidR="00D51E3E" w:rsidRPr="00621A71" w:rsidRDefault="00D51E3E" w:rsidP="00D07880">
                            <w:pPr>
                              <w:pStyle w:val="ListParagraph"/>
                              <w:numPr>
                                <w:ilvl w:val="0"/>
                                <w:numId w:val="14"/>
                              </w:numPr>
                              <w:ind w:left="284" w:hanging="142"/>
                              <w:rPr>
                                <w:rFonts w:ascii="Nunito Light" w:hAnsi="Nunito Light"/>
                              </w:rPr>
                            </w:pPr>
                            <w:r>
                              <w:rPr>
                                <w:rFonts w:ascii="Nunito Light" w:hAnsi="Nunito Light"/>
                              </w:rPr>
                              <w:t>Patrimoniul cultural</w:t>
                            </w:r>
                          </w:p>
                          <w:p w14:paraId="5B190FC7" w14:textId="77777777" w:rsidR="00D51E3E" w:rsidRDefault="00D51E3E" w:rsidP="00D07880">
                            <w:pPr>
                              <w:pStyle w:val="ListParagraph"/>
                              <w:numPr>
                                <w:ilvl w:val="0"/>
                                <w:numId w:val="14"/>
                              </w:numPr>
                              <w:ind w:left="284" w:hanging="142"/>
                              <w:rPr>
                                <w:rFonts w:ascii="Nunito Light" w:hAnsi="Nunito Light"/>
                              </w:rPr>
                            </w:pPr>
                            <w:r>
                              <w:rPr>
                                <w:rFonts w:ascii="Nunito Light" w:hAnsi="Nunito Light"/>
                              </w:rPr>
                              <w:t>Peisajul</w:t>
                            </w:r>
                          </w:p>
                          <w:p w14:paraId="19207212" w14:textId="20E7659B" w:rsidR="00E37AB1" w:rsidRPr="00E37AB1" w:rsidRDefault="00E37AB1" w:rsidP="00D07880">
                            <w:pPr>
                              <w:pStyle w:val="ListParagraph"/>
                              <w:numPr>
                                <w:ilvl w:val="0"/>
                                <w:numId w:val="14"/>
                              </w:numPr>
                              <w:ind w:left="284" w:hanging="142"/>
                              <w:rPr>
                                <w:rFonts w:ascii="Nunito Light" w:hAnsi="Nunito Light"/>
                                <w:color w:val="92D050"/>
                              </w:rPr>
                            </w:pPr>
                            <w:r>
                              <w:rPr>
                                <w:rFonts w:ascii="Nunito Light" w:hAnsi="Nunito Light"/>
                                <w:color w:val="92D050"/>
                              </w:rPr>
                              <w:t>Valorile materiale</w:t>
                            </w:r>
                          </w:p>
                          <w:p w14:paraId="6B7F18E9" w14:textId="77777777" w:rsidR="00D51E3E" w:rsidRPr="00621A71" w:rsidRDefault="00D51E3E" w:rsidP="00D51E3E">
                            <w:pPr>
                              <w:rPr>
                                <w:rFonts w:ascii="Nunito Light" w:hAnsi="Nunito Light"/>
                              </w:rPr>
                            </w:pPr>
                          </w:p>
                          <w:p w14:paraId="05EB97C3" w14:textId="77777777" w:rsidR="00D51E3E" w:rsidRPr="00371F04" w:rsidRDefault="00D51E3E" w:rsidP="00D51E3E">
                            <w:pPr>
                              <w:rPr>
                                <w:rFonts w:ascii="Nunito Light" w:hAnsi="Nunito Light"/>
                                <w:lang w:val="fr-FR"/>
                              </w:rPr>
                            </w:pPr>
                            <w:r>
                              <w:rPr>
                                <w:rFonts w:ascii="Nunito Light" w:hAnsi="Nunito Light"/>
                                <w:lang w:val="fr-FR"/>
                              </w:rPr>
                              <w:t>Teme trasversale care derivă din obiectivele de durabilitate:</w:t>
                            </w:r>
                          </w:p>
                          <w:p w14:paraId="3A29C3B8" w14:textId="77777777" w:rsidR="00D51E3E" w:rsidRPr="000D5A4A" w:rsidRDefault="00D51E3E" w:rsidP="00D51E3E">
                            <w:pPr>
                              <w:rPr>
                                <w:b/>
                                <w:bCs/>
                                <w:noProof/>
                                <w:color w:val="009DF0" w:themeColor="text2"/>
                                <w:sz w:val="24"/>
                                <w:szCs w:val="24"/>
                                <w14:ligatures w14:val="standardContextual"/>
                              </w:rPr>
                            </w:pPr>
                            <w:r>
                              <w:rPr>
                                <w:b/>
                                <w:bCs/>
                                <w:noProof/>
                                <w:color w:val="009DF0" w:themeColor="text2"/>
                                <w:sz w:val="24"/>
                                <w:szCs w:val="24"/>
                                <w14:ligatures w14:val="standardContextual"/>
                              </w:rPr>
                              <w:t>_____________________</w:t>
                            </w:r>
                          </w:p>
                          <w:p w14:paraId="6F46464D" w14:textId="77777777" w:rsidR="00D51E3E" w:rsidRPr="00621A71" w:rsidRDefault="00D51E3E" w:rsidP="00D07880">
                            <w:pPr>
                              <w:pStyle w:val="ListParagraph"/>
                              <w:numPr>
                                <w:ilvl w:val="0"/>
                                <w:numId w:val="14"/>
                              </w:numPr>
                              <w:ind w:left="284" w:hanging="142"/>
                              <w:rPr>
                                <w:rFonts w:ascii="Nunito Light" w:hAnsi="Nunito Light"/>
                              </w:rPr>
                            </w:pPr>
                            <w:r>
                              <w:rPr>
                                <w:rFonts w:ascii="Nunito Light" w:hAnsi="Nunito Light"/>
                              </w:rPr>
                              <w:t>Economia circulară</w:t>
                            </w:r>
                          </w:p>
                          <w:p w14:paraId="7603FDB7" w14:textId="3D3DF142" w:rsidR="00D51E3E" w:rsidRPr="00621A71" w:rsidRDefault="00330BD3" w:rsidP="00D07880">
                            <w:pPr>
                              <w:pStyle w:val="ListParagraph"/>
                              <w:numPr>
                                <w:ilvl w:val="0"/>
                                <w:numId w:val="14"/>
                              </w:numPr>
                              <w:ind w:left="284" w:hanging="142"/>
                              <w:rPr>
                                <w:rFonts w:ascii="Nunito Light" w:hAnsi="Nunito Light"/>
                              </w:rPr>
                            </w:pPr>
                            <w:r>
                              <w:rPr>
                                <w:rFonts w:ascii="Nunito Light" w:hAnsi="Nunito Light"/>
                              </w:rPr>
                              <w:t>Transport durabil</w:t>
                            </w:r>
                          </w:p>
                          <w:p w14:paraId="12295E87" w14:textId="77777777" w:rsidR="00D51E3E" w:rsidRPr="00621A71" w:rsidRDefault="00D51E3E" w:rsidP="00D07880">
                            <w:pPr>
                              <w:pStyle w:val="ListParagraph"/>
                              <w:numPr>
                                <w:ilvl w:val="0"/>
                                <w:numId w:val="14"/>
                              </w:numPr>
                              <w:ind w:left="284" w:hanging="142"/>
                              <w:rPr>
                                <w:rFonts w:ascii="Nunito Light" w:hAnsi="Nunito Light"/>
                              </w:rPr>
                            </w:pPr>
                            <w:r>
                              <w:rPr>
                                <w:rFonts w:ascii="Nunito Light" w:hAnsi="Nunito Light"/>
                              </w:rPr>
                              <w:t>Eficiență energetică</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993B53F" id="_x0000_s1027" style="position:absolute;margin-left:288.5pt;margin-top:31.4pt;width:213.85pt;height:321.95pt;z-index:25166849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94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" fillcolor="#05326e" stroked="f" strokeweight="2pt">
                <v:textbox>
                  <w:txbxContent>
                    <w:p w14:paraId="7B053104" w14:textId="77777777" w:rsidR="00D51E3E" w:rsidRPr="00621A71" w:rsidRDefault="00D51E3E" w:rsidP="00D51E3E">
                      <w:pPr>
                        <w:rPr>
                          <w:rFonts w:ascii="Nunito Light" w:hAnsi="Nunito Light"/>
                          <w:b/>
                          <w:bCs/>
                          <w:noProof/>
                          <w:color w:val="009DF0" w:themeColor="text2"/>
                          <w:sz w:val="24"/>
                          <w:szCs w:val="24"/>
                          <w14:ligatures w14:val="standardContextual"/>
                        </w:rPr>
                      </w:pPr>
                      <w:r>
                        <w:rPr>
                          <w:rFonts w:ascii="Nunito Light" w:hAnsi="Nunito Light"/>
                          <w:b/>
                          <w:bCs/>
                        </w:rPr>
                        <w:t>Aspecte de mediu</w:t>
                      </w:r>
                    </w:p>
                    <w:p w14:paraId="11365AE5" w14:textId="77777777" w:rsidR="00D51E3E" w:rsidRPr="000D5A4A" w:rsidRDefault="00D51E3E" w:rsidP="00D51E3E">
                      <w:pPr>
                        <w:rPr>
                          <w:b/>
                          <w:bCs/>
                        </w:rPr>
                      </w:pPr>
                      <w:r>
                        <w:rPr>
                          <w:b/>
                          <w:bCs/>
                          <w:noProof/>
                          <w:color w:val="009DF0" w:themeColor="text2"/>
                          <w:sz w:val="24"/>
                          <w:szCs w:val="24"/>
                          <w14:ligatures w14:val="standardContextual"/>
                        </w:rPr>
                        <w:t>______________</w:t>
                      </w:r>
                    </w:p>
                    <w:p w14:paraId="6D49C128" w14:textId="77777777" w:rsidR="00D51E3E" w:rsidRPr="00621A71" w:rsidRDefault="00D51E3E" w:rsidP="00D07880">
                      <w:pPr>
                        <w:pStyle w:val="ListParagraph"/>
                        <w:numPr>
                          <w:ilvl w:val="0"/>
                          <w:numId w:val="14"/>
                        </w:numPr>
                        <w:ind w:left="284" w:hanging="142"/>
                        <w:rPr>
                          <w:rFonts w:ascii="Nunito Light" w:hAnsi="Nunito Light"/>
                        </w:rPr>
                      </w:pPr>
                      <w:r>
                        <w:rPr>
                          <w:rFonts w:ascii="Nunito Light" w:hAnsi="Nunito Light"/>
                        </w:rPr>
                        <w:t>Apa</w:t>
                      </w:r>
                    </w:p>
                    <w:p w14:paraId="4183FDB0" w14:textId="77777777" w:rsidR="00D51E3E" w:rsidRPr="00621A71" w:rsidRDefault="00D51E3E" w:rsidP="00D07880">
                      <w:pPr>
                        <w:pStyle w:val="ListParagraph"/>
                        <w:numPr>
                          <w:ilvl w:val="0"/>
                          <w:numId w:val="14"/>
                        </w:numPr>
                        <w:ind w:left="284" w:hanging="142"/>
                        <w:rPr>
                          <w:rFonts w:ascii="Nunito Light" w:hAnsi="Nunito Light"/>
                        </w:rPr>
                      </w:pPr>
                      <w:r>
                        <w:rPr>
                          <w:rFonts w:ascii="Nunito Light" w:hAnsi="Nunito Light"/>
                        </w:rPr>
                        <w:t>Solul</w:t>
                      </w:r>
                    </w:p>
                    <w:p w14:paraId="7FA820FA" w14:textId="77777777" w:rsidR="00D51E3E" w:rsidRPr="00621A71" w:rsidRDefault="00D51E3E" w:rsidP="00D07880">
                      <w:pPr>
                        <w:pStyle w:val="ListParagraph"/>
                        <w:numPr>
                          <w:ilvl w:val="0"/>
                          <w:numId w:val="14"/>
                        </w:numPr>
                        <w:ind w:left="284" w:hanging="142"/>
                        <w:rPr>
                          <w:rFonts w:ascii="Nunito Light" w:hAnsi="Nunito Light"/>
                        </w:rPr>
                      </w:pPr>
                      <w:r>
                        <w:rPr>
                          <w:rFonts w:ascii="Nunito Light" w:hAnsi="Nunito Light"/>
                        </w:rPr>
                        <w:t>Aerul</w:t>
                      </w:r>
                    </w:p>
                    <w:p w14:paraId="70060111" w14:textId="77777777" w:rsidR="00D51E3E" w:rsidRPr="00621A71" w:rsidRDefault="00D51E3E" w:rsidP="00D07880">
                      <w:pPr>
                        <w:pStyle w:val="ListParagraph"/>
                        <w:numPr>
                          <w:ilvl w:val="0"/>
                          <w:numId w:val="14"/>
                        </w:numPr>
                        <w:ind w:left="284" w:hanging="142"/>
                        <w:rPr>
                          <w:rFonts w:ascii="Nunito Light" w:hAnsi="Nunito Light"/>
                        </w:rPr>
                      </w:pPr>
                      <w:r>
                        <w:rPr>
                          <w:rFonts w:ascii="Nunito Light" w:hAnsi="Nunito Light"/>
                        </w:rPr>
                        <w:t>Factorii climatici</w:t>
                      </w:r>
                    </w:p>
                    <w:p w14:paraId="3163D8E5" w14:textId="77777777" w:rsidR="00D51E3E" w:rsidRPr="00621A71" w:rsidRDefault="00D51E3E" w:rsidP="00D07880">
                      <w:pPr>
                        <w:pStyle w:val="ListParagraph"/>
                        <w:numPr>
                          <w:ilvl w:val="0"/>
                          <w:numId w:val="14"/>
                        </w:numPr>
                        <w:ind w:left="284" w:hanging="142"/>
                        <w:rPr>
                          <w:rFonts w:ascii="Nunito Light" w:hAnsi="Nunito Light"/>
                        </w:rPr>
                      </w:pPr>
                      <w:r>
                        <w:rPr>
                          <w:rFonts w:ascii="Nunito Light" w:hAnsi="Nunito Light"/>
                        </w:rPr>
                        <w:t>Biodiversitatea</w:t>
                      </w:r>
                    </w:p>
                    <w:p w14:paraId="5E849C6F" w14:textId="788474A6" w:rsidR="00D51E3E" w:rsidRPr="00E37AB1" w:rsidRDefault="00D51E3E" w:rsidP="00D07880">
                      <w:pPr>
                        <w:pStyle w:val="ListParagraph"/>
                        <w:numPr>
                          <w:ilvl w:val="0"/>
                          <w:numId w:val="14"/>
                        </w:numPr>
                        <w:ind w:left="284" w:hanging="142"/>
                        <w:rPr>
                          <w:rFonts w:ascii="Nunito Light" w:hAnsi="Nunito Light"/>
                          <w:lang w:val="pt-PT"/>
                        </w:rPr>
                      </w:pPr>
                      <w:r>
                        <w:rPr>
                          <w:rFonts w:ascii="Nunito Light" w:hAnsi="Nunito Light"/>
                          <w:lang w:val="pt-PT"/>
                        </w:rPr>
                        <w:t xml:space="preserve">Mediul social și economic inclusiv </w:t>
                      </w:r>
                      <w:r w:rsidR="001264B6">
                        <w:rPr>
                          <w:rFonts w:ascii="Nunito Light" w:hAnsi="Nunito Light"/>
                          <w:lang w:val="pt-PT"/>
                        </w:rPr>
                        <w:t>populația și sănătatea umană</w:t>
                      </w:r>
                    </w:p>
                    <w:p w14:paraId="207246F6" w14:textId="77777777" w:rsidR="00D51E3E" w:rsidRPr="00621A71" w:rsidRDefault="00D51E3E" w:rsidP="00D07880">
                      <w:pPr>
                        <w:pStyle w:val="ListParagraph"/>
                        <w:numPr>
                          <w:ilvl w:val="0"/>
                          <w:numId w:val="14"/>
                        </w:numPr>
                        <w:ind w:left="284" w:hanging="142"/>
                        <w:rPr>
                          <w:rFonts w:ascii="Nunito Light" w:hAnsi="Nunito Light"/>
                        </w:rPr>
                      </w:pPr>
                      <w:r>
                        <w:rPr>
                          <w:rFonts w:ascii="Nunito Light" w:hAnsi="Nunito Light"/>
                        </w:rPr>
                        <w:t>Patrimoniul cultural</w:t>
                      </w:r>
                    </w:p>
                    <w:p w14:paraId="5B190FC7" w14:textId="77777777" w:rsidR="00D51E3E" w:rsidRDefault="00D51E3E" w:rsidP="00D07880">
                      <w:pPr>
                        <w:pStyle w:val="ListParagraph"/>
                        <w:numPr>
                          <w:ilvl w:val="0"/>
                          <w:numId w:val="14"/>
                        </w:numPr>
                        <w:ind w:left="284" w:hanging="142"/>
                        <w:rPr>
                          <w:rFonts w:ascii="Nunito Light" w:hAnsi="Nunito Light"/>
                        </w:rPr>
                      </w:pPr>
                      <w:r>
                        <w:rPr>
                          <w:rFonts w:ascii="Nunito Light" w:hAnsi="Nunito Light"/>
                        </w:rPr>
                        <w:t>Peisajul</w:t>
                      </w:r>
                    </w:p>
                    <w:p w14:paraId="19207212" w14:textId="20E7659B" w:rsidR="00E37AB1" w:rsidRPr="00E37AB1" w:rsidRDefault="00E37AB1" w:rsidP="00D07880">
                      <w:pPr>
                        <w:pStyle w:val="ListParagraph"/>
                        <w:numPr>
                          <w:ilvl w:val="0"/>
                          <w:numId w:val="14"/>
                        </w:numPr>
                        <w:ind w:left="284" w:hanging="142"/>
                        <w:rPr>
                          <w:rFonts w:ascii="Nunito Light" w:hAnsi="Nunito Light"/>
                          <w:color w:val="92D050"/>
                        </w:rPr>
                      </w:pPr>
                      <w:r>
                        <w:rPr>
                          <w:rFonts w:ascii="Nunito Light" w:hAnsi="Nunito Light"/>
                          <w:color w:val="92D050"/>
                        </w:rPr>
                        <w:t>Valorile materiale</w:t>
                      </w:r>
                    </w:p>
                    <w:p w14:paraId="6B7F18E9" w14:textId="77777777" w:rsidR="00D51E3E" w:rsidRPr="00621A71" w:rsidRDefault="00D51E3E" w:rsidP="00D51E3E">
                      <w:pPr>
                        <w:rPr>
                          <w:rFonts w:ascii="Nunito Light" w:hAnsi="Nunito Light"/>
                        </w:rPr>
                      </w:pPr>
                    </w:p>
                    <w:p w14:paraId="05EB97C3" w14:textId="77777777" w:rsidR="00D51E3E" w:rsidRPr="00371F04" w:rsidRDefault="00D51E3E" w:rsidP="00D51E3E">
                      <w:pPr>
                        <w:rPr>
                          <w:rFonts w:ascii="Nunito Light" w:hAnsi="Nunito Light"/>
                          <w:lang w:val="fr-FR"/>
                        </w:rPr>
                      </w:pPr>
                      <w:r>
                        <w:rPr>
                          <w:rFonts w:ascii="Nunito Light" w:hAnsi="Nunito Light"/>
                          <w:lang w:val="fr-FR"/>
                        </w:rPr>
                        <w:t>Teme trasversale care derivă din obiectivele de durabilitate:</w:t>
                      </w:r>
                    </w:p>
                    <w:p w14:paraId="3A29C3B8" w14:textId="77777777" w:rsidR="00D51E3E" w:rsidRPr="000D5A4A" w:rsidRDefault="00D51E3E" w:rsidP="00D51E3E">
                      <w:pPr>
                        <w:rPr>
                          <w:b/>
                          <w:bCs/>
                          <w:noProof/>
                          <w:color w:val="009DF0" w:themeColor="text2"/>
                          <w:sz w:val="24"/>
                          <w:szCs w:val="24"/>
                          <w14:ligatures w14:val="standardContextual"/>
                        </w:rPr>
                      </w:pPr>
                      <w:r>
                        <w:rPr>
                          <w:b/>
                          <w:bCs/>
                          <w:noProof/>
                          <w:color w:val="009DF0" w:themeColor="text2"/>
                          <w:sz w:val="24"/>
                          <w:szCs w:val="24"/>
                          <w14:ligatures w14:val="standardContextual"/>
                        </w:rPr>
                        <w:t>_____________________</w:t>
                      </w:r>
                    </w:p>
                    <w:p w14:paraId="6F46464D" w14:textId="77777777" w:rsidR="00D51E3E" w:rsidRPr="00621A71" w:rsidRDefault="00D51E3E" w:rsidP="00D07880">
                      <w:pPr>
                        <w:pStyle w:val="ListParagraph"/>
                        <w:numPr>
                          <w:ilvl w:val="0"/>
                          <w:numId w:val="14"/>
                        </w:numPr>
                        <w:ind w:left="284" w:hanging="142"/>
                        <w:rPr>
                          <w:rFonts w:ascii="Nunito Light" w:hAnsi="Nunito Light"/>
                        </w:rPr>
                      </w:pPr>
                      <w:r>
                        <w:rPr>
                          <w:rFonts w:ascii="Nunito Light" w:hAnsi="Nunito Light"/>
                        </w:rPr>
                        <w:t>Economia circulară</w:t>
                      </w:r>
                    </w:p>
                    <w:p w14:paraId="7603FDB7" w14:textId="3D3DF142" w:rsidR="00D51E3E" w:rsidRPr="00621A71" w:rsidRDefault="00330BD3" w:rsidP="00D07880">
                      <w:pPr>
                        <w:pStyle w:val="ListParagraph"/>
                        <w:numPr>
                          <w:ilvl w:val="0"/>
                          <w:numId w:val="14"/>
                        </w:numPr>
                        <w:ind w:left="284" w:hanging="142"/>
                        <w:rPr>
                          <w:rFonts w:ascii="Nunito Light" w:hAnsi="Nunito Light"/>
                        </w:rPr>
                      </w:pPr>
                      <w:r>
                        <w:rPr>
                          <w:rFonts w:ascii="Nunito Light" w:hAnsi="Nunito Light"/>
                        </w:rPr>
                        <w:t>Transport durabil</w:t>
                      </w:r>
                    </w:p>
                    <w:p w14:paraId="12295E87" w14:textId="77777777" w:rsidR="00D51E3E" w:rsidRPr="00621A71" w:rsidRDefault="00D51E3E" w:rsidP="00D07880">
                      <w:pPr>
                        <w:pStyle w:val="ListParagraph"/>
                        <w:numPr>
                          <w:ilvl w:val="0"/>
                          <w:numId w:val="14"/>
                        </w:numPr>
                        <w:ind w:left="284" w:hanging="142"/>
                        <w:rPr>
                          <w:rFonts w:ascii="Nunito Light" w:hAnsi="Nunito Light"/>
                        </w:rPr>
                      </w:pPr>
                      <w:r>
                        <w:rPr>
                          <w:rFonts w:ascii="Nunito Light" w:hAnsi="Nunito Light"/>
                        </w:rPr>
                        <w:t>Eficiență energetică</w:t>
                      </w:r>
                    </w:p>
                  </w:txbxContent>
                </v:textbox>
              </v:roundrect>
            </w:pict>
          </mc:Fallback>
        </mc:AlternateContent>
      </w:r>
      <w:r>
        <w:rPr>
          <w:rFonts w:ascii="Nunito" w:eastAsiaTheme="majorEastAsia" w:hAnsi="Nunito" w:cstheme="majorBidi"/>
          <w:b/>
          <w:bCs/>
          <w:noProof/>
          <w:color w:val="009DF0" w:themeColor="text2"/>
          <w:sz w:val="24"/>
          <w:szCs w:val="24"/>
          <w:lang w:val="ro-RO"/>
        </w:rPr>
        <w:drawing>
          <wp:anchor distT="0" distB="0" distL="114300" distR="114300" simplePos="0" relativeHeight="251663370" behindDoc="0" locked="0" layoutInCell="1" allowOverlap="1" wp14:anchorId="1CCFEAC9" wp14:editId="126BAB77">
            <wp:simplePos x="0" y="0"/>
            <wp:positionH relativeFrom="column">
              <wp:posOffset>7838440</wp:posOffset>
            </wp:positionH>
            <wp:positionV relativeFrom="paragraph">
              <wp:posOffset>-452755</wp:posOffset>
            </wp:positionV>
            <wp:extent cx="609600" cy="609600"/>
            <wp:effectExtent l="0" t="0" r="0" b="0"/>
            <wp:wrapNone/>
            <wp:docPr id="471246228"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46228" name="Graphic 2"/>
                    <pic:cNvPicPr/>
                  </pic:nvPicPr>
                  <pic:blipFill>
                    <a:blip r:embed="rId15">
                      <a:extLst>
                        <a:ext uri="{96DAC541-7B7A-43D3-8B79-37D633B846F1}">
                          <asvg:svgBlip xmlns:asvg="http://schemas.microsoft.com/office/drawing/2016/SVG/main" r:embed="rId16"/>
                        </a:ext>
                      </a:extLst>
                    </a:blip>
                    <a:stretch>
                      <a:fillRect/>
                    </a:stretch>
                  </pic:blipFill>
                  <pic:spPr>
                    <a:xfrm>
                      <a:off x="0" y="0"/>
                      <a:ext cx="609600" cy="609600"/>
                    </a:xfrm>
                    <a:prstGeom prst="rect">
                      <a:avLst/>
                    </a:prstGeom>
                  </pic:spPr>
                </pic:pic>
              </a:graphicData>
            </a:graphic>
          </wp:anchor>
        </w:drawing>
      </w:r>
    </w:p>
    <w:p w14:paraId="6F5F6C7F" w14:textId="6514F240" w:rsidR="00964042" w:rsidRPr="0067604E" w:rsidRDefault="009B4554" w:rsidP="007B7EE1">
      <w:pPr>
        <w:pStyle w:val="Heading2"/>
        <w:suppressAutoHyphens w:val="0"/>
        <w:spacing w:before="260" w:line="260" w:lineRule="atLeast"/>
        <w:rPr>
          <w:rFonts w:ascii="Nunito" w:hAnsi="Nunito"/>
          <w:b w:val="0"/>
          <w:bCs w:val="0"/>
          <w:sz w:val="24"/>
          <w:szCs w:val="24"/>
          <w:lang w:val="ro-RO"/>
        </w:rPr>
      </w:pPr>
      <w:r>
        <w:rPr>
          <w:rFonts w:ascii="Nunito" w:hAnsi="Nunito"/>
          <w:b w:val="0"/>
          <w:bCs w:val="0"/>
          <w:sz w:val="24"/>
          <w:szCs w:val="24"/>
          <w:lang w:val="ro-RO"/>
        </w:rPr>
        <w:lastRenderedPageBreak/>
        <w:t>4.1 Problemele de mediu identificate și mecanismul de impact și relevanță pentru PNGD</w:t>
      </w:r>
    </w:p>
    <w:p w14:paraId="2B7302BF" w14:textId="77777777" w:rsidR="00371F04" w:rsidRPr="0067604E" w:rsidRDefault="00371F04" w:rsidP="00371F04">
      <w:pPr>
        <w:spacing w:after="120"/>
        <w:jc w:val="both"/>
        <w:rPr>
          <w:lang w:val="ro-RO"/>
        </w:rPr>
      </w:pPr>
      <w:r>
        <w:rPr>
          <w:lang w:val="ro-RO"/>
        </w:rPr>
        <w:t>Fiecare problemă de mediu este încadrată pe unul dintre cele patru niveluri de mai jos. Definițiile sunt formulate astfel încât semnificația să fie determinată de magnitudinea presiunii actuale și de potențialul acesteia de a produce efecte semnificative, independent de eficacitatea presupusă a măsurilor din plan.</w:t>
      </w:r>
    </w:p>
    <w:tbl>
      <w:tblPr>
        <w:tblStyle w:val="Ramboll-Table"/>
        <w:tblW w:w="14687" w:type="dxa"/>
        <w:tblLook w:val="04A0" w:firstRow="1" w:lastRow="0" w:firstColumn="1" w:lastColumn="0" w:noHBand="0" w:noVBand="1"/>
      </w:tblPr>
      <w:tblGrid>
        <w:gridCol w:w="4444"/>
        <w:gridCol w:w="10243"/>
      </w:tblGrid>
      <w:tr w:rsidR="00371F04" w:rsidRPr="00C36764" w14:paraId="1FCF9080" w14:textId="77777777" w:rsidTr="00371F04">
        <w:trPr>
          <w:cnfStyle w:val="100000000000" w:firstRow="1" w:lastRow="0" w:firstColumn="0" w:lastColumn="0" w:oddVBand="0" w:evenVBand="0" w:oddHBand="0" w:evenHBand="0" w:firstRowFirstColumn="0" w:firstRowLastColumn="0" w:lastRowFirstColumn="0" w:lastRowLastColumn="0"/>
          <w:trHeight w:val="202"/>
        </w:trPr>
        <w:tc>
          <w:tcPr>
            <w:tcW w:w="4444" w:type="dxa"/>
            <w:shd w:val="clear" w:color="auto" w:fill="00B0F0"/>
            <w:hideMark/>
          </w:tcPr>
          <w:p w14:paraId="763D1F4B" w14:textId="77777777" w:rsidR="00371F04" w:rsidRPr="0067604E" w:rsidRDefault="00371F04" w:rsidP="00371F04">
            <w:pPr>
              <w:spacing w:before="0" w:after="0" w:line="240" w:lineRule="auto"/>
              <w:rPr>
                <w:rFonts w:ascii="Nunito" w:hAnsi="Nunito"/>
                <w:lang w:val="ro-RO"/>
              </w:rPr>
            </w:pPr>
            <w:r>
              <w:rPr>
                <w:rFonts w:ascii="Nunito" w:hAnsi="Nunito"/>
                <w:b/>
                <w:bCs/>
                <w:color w:val="FFFFFF"/>
                <w:sz w:val="16"/>
                <w:szCs w:val="16"/>
                <w:lang w:val="ro-RO"/>
              </w:rPr>
              <w:t>Nivel de clasificare</w:t>
            </w:r>
          </w:p>
        </w:tc>
        <w:tc>
          <w:tcPr>
            <w:tcW w:w="10243" w:type="dxa"/>
            <w:shd w:val="clear" w:color="auto" w:fill="00B0F0"/>
            <w:hideMark/>
          </w:tcPr>
          <w:p w14:paraId="21E66C25" w14:textId="77777777" w:rsidR="00371F04" w:rsidRPr="0067604E" w:rsidRDefault="00371F04" w:rsidP="00371F04">
            <w:pPr>
              <w:spacing w:before="0" w:after="0" w:line="240" w:lineRule="auto"/>
              <w:rPr>
                <w:rFonts w:ascii="Nunito" w:hAnsi="Nunito"/>
                <w:lang w:val="ro-RO"/>
              </w:rPr>
            </w:pPr>
            <w:r>
              <w:rPr>
                <w:rFonts w:ascii="Nunito" w:hAnsi="Nunito"/>
                <w:b/>
                <w:bCs/>
                <w:color w:val="FFFFFF"/>
                <w:sz w:val="16"/>
                <w:szCs w:val="16"/>
                <w:lang w:val="ro-RO"/>
              </w:rPr>
              <w:t>Definiție (evaluare independentă de măsurile planului)</w:t>
            </w:r>
          </w:p>
        </w:tc>
      </w:tr>
      <w:tr w:rsidR="00371F04" w:rsidRPr="00C36764" w14:paraId="16CD74AA" w14:textId="77777777" w:rsidTr="00371F04">
        <w:trPr>
          <w:trHeight w:val="617"/>
        </w:trPr>
        <w:tc>
          <w:tcPr>
            <w:tcW w:w="4444" w:type="dxa"/>
            <w:hideMark/>
          </w:tcPr>
          <w:p w14:paraId="78E735CB" w14:textId="77777777" w:rsidR="00371F04" w:rsidRPr="0067604E" w:rsidRDefault="00371F04" w:rsidP="00371F04">
            <w:pPr>
              <w:spacing w:before="0" w:after="0" w:line="240" w:lineRule="auto"/>
              <w:rPr>
                <w:rFonts w:ascii="Nunito" w:hAnsi="Nunito"/>
                <w:lang w:val="ro-RO"/>
              </w:rPr>
            </w:pPr>
            <w:r>
              <w:rPr>
                <w:rFonts w:ascii="Nunito" w:hAnsi="Nunito"/>
                <w:b/>
                <w:bCs/>
                <w:color w:val="C00000"/>
                <w:sz w:val="16"/>
                <w:szCs w:val="16"/>
                <w:lang w:val="ro-RO"/>
              </w:rPr>
              <w:t>SEMNIFICATIV</w:t>
            </w:r>
          </w:p>
        </w:tc>
        <w:tc>
          <w:tcPr>
            <w:tcW w:w="10243" w:type="dxa"/>
            <w:hideMark/>
          </w:tcPr>
          <w:p w14:paraId="5907AEE5" w14:textId="77777777" w:rsidR="00371F04" w:rsidRPr="0067604E" w:rsidRDefault="00371F04" w:rsidP="00371F04">
            <w:pPr>
              <w:spacing w:before="0" w:after="0" w:line="240" w:lineRule="auto"/>
              <w:jc w:val="both"/>
              <w:rPr>
                <w:rFonts w:ascii="Nunito" w:hAnsi="Nunito"/>
                <w:lang w:val="ro-RO"/>
              </w:rPr>
            </w:pPr>
            <w:r>
              <w:rPr>
                <w:rFonts w:ascii="Nunito" w:hAnsi="Nunito"/>
                <w:sz w:val="16"/>
                <w:szCs w:val="16"/>
                <w:lang w:val="ro-RO"/>
              </w:rPr>
              <w:t>Problemă de mediu existentă care, în absența sau în aplicarea incompletă a măsurilor corective, generează sau menține efecte adverse de magnitudine relevantă la scară regională sau națională și/sau implică depășirea unor praguri legale, a obiectivelor de conservare ori consecințe juridice sau financiare documentate.</w:t>
            </w:r>
          </w:p>
        </w:tc>
      </w:tr>
      <w:tr w:rsidR="00371F04" w:rsidRPr="0067604E" w14:paraId="75B075E1" w14:textId="77777777" w:rsidTr="00371F04">
        <w:trPr>
          <w:trHeight w:val="384"/>
        </w:trPr>
        <w:tc>
          <w:tcPr>
            <w:tcW w:w="4444" w:type="dxa"/>
            <w:hideMark/>
          </w:tcPr>
          <w:p w14:paraId="63015FB1" w14:textId="77777777" w:rsidR="00371F04" w:rsidRPr="0067604E" w:rsidRDefault="00371F04" w:rsidP="00371F04">
            <w:pPr>
              <w:spacing w:before="0" w:after="0" w:line="240" w:lineRule="auto"/>
              <w:rPr>
                <w:rFonts w:ascii="Nunito" w:hAnsi="Nunito"/>
                <w:lang w:val="ro-RO"/>
              </w:rPr>
            </w:pPr>
            <w:r>
              <w:rPr>
                <w:rFonts w:ascii="Nunito" w:hAnsi="Nunito"/>
                <w:b/>
                <w:bCs/>
                <w:color w:val="B5651D"/>
                <w:sz w:val="16"/>
                <w:szCs w:val="16"/>
                <w:lang w:val="ro-RO"/>
              </w:rPr>
              <w:t>POTENȚIAL SEMNIFICATIV</w:t>
            </w:r>
          </w:p>
        </w:tc>
        <w:tc>
          <w:tcPr>
            <w:tcW w:w="10243" w:type="dxa"/>
            <w:hideMark/>
          </w:tcPr>
          <w:p w14:paraId="46C10382" w14:textId="477D93FA" w:rsidR="00371F04" w:rsidRPr="0067604E" w:rsidRDefault="00371F04" w:rsidP="00371F04">
            <w:pPr>
              <w:spacing w:before="0" w:after="0" w:line="240" w:lineRule="auto"/>
              <w:jc w:val="both"/>
              <w:rPr>
                <w:rFonts w:ascii="Nunito" w:hAnsi="Nunito"/>
                <w:lang w:val="ro-RO"/>
              </w:rPr>
            </w:pPr>
            <w:r>
              <w:rPr>
                <w:rFonts w:ascii="Nunito" w:hAnsi="Nunito"/>
                <w:sz w:val="16"/>
                <w:szCs w:val="16"/>
                <w:lang w:val="ro-RO"/>
              </w:rPr>
              <w:t>Presiune cu o cale credibilă sursă–cale–receptor a cărei magnitudine actuală este localizată sau insuficient cuantificată la nivel strategic, dar care - în absența sau în aplicarea incompletă a măsurilor - nu poate fi exclusă de la producerea unor effects semnificative. Semnificația se confirmă la nivel de proiect (EIA / evaluare adecvată).</w:t>
            </w:r>
          </w:p>
        </w:tc>
      </w:tr>
      <w:tr w:rsidR="00371F04" w:rsidRPr="00C36764" w14:paraId="051F8A5F" w14:textId="77777777" w:rsidTr="00371F04">
        <w:trPr>
          <w:trHeight w:val="434"/>
        </w:trPr>
        <w:tc>
          <w:tcPr>
            <w:tcW w:w="4444" w:type="dxa"/>
            <w:hideMark/>
          </w:tcPr>
          <w:p w14:paraId="0DA728E9" w14:textId="77777777" w:rsidR="00371F04" w:rsidRPr="0067604E" w:rsidRDefault="00371F04" w:rsidP="00371F04">
            <w:pPr>
              <w:spacing w:before="0" w:after="0" w:line="240" w:lineRule="auto"/>
              <w:rPr>
                <w:rFonts w:ascii="Nunito" w:hAnsi="Nunito"/>
                <w:lang w:val="ro-RO"/>
              </w:rPr>
            </w:pPr>
            <w:r>
              <w:rPr>
                <w:rFonts w:ascii="Nunito" w:hAnsi="Nunito"/>
                <w:b/>
                <w:bCs/>
                <w:color w:val="4F7A28"/>
                <w:sz w:val="16"/>
                <w:szCs w:val="16"/>
                <w:lang w:val="ro-RO"/>
              </w:rPr>
              <w:t>NESEMNIFICATIV</w:t>
            </w:r>
          </w:p>
        </w:tc>
        <w:tc>
          <w:tcPr>
            <w:tcW w:w="10243" w:type="dxa"/>
            <w:hideMark/>
          </w:tcPr>
          <w:p w14:paraId="60D922F9" w14:textId="77777777" w:rsidR="00371F04" w:rsidRPr="0067604E" w:rsidRDefault="00371F04" w:rsidP="00371F04">
            <w:pPr>
              <w:spacing w:before="0" w:after="0" w:line="240" w:lineRule="auto"/>
              <w:jc w:val="both"/>
              <w:rPr>
                <w:rFonts w:ascii="Nunito" w:hAnsi="Nunito"/>
                <w:lang w:val="ro-RO"/>
              </w:rPr>
            </w:pPr>
            <w:r>
              <w:rPr>
                <w:rFonts w:ascii="Nunito" w:hAnsi="Nunito"/>
                <w:sz w:val="16"/>
                <w:szCs w:val="16"/>
                <w:lang w:val="ro-RO"/>
              </w:rPr>
              <w:t>Presiune existentă cu impact actual limitat, local și reversibil, pentru care dovezile disponibile nu indică efecte semnificative asupra receptorului. Clasificarea se justifică prin criterii (magnitudine, extindere, sensibilitate), nu prin presupunerea eficacității măsurilor din plan.</w:t>
            </w:r>
          </w:p>
        </w:tc>
      </w:tr>
      <w:tr w:rsidR="00371F04" w:rsidRPr="00C36764" w14:paraId="34EF9182" w14:textId="77777777" w:rsidTr="00371F04">
        <w:trPr>
          <w:trHeight w:val="635"/>
        </w:trPr>
        <w:tc>
          <w:tcPr>
            <w:tcW w:w="4444" w:type="dxa"/>
            <w:hideMark/>
          </w:tcPr>
          <w:p w14:paraId="260BFECF" w14:textId="77777777" w:rsidR="00371F04" w:rsidRPr="0067604E" w:rsidRDefault="00371F04" w:rsidP="00371F04">
            <w:pPr>
              <w:spacing w:before="0" w:after="0" w:line="240" w:lineRule="auto"/>
              <w:rPr>
                <w:rFonts w:ascii="Nunito" w:hAnsi="Nunito"/>
                <w:lang w:val="ro-RO"/>
              </w:rPr>
            </w:pPr>
            <w:r>
              <w:rPr>
                <w:rFonts w:ascii="Nunito" w:hAnsi="Nunito"/>
                <w:b/>
                <w:bCs/>
                <w:color w:val="7F7F7F"/>
                <w:sz w:val="16"/>
                <w:szCs w:val="16"/>
                <w:lang w:val="ro-RO"/>
              </w:rPr>
              <w:t>FĂRĂ LEGĂTURĂ DIRECTĂ CU PNGD</w:t>
            </w:r>
          </w:p>
        </w:tc>
        <w:tc>
          <w:tcPr>
            <w:tcW w:w="10243" w:type="dxa"/>
            <w:hideMark/>
          </w:tcPr>
          <w:p w14:paraId="353B09B1" w14:textId="77777777" w:rsidR="00371F04" w:rsidRPr="0067604E" w:rsidRDefault="00371F04" w:rsidP="00371F04">
            <w:pPr>
              <w:spacing w:before="0" w:after="0" w:line="240" w:lineRule="auto"/>
              <w:jc w:val="both"/>
              <w:rPr>
                <w:rFonts w:ascii="Nunito" w:hAnsi="Nunito"/>
                <w:lang w:val="ro-RO"/>
              </w:rPr>
            </w:pPr>
            <w:r>
              <w:rPr>
                <w:rFonts w:ascii="Nunito" w:hAnsi="Nunito"/>
                <w:sz w:val="16"/>
                <w:szCs w:val="16"/>
                <w:lang w:val="ro-RO"/>
              </w:rPr>
              <w:t>Nu se identifică o legătură directă sursă–cale–receptor între gestionarea deșeurilor și componenta de mediu, ori factorii determinanți sunt externi domeniului de intervenție al planului.</w:t>
            </w:r>
          </w:p>
        </w:tc>
      </w:tr>
    </w:tbl>
    <w:p w14:paraId="6749A28B" w14:textId="41F6D338" w:rsidR="005A7D28" w:rsidRPr="0067604E" w:rsidRDefault="00371F04" w:rsidP="00371F04">
      <w:pPr>
        <w:spacing w:after="120" w:line="240" w:lineRule="auto"/>
        <w:jc w:val="both"/>
        <w:rPr>
          <w:rFonts w:ascii="Nunito" w:hAnsi="Nunito"/>
          <w:color w:val="000000" w:themeColor="text1"/>
          <w:lang w:val="ro-RO"/>
        </w:rPr>
      </w:pPr>
      <w:r>
        <w:rPr>
          <w:rFonts w:ascii="Nunito" w:hAnsi="Nunito"/>
          <w:color w:val="000000" w:themeColor="text1"/>
          <w:lang w:val="ro-RO"/>
        </w:rPr>
        <w:t>Sinteza problemelor de mediu identificate, pe aspecte, este prezentată în tabelul.</w:t>
      </w:r>
    </w:p>
    <w:p w14:paraId="0BE2773D" w14:textId="77777777" w:rsidR="00191E08" w:rsidRPr="0067604E" w:rsidRDefault="00191E08" w:rsidP="00E51087">
      <w:pPr>
        <w:rPr>
          <w:lang w:val="ro-RO"/>
        </w:rPr>
      </w:pPr>
    </w:p>
    <w:tbl>
      <w:tblPr>
        <w:tblStyle w:val="Ramboll-Table"/>
        <w:tblW w:w="14034" w:type="dxa"/>
        <w:tblLook w:val="04A0" w:firstRow="1" w:lastRow="0" w:firstColumn="1" w:lastColumn="0" w:noHBand="0" w:noVBand="1"/>
      </w:tblPr>
      <w:tblGrid>
        <w:gridCol w:w="837"/>
        <w:gridCol w:w="1200"/>
        <w:gridCol w:w="4657"/>
        <w:gridCol w:w="1937"/>
        <w:gridCol w:w="5403"/>
      </w:tblGrid>
      <w:tr w:rsidR="00371F04" w:rsidRPr="0067604E" w14:paraId="10B9052D" w14:textId="77777777" w:rsidTr="00A34A79">
        <w:trPr>
          <w:cnfStyle w:val="100000000000" w:firstRow="1" w:lastRow="0" w:firstColumn="0" w:lastColumn="0" w:oddVBand="0" w:evenVBand="0" w:oddHBand="0" w:evenHBand="0" w:firstRowFirstColumn="0" w:firstRowLastColumn="0" w:lastRowFirstColumn="0" w:lastRowLastColumn="0"/>
          <w:tblHeader/>
        </w:trPr>
        <w:tc>
          <w:tcPr>
            <w:tcW w:w="837" w:type="dxa"/>
            <w:shd w:val="clear" w:color="auto" w:fill="00B0F0"/>
            <w:hideMark/>
          </w:tcPr>
          <w:p w14:paraId="66677E55" w14:textId="77777777" w:rsidR="00371F04" w:rsidRPr="0067604E" w:rsidRDefault="00371F04" w:rsidP="00371F04">
            <w:pPr>
              <w:spacing w:before="0" w:after="0" w:line="240" w:lineRule="auto"/>
              <w:rPr>
                <w:rFonts w:ascii="Nunito" w:hAnsi="Nunito"/>
                <w:sz w:val="16"/>
                <w:szCs w:val="16"/>
                <w:lang w:val="ro-RO"/>
              </w:rPr>
            </w:pPr>
            <w:r>
              <w:rPr>
                <w:rFonts w:ascii="Nunito" w:hAnsi="Nunito"/>
                <w:b/>
                <w:bCs/>
                <w:color w:val="FFFFFF"/>
                <w:sz w:val="16"/>
                <w:szCs w:val="16"/>
                <w:lang w:val="ro-RO"/>
              </w:rPr>
              <w:t>Cod</w:t>
            </w:r>
          </w:p>
        </w:tc>
        <w:tc>
          <w:tcPr>
            <w:tcW w:w="1200" w:type="dxa"/>
            <w:shd w:val="clear" w:color="auto" w:fill="00B0F0"/>
            <w:hideMark/>
          </w:tcPr>
          <w:p w14:paraId="2B6662DD" w14:textId="77777777" w:rsidR="00371F04" w:rsidRPr="0067604E" w:rsidRDefault="00371F04" w:rsidP="00371F04">
            <w:pPr>
              <w:spacing w:before="0" w:after="0" w:line="240" w:lineRule="auto"/>
              <w:rPr>
                <w:rFonts w:ascii="Nunito" w:hAnsi="Nunito"/>
                <w:sz w:val="16"/>
                <w:szCs w:val="16"/>
                <w:lang w:val="ro-RO"/>
              </w:rPr>
            </w:pPr>
            <w:r>
              <w:rPr>
                <w:rFonts w:ascii="Nunito" w:hAnsi="Nunito"/>
                <w:b/>
                <w:bCs/>
                <w:color w:val="FFFFFF"/>
                <w:sz w:val="16"/>
                <w:szCs w:val="16"/>
                <w:lang w:val="ro-RO"/>
              </w:rPr>
              <w:t>Aspect de mediu</w:t>
            </w:r>
          </w:p>
        </w:tc>
        <w:tc>
          <w:tcPr>
            <w:tcW w:w="4657" w:type="dxa"/>
            <w:shd w:val="clear" w:color="auto" w:fill="00B0F0"/>
            <w:hideMark/>
          </w:tcPr>
          <w:p w14:paraId="11EB85EA" w14:textId="77777777" w:rsidR="00371F04" w:rsidRPr="0067604E" w:rsidRDefault="00371F04" w:rsidP="00371F04">
            <w:pPr>
              <w:spacing w:before="0" w:after="0" w:line="240" w:lineRule="auto"/>
              <w:rPr>
                <w:rFonts w:ascii="Nunito" w:hAnsi="Nunito"/>
                <w:sz w:val="16"/>
                <w:szCs w:val="16"/>
                <w:lang w:val="ro-RO"/>
              </w:rPr>
            </w:pPr>
            <w:r>
              <w:rPr>
                <w:rFonts w:ascii="Nunito" w:hAnsi="Nunito"/>
                <w:b/>
                <w:bCs/>
                <w:color w:val="FFFFFF"/>
                <w:sz w:val="16"/>
                <w:szCs w:val="16"/>
                <w:lang w:val="ro-RO"/>
              </w:rPr>
              <w:t>Problemă de mediu existentă și calea de impact (sursă–cale–receptor)</w:t>
            </w:r>
          </w:p>
        </w:tc>
        <w:tc>
          <w:tcPr>
            <w:tcW w:w="1937" w:type="dxa"/>
            <w:shd w:val="clear" w:color="auto" w:fill="00B0F0"/>
            <w:hideMark/>
          </w:tcPr>
          <w:p w14:paraId="137D1C61" w14:textId="77777777" w:rsidR="00371F04" w:rsidRPr="0067604E" w:rsidRDefault="00371F04" w:rsidP="00371F04">
            <w:pPr>
              <w:spacing w:before="0" w:after="0" w:line="240" w:lineRule="auto"/>
              <w:rPr>
                <w:rFonts w:ascii="Nunito" w:hAnsi="Nunito"/>
                <w:sz w:val="16"/>
                <w:szCs w:val="16"/>
                <w:lang w:val="ro-RO"/>
              </w:rPr>
            </w:pPr>
            <w:r>
              <w:rPr>
                <w:rFonts w:ascii="Nunito" w:hAnsi="Nunito"/>
                <w:b/>
                <w:bCs/>
                <w:color w:val="FFFFFF"/>
                <w:sz w:val="16"/>
                <w:szCs w:val="16"/>
                <w:lang w:val="ro-RO"/>
              </w:rPr>
              <w:t>Clasificare</w:t>
            </w:r>
          </w:p>
        </w:tc>
        <w:tc>
          <w:tcPr>
            <w:tcW w:w="5403" w:type="dxa"/>
            <w:shd w:val="clear" w:color="auto" w:fill="00B0F0"/>
            <w:hideMark/>
          </w:tcPr>
          <w:p w14:paraId="41B67BD2" w14:textId="4D64C536" w:rsidR="00371F04" w:rsidRPr="0067604E" w:rsidRDefault="00371F04" w:rsidP="00371F04">
            <w:pPr>
              <w:spacing w:before="0" w:after="0" w:line="240" w:lineRule="auto"/>
              <w:rPr>
                <w:rFonts w:ascii="Nunito" w:hAnsi="Nunito"/>
                <w:sz w:val="16"/>
                <w:szCs w:val="16"/>
                <w:lang w:val="ro-RO"/>
              </w:rPr>
            </w:pPr>
            <w:r>
              <w:rPr>
                <w:rFonts w:ascii="Nunito" w:hAnsi="Nunito"/>
                <w:b/>
                <w:bCs/>
                <w:color w:val="FFFFFF"/>
                <w:sz w:val="16"/>
                <w:szCs w:val="16"/>
                <w:lang w:val="ro-RO"/>
              </w:rPr>
              <w:t xml:space="preserve">Relevanță pentru PNGD </w:t>
            </w:r>
          </w:p>
        </w:tc>
      </w:tr>
      <w:tr w:rsidR="00371F04" w:rsidRPr="00C36764" w14:paraId="7F44EDF5" w14:textId="77777777" w:rsidTr="00A34A79">
        <w:trPr>
          <w:trHeight w:val="1236"/>
        </w:trPr>
        <w:tc>
          <w:tcPr>
            <w:tcW w:w="837" w:type="dxa"/>
            <w:hideMark/>
          </w:tcPr>
          <w:p w14:paraId="250859AE"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05326E"/>
                <w:sz w:val="16"/>
                <w:szCs w:val="16"/>
                <w:lang w:val="ro-RO"/>
              </w:rPr>
              <w:t>P1.1</w:t>
            </w:r>
          </w:p>
        </w:tc>
        <w:tc>
          <w:tcPr>
            <w:tcW w:w="1200" w:type="dxa"/>
            <w:hideMark/>
          </w:tcPr>
          <w:p w14:paraId="4C6522E1" w14:textId="77777777" w:rsidR="00371F04" w:rsidRPr="0067604E" w:rsidRDefault="00371F04" w:rsidP="00371F04">
            <w:pPr>
              <w:spacing w:before="0" w:after="0" w:line="240" w:lineRule="auto"/>
              <w:rPr>
                <w:rFonts w:ascii="Nunito" w:hAnsi="Nunito"/>
                <w:sz w:val="16"/>
                <w:szCs w:val="16"/>
                <w:lang w:val="ro-RO"/>
              </w:rPr>
            </w:pPr>
            <w:r>
              <w:rPr>
                <w:rFonts w:ascii="Nunito" w:hAnsi="Nunito"/>
                <w:b/>
                <w:bCs/>
                <w:color w:val="05326E"/>
                <w:sz w:val="16"/>
                <w:szCs w:val="16"/>
                <w:lang w:val="ro-RO"/>
              </w:rPr>
              <w:t>Apă</w:t>
            </w:r>
          </w:p>
        </w:tc>
        <w:tc>
          <w:tcPr>
            <w:tcW w:w="4657" w:type="dxa"/>
            <w:hideMark/>
          </w:tcPr>
          <w:p w14:paraId="695FEF90" w14:textId="51447096" w:rsidR="00371F04" w:rsidRPr="0067604E" w:rsidRDefault="00C36764" w:rsidP="00371F04">
            <w:pPr>
              <w:spacing w:before="0" w:after="0" w:line="240" w:lineRule="auto"/>
              <w:jc w:val="both"/>
              <w:rPr>
                <w:rFonts w:ascii="Nunito" w:hAnsi="Nunito"/>
                <w:sz w:val="16"/>
                <w:szCs w:val="16"/>
                <w:lang w:val="ro-RO"/>
              </w:rPr>
            </w:pPr>
            <w:r w:rsidRPr="00C36764">
              <w:rPr>
                <w:rFonts w:ascii="Nunito" w:hAnsi="Nunito"/>
                <w:sz w:val="16"/>
                <w:szCs w:val="16"/>
                <w:lang w:val="ro-RO"/>
              </w:rPr>
              <w:t>Poluarea corpurilor de apă subterană prin infiltrarea și migrarea levigatului generat de depozite municipale neconforme sau reabilitate insuficient.</w:t>
            </w:r>
          </w:p>
        </w:tc>
        <w:tc>
          <w:tcPr>
            <w:tcW w:w="1937" w:type="dxa"/>
            <w:hideMark/>
          </w:tcPr>
          <w:p w14:paraId="20765981"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C00000"/>
                <w:sz w:val="16"/>
                <w:szCs w:val="16"/>
                <w:lang w:val="ro-RO"/>
              </w:rPr>
              <w:t>SEMNIFICATIV</w:t>
            </w:r>
          </w:p>
        </w:tc>
        <w:tc>
          <w:tcPr>
            <w:tcW w:w="5403" w:type="dxa"/>
            <w:hideMark/>
          </w:tcPr>
          <w:p w14:paraId="77547CCE" w14:textId="77777777" w:rsidR="00371F04" w:rsidRPr="0067604E" w:rsidRDefault="00371F04" w:rsidP="00371F04">
            <w:pPr>
              <w:spacing w:before="0" w:after="0" w:line="240" w:lineRule="auto"/>
              <w:jc w:val="both"/>
              <w:rPr>
                <w:rFonts w:ascii="Nunito" w:hAnsi="Nunito"/>
                <w:sz w:val="16"/>
                <w:szCs w:val="16"/>
                <w:lang w:val="ro-RO"/>
              </w:rPr>
            </w:pPr>
            <w:r>
              <w:rPr>
                <w:rFonts w:ascii="Nunito" w:hAnsi="Nunito"/>
                <w:sz w:val="16"/>
                <w:szCs w:val="16"/>
                <w:lang w:val="ro-RO"/>
              </w:rPr>
              <w:t>România este sub incidența procedurilor de infringement privind depozitele neconforme, unele cazuri fiind sesizate la CJUE. Presiunea afectează direct obiectivele Directivei-cadru Apă (2000/60/CE) de nedeteriorare în bazine deja sub starea bună. Planul are potențialul de a reduce presiunea prin închiderea și reabilitarea depozitelor; reducerea este condiționată de implementarea efectivă - în absența acesteia, presiunea persistă ca sursă punctuală de poluare cronică.</w:t>
            </w:r>
          </w:p>
        </w:tc>
      </w:tr>
      <w:tr w:rsidR="00371F04" w:rsidRPr="00C36764" w14:paraId="62AB46D9" w14:textId="77777777" w:rsidTr="00A34A79">
        <w:tc>
          <w:tcPr>
            <w:tcW w:w="837" w:type="dxa"/>
            <w:hideMark/>
          </w:tcPr>
          <w:p w14:paraId="1269CB6A"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05326E"/>
                <w:sz w:val="16"/>
                <w:szCs w:val="16"/>
                <w:lang w:val="ro-RO"/>
              </w:rPr>
              <w:t>P1.2</w:t>
            </w:r>
          </w:p>
        </w:tc>
        <w:tc>
          <w:tcPr>
            <w:tcW w:w="1200" w:type="dxa"/>
            <w:hideMark/>
          </w:tcPr>
          <w:p w14:paraId="7FAD5B46" w14:textId="77777777" w:rsidR="00371F04" w:rsidRPr="0067604E" w:rsidRDefault="00371F04" w:rsidP="00371F04">
            <w:pPr>
              <w:spacing w:before="0" w:after="0" w:line="240" w:lineRule="auto"/>
              <w:rPr>
                <w:rFonts w:ascii="Nunito" w:hAnsi="Nunito"/>
                <w:sz w:val="16"/>
                <w:szCs w:val="16"/>
                <w:lang w:val="ro-RO"/>
              </w:rPr>
            </w:pPr>
            <w:r>
              <w:rPr>
                <w:rFonts w:ascii="Nunito" w:hAnsi="Nunito"/>
                <w:b/>
                <w:bCs/>
                <w:color w:val="05326E"/>
                <w:sz w:val="16"/>
                <w:szCs w:val="16"/>
                <w:lang w:val="ro-RO"/>
              </w:rPr>
              <w:t>Apă</w:t>
            </w:r>
          </w:p>
        </w:tc>
        <w:tc>
          <w:tcPr>
            <w:tcW w:w="4657" w:type="dxa"/>
            <w:hideMark/>
          </w:tcPr>
          <w:p w14:paraId="0FC911B4" w14:textId="2F2F599E" w:rsidR="00371F04" w:rsidRPr="0067604E" w:rsidRDefault="00C36764" w:rsidP="00371F04">
            <w:pPr>
              <w:spacing w:before="0" w:after="0" w:line="240" w:lineRule="auto"/>
              <w:jc w:val="both"/>
              <w:rPr>
                <w:rFonts w:ascii="Nunito" w:hAnsi="Nunito"/>
                <w:sz w:val="16"/>
                <w:szCs w:val="16"/>
                <w:lang w:val="ro-RO"/>
              </w:rPr>
            </w:pPr>
            <w:r w:rsidRPr="00C36764">
              <w:rPr>
                <w:rFonts w:ascii="Nunito" w:hAnsi="Nunito"/>
                <w:sz w:val="16"/>
                <w:szCs w:val="16"/>
                <w:lang w:val="ro-RO"/>
              </w:rPr>
              <w:t>Deteriorarea stării chimice și a potențialului ecologic al corpurilor de apă de suprafață ca urmare a transportării și dispersării macrodeșeurilor și microdeșeurilor abandonate pe maluri, în lunci și în albiile cursurilor de apă</w:t>
            </w:r>
            <w:r w:rsidR="003B48C8">
              <w:rPr>
                <w:rFonts w:ascii="Nunito" w:hAnsi="Nunito"/>
                <w:sz w:val="16"/>
                <w:szCs w:val="16"/>
                <w:lang w:val="ro-RO"/>
              </w:rPr>
              <w:t>.</w:t>
            </w:r>
          </w:p>
        </w:tc>
        <w:tc>
          <w:tcPr>
            <w:tcW w:w="1937" w:type="dxa"/>
            <w:hideMark/>
          </w:tcPr>
          <w:p w14:paraId="2FB8D54C"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C00000"/>
                <w:sz w:val="16"/>
                <w:szCs w:val="16"/>
                <w:lang w:val="ro-RO"/>
              </w:rPr>
              <w:t>SEMNIFICATIV</w:t>
            </w:r>
          </w:p>
        </w:tc>
        <w:tc>
          <w:tcPr>
            <w:tcW w:w="5403" w:type="dxa"/>
            <w:hideMark/>
          </w:tcPr>
          <w:p w14:paraId="60DB9335" w14:textId="77777777" w:rsidR="00371F04" w:rsidRPr="0067604E" w:rsidRDefault="00371F04" w:rsidP="00371F04">
            <w:pPr>
              <w:spacing w:before="0" w:after="0" w:line="240" w:lineRule="auto"/>
              <w:jc w:val="both"/>
              <w:rPr>
                <w:rFonts w:ascii="Nunito" w:hAnsi="Nunito"/>
                <w:sz w:val="16"/>
                <w:szCs w:val="16"/>
                <w:lang w:val="ro-RO"/>
              </w:rPr>
            </w:pPr>
            <w:r>
              <w:rPr>
                <w:rFonts w:ascii="Nunito" w:hAnsi="Nunito"/>
                <w:sz w:val="16"/>
                <w:szCs w:val="16"/>
                <w:lang w:val="ro-RO"/>
              </w:rPr>
              <w:t>Presiune emergentă confirmată, insuficient cuantificată, asociată direct absenței alternativelor conforme de colectare. Planul tinde să reducă presiunea prin extinderea infrastructurii de colectare; efectul este condiționat de acoperirea efectivă a zonelor rurale și riverane.</w:t>
            </w:r>
          </w:p>
        </w:tc>
      </w:tr>
      <w:tr w:rsidR="00371F04" w:rsidRPr="00C36764" w14:paraId="6266CD13" w14:textId="77777777" w:rsidTr="00A34A79">
        <w:tc>
          <w:tcPr>
            <w:tcW w:w="837" w:type="dxa"/>
            <w:hideMark/>
          </w:tcPr>
          <w:p w14:paraId="5FC9D091"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05326E"/>
                <w:sz w:val="16"/>
                <w:szCs w:val="16"/>
                <w:lang w:val="ro-RO"/>
              </w:rPr>
              <w:t>P1.3</w:t>
            </w:r>
          </w:p>
        </w:tc>
        <w:tc>
          <w:tcPr>
            <w:tcW w:w="1200" w:type="dxa"/>
            <w:hideMark/>
          </w:tcPr>
          <w:p w14:paraId="5C532D6E" w14:textId="77777777" w:rsidR="00371F04" w:rsidRPr="0067604E" w:rsidRDefault="00371F04" w:rsidP="00371F04">
            <w:pPr>
              <w:spacing w:before="0" w:after="0" w:line="240" w:lineRule="auto"/>
              <w:rPr>
                <w:rFonts w:ascii="Nunito" w:hAnsi="Nunito"/>
                <w:sz w:val="16"/>
                <w:szCs w:val="16"/>
                <w:lang w:val="ro-RO"/>
              </w:rPr>
            </w:pPr>
            <w:r>
              <w:rPr>
                <w:rFonts w:ascii="Nunito" w:hAnsi="Nunito"/>
                <w:b/>
                <w:bCs/>
                <w:color w:val="05326E"/>
                <w:sz w:val="16"/>
                <w:szCs w:val="16"/>
                <w:lang w:val="ro-RO"/>
              </w:rPr>
              <w:t>Apă</w:t>
            </w:r>
          </w:p>
        </w:tc>
        <w:tc>
          <w:tcPr>
            <w:tcW w:w="4657" w:type="dxa"/>
            <w:hideMark/>
          </w:tcPr>
          <w:p w14:paraId="3A7D9B6E" w14:textId="45DCE50F" w:rsidR="003B48C8" w:rsidRPr="0067604E" w:rsidRDefault="003B48C8" w:rsidP="003B48C8">
            <w:pPr>
              <w:spacing w:before="0" w:after="0" w:line="240" w:lineRule="auto"/>
              <w:jc w:val="both"/>
              <w:rPr>
                <w:rFonts w:ascii="Nunito" w:hAnsi="Nunito"/>
                <w:sz w:val="16"/>
                <w:szCs w:val="16"/>
                <w:lang w:val="ro-RO"/>
              </w:rPr>
            </w:pPr>
            <w:r>
              <w:rPr>
                <w:rFonts w:ascii="Nunito" w:hAnsi="Nunito"/>
                <w:sz w:val="16"/>
                <w:szCs w:val="16"/>
                <w:lang w:val="ro-RO"/>
              </w:rPr>
              <w:t>Afectarea calității apelor de suprafață prin colectarea, tratarea sau evacuarea necorespunzătoare a apelor tehnologice și pluviale contaminate generate pe platformele instalațiilor de tratare a deșeurilor.</w:t>
            </w:r>
          </w:p>
          <w:p w14:paraId="4A48E581" w14:textId="7390BCE1" w:rsidR="00371F04" w:rsidRPr="0067604E" w:rsidRDefault="00371F04" w:rsidP="00371F04">
            <w:pPr>
              <w:spacing w:before="0" w:after="0" w:line="240" w:lineRule="auto"/>
              <w:jc w:val="both"/>
              <w:rPr>
                <w:rFonts w:ascii="Nunito" w:hAnsi="Nunito"/>
                <w:sz w:val="16"/>
                <w:szCs w:val="16"/>
                <w:lang w:val="ro-RO"/>
              </w:rPr>
            </w:pPr>
          </w:p>
        </w:tc>
        <w:tc>
          <w:tcPr>
            <w:tcW w:w="1937" w:type="dxa"/>
            <w:hideMark/>
          </w:tcPr>
          <w:p w14:paraId="69995A4E"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B5651D"/>
                <w:sz w:val="16"/>
                <w:szCs w:val="16"/>
                <w:lang w:val="ro-RO"/>
              </w:rPr>
              <w:t>POTENȚIAL SEMNIFICATIV</w:t>
            </w:r>
          </w:p>
        </w:tc>
        <w:tc>
          <w:tcPr>
            <w:tcW w:w="5403" w:type="dxa"/>
            <w:hideMark/>
          </w:tcPr>
          <w:p w14:paraId="3B2A5760" w14:textId="77777777" w:rsidR="00371F04" w:rsidRPr="0067604E" w:rsidRDefault="00371F04" w:rsidP="00371F04">
            <w:pPr>
              <w:spacing w:before="0" w:after="0" w:line="240" w:lineRule="auto"/>
              <w:jc w:val="both"/>
              <w:rPr>
                <w:rFonts w:ascii="Nunito" w:hAnsi="Nunito"/>
                <w:sz w:val="16"/>
                <w:szCs w:val="16"/>
                <w:lang w:val="ro-RO"/>
              </w:rPr>
            </w:pPr>
            <w:r>
              <w:rPr>
                <w:rFonts w:ascii="Nunito" w:hAnsi="Nunito"/>
                <w:sz w:val="16"/>
                <w:szCs w:val="16"/>
                <w:lang w:val="ro-RO"/>
              </w:rPr>
              <w:t>Cale credibilă sursă–cale–receptor, cu magnitudine punctuală și dependentă de amplasament; neconformități raportate în practica de inspecție. Semnificația se confirmă la nivel de proiect, prin autorizare integrată/EIA. În absența amenajării corespunzătoare a platformelor, efectul nu poate fi exclus.</w:t>
            </w:r>
          </w:p>
        </w:tc>
      </w:tr>
      <w:tr w:rsidR="00371F04" w:rsidRPr="00C36764" w14:paraId="30BF6D57" w14:textId="77777777" w:rsidTr="00A34A79">
        <w:tc>
          <w:tcPr>
            <w:tcW w:w="837" w:type="dxa"/>
            <w:hideMark/>
          </w:tcPr>
          <w:p w14:paraId="1CD62B85"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05326E"/>
                <w:sz w:val="16"/>
                <w:szCs w:val="16"/>
                <w:lang w:val="ro-RO"/>
              </w:rPr>
              <w:t>P1.4</w:t>
            </w:r>
          </w:p>
        </w:tc>
        <w:tc>
          <w:tcPr>
            <w:tcW w:w="1200" w:type="dxa"/>
            <w:hideMark/>
          </w:tcPr>
          <w:p w14:paraId="5F504A15" w14:textId="77777777" w:rsidR="00371F04" w:rsidRPr="0067604E" w:rsidRDefault="00371F04" w:rsidP="00371F04">
            <w:pPr>
              <w:spacing w:before="0" w:after="0" w:line="240" w:lineRule="auto"/>
              <w:rPr>
                <w:rFonts w:ascii="Nunito" w:hAnsi="Nunito"/>
                <w:sz w:val="16"/>
                <w:szCs w:val="16"/>
                <w:lang w:val="ro-RO"/>
              </w:rPr>
            </w:pPr>
            <w:r>
              <w:rPr>
                <w:rFonts w:ascii="Nunito" w:hAnsi="Nunito"/>
                <w:b/>
                <w:bCs/>
                <w:color w:val="05326E"/>
                <w:sz w:val="16"/>
                <w:szCs w:val="16"/>
                <w:lang w:val="ro-RO"/>
              </w:rPr>
              <w:t>Apă</w:t>
            </w:r>
          </w:p>
        </w:tc>
        <w:tc>
          <w:tcPr>
            <w:tcW w:w="4657" w:type="dxa"/>
            <w:hideMark/>
          </w:tcPr>
          <w:p w14:paraId="243D95B4" w14:textId="7964B7ED" w:rsidR="00371F04" w:rsidRPr="0067604E" w:rsidRDefault="003B48C8" w:rsidP="00371F04">
            <w:pPr>
              <w:spacing w:before="0" w:after="0" w:line="240" w:lineRule="auto"/>
              <w:jc w:val="both"/>
              <w:rPr>
                <w:rFonts w:ascii="Nunito" w:hAnsi="Nunito"/>
                <w:sz w:val="16"/>
                <w:szCs w:val="16"/>
                <w:lang w:val="ro-RO"/>
              </w:rPr>
            </w:pPr>
            <w:r>
              <w:rPr>
                <w:rFonts w:ascii="Nunito" w:hAnsi="Nunito"/>
                <w:sz w:val="16"/>
                <w:szCs w:val="16"/>
                <w:lang w:val="ro-RO"/>
              </w:rPr>
              <w:t>Afectarea calității solului și a apelor subterane/de suprafață prin depozitarea, utilizarea agricolă sau aplicarea necontrolată a nămolurilor de epurare, fără respectarea condițiilor de calitate, dozare și monitorizare.</w:t>
            </w:r>
          </w:p>
        </w:tc>
        <w:tc>
          <w:tcPr>
            <w:tcW w:w="1937" w:type="dxa"/>
            <w:hideMark/>
          </w:tcPr>
          <w:p w14:paraId="69A4F0B5"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B5651D"/>
                <w:sz w:val="16"/>
                <w:szCs w:val="16"/>
                <w:lang w:val="ro-RO"/>
              </w:rPr>
              <w:t>POTENȚIAL SEMNIFICATIV</w:t>
            </w:r>
          </w:p>
        </w:tc>
        <w:tc>
          <w:tcPr>
            <w:tcW w:w="5403" w:type="dxa"/>
            <w:hideMark/>
          </w:tcPr>
          <w:p w14:paraId="77B3332E" w14:textId="77777777" w:rsidR="00371F04" w:rsidRPr="0067604E" w:rsidRDefault="00371F04" w:rsidP="00371F04">
            <w:pPr>
              <w:spacing w:before="0" w:after="0" w:line="240" w:lineRule="auto"/>
              <w:jc w:val="both"/>
              <w:rPr>
                <w:rFonts w:ascii="Nunito" w:hAnsi="Nunito"/>
                <w:sz w:val="16"/>
                <w:szCs w:val="16"/>
                <w:lang w:val="ro-RO"/>
              </w:rPr>
            </w:pPr>
            <w:r>
              <w:rPr>
                <w:rFonts w:ascii="Nunito" w:hAnsi="Nunito"/>
                <w:sz w:val="16"/>
                <w:szCs w:val="16"/>
                <w:lang w:val="ro-RO"/>
              </w:rPr>
              <w:t xml:space="preserve">Există un prag normativ (OM 344/2004) care condiționează utilizarea agricolă în funcție de conținutul de metale grele; magnitudinea efectului depinde de practica concretă de valorificare/eliminare. Planul poate </w:t>
            </w:r>
            <w:r>
              <w:rPr>
                <w:rFonts w:ascii="Nunito" w:hAnsi="Nunito"/>
                <w:sz w:val="16"/>
                <w:szCs w:val="16"/>
                <w:lang w:val="ro-RO"/>
              </w:rPr>
              <w:lastRenderedPageBreak/>
              <w:t>reduce presiunea prin orientarea către rute conforme de valorificare; efectul este condiționat și se confirmă la nivel de proiect.</w:t>
            </w:r>
          </w:p>
        </w:tc>
      </w:tr>
      <w:tr w:rsidR="00371F04" w:rsidRPr="00C36764" w14:paraId="39364F81" w14:textId="77777777" w:rsidTr="00A34A79">
        <w:tc>
          <w:tcPr>
            <w:tcW w:w="837" w:type="dxa"/>
            <w:hideMark/>
          </w:tcPr>
          <w:p w14:paraId="58D97A98"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05326E"/>
                <w:sz w:val="16"/>
                <w:szCs w:val="16"/>
                <w:lang w:val="ro-RO"/>
              </w:rPr>
              <w:lastRenderedPageBreak/>
              <w:t>P2.1</w:t>
            </w:r>
          </w:p>
        </w:tc>
        <w:tc>
          <w:tcPr>
            <w:tcW w:w="1200" w:type="dxa"/>
            <w:hideMark/>
          </w:tcPr>
          <w:p w14:paraId="2A40EE90" w14:textId="77777777" w:rsidR="00371F04" w:rsidRPr="0067604E" w:rsidRDefault="00371F04" w:rsidP="00371F04">
            <w:pPr>
              <w:spacing w:before="0" w:after="0" w:line="240" w:lineRule="auto"/>
              <w:rPr>
                <w:rFonts w:ascii="Nunito" w:hAnsi="Nunito"/>
                <w:sz w:val="16"/>
                <w:szCs w:val="16"/>
                <w:lang w:val="ro-RO"/>
              </w:rPr>
            </w:pPr>
            <w:r>
              <w:rPr>
                <w:rFonts w:ascii="Nunito" w:hAnsi="Nunito"/>
                <w:b/>
                <w:bCs/>
                <w:color w:val="05326E"/>
                <w:sz w:val="16"/>
                <w:szCs w:val="16"/>
                <w:lang w:val="ro-RO"/>
              </w:rPr>
              <w:t>Sol</w:t>
            </w:r>
          </w:p>
        </w:tc>
        <w:tc>
          <w:tcPr>
            <w:tcW w:w="4657" w:type="dxa"/>
            <w:hideMark/>
          </w:tcPr>
          <w:p w14:paraId="40F5A536" w14:textId="0E4A8202" w:rsidR="00371F04" w:rsidRPr="0067604E" w:rsidRDefault="0067604E" w:rsidP="00371F04">
            <w:pPr>
              <w:spacing w:before="0" w:after="0" w:line="240" w:lineRule="auto"/>
              <w:jc w:val="both"/>
              <w:rPr>
                <w:rFonts w:ascii="Nunito" w:hAnsi="Nunito"/>
                <w:sz w:val="16"/>
                <w:szCs w:val="16"/>
                <w:lang w:val="ro-RO"/>
              </w:rPr>
            </w:pPr>
            <w:r>
              <w:rPr>
                <w:rFonts w:ascii="Nunito" w:hAnsi="Nunito"/>
                <w:sz w:val="16"/>
                <w:szCs w:val="16"/>
                <w:lang w:val="ro-RO"/>
              </w:rPr>
              <w:t>Afectarea calității solului prin existența siturilor contaminate asociate activităților de gestionare a deșeurilor și epurării, unde sursele punctuale istorice sau active pot menține contaminarea cu metale grele, compuși organici și nutrienți..</w:t>
            </w:r>
          </w:p>
        </w:tc>
        <w:tc>
          <w:tcPr>
            <w:tcW w:w="1937" w:type="dxa"/>
            <w:hideMark/>
          </w:tcPr>
          <w:p w14:paraId="2ACFE6BB"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C00000"/>
                <w:sz w:val="16"/>
                <w:szCs w:val="16"/>
                <w:lang w:val="ro-RO"/>
              </w:rPr>
              <w:t>SEMNIFICATIV</w:t>
            </w:r>
          </w:p>
        </w:tc>
        <w:tc>
          <w:tcPr>
            <w:tcW w:w="5403" w:type="dxa"/>
            <w:hideMark/>
          </w:tcPr>
          <w:p w14:paraId="04D34CCF" w14:textId="09E18A53" w:rsidR="00371F04" w:rsidRPr="0067604E" w:rsidRDefault="0067604E" w:rsidP="00371F04">
            <w:pPr>
              <w:spacing w:before="0" w:after="0" w:line="240" w:lineRule="auto"/>
              <w:jc w:val="both"/>
              <w:rPr>
                <w:rFonts w:ascii="Nunito" w:hAnsi="Nunito"/>
                <w:sz w:val="16"/>
                <w:szCs w:val="16"/>
                <w:lang w:val="ro-RO"/>
              </w:rPr>
            </w:pPr>
            <w:r>
              <w:rPr>
                <w:rFonts w:ascii="Nunito" w:hAnsi="Nunito"/>
                <w:sz w:val="16"/>
                <w:szCs w:val="16"/>
                <w:lang w:val="ro-RO"/>
              </w:rPr>
              <w:t>Siturile contaminate din categoria deșeuri/epurare constituie surse punctuale istorice și active de contaminare a solului, cu relevanță națională și cu costuri potențiale de remediere foarte ridicate. PNGD poate reduce presiunea prin măsuri de închidere, reabilitare, izolare și remediere a zonelor afectate, condiționat de asigurarea finanțării și de implementarea lucrărilor. În lipsa intervențiilor, contaminarea rămâne activă, cu risc de extindere laterală și de afectare a funcțiilor solului.</w:t>
            </w:r>
          </w:p>
        </w:tc>
      </w:tr>
      <w:tr w:rsidR="00371F04" w:rsidRPr="00C36764" w14:paraId="245C877C" w14:textId="77777777" w:rsidTr="00C36764">
        <w:trPr>
          <w:trHeight w:val="1367"/>
        </w:trPr>
        <w:tc>
          <w:tcPr>
            <w:tcW w:w="837" w:type="dxa"/>
            <w:hideMark/>
          </w:tcPr>
          <w:p w14:paraId="12C30D2E" w14:textId="5B768505"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05326E"/>
                <w:sz w:val="16"/>
                <w:szCs w:val="16"/>
                <w:lang w:val="ro-RO"/>
              </w:rPr>
              <w:t>P2.2</w:t>
            </w:r>
          </w:p>
        </w:tc>
        <w:tc>
          <w:tcPr>
            <w:tcW w:w="1200" w:type="dxa"/>
            <w:hideMark/>
          </w:tcPr>
          <w:p w14:paraId="5FDD4858" w14:textId="77777777" w:rsidR="00371F04" w:rsidRPr="0067604E" w:rsidRDefault="00371F04" w:rsidP="00371F04">
            <w:pPr>
              <w:spacing w:before="0" w:after="0" w:line="240" w:lineRule="auto"/>
              <w:rPr>
                <w:rFonts w:ascii="Nunito" w:hAnsi="Nunito"/>
                <w:sz w:val="16"/>
                <w:szCs w:val="16"/>
                <w:lang w:val="ro-RO"/>
              </w:rPr>
            </w:pPr>
            <w:r>
              <w:rPr>
                <w:rFonts w:ascii="Nunito" w:hAnsi="Nunito"/>
                <w:b/>
                <w:bCs/>
                <w:color w:val="05326E"/>
                <w:sz w:val="16"/>
                <w:szCs w:val="16"/>
                <w:lang w:val="ro-RO"/>
              </w:rPr>
              <w:t>Sol</w:t>
            </w:r>
          </w:p>
        </w:tc>
        <w:tc>
          <w:tcPr>
            <w:tcW w:w="4657" w:type="dxa"/>
            <w:hideMark/>
          </w:tcPr>
          <w:p w14:paraId="2DE4EC77" w14:textId="3CFEA770" w:rsidR="00371F04" w:rsidRPr="0067604E" w:rsidRDefault="0067604E" w:rsidP="00371F04">
            <w:pPr>
              <w:spacing w:before="0" w:after="0" w:line="240" w:lineRule="auto"/>
              <w:jc w:val="both"/>
              <w:rPr>
                <w:rFonts w:ascii="Nunito" w:hAnsi="Nunito"/>
                <w:sz w:val="16"/>
                <w:szCs w:val="16"/>
                <w:lang w:val="ro-RO"/>
              </w:rPr>
            </w:pPr>
            <w:r>
              <w:rPr>
                <w:rFonts w:ascii="Nunito" w:hAnsi="Nunito"/>
                <w:sz w:val="16"/>
                <w:szCs w:val="16"/>
                <w:lang w:val="ro-RO"/>
              </w:rPr>
              <w:t>Solurilor afectate de procese de degradare fizică și chimică - eroziune, compactare, alunecări, salinizare, deșertificare și deficit de materie organică - în zone în care infrastructura de gestionare a deșeurilor poate introduce presiuni suplimentare prin contaminare, ocupare de teren sau gestionarea necorespunzătoare a apelor și levigatului.</w:t>
            </w:r>
          </w:p>
        </w:tc>
        <w:tc>
          <w:tcPr>
            <w:tcW w:w="1937" w:type="dxa"/>
            <w:hideMark/>
          </w:tcPr>
          <w:p w14:paraId="4250599D"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B5651D"/>
                <w:sz w:val="16"/>
                <w:szCs w:val="16"/>
                <w:lang w:val="ro-RO"/>
              </w:rPr>
              <w:t>POTENȚIAL SEMNIFICATIV</w:t>
            </w:r>
          </w:p>
        </w:tc>
        <w:tc>
          <w:tcPr>
            <w:tcW w:w="5403" w:type="dxa"/>
            <w:hideMark/>
          </w:tcPr>
          <w:p w14:paraId="1F8AA159" w14:textId="695E6EBF" w:rsidR="00371F04" w:rsidRPr="0067604E" w:rsidRDefault="0067604E" w:rsidP="00371F04">
            <w:pPr>
              <w:spacing w:before="0" w:after="0" w:line="240" w:lineRule="auto"/>
              <w:jc w:val="both"/>
              <w:rPr>
                <w:rFonts w:ascii="Nunito" w:hAnsi="Nunito"/>
                <w:sz w:val="16"/>
                <w:szCs w:val="16"/>
                <w:lang w:val="ro-RO"/>
              </w:rPr>
            </w:pPr>
            <w:r>
              <w:rPr>
                <w:rFonts w:ascii="Nunito" w:hAnsi="Nunito"/>
                <w:sz w:val="16"/>
                <w:szCs w:val="16"/>
                <w:lang w:val="ro-RO"/>
              </w:rPr>
              <w:t>Presiunea exercitată de infrastructura de deșeuri se poate suprapune peste o stare de degradare preexistentă a solurilor, caracterizată prin eroziune, compactare, salinizare, deficit de materie organică sau risc de deșertificare. Această suprapunere este relevantă în raport cu obiectivul european de reducere a degradării solului și de atingere a țintei de zero degradare netă. Totuși, la nivel strategic, contribuția atribuibilă exclusiv sectorului deșeuri nu poate fi cuantificată cu certitudine. PNGD poate reduce presiunea prin eliminarea depozitării informale, conformarea amplasamentelor existente și criterii adecvate de localizare pentru infrastructura nouă, iar efectul trebuie verificat la nivel local.</w:t>
            </w:r>
          </w:p>
        </w:tc>
      </w:tr>
      <w:tr w:rsidR="00371F04" w:rsidRPr="0067604E" w14:paraId="72AB8F8D" w14:textId="77777777" w:rsidTr="00A34A79">
        <w:tc>
          <w:tcPr>
            <w:tcW w:w="837" w:type="dxa"/>
            <w:hideMark/>
          </w:tcPr>
          <w:p w14:paraId="167BB2AF" w14:textId="7FF1F65A"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05326E"/>
                <w:sz w:val="16"/>
                <w:szCs w:val="16"/>
                <w:lang w:val="ro-RO"/>
              </w:rPr>
              <w:t>P2.3</w:t>
            </w:r>
          </w:p>
        </w:tc>
        <w:tc>
          <w:tcPr>
            <w:tcW w:w="1200" w:type="dxa"/>
            <w:hideMark/>
          </w:tcPr>
          <w:p w14:paraId="2282903C" w14:textId="77777777" w:rsidR="00371F04" w:rsidRPr="0067604E" w:rsidRDefault="00371F04" w:rsidP="00371F04">
            <w:pPr>
              <w:spacing w:before="0" w:after="0" w:line="240" w:lineRule="auto"/>
              <w:rPr>
                <w:rFonts w:ascii="Nunito" w:hAnsi="Nunito"/>
                <w:sz w:val="16"/>
                <w:szCs w:val="16"/>
                <w:lang w:val="ro-RO"/>
              </w:rPr>
            </w:pPr>
            <w:r>
              <w:rPr>
                <w:rFonts w:ascii="Nunito" w:hAnsi="Nunito"/>
                <w:b/>
                <w:bCs/>
                <w:color w:val="05326E"/>
                <w:sz w:val="16"/>
                <w:szCs w:val="16"/>
                <w:lang w:val="ro-RO"/>
              </w:rPr>
              <w:t>Sol</w:t>
            </w:r>
          </w:p>
        </w:tc>
        <w:tc>
          <w:tcPr>
            <w:tcW w:w="4657" w:type="dxa"/>
            <w:hideMark/>
          </w:tcPr>
          <w:p w14:paraId="188D1B09" w14:textId="5F10911A" w:rsidR="00371F04" w:rsidRPr="0067604E" w:rsidRDefault="0067604E" w:rsidP="00371F04">
            <w:pPr>
              <w:spacing w:before="0" w:after="0" w:line="240" w:lineRule="auto"/>
              <w:jc w:val="both"/>
              <w:rPr>
                <w:rFonts w:ascii="Nunito" w:hAnsi="Nunito"/>
                <w:sz w:val="16"/>
                <w:szCs w:val="16"/>
                <w:lang w:val="ro-RO"/>
              </w:rPr>
            </w:pPr>
            <w:r>
              <w:rPr>
                <w:rFonts w:ascii="Nunito" w:hAnsi="Nunito"/>
                <w:sz w:val="16"/>
                <w:szCs w:val="16"/>
                <w:lang w:val="ro-RO"/>
              </w:rPr>
              <w:t>Afectarea resursei de sol prin ocuparea, artificializarea și schimbarea folosinței terenurilor naturale sau agricole asociate depozitării informale și infrastructurii de gestionare a deșeurilor.</w:t>
            </w:r>
          </w:p>
        </w:tc>
        <w:tc>
          <w:tcPr>
            <w:tcW w:w="1937" w:type="dxa"/>
            <w:hideMark/>
          </w:tcPr>
          <w:p w14:paraId="7852D466"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B5651D"/>
                <w:sz w:val="16"/>
                <w:szCs w:val="16"/>
                <w:lang w:val="ro-RO"/>
              </w:rPr>
              <w:t>POTENȚIAL SEMNIFICATIV</w:t>
            </w:r>
          </w:p>
        </w:tc>
        <w:tc>
          <w:tcPr>
            <w:tcW w:w="5403" w:type="dxa"/>
            <w:hideMark/>
          </w:tcPr>
          <w:p w14:paraId="1CAB4CBC" w14:textId="6381B2BA" w:rsidR="00371F04" w:rsidRPr="0067604E" w:rsidRDefault="0067604E" w:rsidP="00371F04">
            <w:pPr>
              <w:spacing w:before="0" w:after="0" w:line="240" w:lineRule="auto"/>
              <w:jc w:val="both"/>
              <w:rPr>
                <w:rFonts w:ascii="Nunito" w:hAnsi="Nunito"/>
                <w:sz w:val="16"/>
                <w:szCs w:val="16"/>
                <w:lang w:val="ro-RO"/>
              </w:rPr>
            </w:pPr>
            <w:r>
              <w:rPr>
                <w:rFonts w:ascii="Nunito" w:hAnsi="Nunito"/>
                <w:sz w:val="16"/>
                <w:szCs w:val="16"/>
                <w:lang w:val="ro-RO"/>
              </w:rPr>
              <w:t>Ocuparea, artificializarea și impermeabilizarea terenurilor naturale sau agricole constituie o presiune cu potențial de ireversibilitate asupra resursei de sol, în special atunci când este asociată cu depozitări necontrolate sau infrastructuri de gestionare a deșeurilor amplasate necorespunzător. Estimarea magnitudinii este afectată de incertitudini, iar contribuția atribuibilă exclusiv sectorului deșeuri nu poate fi delimitată cu precizie la nivel strategic. PNGD poate reduce această presiune prin asigurarea unor alternative conforme de colectare, tratare și eliminare, prevenind utilizarea informală a terenurilor pentru depozitare. Efectul se confirmă la nivel local, în funcție de amplasament, folosința terenului și măsurile de reabilitare aplicate.</w:t>
            </w:r>
          </w:p>
        </w:tc>
      </w:tr>
      <w:tr w:rsidR="00371F04" w:rsidRPr="00C36764" w14:paraId="3F2A4829" w14:textId="77777777" w:rsidTr="00A34A79">
        <w:tc>
          <w:tcPr>
            <w:tcW w:w="837" w:type="dxa"/>
            <w:hideMark/>
          </w:tcPr>
          <w:p w14:paraId="3AAF0A76"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05326E"/>
                <w:sz w:val="16"/>
                <w:szCs w:val="16"/>
                <w:lang w:val="ro-RO"/>
              </w:rPr>
              <w:t>P3.1</w:t>
            </w:r>
          </w:p>
        </w:tc>
        <w:tc>
          <w:tcPr>
            <w:tcW w:w="1200" w:type="dxa"/>
            <w:hideMark/>
          </w:tcPr>
          <w:p w14:paraId="68311C9E" w14:textId="77777777" w:rsidR="00371F04" w:rsidRPr="0067604E" w:rsidRDefault="00371F04" w:rsidP="00371F04">
            <w:pPr>
              <w:spacing w:before="0" w:after="0" w:line="240" w:lineRule="auto"/>
              <w:rPr>
                <w:rFonts w:ascii="Nunito" w:hAnsi="Nunito"/>
                <w:sz w:val="16"/>
                <w:szCs w:val="16"/>
                <w:lang w:val="ro-RO"/>
              </w:rPr>
            </w:pPr>
            <w:r>
              <w:rPr>
                <w:rFonts w:ascii="Nunito" w:hAnsi="Nunito"/>
                <w:b/>
                <w:bCs/>
                <w:color w:val="05326E"/>
                <w:sz w:val="16"/>
                <w:szCs w:val="16"/>
                <w:lang w:val="ro-RO"/>
              </w:rPr>
              <w:t>Aer</w:t>
            </w:r>
          </w:p>
        </w:tc>
        <w:tc>
          <w:tcPr>
            <w:tcW w:w="4657" w:type="dxa"/>
            <w:hideMark/>
          </w:tcPr>
          <w:p w14:paraId="5B4BF28B" w14:textId="03817CA5" w:rsidR="00371F04" w:rsidRPr="0067604E" w:rsidRDefault="0067604E" w:rsidP="00371F04">
            <w:pPr>
              <w:spacing w:before="0" w:after="0" w:line="240" w:lineRule="auto"/>
              <w:jc w:val="both"/>
              <w:rPr>
                <w:rFonts w:ascii="Nunito" w:hAnsi="Nunito"/>
                <w:sz w:val="16"/>
                <w:szCs w:val="16"/>
                <w:lang w:val="ro-RO"/>
              </w:rPr>
            </w:pPr>
            <w:r>
              <w:rPr>
                <w:rFonts w:ascii="Nunito" w:hAnsi="Nunito"/>
                <w:sz w:val="16"/>
                <w:szCs w:val="16"/>
                <w:lang w:val="ro-RO"/>
              </w:rPr>
              <w:t>Afectarea calității aerului și creșterea riscurilor pentru sănătatea populației prin arderea necontrolată a deșeurilor, în special în zonele rurale unde accesul la servicii conforme de colectare este insuficient sau discontinuu.</w:t>
            </w:r>
          </w:p>
        </w:tc>
        <w:tc>
          <w:tcPr>
            <w:tcW w:w="1937" w:type="dxa"/>
            <w:hideMark/>
          </w:tcPr>
          <w:p w14:paraId="0BA49305"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C00000"/>
                <w:sz w:val="16"/>
                <w:szCs w:val="16"/>
                <w:lang w:val="ro-RO"/>
              </w:rPr>
              <w:t>SEMNIFICATIV</w:t>
            </w:r>
          </w:p>
        </w:tc>
        <w:tc>
          <w:tcPr>
            <w:tcW w:w="5403" w:type="dxa"/>
            <w:hideMark/>
          </w:tcPr>
          <w:p w14:paraId="43A8D619" w14:textId="7A6432D2" w:rsidR="00371F04" w:rsidRPr="0067604E" w:rsidRDefault="0067604E" w:rsidP="00371F04">
            <w:pPr>
              <w:spacing w:before="0" w:after="0" w:line="240" w:lineRule="auto"/>
              <w:jc w:val="both"/>
              <w:rPr>
                <w:rFonts w:ascii="Nunito" w:hAnsi="Nunito"/>
                <w:sz w:val="16"/>
                <w:szCs w:val="16"/>
                <w:lang w:val="ro-RO"/>
              </w:rPr>
            </w:pPr>
            <w:r>
              <w:rPr>
                <w:rFonts w:ascii="Nunito" w:hAnsi="Nunito"/>
                <w:sz w:val="16"/>
                <w:szCs w:val="16"/>
                <w:lang w:val="ro-RO"/>
              </w:rPr>
              <w:t>Deși contribuția sectorului deșeuri la emisiile naționale de PM₂,₅ este relativ redusă, estimată la aproximativ 1,5%, arderea necontrolată a deșeurilor poate genera efecte locale disproporționate asupra calității aerului și sănătății populației. Calea de expunere este directă, prin emisii la nivelul comunităților, cu potențial de depășire locală a pragurilor de calitate a aerului și de expunere la particule fine și compuși toxici rezultați din combustia incompletă. PNGD poate reduce această presiune prin asigurarea unor alternative conforme de colectare și gestionare a deșeurilor, astfel încât arderea deschisă să nu mai fie utilizată ca soluție informală. Efectul este condiționat de acoperirea efectivă a mediului rural cu servicii funcționale de colectare, transport și tratare.</w:t>
            </w:r>
          </w:p>
        </w:tc>
      </w:tr>
      <w:tr w:rsidR="00371F04" w:rsidRPr="00C36764" w14:paraId="182C10EB" w14:textId="77777777" w:rsidTr="00A34A79">
        <w:tc>
          <w:tcPr>
            <w:tcW w:w="837" w:type="dxa"/>
            <w:hideMark/>
          </w:tcPr>
          <w:p w14:paraId="541F26E2"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05326E"/>
                <w:sz w:val="16"/>
                <w:szCs w:val="16"/>
                <w:lang w:val="ro-RO"/>
              </w:rPr>
              <w:lastRenderedPageBreak/>
              <w:t>P3.2</w:t>
            </w:r>
          </w:p>
        </w:tc>
        <w:tc>
          <w:tcPr>
            <w:tcW w:w="1200" w:type="dxa"/>
            <w:hideMark/>
          </w:tcPr>
          <w:p w14:paraId="4A238BB6" w14:textId="77777777" w:rsidR="00371F04" w:rsidRPr="0067604E" w:rsidRDefault="00371F04" w:rsidP="00371F04">
            <w:pPr>
              <w:spacing w:before="0" w:after="0" w:line="240" w:lineRule="auto"/>
              <w:rPr>
                <w:rFonts w:ascii="Nunito" w:hAnsi="Nunito"/>
                <w:sz w:val="16"/>
                <w:szCs w:val="16"/>
                <w:lang w:val="ro-RO"/>
              </w:rPr>
            </w:pPr>
            <w:r>
              <w:rPr>
                <w:rFonts w:ascii="Nunito" w:hAnsi="Nunito"/>
                <w:b/>
                <w:bCs/>
                <w:color w:val="05326E"/>
                <w:sz w:val="16"/>
                <w:szCs w:val="16"/>
                <w:lang w:val="ro-RO"/>
              </w:rPr>
              <w:t>Aer</w:t>
            </w:r>
          </w:p>
        </w:tc>
        <w:tc>
          <w:tcPr>
            <w:tcW w:w="4657" w:type="dxa"/>
            <w:hideMark/>
          </w:tcPr>
          <w:p w14:paraId="14987DAE" w14:textId="3BB2BF3E" w:rsidR="00371F04" w:rsidRPr="0067604E" w:rsidRDefault="0067604E" w:rsidP="00371F04">
            <w:pPr>
              <w:spacing w:before="0" w:after="0" w:line="240" w:lineRule="auto"/>
              <w:jc w:val="both"/>
              <w:rPr>
                <w:rFonts w:ascii="Nunito" w:hAnsi="Nunito"/>
                <w:sz w:val="16"/>
                <w:szCs w:val="16"/>
                <w:lang w:val="ro-RO"/>
              </w:rPr>
            </w:pPr>
            <w:r>
              <w:rPr>
                <w:rFonts w:ascii="Nunito" w:hAnsi="Nunito"/>
                <w:sz w:val="16"/>
                <w:szCs w:val="16"/>
                <w:lang w:val="ro-RO"/>
              </w:rPr>
              <w:t>Afectarea calității aerului prin emisii de metan și compuși organici volatili provenite din depozitele de deșeuri fără captare eficientă a gazului de depozit.</w:t>
            </w:r>
          </w:p>
        </w:tc>
        <w:tc>
          <w:tcPr>
            <w:tcW w:w="1937" w:type="dxa"/>
            <w:hideMark/>
          </w:tcPr>
          <w:p w14:paraId="391A40EC"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B5651D"/>
                <w:sz w:val="16"/>
                <w:szCs w:val="16"/>
                <w:lang w:val="ro-RO"/>
              </w:rPr>
              <w:t>POTENȚIAL SEMNIFICATIV</w:t>
            </w:r>
          </w:p>
        </w:tc>
        <w:tc>
          <w:tcPr>
            <w:tcW w:w="5403" w:type="dxa"/>
            <w:hideMark/>
          </w:tcPr>
          <w:p w14:paraId="3F3966DD" w14:textId="66DFA606" w:rsidR="00371F04" w:rsidRPr="0067604E" w:rsidRDefault="0067604E" w:rsidP="00371F04">
            <w:pPr>
              <w:spacing w:before="0" w:after="0" w:line="240" w:lineRule="auto"/>
              <w:jc w:val="both"/>
              <w:rPr>
                <w:rFonts w:ascii="Nunito" w:hAnsi="Nunito"/>
                <w:sz w:val="16"/>
                <w:szCs w:val="16"/>
                <w:lang w:val="ro-RO"/>
              </w:rPr>
            </w:pPr>
            <w:r>
              <w:rPr>
                <w:rFonts w:ascii="Nunito" w:hAnsi="Nunito"/>
                <w:sz w:val="16"/>
                <w:szCs w:val="16"/>
                <w:lang w:val="ro-RO"/>
              </w:rPr>
              <w:t>Emisiile de CH₄ și NMVOC provenite din depozitele de deșeuri contribuie la formarea poluanților secundari, cu efect difuz asupra calității aerului la scară locală și regională. La nivel strategic, magnitudinea contribuției atribuibile exclusiv sectorului deșeuri este dificil de izolat, deoarece formarea ozonului troposferic și a particulelor secundare depinde de interacțiunea mai multor surse de emisii și condiții atmosferice. PNGD poate reduce această presiune prin captarea și tratarea/valorificarea gazului de depozit, precum și prin devierea biodeșeurilor de la depozitare. Efectul este condiționat de implementarea efectivă a măsurilor și de performanța sistemelor de captare.</w:t>
            </w:r>
          </w:p>
        </w:tc>
      </w:tr>
      <w:tr w:rsidR="00371F04" w:rsidRPr="00C36764" w14:paraId="5AE2AA53" w14:textId="77777777" w:rsidTr="00A34A79">
        <w:tc>
          <w:tcPr>
            <w:tcW w:w="837" w:type="dxa"/>
            <w:hideMark/>
          </w:tcPr>
          <w:p w14:paraId="6D91B8AC"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05326E"/>
                <w:sz w:val="16"/>
                <w:szCs w:val="16"/>
                <w:lang w:val="ro-RO"/>
              </w:rPr>
              <w:t>P3.3</w:t>
            </w:r>
          </w:p>
        </w:tc>
        <w:tc>
          <w:tcPr>
            <w:tcW w:w="1200" w:type="dxa"/>
            <w:hideMark/>
          </w:tcPr>
          <w:p w14:paraId="0A668C42" w14:textId="77777777" w:rsidR="00371F04" w:rsidRPr="0067604E" w:rsidRDefault="00371F04" w:rsidP="00371F04">
            <w:pPr>
              <w:spacing w:before="0" w:after="0" w:line="240" w:lineRule="auto"/>
              <w:rPr>
                <w:rFonts w:ascii="Nunito" w:hAnsi="Nunito"/>
                <w:sz w:val="16"/>
                <w:szCs w:val="16"/>
                <w:lang w:val="ro-RO"/>
              </w:rPr>
            </w:pPr>
            <w:r>
              <w:rPr>
                <w:rFonts w:ascii="Nunito" w:hAnsi="Nunito"/>
                <w:b/>
                <w:bCs/>
                <w:color w:val="05326E"/>
                <w:sz w:val="16"/>
                <w:szCs w:val="16"/>
                <w:lang w:val="ro-RO"/>
              </w:rPr>
              <w:t>Aer</w:t>
            </w:r>
          </w:p>
        </w:tc>
        <w:tc>
          <w:tcPr>
            <w:tcW w:w="4657" w:type="dxa"/>
            <w:hideMark/>
          </w:tcPr>
          <w:p w14:paraId="213833D5" w14:textId="4869E853" w:rsidR="00371F04" w:rsidRPr="0067604E" w:rsidRDefault="0067604E" w:rsidP="00371F04">
            <w:pPr>
              <w:spacing w:before="0" w:after="0" w:line="240" w:lineRule="auto"/>
              <w:jc w:val="both"/>
              <w:rPr>
                <w:rFonts w:ascii="Nunito" w:hAnsi="Nunito"/>
                <w:sz w:val="16"/>
                <w:szCs w:val="16"/>
                <w:lang w:val="ro-RO"/>
              </w:rPr>
            </w:pPr>
            <w:r>
              <w:rPr>
                <w:rFonts w:ascii="Nunito" w:hAnsi="Nunito"/>
                <w:sz w:val="16"/>
                <w:szCs w:val="16"/>
                <w:lang w:val="ro-RO"/>
              </w:rPr>
              <w:t>Generarea disconfortului olfactiv prin emisii fugitive provenite din instalații de tratare a deșeurilor operate necorespunzător..</w:t>
            </w:r>
          </w:p>
        </w:tc>
        <w:tc>
          <w:tcPr>
            <w:tcW w:w="1937" w:type="dxa"/>
            <w:hideMark/>
          </w:tcPr>
          <w:p w14:paraId="04292D0D"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B5651D"/>
                <w:sz w:val="16"/>
                <w:szCs w:val="16"/>
                <w:lang w:val="ro-RO"/>
              </w:rPr>
              <w:t>POTENȚIAL SEMNIFICATIV</w:t>
            </w:r>
          </w:p>
        </w:tc>
        <w:tc>
          <w:tcPr>
            <w:tcW w:w="5403" w:type="dxa"/>
            <w:hideMark/>
          </w:tcPr>
          <w:p w14:paraId="3AB207D1" w14:textId="0FDE6CD8" w:rsidR="00371F04" w:rsidRPr="0067604E" w:rsidRDefault="0067604E" w:rsidP="00371F04">
            <w:pPr>
              <w:spacing w:before="0" w:after="0" w:line="240" w:lineRule="auto"/>
              <w:jc w:val="both"/>
              <w:rPr>
                <w:rFonts w:ascii="Nunito" w:hAnsi="Nunito"/>
                <w:sz w:val="16"/>
                <w:szCs w:val="16"/>
                <w:lang w:val="ro-RO"/>
              </w:rPr>
            </w:pPr>
            <w:r>
              <w:rPr>
                <w:rFonts w:ascii="Nunito" w:hAnsi="Nunito"/>
                <w:sz w:val="16"/>
                <w:szCs w:val="16"/>
                <w:lang w:val="ro-RO"/>
              </w:rPr>
              <w:t>Instalațiile de tratare operate necorespunzător pot genera impact local asupra calității aerului prin emisii fugitive de COV, NH₃, H₂S, bioaerosoli și compuși odorigeni. Aceste emisii pot produce episoade de miros și disconfort olfactiv pentru comunitățile riverane, în special în condiții de operare deficitară, stocare necorespunzătoare a deșeurilor biodegradabile sau absență a sistemelor eficiente de captare și tratare. Semnificația efectului depinde de amplasament, tehnologie, distanța față de receptori și performanța sistemelor de control al emisiilor și se confirmă la nivel de proiect. În absența controlului adecvat, afectarea locală a calității aerului și apariția disconfortului olfactiv nu pot fi excluse.</w:t>
            </w:r>
          </w:p>
        </w:tc>
      </w:tr>
      <w:tr w:rsidR="00371F04" w:rsidRPr="0067604E" w14:paraId="4D0BF024" w14:textId="77777777" w:rsidTr="00A34A79">
        <w:tc>
          <w:tcPr>
            <w:tcW w:w="837" w:type="dxa"/>
            <w:hideMark/>
          </w:tcPr>
          <w:p w14:paraId="44AD2458"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05326E"/>
                <w:sz w:val="16"/>
                <w:szCs w:val="16"/>
                <w:lang w:val="ro-RO"/>
              </w:rPr>
              <w:t>P3.4</w:t>
            </w:r>
          </w:p>
        </w:tc>
        <w:tc>
          <w:tcPr>
            <w:tcW w:w="1200" w:type="dxa"/>
            <w:hideMark/>
          </w:tcPr>
          <w:p w14:paraId="415816EA" w14:textId="77777777" w:rsidR="00371F04" w:rsidRPr="0067604E" w:rsidRDefault="00371F04" w:rsidP="00371F04">
            <w:pPr>
              <w:spacing w:before="0" w:after="0" w:line="240" w:lineRule="auto"/>
              <w:rPr>
                <w:rFonts w:ascii="Nunito" w:hAnsi="Nunito"/>
                <w:sz w:val="16"/>
                <w:szCs w:val="16"/>
                <w:lang w:val="ro-RO"/>
              </w:rPr>
            </w:pPr>
            <w:r>
              <w:rPr>
                <w:rFonts w:ascii="Nunito" w:hAnsi="Nunito"/>
                <w:b/>
                <w:bCs/>
                <w:color w:val="05326E"/>
                <w:sz w:val="16"/>
                <w:szCs w:val="16"/>
                <w:lang w:val="ro-RO"/>
              </w:rPr>
              <w:t>Aer</w:t>
            </w:r>
          </w:p>
        </w:tc>
        <w:tc>
          <w:tcPr>
            <w:tcW w:w="4657" w:type="dxa"/>
            <w:hideMark/>
          </w:tcPr>
          <w:p w14:paraId="5928B975" w14:textId="1B371741" w:rsidR="00371F04" w:rsidRPr="0067604E" w:rsidRDefault="0067604E" w:rsidP="00371F04">
            <w:pPr>
              <w:spacing w:before="0" w:after="0" w:line="240" w:lineRule="auto"/>
              <w:jc w:val="both"/>
              <w:rPr>
                <w:rFonts w:ascii="Nunito" w:hAnsi="Nunito"/>
                <w:sz w:val="16"/>
                <w:szCs w:val="16"/>
                <w:lang w:val="ro-RO"/>
              </w:rPr>
            </w:pPr>
            <w:r>
              <w:rPr>
                <w:rFonts w:ascii="Nunito" w:hAnsi="Nunito"/>
                <w:sz w:val="16"/>
                <w:szCs w:val="16"/>
                <w:lang w:val="ro-RO"/>
              </w:rPr>
              <w:t>Afectarea calității aerului la nivel local și periurban prin emisiile de NOx, PM₁₀ și PM₂,₅ generate de vehiculele utilizate pentru colectarea și transportul deșeurilor, în special în condițiile utilizării unei flote învechite, a rutelor lungi și a unei rețele insuficiente de stații de transfer.</w:t>
            </w:r>
          </w:p>
        </w:tc>
        <w:tc>
          <w:tcPr>
            <w:tcW w:w="1937" w:type="dxa"/>
            <w:hideMark/>
          </w:tcPr>
          <w:p w14:paraId="0A5FB611"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B5651D"/>
                <w:sz w:val="16"/>
                <w:szCs w:val="16"/>
                <w:lang w:val="ro-RO"/>
              </w:rPr>
              <w:t>POTENȚIAL SEMNIFICATIV</w:t>
            </w:r>
          </w:p>
        </w:tc>
        <w:tc>
          <w:tcPr>
            <w:tcW w:w="5403" w:type="dxa"/>
            <w:hideMark/>
          </w:tcPr>
          <w:p w14:paraId="14D8679F" w14:textId="67073311" w:rsidR="00371F04" w:rsidRPr="0067604E" w:rsidRDefault="0067604E" w:rsidP="00371F04">
            <w:pPr>
              <w:spacing w:before="0" w:after="0" w:line="240" w:lineRule="auto"/>
              <w:jc w:val="both"/>
              <w:rPr>
                <w:rFonts w:ascii="Nunito" w:hAnsi="Nunito"/>
                <w:sz w:val="16"/>
                <w:szCs w:val="16"/>
                <w:lang w:val="ro-RO"/>
              </w:rPr>
            </w:pPr>
            <w:r>
              <w:rPr>
                <w:rFonts w:ascii="Nunito" w:hAnsi="Nunito"/>
                <w:sz w:val="16"/>
                <w:szCs w:val="16"/>
                <w:lang w:val="ro-RO"/>
              </w:rPr>
              <w:t>Flota de colectare și transport al deșeurilor poate contribui la depășiri locale ale concentrațiilor de NOx și particule în suspensie, în special pe rute periurbane intens circulate sau acolo unde distanțele de transport sunt mari. Magnitudinea efectului depinde de vechimea și standardul de emisii al vehiculelor, frecvența curselor, lungimea rutelor și existența stațiilor de transfer. PNGD poate reduce această presiune prin optimizarea rețelei logistice, completarea infrastructurii de transfer și reînnoirea flotei cu vehicule cu emisii reduse. Efectul este condiționat de implementarea efectivă a măsurilor propuse.</w:t>
            </w:r>
          </w:p>
        </w:tc>
      </w:tr>
      <w:tr w:rsidR="00371F04" w:rsidRPr="00C36764" w14:paraId="47E5F1FF" w14:textId="77777777" w:rsidTr="00A34A79">
        <w:trPr>
          <w:trHeight w:val="609"/>
        </w:trPr>
        <w:tc>
          <w:tcPr>
            <w:tcW w:w="837" w:type="dxa"/>
            <w:hideMark/>
          </w:tcPr>
          <w:p w14:paraId="5E086374"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05326E"/>
                <w:sz w:val="16"/>
                <w:szCs w:val="16"/>
                <w:lang w:val="ro-RO"/>
              </w:rPr>
              <w:t>P4.1</w:t>
            </w:r>
          </w:p>
        </w:tc>
        <w:tc>
          <w:tcPr>
            <w:tcW w:w="1200" w:type="dxa"/>
            <w:hideMark/>
          </w:tcPr>
          <w:p w14:paraId="02DC32D5" w14:textId="77777777" w:rsidR="00371F04" w:rsidRPr="0067604E" w:rsidRDefault="00371F04" w:rsidP="00371F04">
            <w:pPr>
              <w:spacing w:before="0" w:after="0" w:line="240" w:lineRule="auto"/>
              <w:rPr>
                <w:rFonts w:ascii="Nunito" w:hAnsi="Nunito"/>
                <w:sz w:val="16"/>
                <w:szCs w:val="16"/>
                <w:lang w:val="ro-RO"/>
              </w:rPr>
            </w:pPr>
            <w:r>
              <w:rPr>
                <w:rFonts w:ascii="Nunito" w:hAnsi="Nunito"/>
                <w:b/>
                <w:bCs/>
                <w:color w:val="05326E"/>
                <w:sz w:val="16"/>
                <w:szCs w:val="16"/>
                <w:lang w:val="ro-RO"/>
              </w:rPr>
              <w:t>Schimbări climatice</w:t>
            </w:r>
          </w:p>
        </w:tc>
        <w:tc>
          <w:tcPr>
            <w:tcW w:w="4657" w:type="dxa"/>
            <w:hideMark/>
          </w:tcPr>
          <w:p w14:paraId="3A140F2B" w14:textId="0FE2E9D0" w:rsidR="00371F04" w:rsidRPr="0067604E" w:rsidRDefault="0067604E" w:rsidP="00371F04">
            <w:pPr>
              <w:spacing w:before="0" w:after="0" w:line="240" w:lineRule="auto"/>
              <w:jc w:val="both"/>
              <w:rPr>
                <w:rFonts w:ascii="Nunito" w:hAnsi="Nunito"/>
                <w:sz w:val="16"/>
                <w:szCs w:val="16"/>
                <w:lang w:val="ro-RO"/>
              </w:rPr>
            </w:pPr>
            <w:r>
              <w:rPr>
                <w:rFonts w:ascii="Nunito" w:hAnsi="Nunito"/>
                <w:sz w:val="16"/>
                <w:szCs w:val="16"/>
                <w:lang w:val="ro-RO"/>
              </w:rPr>
              <w:t>Creșterea presiunii climatice generate de sectorul deșeurilor, în principal prin emisiile de gaze cu efect de seră asociate depozitării.</w:t>
            </w:r>
          </w:p>
        </w:tc>
        <w:tc>
          <w:tcPr>
            <w:tcW w:w="1937" w:type="dxa"/>
            <w:hideMark/>
          </w:tcPr>
          <w:p w14:paraId="2E96C91A"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C00000"/>
                <w:sz w:val="16"/>
                <w:szCs w:val="16"/>
                <w:lang w:val="ro-RO"/>
              </w:rPr>
              <w:t>SEMNIFICATIV</w:t>
            </w:r>
          </w:p>
        </w:tc>
        <w:tc>
          <w:tcPr>
            <w:tcW w:w="5403" w:type="dxa"/>
            <w:hideMark/>
          </w:tcPr>
          <w:p w14:paraId="69ADB42C" w14:textId="665772DF" w:rsidR="00371F04" w:rsidRPr="0067604E" w:rsidRDefault="0067604E" w:rsidP="00371F04">
            <w:pPr>
              <w:spacing w:before="0" w:after="0" w:line="240" w:lineRule="auto"/>
              <w:jc w:val="both"/>
              <w:rPr>
                <w:rFonts w:ascii="Nunito" w:hAnsi="Nunito"/>
                <w:sz w:val="16"/>
                <w:szCs w:val="16"/>
                <w:lang w:val="ro-RO"/>
              </w:rPr>
            </w:pPr>
            <w:r>
              <w:rPr>
                <w:rFonts w:ascii="Nunito" w:hAnsi="Nunito"/>
                <w:sz w:val="16"/>
                <w:szCs w:val="16"/>
                <w:lang w:val="ro-RO"/>
              </w:rPr>
              <w:t>Sectorul deșeurilor reprezintă o sursă relevantă de emisii GES, cu tendință de creștere față de anul de referință 1989, determinată în principal de subsectorul depozitare. Această evoluție indică o presiune climatică structurală și un risc de nealiniere cu obiectivele naționale și europene pentru sectoarele non-ETS. PNGD poate reduce presiunea prin devierea de la depozitare, colectarea separată a biodeșeurilor, tratare biologică, captarea și valorificarea gazului de depozit și creșterea reciclării. Efectul este condiționat de implementarea efectivă a infrastructurii și de reducerea reală a cantităților depozitate.</w:t>
            </w:r>
          </w:p>
        </w:tc>
      </w:tr>
      <w:tr w:rsidR="00371F04" w:rsidRPr="00C36764" w14:paraId="13C18F9F" w14:textId="77777777" w:rsidTr="00A34A79">
        <w:trPr>
          <w:trHeight w:val="437"/>
        </w:trPr>
        <w:tc>
          <w:tcPr>
            <w:tcW w:w="837" w:type="dxa"/>
            <w:hideMark/>
          </w:tcPr>
          <w:p w14:paraId="1A5C7DD6"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05326E"/>
                <w:sz w:val="16"/>
                <w:szCs w:val="16"/>
                <w:lang w:val="ro-RO"/>
              </w:rPr>
              <w:t>P4.3</w:t>
            </w:r>
          </w:p>
        </w:tc>
        <w:tc>
          <w:tcPr>
            <w:tcW w:w="1200" w:type="dxa"/>
            <w:hideMark/>
          </w:tcPr>
          <w:p w14:paraId="6954419F" w14:textId="77777777" w:rsidR="00371F04" w:rsidRPr="0067604E" w:rsidRDefault="00371F04" w:rsidP="00371F04">
            <w:pPr>
              <w:spacing w:before="0" w:after="0" w:line="240" w:lineRule="auto"/>
              <w:rPr>
                <w:rFonts w:ascii="Nunito" w:hAnsi="Nunito"/>
                <w:sz w:val="16"/>
                <w:szCs w:val="16"/>
                <w:lang w:val="ro-RO"/>
              </w:rPr>
            </w:pPr>
            <w:r>
              <w:rPr>
                <w:rFonts w:ascii="Nunito" w:hAnsi="Nunito"/>
                <w:b/>
                <w:bCs/>
                <w:color w:val="05326E"/>
                <w:sz w:val="16"/>
                <w:szCs w:val="16"/>
                <w:lang w:val="ro-RO"/>
              </w:rPr>
              <w:t>Schimbări climatice</w:t>
            </w:r>
          </w:p>
        </w:tc>
        <w:tc>
          <w:tcPr>
            <w:tcW w:w="4657" w:type="dxa"/>
            <w:hideMark/>
          </w:tcPr>
          <w:p w14:paraId="54115086" w14:textId="48E2B03D" w:rsidR="00371F04" w:rsidRPr="0067604E" w:rsidRDefault="00C262EF" w:rsidP="00371F04">
            <w:pPr>
              <w:spacing w:before="0" w:after="0" w:line="240" w:lineRule="auto"/>
              <w:jc w:val="both"/>
              <w:rPr>
                <w:rFonts w:ascii="Nunito" w:hAnsi="Nunito"/>
                <w:sz w:val="16"/>
                <w:szCs w:val="16"/>
                <w:lang w:val="ro-RO"/>
              </w:rPr>
            </w:pPr>
            <w:r>
              <w:rPr>
                <w:rFonts w:ascii="Nunito" w:hAnsi="Nunito"/>
                <w:sz w:val="16"/>
                <w:szCs w:val="16"/>
                <w:lang w:val="ro-RO"/>
              </w:rPr>
              <w:t xml:space="preserve">Menținerea unei cantități ridicate de deșeuri biodegradabile municipale eliminate prin depozitare, peste pragul de reducere prevăzut de Directiva 1999/31/CE, respectiv reducerea </w:t>
            </w:r>
            <w:r>
              <w:rPr>
                <w:rFonts w:ascii="Nunito" w:hAnsi="Nunito"/>
                <w:sz w:val="16"/>
                <w:szCs w:val="16"/>
                <w:lang w:val="ro-RO"/>
              </w:rPr>
              <w:lastRenderedPageBreak/>
              <w:t>deșeurilor biodegradabile municipale destinate depozitării la 35% din cantitatea totală, în greutate, produsă în anul de referință 1995 sau în ultimul an anterior anului 1995 pentru care există date standardizate.</w:t>
            </w:r>
          </w:p>
        </w:tc>
        <w:tc>
          <w:tcPr>
            <w:tcW w:w="1937" w:type="dxa"/>
            <w:hideMark/>
          </w:tcPr>
          <w:p w14:paraId="374B0736"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C00000"/>
                <w:sz w:val="16"/>
                <w:szCs w:val="16"/>
                <w:lang w:val="ro-RO"/>
              </w:rPr>
              <w:lastRenderedPageBreak/>
              <w:t>SEMNIFICATIV</w:t>
            </w:r>
          </w:p>
        </w:tc>
        <w:tc>
          <w:tcPr>
            <w:tcW w:w="5403" w:type="dxa"/>
            <w:hideMark/>
          </w:tcPr>
          <w:p w14:paraId="546076FC" w14:textId="7466DBC9" w:rsidR="00371F04" w:rsidRPr="0067604E" w:rsidRDefault="00C262EF" w:rsidP="00371F04">
            <w:pPr>
              <w:spacing w:before="0" w:after="0" w:line="240" w:lineRule="auto"/>
              <w:jc w:val="both"/>
              <w:rPr>
                <w:rFonts w:ascii="Nunito" w:hAnsi="Nunito"/>
                <w:sz w:val="16"/>
                <w:szCs w:val="16"/>
                <w:lang w:val="ro-RO"/>
              </w:rPr>
            </w:pPr>
            <w:r>
              <w:rPr>
                <w:rFonts w:ascii="Nunito" w:hAnsi="Nunito"/>
                <w:sz w:val="16"/>
                <w:szCs w:val="16"/>
                <w:lang w:val="ro-RO"/>
              </w:rPr>
              <w:t xml:space="preserve">Neatingerea pragului de reducere la 35% din cantitatea de referință prevăzută de Directiva 1999/31/CE indică o neconformare relevantă, inclusiv în contextul procedurii INFR(2020)2276. PNGD poate contribui la </w:t>
            </w:r>
            <w:r>
              <w:rPr>
                <w:rFonts w:ascii="Nunito" w:hAnsi="Nunito"/>
                <w:sz w:val="16"/>
                <w:szCs w:val="16"/>
                <w:lang w:val="ro-RO"/>
              </w:rPr>
              <w:lastRenderedPageBreak/>
              <w:t>atingerea acestui prag prin extinderea colectării separate a biodeșeurilor, dezvoltarea capacităților de compostare și digestie anaerobă și reducerea progresivă a cantităților biodegradabile eliminate prin depozitare. Efectul este condiționat de implementarea efectivă și funcționalitatea acestor capacită</w:t>
            </w:r>
          </w:p>
        </w:tc>
      </w:tr>
      <w:tr w:rsidR="00371F04" w:rsidRPr="0067604E" w14:paraId="6B899AE9" w14:textId="77777777" w:rsidTr="00A34A79">
        <w:tc>
          <w:tcPr>
            <w:tcW w:w="837" w:type="dxa"/>
            <w:hideMark/>
          </w:tcPr>
          <w:p w14:paraId="03AF73B9"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05326E"/>
                <w:sz w:val="16"/>
                <w:szCs w:val="16"/>
                <w:lang w:val="ro-RO"/>
              </w:rPr>
              <w:lastRenderedPageBreak/>
              <w:t>P4.4</w:t>
            </w:r>
          </w:p>
        </w:tc>
        <w:tc>
          <w:tcPr>
            <w:tcW w:w="1200" w:type="dxa"/>
            <w:hideMark/>
          </w:tcPr>
          <w:p w14:paraId="7CF73314" w14:textId="77777777" w:rsidR="00371F04" w:rsidRPr="0067604E" w:rsidRDefault="00371F04" w:rsidP="00371F04">
            <w:pPr>
              <w:spacing w:before="0" w:after="0" w:line="240" w:lineRule="auto"/>
              <w:rPr>
                <w:rFonts w:ascii="Nunito" w:hAnsi="Nunito"/>
                <w:sz w:val="16"/>
                <w:szCs w:val="16"/>
                <w:lang w:val="ro-RO"/>
              </w:rPr>
            </w:pPr>
            <w:r>
              <w:rPr>
                <w:rFonts w:ascii="Nunito" w:hAnsi="Nunito"/>
                <w:b/>
                <w:bCs/>
                <w:color w:val="05326E"/>
                <w:sz w:val="16"/>
                <w:szCs w:val="16"/>
                <w:lang w:val="ro-RO"/>
              </w:rPr>
              <w:t>Schimbări climatice</w:t>
            </w:r>
          </w:p>
        </w:tc>
        <w:tc>
          <w:tcPr>
            <w:tcW w:w="4657" w:type="dxa"/>
            <w:hideMark/>
          </w:tcPr>
          <w:p w14:paraId="7D72054C" w14:textId="0C90768E" w:rsidR="00371F04" w:rsidRPr="0067604E" w:rsidRDefault="009E6396" w:rsidP="00371F04">
            <w:pPr>
              <w:spacing w:before="0" w:after="0" w:line="240" w:lineRule="auto"/>
              <w:jc w:val="both"/>
              <w:rPr>
                <w:rFonts w:ascii="Nunito" w:hAnsi="Nunito"/>
                <w:sz w:val="16"/>
                <w:szCs w:val="16"/>
                <w:lang w:val="ro-RO"/>
              </w:rPr>
            </w:pPr>
            <w:r>
              <w:rPr>
                <w:rFonts w:ascii="Nunito" w:hAnsi="Nunito"/>
                <w:sz w:val="16"/>
                <w:szCs w:val="16"/>
                <w:lang w:val="ro-RO"/>
              </w:rPr>
              <w:t>Vulnerabilitatea infrastructurii de gestionare a deșeurilor la hazardele climatice -inundații, precipitații intense, caniculă, temperaturi extreme, secetă și incendii - în condițiile în care măsurile de adaptare climatică nu sunt integrate sistematic în proiectarea, operarea și monitorizarea instalațiilor</w:t>
            </w:r>
          </w:p>
        </w:tc>
        <w:tc>
          <w:tcPr>
            <w:tcW w:w="1937" w:type="dxa"/>
            <w:hideMark/>
          </w:tcPr>
          <w:p w14:paraId="1A423424"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B5651D"/>
                <w:sz w:val="16"/>
                <w:szCs w:val="16"/>
                <w:lang w:val="ro-RO"/>
              </w:rPr>
              <w:t>POTENȚIAL SEMNIFICATIV</w:t>
            </w:r>
          </w:p>
        </w:tc>
        <w:tc>
          <w:tcPr>
            <w:tcW w:w="5403" w:type="dxa"/>
            <w:hideMark/>
          </w:tcPr>
          <w:p w14:paraId="78D7028C" w14:textId="2792F6CD" w:rsidR="00371F04" w:rsidRPr="0067604E" w:rsidRDefault="009E6396" w:rsidP="00371F04">
            <w:pPr>
              <w:spacing w:before="0" w:after="0" w:line="240" w:lineRule="auto"/>
              <w:jc w:val="both"/>
              <w:rPr>
                <w:rFonts w:ascii="Nunito" w:hAnsi="Nunito"/>
                <w:sz w:val="16"/>
                <w:szCs w:val="16"/>
                <w:lang w:val="ro-RO"/>
              </w:rPr>
            </w:pPr>
            <w:r>
              <w:rPr>
                <w:rFonts w:ascii="Nunito" w:hAnsi="Nunito"/>
                <w:sz w:val="16"/>
                <w:szCs w:val="16"/>
                <w:lang w:val="ro-RO"/>
              </w:rPr>
              <w:t>Deficiența de integrare a adaptării climatice la nivelul infrastructurii de gestionare a deșeurilor, care evidențiază riscuri specifice asociate principalelor hazarduri climatice. Totuși, magnitudinea efectelor depinde de amplasament, tipul instalației, nivelul de expunere și scenariul climatic analizat. PNGD poate reduce această vulnerabilitate prin integrarea cerințelor de adaptare climatică în localizarea, proiectarea, operarea și monitorizarea instalațiilor. Eficacitatea măsurilor trebuie confirmată la nivel de proiect, prin evaluări climatice specifice amplasamentului.</w:t>
            </w:r>
          </w:p>
        </w:tc>
      </w:tr>
      <w:tr w:rsidR="00371F04" w:rsidRPr="00C36764" w14:paraId="65182797" w14:textId="77777777" w:rsidTr="00A34A79">
        <w:tc>
          <w:tcPr>
            <w:tcW w:w="837" w:type="dxa"/>
            <w:hideMark/>
          </w:tcPr>
          <w:p w14:paraId="7625E511"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05326E"/>
                <w:sz w:val="16"/>
                <w:szCs w:val="16"/>
                <w:lang w:val="ro-RO"/>
              </w:rPr>
              <w:t>P5.1</w:t>
            </w:r>
          </w:p>
        </w:tc>
        <w:tc>
          <w:tcPr>
            <w:tcW w:w="1200" w:type="dxa"/>
            <w:hideMark/>
          </w:tcPr>
          <w:p w14:paraId="26D1AB8C" w14:textId="77777777" w:rsidR="00371F04" w:rsidRPr="0067604E" w:rsidRDefault="00371F04" w:rsidP="00371F04">
            <w:pPr>
              <w:spacing w:before="0" w:after="0" w:line="240" w:lineRule="auto"/>
              <w:rPr>
                <w:rFonts w:ascii="Nunito" w:hAnsi="Nunito"/>
                <w:sz w:val="16"/>
                <w:szCs w:val="16"/>
                <w:lang w:val="ro-RO"/>
              </w:rPr>
            </w:pPr>
            <w:r>
              <w:rPr>
                <w:rFonts w:ascii="Nunito" w:hAnsi="Nunito"/>
                <w:b/>
                <w:bCs/>
                <w:color w:val="05326E"/>
                <w:sz w:val="16"/>
                <w:szCs w:val="16"/>
                <w:lang w:val="ro-RO"/>
              </w:rPr>
              <w:t>Biodiversitate</w:t>
            </w:r>
          </w:p>
        </w:tc>
        <w:tc>
          <w:tcPr>
            <w:tcW w:w="4657" w:type="dxa"/>
            <w:hideMark/>
          </w:tcPr>
          <w:p w14:paraId="543E48ED" w14:textId="046873C3" w:rsidR="00371F04" w:rsidRPr="0067604E" w:rsidRDefault="009E6396" w:rsidP="00371F04">
            <w:pPr>
              <w:spacing w:before="0" w:after="0" w:line="240" w:lineRule="auto"/>
              <w:jc w:val="both"/>
              <w:rPr>
                <w:rFonts w:ascii="Nunito" w:hAnsi="Nunito"/>
                <w:sz w:val="16"/>
                <w:szCs w:val="16"/>
                <w:lang w:val="ro-RO"/>
              </w:rPr>
            </w:pPr>
            <w:r>
              <w:rPr>
                <w:rFonts w:ascii="Nunito" w:hAnsi="Nunito"/>
                <w:sz w:val="16"/>
                <w:szCs w:val="16"/>
                <w:lang w:val="ro-RO"/>
              </w:rPr>
              <w:t>Afectarea potențială a habitatelor acvatice, ripariene și terestre, precum și a calității apei și solului care susțin obiectivele de conservare ale siturilor Natura 2000, prin poluanți proveniți din depozitarea necorespunzătoare a deșeurilor/abandonarea deșeurilor.</w:t>
            </w:r>
          </w:p>
        </w:tc>
        <w:tc>
          <w:tcPr>
            <w:tcW w:w="1937" w:type="dxa"/>
            <w:hideMark/>
          </w:tcPr>
          <w:p w14:paraId="74809020"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C00000"/>
                <w:sz w:val="16"/>
                <w:szCs w:val="16"/>
                <w:lang w:val="ro-RO"/>
              </w:rPr>
              <w:t>SEMNIFICATIV</w:t>
            </w:r>
          </w:p>
        </w:tc>
        <w:tc>
          <w:tcPr>
            <w:tcW w:w="5403" w:type="dxa"/>
            <w:hideMark/>
          </w:tcPr>
          <w:p w14:paraId="03260846" w14:textId="0B63C5CD" w:rsidR="00371F04" w:rsidRPr="0067604E" w:rsidRDefault="000B29C5" w:rsidP="00371F04">
            <w:pPr>
              <w:spacing w:before="0" w:after="0" w:line="240" w:lineRule="auto"/>
              <w:jc w:val="both"/>
              <w:rPr>
                <w:rFonts w:ascii="Nunito" w:hAnsi="Nunito"/>
                <w:sz w:val="16"/>
                <w:szCs w:val="16"/>
                <w:lang w:val="ro-RO"/>
              </w:rPr>
            </w:pPr>
            <w:r>
              <w:rPr>
                <w:rFonts w:ascii="Nunito" w:hAnsi="Nunito"/>
                <w:sz w:val="16"/>
                <w:szCs w:val="16"/>
                <w:lang w:val="ro-RO"/>
              </w:rPr>
              <w:t>Analiza realizată în Cap. 3.1.5.8, pe baza planurilor de management și a formularelor standard Natura 2000, evidențiază că gestionarea deficitară a deșeurilor reprezintă o presiune actuală pentru o proporție semnificativă dintre siturile analizate. În aproximativ 77% dintre acestea sunt menționate presiuni asociate deșeurilor, iar pentru unele situri, precum Platoul Vașcău, Râul Târnava Mare și Lunca Buzăului, poluarea solului și a apelor este încadrată cu intensitate ridicată, prin codurile H05 și H02.02. PNGD poate contribui la reducerea acestor presiuni prin închiderea depozitelor neconforme, reabilitarea amplasamentelor afectate și controlul poluării generate de infrastructura de gestionare a deșeurilor. Efectul este condiționat de implementarea efectivă a măsurilor, iar semnificația impactului la nivel de sit trebuie confirmată prin evaluare adecvată, în raport cu obiectivele specifice de conservare.</w:t>
            </w:r>
          </w:p>
        </w:tc>
      </w:tr>
      <w:tr w:rsidR="00371F04" w:rsidRPr="00C36764" w14:paraId="7B3F5183" w14:textId="77777777" w:rsidTr="00A34A79">
        <w:tc>
          <w:tcPr>
            <w:tcW w:w="837" w:type="dxa"/>
            <w:hideMark/>
          </w:tcPr>
          <w:p w14:paraId="6AB3B49B"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05326E"/>
                <w:sz w:val="16"/>
                <w:szCs w:val="16"/>
                <w:lang w:val="ro-RO"/>
              </w:rPr>
              <w:t>P5.2</w:t>
            </w:r>
          </w:p>
        </w:tc>
        <w:tc>
          <w:tcPr>
            <w:tcW w:w="1200" w:type="dxa"/>
            <w:hideMark/>
          </w:tcPr>
          <w:p w14:paraId="0B248C9B" w14:textId="77777777" w:rsidR="00371F04" w:rsidRPr="0067604E" w:rsidRDefault="00371F04" w:rsidP="00371F04">
            <w:pPr>
              <w:spacing w:before="0" w:after="0" w:line="240" w:lineRule="auto"/>
              <w:rPr>
                <w:rFonts w:ascii="Nunito" w:hAnsi="Nunito"/>
                <w:sz w:val="16"/>
                <w:szCs w:val="16"/>
                <w:lang w:val="ro-RO"/>
              </w:rPr>
            </w:pPr>
            <w:r>
              <w:rPr>
                <w:rFonts w:ascii="Nunito" w:hAnsi="Nunito"/>
                <w:b/>
                <w:bCs/>
                <w:color w:val="05326E"/>
                <w:sz w:val="16"/>
                <w:szCs w:val="16"/>
                <w:lang w:val="ro-RO"/>
              </w:rPr>
              <w:t>Biodiversitate</w:t>
            </w:r>
          </w:p>
        </w:tc>
        <w:tc>
          <w:tcPr>
            <w:tcW w:w="4657" w:type="dxa"/>
            <w:hideMark/>
          </w:tcPr>
          <w:p w14:paraId="7D9BDCDB" w14:textId="7D3DC014" w:rsidR="00371F04" w:rsidRPr="0067604E" w:rsidRDefault="000B29C5" w:rsidP="00371F04">
            <w:pPr>
              <w:spacing w:before="0" w:after="0" w:line="240" w:lineRule="auto"/>
              <w:jc w:val="both"/>
              <w:rPr>
                <w:rFonts w:ascii="Nunito" w:hAnsi="Nunito"/>
                <w:sz w:val="16"/>
                <w:szCs w:val="16"/>
                <w:lang w:val="ro-RO"/>
              </w:rPr>
            </w:pPr>
            <w:r>
              <w:rPr>
                <w:rFonts w:ascii="Nunito" w:hAnsi="Nunito"/>
                <w:sz w:val="16"/>
                <w:szCs w:val="16"/>
                <w:lang w:val="ro-RO"/>
              </w:rPr>
              <w:t>Perturbarea comportamentului de hrănire și a structurii biocenozelor prin atragerea speciilor oportuniste către depozitele de deșeuri care conțin fracție organică, acestea funcționând ca surse antropice predictibile de hrană.</w:t>
            </w:r>
          </w:p>
        </w:tc>
        <w:tc>
          <w:tcPr>
            <w:tcW w:w="1937" w:type="dxa"/>
            <w:hideMark/>
          </w:tcPr>
          <w:p w14:paraId="5F74CBB2"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B5651D"/>
                <w:sz w:val="16"/>
                <w:szCs w:val="16"/>
                <w:lang w:val="ro-RO"/>
              </w:rPr>
              <w:t>POTENȚIAL SEMNIFICATIV</w:t>
            </w:r>
          </w:p>
        </w:tc>
        <w:tc>
          <w:tcPr>
            <w:tcW w:w="5403" w:type="dxa"/>
            <w:hideMark/>
          </w:tcPr>
          <w:p w14:paraId="1EB75B89" w14:textId="1D38B069" w:rsidR="00371F04" w:rsidRPr="0067604E" w:rsidRDefault="000B29C5" w:rsidP="00371F04">
            <w:pPr>
              <w:spacing w:before="0" w:after="0" w:line="240" w:lineRule="auto"/>
              <w:jc w:val="both"/>
              <w:rPr>
                <w:rFonts w:ascii="Nunito" w:hAnsi="Nunito"/>
                <w:sz w:val="16"/>
                <w:szCs w:val="16"/>
                <w:lang w:val="ro-RO"/>
              </w:rPr>
            </w:pPr>
            <w:r>
              <w:rPr>
                <w:rFonts w:ascii="Nunito" w:hAnsi="Nunito"/>
                <w:sz w:val="16"/>
                <w:szCs w:val="16"/>
                <w:lang w:val="ro-RO"/>
              </w:rPr>
              <w:t>Atragerea speciilor oportuniste către depozitele de deșeuri care conțin fracție organică accesibilă poate genera efecte asupra obiectivelor de conservare chiar și în absența unei suprapuneri spațiale directe cu siturile Natura 2000. Depozitele pot funcționa ca surse antropice predictibile de hrană, modificând comportamentul de hrănire, deplasările și concentrarea unor specii precum laride, corvide, berze, răpitoare sau carnivore generaliste. Aceste modificări pot conduce la presiuni indirecte asupra speciilor-criteriu și habitatelor sensibile, prin creșterea competiției, prădării, kleptoparazitismului sau transferului presiunii trofice către zone naturale.</w:t>
            </w:r>
          </w:p>
        </w:tc>
      </w:tr>
      <w:tr w:rsidR="00371F04" w:rsidRPr="00C36764" w14:paraId="6DE17E05" w14:textId="77777777" w:rsidTr="00A34A79">
        <w:tc>
          <w:tcPr>
            <w:tcW w:w="837" w:type="dxa"/>
            <w:hideMark/>
          </w:tcPr>
          <w:p w14:paraId="4726F804"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05326E"/>
                <w:sz w:val="16"/>
                <w:szCs w:val="16"/>
                <w:lang w:val="ro-RO"/>
              </w:rPr>
              <w:t>P5.3</w:t>
            </w:r>
          </w:p>
        </w:tc>
        <w:tc>
          <w:tcPr>
            <w:tcW w:w="1200" w:type="dxa"/>
            <w:hideMark/>
          </w:tcPr>
          <w:p w14:paraId="3D057ACF" w14:textId="77777777" w:rsidR="00371F04" w:rsidRPr="0067604E" w:rsidRDefault="00371F04" w:rsidP="00371F04">
            <w:pPr>
              <w:spacing w:before="0" w:after="0" w:line="240" w:lineRule="auto"/>
              <w:rPr>
                <w:rFonts w:ascii="Nunito" w:hAnsi="Nunito"/>
                <w:sz w:val="16"/>
                <w:szCs w:val="16"/>
                <w:lang w:val="ro-RO"/>
              </w:rPr>
            </w:pPr>
            <w:r>
              <w:rPr>
                <w:rFonts w:ascii="Nunito" w:hAnsi="Nunito"/>
                <w:b/>
                <w:bCs/>
                <w:color w:val="05326E"/>
                <w:sz w:val="16"/>
                <w:szCs w:val="16"/>
                <w:lang w:val="ro-RO"/>
              </w:rPr>
              <w:t>Biodiversitate</w:t>
            </w:r>
          </w:p>
        </w:tc>
        <w:tc>
          <w:tcPr>
            <w:tcW w:w="4657" w:type="dxa"/>
            <w:hideMark/>
          </w:tcPr>
          <w:p w14:paraId="767749D0" w14:textId="2E0F860B" w:rsidR="00371F04" w:rsidRPr="0067604E" w:rsidRDefault="000B29C5" w:rsidP="00371F04">
            <w:pPr>
              <w:spacing w:before="0" w:after="0" w:line="240" w:lineRule="auto"/>
              <w:jc w:val="both"/>
              <w:rPr>
                <w:rFonts w:ascii="Nunito" w:hAnsi="Nunito"/>
                <w:sz w:val="16"/>
                <w:szCs w:val="16"/>
                <w:lang w:val="ro-RO"/>
              </w:rPr>
            </w:pPr>
            <w:r>
              <w:rPr>
                <w:rFonts w:ascii="Nunito" w:hAnsi="Nunito"/>
                <w:sz w:val="16"/>
                <w:szCs w:val="16"/>
                <w:lang w:val="ro-RO"/>
              </w:rPr>
              <w:t xml:space="preserve">Afectarea conectivității ecologice prin amplasarea depozitelor, stațiilor de transfer, instalațiilor TMB sau a altor infrastructuri de gestionare a deșeurilor în proximitatea coridoarelor ecologice, a zonelor umede, a malurilor cursurilor de apă, a </w:t>
            </w:r>
            <w:r>
              <w:rPr>
                <w:rFonts w:ascii="Nunito" w:hAnsi="Nunito"/>
                <w:sz w:val="16"/>
                <w:szCs w:val="16"/>
                <w:lang w:val="ro-RO"/>
              </w:rPr>
              <w:lastRenderedPageBreak/>
              <w:t>marginilor de pădure sau a altor ecotone cu rol în deplasarea speciilor.</w:t>
            </w:r>
          </w:p>
        </w:tc>
        <w:tc>
          <w:tcPr>
            <w:tcW w:w="1937" w:type="dxa"/>
            <w:hideMark/>
          </w:tcPr>
          <w:p w14:paraId="59579F75"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B5651D"/>
                <w:sz w:val="16"/>
                <w:szCs w:val="16"/>
                <w:lang w:val="ro-RO"/>
              </w:rPr>
              <w:lastRenderedPageBreak/>
              <w:t>POTENȚIAL SEMNIFICATIV</w:t>
            </w:r>
          </w:p>
        </w:tc>
        <w:tc>
          <w:tcPr>
            <w:tcW w:w="5403" w:type="dxa"/>
            <w:hideMark/>
          </w:tcPr>
          <w:p w14:paraId="118D1EC1" w14:textId="46E9E1F6" w:rsidR="00371F04" w:rsidRPr="0067604E" w:rsidRDefault="000B29C5" w:rsidP="00371F04">
            <w:pPr>
              <w:spacing w:before="0" w:after="0" w:line="240" w:lineRule="auto"/>
              <w:jc w:val="both"/>
              <w:rPr>
                <w:rFonts w:ascii="Nunito" w:hAnsi="Nunito"/>
                <w:sz w:val="16"/>
                <w:szCs w:val="16"/>
                <w:lang w:val="ro-RO"/>
              </w:rPr>
            </w:pPr>
            <w:r>
              <w:rPr>
                <w:rFonts w:ascii="Nunito" w:hAnsi="Nunito"/>
                <w:sz w:val="16"/>
                <w:szCs w:val="16"/>
                <w:lang w:val="ro-RO"/>
              </w:rPr>
              <w:t xml:space="preserve">Proximitatea față de coridoare ecologice nu echivalează automat cu un impact semnificativ, însă reprezintă un criteriu relevant de screening în etapa de planificare și evaluare. Semnificația efectelor trebuie stabilită la nivel de proiect, prin evaluare adecvată, în raport cu obiectivele de conservare și cu speciile potențial afectate. PNGD poate evita sau reduce </w:t>
            </w:r>
            <w:r>
              <w:rPr>
                <w:rFonts w:ascii="Nunito" w:hAnsi="Nunito"/>
                <w:sz w:val="16"/>
                <w:szCs w:val="16"/>
                <w:lang w:val="ro-RO"/>
              </w:rPr>
              <w:lastRenderedPageBreak/>
              <w:t>această presiune prin localizarea adecvată a instalațiilor noi, evitarea zonelor cu rol de conectivitate și integrarea criteriilor de permeabilitate ecologică în selecția amplasamentelor.</w:t>
            </w:r>
          </w:p>
        </w:tc>
      </w:tr>
      <w:tr w:rsidR="00371F04" w:rsidRPr="0067604E" w14:paraId="22019CD6" w14:textId="77777777" w:rsidTr="00A34A79">
        <w:tc>
          <w:tcPr>
            <w:tcW w:w="837" w:type="dxa"/>
            <w:hideMark/>
          </w:tcPr>
          <w:p w14:paraId="7EAC7096"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05326E"/>
                <w:sz w:val="16"/>
                <w:szCs w:val="16"/>
                <w:lang w:val="ro-RO"/>
              </w:rPr>
              <w:lastRenderedPageBreak/>
              <w:t>P5.4</w:t>
            </w:r>
          </w:p>
        </w:tc>
        <w:tc>
          <w:tcPr>
            <w:tcW w:w="1200" w:type="dxa"/>
            <w:hideMark/>
          </w:tcPr>
          <w:p w14:paraId="3868248D" w14:textId="77777777" w:rsidR="00371F04" w:rsidRPr="0067604E" w:rsidRDefault="00371F04" w:rsidP="00371F04">
            <w:pPr>
              <w:spacing w:before="0" w:after="0" w:line="240" w:lineRule="auto"/>
              <w:rPr>
                <w:rFonts w:ascii="Nunito" w:hAnsi="Nunito"/>
                <w:sz w:val="16"/>
                <w:szCs w:val="16"/>
                <w:lang w:val="ro-RO"/>
              </w:rPr>
            </w:pPr>
            <w:r>
              <w:rPr>
                <w:rFonts w:ascii="Nunito" w:hAnsi="Nunito"/>
                <w:b/>
                <w:bCs/>
                <w:color w:val="05326E"/>
                <w:sz w:val="16"/>
                <w:szCs w:val="16"/>
                <w:lang w:val="ro-RO"/>
              </w:rPr>
              <w:t>Biodiversitate</w:t>
            </w:r>
          </w:p>
        </w:tc>
        <w:tc>
          <w:tcPr>
            <w:tcW w:w="4657" w:type="dxa"/>
            <w:hideMark/>
          </w:tcPr>
          <w:p w14:paraId="09667179" w14:textId="5D00FACB" w:rsidR="00371F04" w:rsidRPr="0067604E" w:rsidRDefault="000B29C5" w:rsidP="00371F04">
            <w:pPr>
              <w:spacing w:before="0" w:after="0" w:line="240" w:lineRule="auto"/>
              <w:jc w:val="both"/>
              <w:rPr>
                <w:rFonts w:ascii="Nunito" w:hAnsi="Nunito"/>
                <w:sz w:val="16"/>
                <w:szCs w:val="16"/>
                <w:lang w:val="ro-RO"/>
              </w:rPr>
            </w:pPr>
            <w:r>
              <w:rPr>
                <w:rFonts w:ascii="Nunito" w:hAnsi="Nunito"/>
                <w:sz w:val="16"/>
                <w:szCs w:val="16"/>
                <w:lang w:val="ro-RO"/>
              </w:rPr>
              <w:t>Răspândirea speciilor alogene invazive favorizată de depozitări necontrolate, infrastructura de gestionare a deșeurilor și fluxurile de transport..</w:t>
            </w:r>
          </w:p>
        </w:tc>
        <w:tc>
          <w:tcPr>
            <w:tcW w:w="1937" w:type="dxa"/>
            <w:hideMark/>
          </w:tcPr>
          <w:p w14:paraId="3A1BDA57"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C00000"/>
                <w:sz w:val="16"/>
                <w:szCs w:val="16"/>
                <w:lang w:val="ro-RO"/>
              </w:rPr>
              <w:t>SEMNIFICATIV</w:t>
            </w:r>
          </w:p>
        </w:tc>
        <w:tc>
          <w:tcPr>
            <w:tcW w:w="5403" w:type="dxa"/>
            <w:hideMark/>
          </w:tcPr>
          <w:p w14:paraId="59941BF6" w14:textId="4DC86B03" w:rsidR="00371F04" w:rsidRPr="0067604E" w:rsidRDefault="000B29C5" w:rsidP="00371F04">
            <w:pPr>
              <w:spacing w:before="0" w:after="0" w:line="240" w:lineRule="auto"/>
              <w:jc w:val="both"/>
              <w:rPr>
                <w:rFonts w:ascii="Nunito" w:hAnsi="Nunito"/>
                <w:sz w:val="16"/>
                <w:szCs w:val="16"/>
                <w:lang w:val="ro-RO"/>
              </w:rPr>
            </w:pPr>
            <w:r>
              <w:rPr>
                <w:rFonts w:ascii="Nunito" w:hAnsi="Nunito"/>
                <w:sz w:val="16"/>
                <w:szCs w:val="16"/>
                <w:lang w:val="ro-RO"/>
              </w:rPr>
              <w:t>Având în vedere că speciile alogene invazive reprezintă una dintre principalele presiuni globale asupra biodiversității și fac obiectul obligațiilor stabilite prin Regulamentul (UE) nr. 1143/2014 și OUG nr. 68/2016, această problemă are relevanță strategică pentru PNGD. Planul poate reduce presiunea prin eliminarea depozitărilor necontrolate, conformarea instalațiilor existente, controlul fluxurilor de deșeuri verzi și reabilitarea amplasamentelor afectate. Efectul este condiționat de implementarea efectivă a acestor măsuri.</w:t>
            </w:r>
          </w:p>
        </w:tc>
      </w:tr>
      <w:tr w:rsidR="00371F04" w:rsidRPr="00C36764" w14:paraId="361AB2F8" w14:textId="77777777" w:rsidTr="00A34A79">
        <w:tc>
          <w:tcPr>
            <w:tcW w:w="837" w:type="dxa"/>
            <w:hideMark/>
          </w:tcPr>
          <w:p w14:paraId="6B40FAB3" w14:textId="4164E56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05326E"/>
                <w:sz w:val="16"/>
                <w:szCs w:val="16"/>
                <w:lang w:val="ro-RO"/>
              </w:rPr>
              <w:t>P5.5</w:t>
            </w:r>
          </w:p>
        </w:tc>
        <w:tc>
          <w:tcPr>
            <w:tcW w:w="1200" w:type="dxa"/>
            <w:hideMark/>
          </w:tcPr>
          <w:p w14:paraId="36DE8C21" w14:textId="77777777" w:rsidR="00371F04" w:rsidRPr="0067604E" w:rsidRDefault="00371F04" w:rsidP="00371F04">
            <w:pPr>
              <w:spacing w:before="0" w:after="0" w:line="240" w:lineRule="auto"/>
              <w:rPr>
                <w:rFonts w:ascii="Nunito" w:hAnsi="Nunito"/>
                <w:sz w:val="16"/>
                <w:szCs w:val="16"/>
                <w:lang w:val="ro-RO"/>
              </w:rPr>
            </w:pPr>
            <w:r>
              <w:rPr>
                <w:rFonts w:ascii="Nunito" w:hAnsi="Nunito"/>
                <w:b/>
                <w:bCs/>
                <w:color w:val="05326E"/>
                <w:sz w:val="16"/>
                <w:szCs w:val="16"/>
                <w:lang w:val="ro-RO"/>
              </w:rPr>
              <w:t>Biodiversitate</w:t>
            </w:r>
          </w:p>
        </w:tc>
        <w:tc>
          <w:tcPr>
            <w:tcW w:w="4657" w:type="dxa"/>
            <w:hideMark/>
          </w:tcPr>
          <w:p w14:paraId="6A8145D3" w14:textId="284C24A8" w:rsidR="00371F04" w:rsidRPr="0067604E" w:rsidRDefault="000B29C5" w:rsidP="00371F04">
            <w:pPr>
              <w:spacing w:before="0" w:after="0" w:line="240" w:lineRule="auto"/>
              <w:jc w:val="both"/>
              <w:rPr>
                <w:rFonts w:ascii="Nunito" w:hAnsi="Nunito"/>
                <w:sz w:val="16"/>
                <w:szCs w:val="16"/>
                <w:lang w:val="ro-RO"/>
              </w:rPr>
            </w:pPr>
            <w:r>
              <w:rPr>
                <w:rFonts w:ascii="Nunito" w:hAnsi="Nunito"/>
                <w:sz w:val="16"/>
                <w:szCs w:val="16"/>
                <w:lang w:val="ro-RO"/>
              </w:rPr>
              <w:t>Afectarea comportamentului speciilor nocturne, crepusculare și migratoare prin poluare luminoasă generată de iluminatul operațional al instalațiilor de gestionare a deșeurilor, în special în zone cu cer natural, fond luminos redus sau în proximitatea coridoarelor ecologice și a habitatelor sensibile.).</w:t>
            </w:r>
          </w:p>
        </w:tc>
        <w:tc>
          <w:tcPr>
            <w:tcW w:w="1937" w:type="dxa"/>
            <w:hideMark/>
          </w:tcPr>
          <w:p w14:paraId="7C6099D3"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B5651D"/>
                <w:sz w:val="16"/>
                <w:szCs w:val="16"/>
                <w:lang w:val="ro-RO"/>
              </w:rPr>
              <w:t>POTENȚIAL SEMNIFICATIV</w:t>
            </w:r>
          </w:p>
        </w:tc>
        <w:tc>
          <w:tcPr>
            <w:tcW w:w="5403" w:type="dxa"/>
            <w:hideMark/>
          </w:tcPr>
          <w:p w14:paraId="7904DE02" w14:textId="77777777" w:rsidR="000B29C5" w:rsidRPr="000B29C5" w:rsidRDefault="000B29C5" w:rsidP="000B29C5">
            <w:pPr>
              <w:spacing w:line="240" w:lineRule="auto"/>
              <w:jc w:val="both"/>
              <w:rPr>
                <w:rFonts w:ascii="Nunito" w:hAnsi="Nunito"/>
                <w:sz w:val="16"/>
                <w:szCs w:val="16"/>
                <w:lang w:val="ro-RO"/>
              </w:rPr>
            </w:pPr>
            <w:r>
              <w:rPr>
                <w:rFonts w:ascii="Nunito" w:hAnsi="Nunito"/>
                <w:sz w:val="16"/>
                <w:szCs w:val="16"/>
                <w:lang w:val="ro-RO"/>
              </w:rPr>
              <w:t>Poluarea luminoasă reprezintă o presiune emergentă asupra biodiversității, cu relevanță crescută în zonele cu fond luminos redus, unde speciile nocturne, crepusculare și migratoare sunt mai sensibile la modificarea regimului natural de lumină. Efectele pot include atragerea, respingerea sau dezorientarea faunei, modificarea ritmurilor de activitate și perturbarea deplasărilor în habitatele adiacente sau pe coridoarele ecologice.</w:t>
            </w:r>
          </w:p>
          <w:p w14:paraId="20FA1C41" w14:textId="26C3491C" w:rsidR="00371F04" w:rsidRPr="0067604E" w:rsidRDefault="000B29C5" w:rsidP="000B29C5">
            <w:pPr>
              <w:spacing w:before="0" w:after="0" w:line="240" w:lineRule="auto"/>
              <w:jc w:val="both"/>
              <w:rPr>
                <w:rFonts w:ascii="Nunito" w:hAnsi="Nunito"/>
                <w:sz w:val="16"/>
                <w:szCs w:val="16"/>
                <w:lang w:val="ro-RO"/>
              </w:rPr>
            </w:pPr>
            <w:r>
              <w:rPr>
                <w:rFonts w:ascii="Nunito" w:hAnsi="Nunito"/>
                <w:sz w:val="16"/>
                <w:szCs w:val="16"/>
                <w:lang w:val="ro-RO"/>
              </w:rPr>
              <w:t>La nivel strategic, semnificația impactului asupra receptorilor biologici nu poate fi stabilită cu certitudine, aceasta depinzând de amplasament, intensitatea iluminatului, direcționarea surselor, durata funcționării și sensibilitatea speciilor prezente. PNGD poate limita această presiune prin introducerea unor criterii de iluminat responsabil pentru instalațiile noi sau modernizate, inclusiv iluminat direcționat, intensitate redusă, temperatură de culoare adecvată și utilizare doar acolo unde este necesar operațional. În absența acestor criterii, apariția unor efecte locale asupra speciilor sensibile nu poate fi exclusă.</w:t>
            </w:r>
          </w:p>
        </w:tc>
      </w:tr>
      <w:tr w:rsidR="00371F04" w:rsidRPr="00C36764" w14:paraId="5AB2330D" w14:textId="77777777" w:rsidTr="00A34A79">
        <w:tc>
          <w:tcPr>
            <w:tcW w:w="837" w:type="dxa"/>
            <w:hideMark/>
          </w:tcPr>
          <w:p w14:paraId="3950A744"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05326E"/>
                <w:sz w:val="16"/>
                <w:szCs w:val="16"/>
                <w:lang w:val="ro-RO"/>
              </w:rPr>
              <w:t>P6.1</w:t>
            </w:r>
          </w:p>
        </w:tc>
        <w:tc>
          <w:tcPr>
            <w:tcW w:w="1200" w:type="dxa"/>
            <w:hideMark/>
          </w:tcPr>
          <w:p w14:paraId="662DA701" w14:textId="186B6907" w:rsidR="00371F04" w:rsidRPr="0067604E" w:rsidRDefault="000B29C5" w:rsidP="00371F04">
            <w:pPr>
              <w:spacing w:before="0" w:after="0" w:line="240" w:lineRule="auto"/>
              <w:rPr>
                <w:rFonts w:ascii="Nunito" w:hAnsi="Nunito"/>
                <w:sz w:val="16"/>
                <w:szCs w:val="16"/>
                <w:lang w:val="ro-RO"/>
              </w:rPr>
            </w:pPr>
            <w:r>
              <w:rPr>
                <w:rFonts w:ascii="Nunito" w:hAnsi="Nunito"/>
                <w:b/>
                <w:bCs/>
                <w:color w:val="05326E"/>
                <w:sz w:val="16"/>
                <w:szCs w:val="16"/>
                <w:lang w:val="ro-RO"/>
              </w:rPr>
              <w:t>Populația și sănătatea umană</w:t>
            </w:r>
          </w:p>
        </w:tc>
        <w:tc>
          <w:tcPr>
            <w:tcW w:w="4657" w:type="dxa"/>
            <w:hideMark/>
          </w:tcPr>
          <w:p w14:paraId="67187738" w14:textId="7716B1B3" w:rsidR="00371F04" w:rsidRPr="0067604E" w:rsidRDefault="000B29C5" w:rsidP="00371F04">
            <w:pPr>
              <w:spacing w:before="0" w:after="0" w:line="240" w:lineRule="auto"/>
              <w:jc w:val="both"/>
              <w:rPr>
                <w:rFonts w:ascii="Nunito" w:hAnsi="Nunito"/>
                <w:sz w:val="16"/>
                <w:szCs w:val="16"/>
                <w:lang w:val="ro-RO"/>
              </w:rPr>
            </w:pPr>
            <w:r>
              <w:rPr>
                <w:rFonts w:ascii="Nunito" w:hAnsi="Nunito"/>
                <w:sz w:val="16"/>
                <w:szCs w:val="16"/>
                <w:lang w:val="ro-RO"/>
              </w:rPr>
              <w:t>Afectarea sănătății populației riverane prin expunerea la poluanți și mirosuri generați de gestionarea neconformă a deșeurilor.</w:t>
            </w:r>
          </w:p>
        </w:tc>
        <w:tc>
          <w:tcPr>
            <w:tcW w:w="1937" w:type="dxa"/>
            <w:hideMark/>
          </w:tcPr>
          <w:p w14:paraId="30A297FB"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C00000"/>
                <w:sz w:val="16"/>
                <w:szCs w:val="16"/>
                <w:lang w:val="ro-RO"/>
              </w:rPr>
              <w:t>SEMNIFICATIV</w:t>
            </w:r>
          </w:p>
        </w:tc>
        <w:tc>
          <w:tcPr>
            <w:tcW w:w="5403" w:type="dxa"/>
            <w:hideMark/>
          </w:tcPr>
          <w:p w14:paraId="060984C6" w14:textId="77777777" w:rsidR="000B29C5" w:rsidRPr="000B29C5" w:rsidRDefault="000B29C5" w:rsidP="000B29C5">
            <w:pPr>
              <w:spacing w:line="240" w:lineRule="auto"/>
              <w:jc w:val="both"/>
              <w:rPr>
                <w:rFonts w:ascii="Nunito" w:hAnsi="Nunito"/>
                <w:sz w:val="16"/>
                <w:szCs w:val="16"/>
                <w:lang w:val="ro-RO"/>
              </w:rPr>
            </w:pPr>
            <w:r>
              <w:rPr>
                <w:rFonts w:ascii="Nunito" w:hAnsi="Nunito"/>
                <w:sz w:val="16"/>
                <w:szCs w:val="16"/>
                <w:lang w:val="ro-RO"/>
              </w:rPr>
              <w:t>Gestionarea neconformă a deșeurilor poate genera o cale directă de expunere a populației la factori de risc pentru sănătate, prin poluarea aerului, contaminarea apei potabile, bioaerosoli și compuși toxici rezultați din arderea sau degradarea deșeurilor. Relevanța acestei presiuni este susținută de literatura de specialitate, inclusiv de studiul EUROHAZCON publicat în The Lancet (1998), care a identificat o creștere a riscului de anomalii congenitale în proximitatea depozitelor de deșeuri periculoase.</w:t>
            </w:r>
          </w:p>
          <w:p w14:paraId="68AD480E" w14:textId="036DAF9F" w:rsidR="00371F04" w:rsidRPr="0067604E" w:rsidRDefault="000B29C5" w:rsidP="000B29C5">
            <w:pPr>
              <w:spacing w:before="0" w:after="0" w:line="240" w:lineRule="auto"/>
              <w:jc w:val="both"/>
              <w:rPr>
                <w:rFonts w:ascii="Nunito" w:hAnsi="Nunito"/>
                <w:sz w:val="16"/>
                <w:szCs w:val="16"/>
                <w:lang w:val="ro-RO"/>
              </w:rPr>
            </w:pPr>
            <w:r>
              <w:rPr>
                <w:rFonts w:ascii="Nunito" w:hAnsi="Nunito"/>
                <w:sz w:val="16"/>
                <w:szCs w:val="16"/>
                <w:lang w:val="ro-RO"/>
              </w:rPr>
              <w:t>PNGD poate contribui la reducerea expunerii populației prin eliminarea practicilor neconforme, închiderea și reabilitarea depozitelor problematice, extinderea colectării conforme și controlul emisiilor și al levigatului. Efectul este condiționat de implementarea efectivă a măsurilor și de acoperirea reală a comunităților expuse, în special în zonele rurale și periurbane vulnerabile.</w:t>
            </w:r>
          </w:p>
        </w:tc>
      </w:tr>
      <w:tr w:rsidR="00371F04" w:rsidRPr="00C36764" w14:paraId="11FB4651" w14:textId="77777777" w:rsidTr="00A34A79">
        <w:tc>
          <w:tcPr>
            <w:tcW w:w="837" w:type="dxa"/>
            <w:hideMark/>
          </w:tcPr>
          <w:p w14:paraId="015D5E21"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05326E"/>
                <w:sz w:val="16"/>
                <w:szCs w:val="16"/>
                <w:lang w:val="ro-RO"/>
              </w:rPr>
              <w:lastRenderedPageBreak/>
              <w:t>P6.2</w:t>
            </w:r>
          </w:p>
        </w:tc>
        <w:tc>
          <w:tcPr>
            <w:tcW w:w="1200" w:type="dxa"/>
            <w:hideMark/>
          </w:tcPr>
          <w:p w14:paraId="75F0DABF" w14:textId="6BA8DF06" w:rsidR="00371F04" w:rsidRPr="0067604E" w:rsidRDefault="000B29C5" w:rsidP="00371F04">
            <w:pPr>
              <w:spacing w:before="0" w:after="0" w:line="240" w:lineRule="auto"/>
              <w:rPr>
                <w:rFonts w:ascii="Nunito" w:hAnsi="Nunito"/>
                <w:sz w:val="16"/>
                <w:szCs w:val="16"/>
                <w:lang w:val="ro-RO"/>
              </w:rPr>
            </w:pPr>
            <w:r>
              <w:rPr>
                <w:rFonts w:ascii="Nunito" w:hAnsi="Nunito"/>
                <w:b/>
                <w:bCs/>
                <w:color w:val="05326E"/>
                <w:sz w:val="16"/>
                <w:szCs w:val="16"/>
                <w:lang w:val="ro-RO"/>
              </w:rPr>
              <w:t>Populația și sănătatea umană</w:t>
            </w:r>
          </w:p>
        </w:tc>
        <w:tc>
          <w:tcPr>
            <w:tcW w:w="4657" w:type="dxa"/>
            <w:hideMark/>
          </w:tcPr>
          <w:p w14:paraId="3700958B" w14:textId="1287FF40" w:rsidR="00371F04" w:rsidRPr="0067604E" w:rsidRDefault="00E60F72" w:rsidP="00371F04">
            <w:pPr>
              <w:spacing w:before="0" w:after="0" w:line="240" w:lineRule="auto"/>
              <w:jc w:val="both"/>
              <w:rPr>
                <w:rFonts w:ascii="Nunito" w:hAnsi="Nunito"/>
                <w:sz w:val="16"/>
                <w:szCs w:val="16"/>
                <w:lang w:val="ro-RO"/>
              </w:rPr>
            </w:pPr>
            <w:r>
              <w:rPr>
                <w:rFonts w:ascii="Nunito" w:hAnsi="Nunito"/>
                <w:sz w:val="16"/>
                <w:szCs w:val="16"/>
                <w:lang w:val="ro-RO"/>
              </w:rPr>
              <w:t>Afectarea sănătății populației rurale prin contaminarea surselor individuale de apă potabilă cu poluanți proveniți din levigat și depozitări necontrolate..</w:t>
            </w:r>
          </w:p>
        </w:tc>
        <w:tc>
          <w:tcPr>
            <w:tcW w:w="1937" w:type="dxa"/>
            <w:hideMark/>
          </w:tcPr>
          <w:p w14:paraId="2C75C260"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C00000"/>
                <w:sz w:val="16"/>
                <w:szCs w:val="16"/>
                <w:lang w:val="ro-RO"/>
              </w:rPr>
              <w:t>SEMNIFICATIV</w:t>
            </w:r>
          </w:p>
        </w:tc>
        <w:tc>
          <w:tcPr>
            <w:tcW w:w="5403" w:type="dxa"/>
            <w:hideMark/>
          </w:tcPr>
          <w:p w14:paraId="3CAE9E4A" w14:textId="2F7584FA" w:rsidR="00371F04" w:rsidRPr="0067604E" w:rsidRDefault="00E60F72" w:rsidP="00371F04">
            <w:pPr>
              <w:spacing w:before="0" w:after="0" w:line="240" w:lineRule="auto"/>
              <w:jc w:val="both"/>
              <w:rPr>
                <w:rFonts w:ascii="Nunito" w:hAnsi="Nunito"/>
                <w:sz w:val="16"/>
                <w:szCs w:val="16"/>
                <w:lang w:val="ro-RO"/>
              </w:rPr>
            </w:pPr>
            <w:r>
              <w:rPr>
                <w:rFonts w:ascii="Nunito" w:hAnsi="Nunito"/>
                <w:sz w:val="16"/>
                <w:szCs w:val="16"/>
                <w:lang w:val="ro-RO"/>
              </w:rPr>
              <w:t>Contaminarea surselor individuale de apă potabilă din mediul rural reprezintă un risc direct și documentat pentru sănătatea populației, în special în zonele dependente de fântâni sau foraje locale. Presiunea este asociată levigatului provenit din depozite neconforme și depozitări necontrolate, care poate contribui la contaminarea acviferelor utilizate pentru alimentarea cu apă. PNGD poate reduce acest risc prin eliminarea surselor de levigat din proximitatea captărilor, închiderea și reabilitarea depozitelor neconforme și prevenirea depozitării informale. Efectul este condiționat de implementarea măsurilor și de complementaritatea cu investițiile în infrastructura de alimentare cu apă și canalizare.</w:t>
            </w:r>
          </w:p>
        </w:tc>
      </w:tr>
      <w:tr w:rsidR="00371F04" w:rsidRPr="00C36764" w14:paraId="3AF67270" w14:textId="77777777" w:rsidTr="00A34A79">
        <w:tc>
          <w:tcPr>
            <w:tcW w:w="837" w:type="dxa"/>
            <w:hideMark/>
          </w:tcPr>
          <w:p w14:paraId="6FC54533"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05326E"/>
                <w:sz w:val="16"/>
                <w:szCs w:val="16"/>
                <w:lang w:val="ro-RO"/>
              </w:rPr>
              <w:t>P7.1</w:t>
            </w:r>
          </w:p>
        </w:tc>
        <w:tc>
          <w:tcPr>
            <w:tcW w:w="1200" w:type="dxa"/>
            <w:hideMark/>
          </w:tcPr>
          <w:p w14:paraId="7DFCA312" w14:textId="77777777" w:rsidR="00371F04" w:rsidRPr="0067604E" w:rsidRDefault="00371F04" w:rsidP="00371F04">
            <w:pPr>
              <w:spacing w:before="0" w:after="0" w:line="240" w:lineRule="auto"/>
              <w:rPr>
                <w:rFonts w:ascii="Nunito" w:hAnsi="Nunito"/>
                <w:sz w:val="16"/>
                <w:szCs w:val="16"/>
                <w:lang w:val="ro-RO"/>
              </w:rPr>
            </w:pPr>
            <w:r>
              <w:rPr>
                <w:rFonts w:ascii="Nunito" w:hAnsi="Nunito"/>
                <w:b/>
                <w:bCs/>
                <w:color w:val="05326E"/>
                <w:sz w:val="16"/>
                <w:szCs w:val="16"/>
                <w:lang w:val="ro-RO"/>
              </w:rPr>
              <w:t>Mediul socio-economic</w:t>
            </w:r>
          </w:p>
        </w:tc>
        <w:tc>
          <w:tcPr>
            <w:tcW w:w="4657" w:type="dxa"/>
            <w:hideMark/>
          </w:tcPr>
          <w:p w14:paraId="4E780CBD" w14:textId="32A56792" w:rsidR="00371F04" w:rsidRPr="0067604E" w:rsidRDefault="00E60F72" w:rsidP="00371F04">
            <w:pPr>
              <w:spacing w:before="0" w:after="0" w:line="240" w:lineRule="auto"/>
              <w:jc w:val="both"/>
              <w:rPr>
                <w:rFonts w:ascii="Nunito" w:hAnsi="Nunito"/>
                <w:sz w:val="16"/>
                <w:szCs w:val="16"/>
                <w:lang w:val="ro-RO"/>
              </w:rPr>
            </w:pPr>
            <w:r>
              <w:rPr>
                <w:rFonts w:ascii="Nunito" w:hAnsi="Nunito"/>
                <w:sz w:val="16"/>
                <w:szCs w:val="16"/>
                <w:lang w:val="ro-RO"/>
              </w:rPr>
              <w:t>Persistența practicilor neconforme de gestionare a deșeurilor în comunitățile rurale și izolate, pe fondul accesului inegal la servicii conforme de colectare, transport și tratare</w:t>
            </w:r>
            <w:r>
              <w:rPr>
                <w:rFonts w:ascii="Nunito" w:hAnsi="Nunito"/>
                <w:b/>
                <w:bCs/>
                <w:sz w:val="16"/>
                <w:szCs w:val="16"/>
                <w:lang w:val="ro-RO"/>
              </w:rPr>
              <w:t>.</w:t>
            </w:r>
          </w:p>
        </w:tc>
        <w:tc>
          <w:tcPr>
            <w:tcW w:w="1937" w:type="dxa"/>
            <w:hideMark/>
          </w:tcPr>
          <w:p w14:paraId="6E8D916A"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C00000"/>
                <w:sz w:val="16"/>
                <w:szCs w:val="16"/>
                <w:lang w:val="ro-RO"/>
              </w:rPr>
              <w:t>SEMNIFICATIV</w:t>
            </w:r>
          </w:p>
        </w:tc>
        <w:tc>
          <w:tcPr>
            <w:tcW w:w="5403" w:type="dxa"/>
            <w:hideMark/>
          </w:tcPr>
          <w:p w14:paraId="481078C8" w14:textId="77777777" w:rsidR="00371F04" w:rsidRPr="0067604E" w:rsidRDefault="00371F04" w:rsidP="00371F04">
            <w:pPr>
              <w:spacing w:before="0" w:after="0" w:line="240" w:lineRule="auto"/>
              <w:jc w:val="both"/>
              <w:rPr>
                <w:rFonts w:ascii="Nunito" w:hAnsi="Nunito"/>
                <w:sz w:val="16"/>
                <w:szCs w:val="16"/>
                <w:lang w:val="ro-RO"/>
              </w:rPr>
            </w:pPr>
            <w:r>
              <w:rPr>
                <w:rFonts w:ascii="Nunito" w:hAnsi="Nunito"/>
                <w:sz w:val="16"/>
                <w:szCs w:val="16"/>
                <w:lang w:val="ro-RO"/>
              </w:rPr>
              <w:t>Factor structural care generează simultan presiuni de mediu pe mai multe componente (Aer, Apă, Sol, Peisaj, Sănătate). Planul poate reduce inechitatea prin standarde minime de servicii aplicate uniform; efectul este condiționat de mecanismele de coeziune teritorială și de finanțare.</w:t>
            </w:r>
          </w:p>
        </w:tc>
      </w:tr>
      <w:tr w:rsidR="00371F04" w:rsidRPr="0067604E" w14:paraId="6601B4AC" w14:textId="77777777" w:rsidTr="00A34A79">
        <w:tc>
          <w:tcPr>
            <w:tcW w:w="837" w:type="dxa"/>
            <w:hideMark/>
          </w:tcPr>
          <w:p w14:paraId="1B910E1A"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05326E"/>
                <w:sz w:val="16"/>
                <w:szCs w:val="16"/>
                <w:lang w:val="ro-RO"/>
              </w:rPr>
              <w:t>P7.2</w:t>
            </w:r>
          </w:p>
        </w:tc>
        <w:tc>
          <w:tcPr>
            <w:tcW w:w="1200" w:type="dxa"/>
            <w:hideMark/>
          </w:tcPr>
          <w:p w14:paraId="26D6C600" w14:textId="77777777" w:rsidR="00371F04" w:rsidRPr="0067604E" w:rsidRDefault="00371F04" w:rsidP="00371F04">
            <w:pPr>
              <w:spacing w:before="0" w:after="0" w:line="240" w:lineRule="auto"/>
              <w:rPr>
                <w:rFonts w:ascii="Nunito" w:hAnsi="Nunito"/>
                <w:sz w:val="16"/>
                <w:szCs w:val="16"/>
                <w:lang w:val="ro-RO"/>
              </w:rPr>
            </w:pPr>
            <w:r>
              <w:rPr>
                <w:rFonts w:ascii="Nunito" w:hAnsi="Nunito"/>
                <w:b/>
                <w:bCs/>
                <w:color w:val="05326E"/>
                <w:sz w:val="16"/>
                <w:szCs w:val="16"/>
                <w:lang w:val="ro-RO"/>
              </w:rPr>
              <w:t>Mediul socio-economic</w:t>
            </w:r>
          </w:p>
        </w:tc>
        <w:tc>
          <w:tcPr>
            <w:tcW w:w="4657" w:type="dxa"/>
            <w:hideMark/>
          </w:tcPr>
          <w:p w14:paraId="1E53867F" w14:textId="738C96E3" w:rsidR="00371F04" w:rsidRPr="0067604E" w:rsidRDefault="00E60F72" w:rsidP="00371F04">
            <w:pPr>
              <w:spacing w:before="0" w:after="0" w:line="240" w:lineRule="auto"/>
              <w:jc w:val="both"/>
              <w:rPr>
                <w:rFonts w:ascii="Nunito" w:hAnsi="Nunito"/>
                <w:sz w:val="16"/>
                <w:szCs w:val="16"/>
                <w:lang w:val="ro-RO"/>
              </w:rPr>
            </w:pPr>
            <w:r>
              <w:rPr>
                <w:rFonts w:ascii="Nunito" w:hAnsi="Nunito"/>
                <w:sz w:val="16"/>
                <w:szCs w:val="16"/>
                <w:lang w:val="ro-RO"/>
              </w:rPr>
              <w:t>Afectarea performanței sistemelor urbane de colectare separată prin supraîncărcarea infrastructurii existente, în contextul creșterii consumului, densității ridicate a populației și intensificării activităților economice..</w:t>
            </w:r>
          </w:p>
        </w:tc>
        <w:tc>
          <w:tcPr>
            <w:tcW w:w="1937" w:type="dxa"/>
            <w:hideMark/>
          </w:tcPr>
          <w:p w14:paraId="055B84AA"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B5651D"/>
                <w:sz w:val="16"/>
                <w:szCs w:val="16"/>
                <w:lang w:val="ro-RO"/>
              </w:rPr>
              <w:t>POTENȚIAL SEMNIFICATIV</w:t>
            </w:r>
          </w:p>
        </w:tc>
        <w:tc>
          <w:tcPr>
            <w:tcW w:w="5403" w:type="dxa"/>
            <w:hideMark/>
          </w:tcPr>
          <w:p w14:paraId="22FD2F06" w14:textId="77777777" w:rsidR="00371F04" w:rsidRPr="0067604E" w:rsidRDefault="00371F04" w:rsidP="00371F04">
            <w:pPr>
              <w:spacing w:before="0" w:after="0" w:line="240" w:lineRule="auto"/>
              <w:jc w:val="both"/>
              <w:rPr>
                <w:rFonts w:ascii="Nunito" w:hAnsi="Nunito"/>
                <w:sz w:val="16"/>
                <w:szCs w:val="16"/>
                <w:lang w:val="ro-RO"/>
              </w:rPr>
            </w:pPr>
            <w:r>
              <w:rPr>
                <w:rFonts w:ascii="Nunito" w:hAnsi="Nunito"/>
                <w:sz w:val="16"/>
                <w:szCs w:val="16"/>
                <w:lang w:val="ro-RO"/>
              </w:rPr>
              <w:t>Presiune operațională cu magnitudine variabilă în funcție de instrumentele economice și de infrastructura de tratare. Planul poate ameliora performanța prin instrumente economice și infrastructură complementară; efectul este condiționat de implementare.</w:t>
            </w:r>
          </w:p>
        </w:tc>
      </w:tr>
      <w:tr w:rsidR="00371F04" w:rsidRPr="00C36764" w14:paraId="57E88CF6" w14:textId="77777777" w:rsidTr="00A34A79">
        <w:tc>
          <w:tcPr>
            <w:tcW w:w="837" w:type="dxa"/>
            <w:hideMark/>
          </w:tcPr>
          <w:p w14:paraId="6A7D0CDD"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05326E"/>
                <w:sz w:val="16"/>
                <w:szCs w:val="16"/>
                <w:lang w:val="ro-RO"/>
              </w:rPr>
              <w:t>P7.3</w:t>
            </w:r>
          </w:p>
        </w:tc>
        <w:tc>
          <w:tcPr>
            <w:tcW w:w="1200" w:type="dxa"/>
            <w:hideMark/>
          </w:tcPr>
          <w:p w14:paraId="5A636714" w14:textId="77777777" w:rsidR="00371F04" w:rsidRPr="0067604E" w:rsidRDefault="00371F04" w:rsidP="00371F04">
            <w:pPr>
              <w:spacing w:before="0" w:after="0" w:line="240" w:lineRule="auto"/>
              <w:rPr>
                <w:rFonts w:ascii="Nunito" w:hAnsi="Nunito"/>
                <w:sz w:val="16"/>
                <w:szCs w:val="16"/>
                <w:lang w:val="ro-RO"/>
              </w:rPr>
            </w:pPr>
            <w:r>
              <w:rPr>
                <w:rFonts w:ascii="Nunito" w:hAnsi="Nunito"/>
                <w:b/>
                <w:bCs/>
                <w:color w:val="05326E"/>
                <w:sz w:val="16"/>
                <w:szCs w:val="16"/>
                <w:lang w:val="ro-RO"/>
              </w:rPr>
              <w:t>Mediul socio-economic</w:t>
            </w:r>
          </w:p>
        </w:tc>
        <w:tc>
          <w:tcPr>
            <w:tcW w:w="4657" w:type="dxa"/>
            <w:hideMark/>
          </w:tcPr>
          <w:p w14:paraId="0263E057" w14:textId="54A3A4A6" w:rsidR="00371F04" w:rsidRPr="0067604E" w:rsidRDefault="00E60F72" w:rsidP="00371F04">
            <w:pPr>
              <w:spacing w:before="0" w:after="0" w:line="240" w:lineRule="auto"/>
              <w:jc w:val="both"/>
              <w:rPr>
                <w:rFonts w:ascii="Nunito" w:hAnsi="Nunito"/>
                <w:sz w:val="16"/>
                <w:szCs w:val="16"/>
                <w:lang w:val="ro-RO"/>
              </w:rPr>
            </w:pPr>
            <w:r>
              <w:rPr>
                <w:rFonts w:ascii="Nunito" w:hAnsi="Nunito"/>
                <w:sz w:val="16"/>
                <w:szCs w:val="16"/>
                <w:lang w:val="ro-RO"/>
              </w:rPr>
              <w:t>Risc de diminuare sau pierdere a finanțărilor disponibile pentru sectorul deșeurilor ca urmare a neatingerii jaloanelor asumate prin PNRR – Componenta 3, cu efect asupra proiectelor de infrastructură aflate în pregătire, licitație sau execuție.).</w:t>
            </w:r>
          </w:p>
        </w:tc>
        <w:tc>
          <w:tcPr>
            <w:tcW w:w="1937" w:type="dxa"/>
            <w:hideMark/>
          </w:tcPr>
          <w:p w14:paraId="4CA22386"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C00000"/>
                <w:sz w:val="16"/>
                <w:szCs w:val="16"/>
                <w:lang w:val="ro-RO"/>
              </w:rPr>
              <w:t>SEMNIFICATIV</w:t>
            </w:r>
          </w:p>
        </w:tc>
        <w:tc>
          <w:tcPr>
            <w:tcW w:w="5403" w:type="dxa"/>
            <w:hideMark/>
          </w:tcPr>
          <w:p w14:paraId="58419D40" w14:textId="77777777" w:rsidR="00E60F72" w:rsidRPr="00E60F72" w:rsidRDefault="00E60F72" w:rsidP="00E60F72">
            <w:pPr>
              <w:spacing w:line="240" w:lineRule="auto"/>
              <w:jc w:val="both"/>
              <w:rPr>
                <w:rFonts w:ascii="Nunito" w:hAnsi="Nunito"/>
                <w:sz w:val="16"/>
                <w:szCs w:val="16"/>
                <w:lang w:val="ro-RO"/>
              </w:rPr>
            </w:pPr>
            <w:r>
              <w:rPr>
                <w:rFonts w:ascii="Nunito" w:hAnsi="Nunito"/>
                <w:sz w:val="16"/>
                <w:szCs w:val="16"/>
                <w:lang w:val="ro-RO"/>
              </w:rPr>
              <w:t>Neatingerea jaloanelor asumate prin PNRR generează o consecință financiară directă asupra sectorului deșeurilor, prin riscul de pierdere, suspendare sau returnare a finanțărilor alocate investițiilor de conformare. Impactul depășește nivelul proiectelor individuale, având relevanță macroeconomică și instituțională, întrucât poate limita capacitatea României de a finanța infrastructura necesară pentru atingerea țintelor de reciclare, tratare și reducere a depozitării.</w:t>
            </w:r>
          </w:p>
          <w:p w14:paraId="0339B52F" w14:textId="28C07B21" w:rsidR="00371F04" w:rsidRPr="0067604E" w:rsidRDefault="00E60F72" w:rsidP="00E60F72">
            <w:pPr>
              <w:spacing w:before="0" w:after="0" w:line="240" w:lineRule="auto"/>
              <w:jc w:val="both"/>
              <w:rPr>
                <w:rFonts w:ascii="Nunito" w:hAnsi="Nunito"/>
                <w:sz w:val="16"/>
                <w:szCs w:val="16"/>
                <w:lang w:val="ro-RO"/>
              </w:rPr>
            </w:pPr>
            <w:r>
              <w:rPr>
                <w:rFonts w:ascii="Nunito" w:hAnsi="Nunito"/>
                <w:sz w:val="16"/>
                <w:szCs w:val="16"/>
                <w:lang w:val="ro-RO"/>
              </w:rPr>
              <w:t>În acest context, costul neimplementării poate depăși costul implementării, prin cumularea pierderilor de finanțare, a riscurilor de infringement, a întârzierilor investiționale și a menținerii costurilor de mediu. PNGD poate reduce direct acest risc prin atingerea jaloanelor și corelarea măsurilor cu calendarul PNRR, efectul fiind condiționat de respectarea termenelor de implementare și de operaționalizarea la timp a infrastructurii finanțate.</w:t>
            </w:r>
          </w:p>
        </w:tc>
      </w:tr>
      <w:tr w:rsidR="00371F04" w:rsidRPr="00C36764" w14:paraId="79774C7B" w14:textId="77777777" w:rsidTr="00A34A79">
        <w:tc>
          <w:tcPr>
            <w:tcW w:w="837" w:type="dxa"/>
            <w:hideMark/>
          </w:tcPr>
          <w:p w14:paraId="0F749EC0"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05326E"/>
                <w:sz w:val="16"/>
                <w:szCs w:val="16"/>
                <w:lang w:val="ro-RO"/>
              </w:rPr>
              <w:t>P8.1</w:t>
            </w:r>
          </w:p>
        </w:tc>
        <w:tc>
          <w:tcPr>
            <w:tcW w:w="1200" w:type="dxa"/>
            <w:hideMark/>
          </w:tcPr>
          <w:p w14:paraId="07FAED04" w14:textId="77777777" w:rsidR="00371F04" w:rsidRPr="0067604E" w:rsidRDefault="00371F04" w:rsidP="00371F04">
            <w:pPr>
              <w:spacing w:before="0" w:after="0" w:line="240" w:lineRule="auto"/>
              <w:rPr>
                <w:rFonts w:ascii="Nunito" w:hAnsi="Nunito"/>
                <w:sz w:val="16"/>
                <w:szCs w:val="16"/>
                <w:lang w:val="ro-RO"/>
              </w:rPr>
            </w:pPr>
            <w:r>
              <w:rPr>
                <w:rFonts w:ascii="Nunito" w:hAnsi="Nunito"/>
                <w:b/>
                <w:bCs/>
                <w:color w:val="05326E"/>
                <w:sz w:val="16"/>
                <w:szCs w:val="16"/>
                <w:lang w:val="ro-RO"/>
              </w:rPr>
              <w:t>Patrimoniul cultural</w:t>
            </w:r>
          </w:p>
        </w:tc>
        <w:tc>
          <w:tcPr>
            <w:tcW w:w="4657" w:type="dxa"/>
            <w:hideMark/>
          </w:tcPr>
          <w:p w14:paraId="417DBF4C" w14:textId="11FCA9B1" w:rsidR="00371F04" w:rsidRPr="00A34A79" w:rsidRDefault="00A34A79" w:rsidP="00371F04">
            <w:pPr>
              <w:spacing w:before="0" w:after="0" w:line="240" w:lineRule="auto"/>
              <w:jc w:val="both"/>
              <w:rPr>
                <w:rFonts w:ascii="Nunito" w:hAnsi="Nunito"/>
                <w:sz w:val="16"/>
                <w:szCs w:val="16"/>
                <w:lang w:val="ro-RO"/>
              </w:rPr>
            </w:pPr>
            <w:r>
              <w:rPr>
                <w:rFonts w:ascii="Nunito" w:hAnsi="Nunito"/>
                <w:sz w:val="16"/>
                <w:szCs w:val="16"/>
                <w:lang w:val="ro-RO"/>
              </w:rPr>
              <w:t>Risc de afectare a integrității siturilor arheologice și a stratificațiilor arheostratigrafice în amplasamente unde instalațiile de gestionare a deșeurilor se suprapun direct cu situri arheologice sau cu perimetre de protecție.</w:t>
            </w:r>
          </w:p>
        </w:tc>
        <w:tc>
          <w:tcPr>
            <w:tcW w:w="1937" w:type="dxa"/>
            <w:hideMark/>
          </w:tcPr>
          <w:p w14:paraId="10208D0C"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B5651D"/>
                <w:sz w:val="16"/>
                <w:szCs w:val="16"/>
                <w:lang w:val="ro-RO"/>
              </w:rPr>
              <w:t>POTENȚIAL SEMNIFICATIV</w:t>
            </w:r>
          </w:p>
        </w:tc>
        <w:tc>
          <w:tcPr>
            <w:tcW w:w="5403" w:type="dxa"/>
            <w:hideMark/>
          </w:tcPr>
          <w:p w14:paraId="4BCFAEF2" w14:textId="74F1AA58" w:rsidR="00371F04" w:rsidRPr="0067604E" w:rsidRDefault="00A34A79" w:rsidP="00371F04">
            <w:pPr>
              <w:spacing w:before="0" w:after="0" w:line="240" w:lineRule="auto"/>
              <w:jc w:val="both"/>
              <w:rPr>
                <w:rFonts w:ascii="Nunito" w:hAnsi="Nunito"/>
                <w:sz w:val="16"/>
                <w:szCs w:val="16"/>
                <w:lang w:val="ro-RO"/>
              </w:rPr>
            </w:pPr>
            <w:r>
              <w:rPr>
                <w:rFonts w:ascii="Nunito" w:hAnsi="Nunito"/>
                <w:sz w:val="16"/>
                <w:szCs w:val="16"/>
                <w:lang w:val="ro-RO"/>
              </w:rPr>
              <w:t>Conflictele spațiale dintre infrastructura de gestionare a deșeurilor și siturile arheologice, monumentele istorice sau zonele lor de protecție sunt documentate și impun verificări specifice la nivel de amplasament, inclusiv notificarea/consultarea autorităților competente în domeniul patrimoniului cultural, respectiv Ministerul Culturii și INP, după caz. Semnificația efectului nu poate fi stabilită uniform la nivel strategic, deoarece depinde de tipul patrimoniului afectat, natura intervenției, distanța față de receptor și intensitatea activităților asociate.</w:t>
            </w:r>
          </w:p>
        </w:tc>
      </w:tr>
      <w:tr w:rsidR="00371F04" w:rsidRPr="00C36764" w14:paraId="7A527CC9" w14:textId="77777777" w:rsidTr="00A34A79">
        <w:tc>
          <w:tcPr>
            <w:tcW w:w="837" w:type="dxa"/>
            <w:hideMark/>
          </w:tcPr>
          <w:p w14:paraId="0622397B" w14:textId="62AEE77A"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05326E"/>
                <w:sz w:val="16"/>
                <w:szCs w:val="16"/>
                <w:lang w:val="ro-RO"/>
              </w:rPr>
              <w:lastRenderedPageBreak/>
              <w:t>P8.2</w:t>
            </w:r>
          </w:p>
        </w:tc>
        <w:tc>
          <w:tcPr>
            <w:tcW w:w="1200" w:type="dxa"/>
            <w:hideMark/>
          </w:tcPr>
          <w:p w14:paraId="6A03C4E0" w14:textId="77777777" w:rsidR="00371F04" w:rsidRPr="0067604E" w:rsidRDefault="00371F04" w:rsidP="00371F04">
            <w:pPr>
              <w:spacing w:before="0" w:after="0" w:line="240" w:lineRule="auto"/>
              <w:rPr>
                <w:rFonts w:ascii="Nunito" w:hAnsi="Nunito"/>
                <w:sz w:val="16"/>
                <w:szCs w:val="16"/>
                <w:lang w:val="ro-RO"/>
              </w:rPr>
            </w:pPr>
            <w:r>
              <w:rPr>
                <w:rFonts w:ascii="Nunito" w:hAnsi="Nunito"/>
                <w:b/>
                <w:bCs/>
                <w:color w:val="05326E"/>
                <w:sz w:val="16"/>
                <w:szCs w:val="16"/>
                <w:lang w:val="ro-RO"/>
              </w:rPr>
              <w:t>Patrimoniul cultural</w:t>
            </w:r>
          </w:p>
        </w:tc>
        <w:tc>
          <w:tcPr>
            <w:tcW w:w="4657" w:type="dxa"/>
            <w:hideMark/>
          </w:tcPr>
          <w:p w14:paraId="222BD3BF" w14:textId="2B835C7D" w:rsidR="00371F04" w:rsidRPr="00A34A79" w:rsidRDefault="00A34A79" w:rsidP="00371F04">
            <w:pPr>
              <w:spacing w:before="0" w:after="0" w:line="240" w:lineRule="auto"/>
              <w:jc w:val="both"/>
              <w:rPr>
                <w:rFonts w:ascii="Nunito" w:hAnsi="Nunito"/>
                <w:sz w:val="16"/>
                <w:szCs w:val="16"/>
                <w:lang w:val="ro-RO"/>
              </w:rPr>
            </w:pPr>
            <w:r>
              <w:rPr>
                <w:rFonts w:ascii="Nunito" w:hAnsi="Nunito"/>
                <w:sz w:val="16"/>
                <w:szCs w:val="16"/>
                <w:lang w:val="ro-RO"/>
              </w:rPr>
              <w:t>Afectarea imaginii, atractivității turistice și integrității vizuale a obiectivelor de patrimoniu prin abandonul deșeurilor în zone cu valoare culturală, istorică sau simbolică..</w:t>
            </w:r>
          </w:p>
        </w:tc>
        <w:tc>
          <w:tcPr>
            <w:tcW w:w="1937" w:type="dxa"/>
            <w:hideMark/>
          </w:tcPr>
          <w:p w14:paraId="066705EE"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4F7A28"/>
                <w:sz w:val="16"/>
                <w:szCs w:val="16"/>
                <w:lang w:val="ro-RO"/>
              </w:rPr>
              <w:t>NESEMNIFICATIV</w:t>
            </w:r>
          </w:p>
        </w:tc>
        <w:tc>
          <w:tcPr>
            <w:tcW w:w="5403" w:type="dxa"/>
            <w:hideMark/>
          </w:tcPr>
          <w:p w14:paraId="395B3023" w14:textId="77777777" w:rsidR="00371F04" w:rsidRPr="0067604E" w:rsidRDefault="00371F04" w:rsidP="00371F04">
            <w:pPr>
              <w:spacing w:before="0" w:after="0" w:line="240" w:lineRule="auto"/>
              <w:jc w:val="both"/>
              <w:rPr>
                <w:rFonts w:ascii="Nunito" w:hAnsi="Nunito"/>
                <w:sz w:val="16"/>
                <w:szCs w:val="16"/>
                <w:lang w:val="ro-RO"/>
              </w:rPr>
            </w:pPr>
            <w:r>
              <w:rPr>
                <w:rFonts w:ascii="Nunito" w:hAnsi="Nunito"/>
                <w:sz w:val="16"/>
                <w:szCs w:val="16"/>
                <w:lang w:val="ro-RO"/>
              </w:rPr>
              <w:t>Degradare vizuală locală și reversibilă, cu impact gestionabil prin colectare; clasificarea reflectă caracterul local și reversibil, nu presupunerea unor măsuri. Planul poate ameliora situația prin acoperirea cu servicii de colectare.</w:t>
            </w:r>
          </w:p>
        </w:tc>
      </w:tr>
      <w:tr w:rsidR="00371F04" w:rsidRPr="00C36764" w14:paraId="282D4100" w14:textId="77777777" w:rsidTr="00A34A79">
        <w:tc>
          <w:tcPr>
            <w:tcW w:w="837" w:type="dxa"/>
            <w:hideMark/>
          </w:tcPr>
          <w:p w14:paraId="34A447A0"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05326E"/>
                <w:sz w:val="16"/>
                <w:szCs w:val="16"/>
                <w:lang w:val="ro-RO"/>
              </w:rPr>
              <w:t>P9.1</w:t>
            </w:r>
          </w:p>
        </w:tc>
        <w:tc>
          <w:tcPr>
            <w:tcW w:w="1200" w:type="dxa"/>
            <w:hideMark/>
          </w:tcPr>
          <w:p w14:paraId="1D5C984C" w14:textId="77777777" w:rsidR="00371F04" w:rsidRPr="0067604E" w:rsidRDefault="00371F04" w:rsidP="00371F04">
            <w:pPr>
              <w:spacing w:before="0" w:after="0" w:line="240" w:lineRule="auto"/>
              <w:rPr>
                <w:rFonts w:ascii="Nunito" w:hAnsi="Nunito"/>
                <w:sz w:val="16"/>
                <w:szCs w:val="16"/>
                <w:lang w:val="ro-RO"/>
              </w:rPr>
            </w:pPr>
            <w:r>
              <w:rPr>
                <w:rFonts w:ascii="Nunito" w:hAnsi="Nunito"/>
                <w:b/>
                <w:bCs/>
                <w:color w:val="05326E"/>
                <w:sz w:val="16"/>
                <w:szCs w:val="16"/>
                <w:lang w:val="ro-RO"/>
              </w:rPr>
              <w:t>Peisaj</w:t>
            </w:r>
          </w:p>
        </w:tc>
        <w:tc>
          <w:tcPr>
            <w:tcW w:w="4657" w:type="dxa"/>
            <w:hideMark/>
          </w:tcPr>
          <w:p w14:paraId="5BB7E789" w14:textId="53BB0207" w:rsidR="00371F04" w:rsidRPr="0067604E" w:rsidRDefault="00EF2289" w:rsidP="00371F04">
            <w:pPr>
              <w:spacing w:before="0" w:after="0" w:line="240" w:lineRule="auto"/>
              <w:jc w:val="both"/>
              <w:rPr>
                <w:rFonts w:ascii="Nunito" w:hAnsi="Nunito"/>
                <w:sz w:val="16"/>
                <w:szCs w:val="16"/>
                <w:lang w:val="ro-RO"/>
              </w:rPr>
            </w:pPr>
            <w:r>
              <w:rPr>
                <w:rFonts w:ascii="Nunito" w:hAnsi="Nunito"/>
                <w:sz w:val="16"/>
                <w:szCs w:val="16"/>
                <w:lang w:val="ro-RO"/>
              </w:rPr>
              <w:t>Degradarea calității peisajului rural, periurban, urban și turistic prin acumularea vizibilă a deșeurilor abandonate, supraîncărcarea platformelor de colectare și dispersia materialelor ușoare de-a lungul drumurilor, rutelor turistice, malurilor, intrărilor în localități și zonelor cu valoare recreativă sau scenică.</w:t>
            </w:r>
          </w:p>
        </w:tc>
        <w:tc>
          <w:tcPr>
            <w:tcW w:w="1937" w:type="dxa"/>
            <w:hideMark/>
          </w:tcPr>
          <w:p w14:paraId="393A6C61"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C00000"/>
                <w:sz w:val="16"/>
                <w:szCs w:val="16"/>
                <w:lang w:val="ro-RO"/>
              </w:rPr>
              <w:t>SEMNIFICATIV</w:t>
            </w:r>
          </w:p>
        </w:tc>
        <w:tc>
          <w:tcPr>
            <w:tcW w:w="5403" w:type="dxa"/>
            <w:hideMark/>
          </w:tcPr>
          <w:p w14:paraId="115C9783" w14:textId="77777777" w:rsidR="00371F04" w:rsidRPr="0067604E" w:rsidRDefault="00371F04" w:rsidP="00371F04">
            <w:pPr>
              <w:spacing w:before="0" w:after="0" w:line="240" w:lineRule="auto"/>
              <w:jc w:val="both"/>
              <w:rPr>
                <w:rFonts w:ascii="Nunito" w:hAnsi="Nunito"/>
                <w:sz w:val="16"/>
                <w:szCs w:val="16"/>
                <w:lang w:val="ro-RO"/>
              </w:rPr>
            </w:pPr>
            <w:r>
              <w:rPr>
                <w:rFonts w:ascii="Nunito" w:hAnsi="Nunito"/>
                <w:sz w:val="16"/>
                <w:szCs w:val="16"/>
                <w:lang w:val="ro-RO"/>
              </w:rPr>
              <w:t>Fenomen amplu, reflectând direct absența alternativelor conforme de colectare, cu relevanță pentru Convenția Europeană a Peisajului. Planul poate reduce presiunea prin acoperirea universală cu servicii de colectare; efectul este condiționat de implementare.</w:t>
            </w:r>
          </w:p>
        </w:tc>
      </w:tr>
      <w:tr w:rsidR="00371F04" w:rsidRPr="00C36764" w14:paraId="4FA341D8" w14:textId="77777777" w:rsidTr="00A34A79">
        <w:tc>
          <w:tcPr>
            <w:tcW w:w="837" w:type="dxa"/>
            <w:hideMark/>
          </w:tcPr>
          <w:p w14:paraId="27EA3879" w14:textId="1D6A5A8F"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05326E"/>
                <w:sz w:val="16"/>
                <w:szCs w:val="16"/>
                <w:lang w:val="ro-RO"/>
              </w:rPr>
              <w:t>P9.3</w:t>
            </w:r>
          </w:p>
        </w:tc>
        <w:tc>
          <w:tcPr>
            <w:tcW w:w="1200" w:type="dxa"/>
            <w:hideMark/>
          </w:tcPr>
          <w:p w14:paraId="5F854C9A" w14:textId="77777777" w:rsidR="00371F04" w:rsidRPr="0067604E" w:rsidRDefault="00371F04" w:rsidP="00371F04">
            <w:pPr>
              <w:spacing w:before="0" w:after="0" w:line="240" w:lineRule="auto"/>
              <w:rPr>
                <w:rFonts w:ascii="Nunito" w:hAnsi="Nunito"/>
                <w:sz w:val="16"/>
                <w:szCs w:val="16"/>
                <w:lang w:val="ro-RO"/>
              </w:rPr>
            </w:pPr>
            <w:r>
              <w:rPr>
                <w:rFonts w:ascii="Nunito" w:hAnsi="Nunito"/>
                <w:b/>
                <w:bCs/>
                <w:color w:val="05326E"/>
                <w:sz w:val="16"/>
                <w:szCs w:val="16"/>
                <w:lang w:val="ro-RO"/>
              </w:rPr>
              <w:t>Peisaj</w:t>
            </w:r>
          </w:p>
        </w:tc>
        <w:tc>
          <w:tcPr>
            <w:tcW w:w="4657" w:type="dxa"/>
            <w:hideMark/>
          </w:tcPr>
          <w:p w14:paraId="6B2D3E8A" w14:textId="4887655A" w:rsidR="00371F04" w:rsidRPr="0067604E" w:rsidRDefault="00EF2289" w:rsidP="00371F04">
            <w:pPr>
              <w:spacing w:before="0" w:after="0" w:line="240" w:lineRule="auto"/>
              <w:jc w:val="both"/>
              <w:rPr>
                <w:rFonts w:ascii="Nunito" w:hAnsi="Nunito"/>
                <w:sz w:val="16"/>
                <w:szCs w:val="16"/>
                <w:lang w:val="ro-RO"/>
              </w:rPr>
            </w:pPr>
            <w:r>
              <w:rPr>
                <w:rFonts w:ascii="Nunito" w:hAnsi="Nunito"/>
                <w:sz w:val="16"/>
                <w:szCs w:val="16"/>
                <w:lang w:val="ro-RO"/>
              </w:rPr>
              <w:t>Afectarea caracterului și percepției peisajului prin amplasarea depozitelor, stațiilor de transfer, instalațiilor TMB, platformelor de tratare/stocare și drumurilor de acces în peisaje deschise, periurbane, rurale sau tradiționale, unde infrastructura poate produce intruziune vizuală și artificializarea cadrului peisager.</w:t>
            </w:r>
          </w:p>
        </w:tc>
        <w:tc>
          <w:tcPr>
            <w:tcW w:w="1937" w:type="dxa"/>
            <w:hideMark/>
          </w:tcPr>
          <w:p w14:paraId="41C52B1F"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B5651D"/>
                <w:sz w:val="16"/>
                <w:szCs w:val="16"/>
                <w:lang w:val="ro-RO"/>
              </w:rPr>
              <w:t>POTENȚIAL SEMNIFICATIV</w:t>
            </w:r>
          </w:p>
        </w:tc>
        <w:tc>
          <w:tcPr>
            <w:tcW w:w="5403" w:type="dxa"/>
            <w:hideMark/>
          </w:tcPr>
          <w:p w14:paraId="441408D2" w14:textId="77777777" w:rsidR="00371F04" w:rsidRPr="0067604E" w:rsidRDefault="00371F04" w:rsidP="00371F04">
            <w:pPr>
              <w:spacing w:before="0" w:after="0" w:line="240" w:lineRule="auto"/>
              <w:jc w:val="both"/>
              <w:rPr>
                <w:rFonts w:ascii="Nunito" w:hAnsi="Nunito"/>
                <w:sz w:val="16"/>
                <w:szCs w:val="16"/>
                <w:lang w:val="ro-RO"/>
              </w:rPr>
            </w:pPr>
            <w:r>
              <w:rPr>
                <w:rFonts w:ascii="Nunito" w:hAnsi="Nunito"/>
                <w:sz w:val="16"/>
                <w:szCs w:val="16"/>
                <w:lang w:val="ro-RO"/>
              </w:rPr>
              <w:t>Impact vizual cu magnitudine dependentă de amplasament; semnificația se confirmă prin evaluarea peisajului la nivel de proiect. Planul poate reduce presiunea prin cerințe de integrare peisageră pentru amplasamentele noi și de reabilitare la închidere.</w:t>
            </w:r>
          </w:p>
        </w:tc>
      </w:tr>
      <w:tr w:rsidR="00371F04" w:rsidRPr="00C36764" w14:paraId="21013B5A" w14:textId="77777777" w:rsidTr="00A34A79">
        <w:tc>
          <w:tcPr>
            <w:tcW w:w="837" w:type="dxa"/>
            <w:hideMark/>
          </w:tcPr>
          <w:p w14:paraId="3E97A05B"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05326E"/>
                <w:sz w:val="16"/>
                <w:szCs w:val="16"/>
                <w:lang w:val="ro-RO"/>
              </w:rPr>
              <w:t>P10.1</w:t>
            </w:r>
          </w:p>
        </w:tc>
        <w:tc>
          <w:tcPr>
            <w:tcW w:w="1200" w:type="dxa"/>
            <w:hideMark/>
          </w:tcPr>
          <w:p w14:paraId="59EF93C1" w14:textId="77777777" w:rsidR="00371F04" w:rsidRPr="0067604E" w:rsidRDefault="00371F04" w:rsidP="00371F04">
            <w:pPr>
              <w:spacing w:before="0" w:after="0" w:line="240" w:lineRule="auto"/>
              <w:rPr>
                <w:rFonts w:ascii="Nunito" w:hAnsi="Nunito"/>
                <w:sz w:val="16"/>
                <w:szCs w:val="16"/>
                <w:lang w:val="ro-RO"/>
              </w:rPr>
            </w:pPr>
            <w:r>
              <w:rPr>
                <w:rFonts w:ascii="Nunito" w:hAnsi="Nunito"/>
                <w:b/>
                <w:bCs/>
                <w:color w:val="05326E"/>
                <w:sz w:val="16"/>
                <w:szCs w:val="16"/>
                <w:lang w:val="ro-RO"/>
              </w:rPr>
              <w:t>Valori materiale</w:t>
            </w:r>
          </w:p>
        </w:tc>
        <w:tc>
          <w:tcPr>
            <w:tcW w:w="4657" w:type="dxa"/>
            <w:hideMark/>
          </w:tcPr>
          <w:p w14:paraId="59D814CC" w14:textId="532D3B92" w:rsidR="00371F04" w:rsidRPr="0067604E" w:rsidRDefault="00511C67" w:rsidP="00371F04">
            <w:pPr>
              <w:spacing w:before="0" w:after="0" w:line="240" w:lineRule="auto"/>
              <w:jc w:val="both"/>
              <w:rPr>
                <w:rFonts w:ascii="Nunito" w:hAnsi="Nunito"/>
                <w:sz w:val="16"/>
                <w:szCs w:val="16"/>
                <w:lang w:val="ro-RO"/>
              </w:rPr>
            </w:pPr>
            <w:r>
              <w:rPr>
                <w:rFonts w:ascii="Nunito" w:hAnsi="Nunito"/>
                <w:sz w:val="16"/>
                <w:szCs w:val="16"/>
                <w:lang w:val="ro-RO"/>
              </w:rPr>
              <w:t>Presiune asupra capacității funcționale a infrastructurii de gestionare a deșeurilor, prin saturarea depozitelor conforme și performanța insuficientă a instalațiilor de tratare existente.</w:t>
            </w:r>
          </w:p>
        </w:tc>
        <w:tc>
          <w:tcPr>
            <w:tcW w:w="1937" w:type="dxa"/>
            <w:hideMark/>
          </w:tcPr>
          <w:p w14:paraId="51A2C35B"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C00000"/>
                <w:sz w:val="16"/>
                <w:szCs w:val="16"/>
                <w:lang w:val="ro-RO"/>
              </w:rPr>
              <w:t>SEMNIFICATIV</w:t>
            </w:r>
          </w:p>
        </w:tc>
        <w:tc>
          <w:tcPr>
            <w:tcW w:w="5403" w:type="dxa"/>
            <w:hideMark/>
          </w:tcPr>
          <w:p w14:paraId="6C2D4D74" w14:textId="77777777" w:rsidR="00371F04" w:rsidRPr="0067604E" w:rsidRDefault="00371F04" w:rsidP="00371F04">
            <w:pPr>
              <w:spacing w:before="0" w:after="0" w:line="240" w:lineRule="auto"/>
              <w:jc w:val="both"/>
              <w:rPr>
                <w:rFonts w:ascii="Nunito" w:hAnsi="Nunito"/>
                <w:sz w:val="16"/>
                <w:szCs w:val="16"/>
                <w:lang w:val="ro-RO"/>
              </w:rPr>
            </w:pPr>
            <w:r>
              <w:rPr>
                <w:rFonts w:ascii="Nunito" w:hAnsi="Nunito"/>
                <w:sz w:val="16"/>
                <w:szCs w:val="16"/>
                <w:lang w:val="ro-RO"/>
              </w:rPr>
              <w:t>Deficit de capacitate la scară națională, cu risc de blocaj operațional. Planul poate reduce presiunea prin devierea de la depozitare și completarea infrastructurii; efectul este condiționat de implementarea capacităților de tratare.</w:t>
            </w:r>
          </w:p>
        </w:tc>
      </w:tr>
      <w:tr w:rsidR="00371F04" w:rsidRPr="00C36764" w14:paraId="0B176577" w14:textId="77777777" w:rsidTr="00A34A79">
        <w:tc>
          <w:tcPr>
            <w:tcW w:w="837" w:type="dxa"/>
            <w:hideMark/>
          </w:tcPr>
          <w:p w14:paraId="474EA7DD"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05326E"/>
                <w:sz w:val="16"/>
                <w:szCs w:val="16"/>
                <w:lang w:val="ro-RO"/>
              </w:rPr>
              <w:t>P10.2</w:t>
            </w:r>
          </w:p>
        </w:tc>
        <w:tc>
          <w:tcPr>
            <w:tcW w:w="1200" w:type="dxa"/>
            <w:hideMark/>
          </w:tcPr>
          <w:p w14:paraId="2F8A9DA8" w14:textId="77777777" w:rsidR="00371F04" w:rsidRPr="0067604E" w:rsidRDefault="00371F04" w:rsidP="00371F04">
            <w:pPr>
              <w:spacing w:before="0" w:after="0" w:line="240" w:lineRule="auto"/>
              <w:rPr>
                <w:rFonts w:ascii="Nunito" w:hAnsi="Nunito"/>
                <w:sz w:val="16"/>
                <w:szCs w:val="16"/>
                <w:lang w:val="ro-RO"/>
              </w:rPr>
            </w:pPr>
            <w:r>
              <w:rPr>
                <w:rFonts w:ascii="Nunito" w:hAnsi="Nunito"/>
                <w:b/>
                <w:bCs/>
                <w:color w:val="05326E"/>
                <w:sz w:val="16"/>
                <w:szCs w:val="16"/>
                <w:lang w:val="ro-RO"/>
              </w:rPr>
              <w:t>Valori materiale</w:t>
            </w:r>
          </w:p>
        </w:tc>
        <w:tc>
          <w:tcPr>
            <w:tcW w:w="4657" w:type="dxa"/>
            <w:hideMark/>
          </w:tcPr>
          <w:p w14:paraId="66E90EFA" w14:textId="11AC7AC2" w:rsidR="00371F04" w:rsidRPr="0067604E" w:rsidRDefault="0028528C" w:rsidP="00371F04">
            <w:pPr>
              <w:spacing w:before="0" w:after="0" w:line="240" w:lineRule="auto"/>
              <w:jc w:val="both"/>
              <w:rPr>
                <w:rFonts w:ascii="Nunito" w:hAnsi="Nunito"/>
                <w:sz w:val="16"/>
                <w:szCs w:val="16"/>
                <w:lang w:val="ro-RO"/>
              </w:rPr>
            </w:pPr>
            <w:r>
              <w:rPr>
                <w:rFonts w:ascii="Nunito" w:hAnsi="Nunito"/>
                <w:sz w:val="16"/>
                <w:szCs w:val="16"/>
                <w:lang w:val="ro-RO"/>
              </w:rPr>
              <w:t>Pierderea valorii materiale a resurselor prin depozitarea deșeurilor recuperabile și valorificarea insuficientă a materialelor secundare.</w:t>
            </w:r>
          </w:p>
        </w:tc>
        <w:tc>
          <w:tcPr>
            <w:tcW w:w="1937" w:type="dxa"/>
            <w:hideMark/>
          </w:tcPr>
          <w:p w14:paraId="15F08C6D"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C00000"/>
                <w:sz w:val="16"/>
                <w:szCs w:val="16"/>
                <w:lang w:val="ro-RO"/>
              </w:rPr>
              <w:t>SEMNIFICATIV</w:t>
            </w:r>
          </w:p>
        </w:tc>
        <w:tc>
          <w:tcPr>
            <w:tcW w:w="5403" w:type="dxa"/>
            <w:hideMark/>
          </w:tcPr>
          <w:p w14:paraId="4847F1E3" w14:textId="0C0173E2" w:rsidR="00371F04" w:rsidRPr="0067604E" w:rsidRDefault="0028528C" w:rsidP="00371F04">
            <w:pPr>
              <w:spacing w:before="0" w:after="0" w:line="240" w:lineRule="auto"/>
              <w:jc w:val="both"/>
              <w:rPr>
                <w:rFonts w:ascii="Nunito" w:hAnsi="Nunito"/>
                <w:sz w:val="16"/>
                <w:szCs w:val="16"/>
                <w:lang w:val="ro-RO"/>
              </w:rPr>
            </w:pPr>
            <w:r>
              <w:rPr>
                <w:rFonts w:ascii="Nunito" w:hAnsi="Nunito"/>
                <w:sz w:val="16"/>
                <w:szCs w:val="16"/>
                <w:lang w:val="ro-RO"/>
              </w:rPr>
              <w:t>PNGD poate contribui la conservarea valorii materiale a resurselor prin reducerea cantităților de materiale recuperabile care ajung la depozitare. Măsurile privind colectarea separată, sortarea, reciclarea, consolidarea schemelor REP și stimularea pieței pentru materiale secundare pot crește recuperarea materialelor cu valoare economică, inclusiv din fluxuri precum DEEE, baterii, ambalaje și alte deșeuri reciclabile. Efectul depinde de funcționarea integrată a lanțului colectare–sortare–reciclare–valorificare și de existența unei cereri reale pentru materialele recuperate.</w:t>
            </w:r>
          </w:p>
        </w:tc>
      </w:tr>
      <w:tr w:rsidR="00371F04" w:rsidRPr="00C36764" w14:paraId="317BA691" w14:textId="77777777" w:rsidTr="00A34A79">
        <w:tc>
          <w:tcPr>
            <w:tcW w:w="837" w:type="dxa"/>
            <w:hideMark/>
          </w:tcPr>
          <w:p w14:paraId="1B9C2B19"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05326E"/>
                <w:sz w:val="16"/>
                <w:szCs w:val="16"/>
                <w:lang w:val="ro-RO"/>
              </w:rPr>
              <w:t>P10.3</w:t>
            </w:r>
          </w:p>
        </w:tc>
        <w:tc>
          <w:tcPr>
            <w:tcW w:w="1200" w:type="dxa"/>
            <w:hideMark/>
          </w:tcPr>
          <w:p w14:paraId="512E1FA5" w14:textId="77777777" w:rsidR="00371F04" w:rsidRPr="0067604E" w:rsidRDefault="00371F04" w:rsidP="00371F04">
            <w:pPr>
              <w:spacing w:before="0" w:after="0" w:line="240" w:lineRule="auto"/>
              <w:rPr>
                <w:rFonts w:ascii="Nunito" w:hAnsi="Nunito"/>
                <w:sz w:val="16"/>
                <w:szCs w:val="16"/>
                <w:lang w:val="ro-RO"/>
              </w:rPr>
            </w:pPr>
            <w:r>
              <w:rPr>
                <w:rFonts w:ascii="Nunito" w:hAnsi="Nunito"/>
                <w:b/>
                <w:bCs/>
                <w:color w:val="05326E"/>
                <w:sz w:val="16"/>
                <w:szCs w:val="16"/>
                <w:lang w:val="ro-RO"/>
              </w:rPr>
              <w:t>Valori materiale</w:t>
            </w:r>
          </w:p>
        </w:tc>
        <w:tc>
          <w:tcPr>
            <w:tcW w:w="4657" w:type="dxa"/>
            <w:hideMark/>
          </w:tcPr>
          <w:p w14:paraId="765DAC98" w14:textId="31C05D94" w:rsidR="00371F04" w:rsidRPr="0067604E" w:rsidRDefault="0028528C" w:rsidP="00371F04">
            <w:pPr>
              <w:spacing w:before="0" w:after="0" w:line="240" w:lineRule="auto"/>
              <w:jc w:val="both"/>
              <w:rPr>
                <w:rFonts w:ascii="Nunito" w:hAnsi="Nunito"/>
                <w:sz w:val="16"/>
                <w:szCs w:val="16"/>
                <w:lang w:val="ro-RO"/>
              </w:rPr>
            </w:pPr>
            <w:r>
              <w:rPr>
                <w:rFonts w:ascii="Nunito" w:hAnsi="Nunito"/>
                <w:sz w:val="16"/>
                <w:szCs w:val="16"/>
                <w:lang w:val="ro-RO"/>
              </w:rPr>
              <w:t>Risc de depreciere patrimonială prin menținerea pasivelor de mediu și prin necorelarea investițiilor cu țintele de reducere a depozitării..</w:t>
            </w:r>
          </w:p>
        </w:tc>
        <w:tc>
          <w:tcPr>
            <w:tcW w:w="1937" w:type="dxa"/>
            <w:hideMark/>
          </w:tcPr>
          <w:p w14:paraId="02B33198"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B5651D"/>
                <w:sz w:val="16"/>
                <w:szCs w:val="16"/>
                <w:lang w:val="ro-RO"/>
              </w:rPr>
              <w:t>POTENȚIAL SEMNIFICATIV</w:t>
            </w:r>
          </w:p>
        </w:tc>
        <w:tc>
          <w:tcPr>
            <w:tcW w:w="5403" w:type="dxa"/>
            <w:hideMark/>
          </w:tcPr>
          <w:p w14:paraId="2F8236C3" w14:textId="77777777" w:rsidR="00371F04" w:rsidRPr="0067604E" w:rsidRDefault="00371F04" w:rsidP="00371F04">
            <w:pPr>
              <w:spacing w:before="0" w:after="0" w:line="240" w:lineRule="auto"/>
              <w:jc w:val="both"/>
              <w:rPr>
                <w:rFonts w:ascii="Nunito" w:hAnsi="Nunito"/>
                <w:sz w:val="16"/>
                <w:szCs w:val="16"/>
                <w:lang w:val="ro-RO"/>
              </w:rPr>
            </w:pPr>
            <w:r>
              <w:rPr>
                <w:rFonts w:ascii="Nunito" w:hAnsi="Nunito"/>
                <w:sz w:val="16"/>
                <w:szCs w:val="16"/>
                <w:lang w:val="ro-RO"/>
              </w:rPr>
              <w:t>Pierdere de valoare a resursei secundare, inclusiv materii prime critice; magnitudinea depinde de gradul de implementare a colectării separate și a schemelor REP. Planul poate reduce pierderea prin recuperarea materialelor; efectul este condiționat de implementare.</w:t>
            </w:r>
          </w:p>
        </w:tc>
      </w:tr>
      <w:tr w:rsidR="00371F04" w:rsidRPr="00C36764" w14:paraId="7084CE3B" w14:textId="77777777" w:rsidTr="00A34A79">
        <w:tc>
          <w:tcPr>
            <w:tcW w:w="837" w:type="dxa"/>
            <w:hideMark/>
          </w:tcPr>
          <w:p w14:paraId="7B540404"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05326E"/>
                <w:sz w:val="16"/>
                <w:szCs w:val="16"/>
                <w:lang w:val="ro-RO"/>
              </w:rPr>
              <w:t>P11.1</w:t>
            </w:r>
          </w:p>
        </w:tc>
        <w:tc>
          <w:tcPr>
            <w:tcW w:w="1200" w:type="dxa"/>
            <w:hideMark/>
          </w:tcPr>
          <w:p w14:paraId="612B09AF" w14:textId="77777777" w:rsidR="00371F04" w:rsidRPr="0067604E" w:rsidRDefault="00371F04" w:rsidP="00371F04">
            <w:pPr>
              <w:spacing w:before="0" w:after="0" w:line="240" w:lineRule="auto"/>
              <w:rPr>
                <w:rFonts w:ascii="Nunito" w:hAnsi="Nunito"/>
                <w:sz w:val="16"/>
                <w:szCs w:val="16"/>
                <w:lang w:val="ro-RO"/>
              </w:rPr>
            </w:pPr>
            <w:r>
              <w:rPr>
                <w:rFonts w:ascii="Nunito" w:hAnsi="Nunito"/>
                <w:b/>
                <w:bCs/>
                <w:color w:val="05326E"/>
                <w:sz w:val="16"/>
                <w:szCs w:val="16"/>
                <w:lang w:val="ro-RO"/>
              </w:rPr>
              <w:t>Economie circulară</w:t>
            </w:r>
          </w:p>
        </w:tc>
        <w:tc>
          <w:tcPr>
            <w:tcW w:w="4657" w:type="dxa"/>
            <w:hideMark/>
          </w:tcPr>
          <w:p w14:paraId="0D812152" w14:textId="75BECC33" w:rsidR="00371F04" w:rsidRPr="0067604E" w:rsidRDefault="0028528C" w:rsidP="00371F04">
            <w:pPr>
              <w:spacing w:before="0" w:after="0" w:line="240" w:lineRule="auto"/>
              <w:jc w:val="both"/>
              <w:rPr>
                <w:rFonts w:ascii="Nunito" w:hAnsi="Nunito"/>
                <w:sz w:val="16"/>
                <w:szCs w:val="16"/>
                <w:lang w:val="ro-RO"/>
              </w:rPr>
            </w:pPr>
            <w:r>
              <w:rPr>
                <w:rFonts w:ascii="Nunito" w:hAnsi="Nunito"/>
                <w:sz w:val="16"/>
                <w:szCs w:val="16"/>
                <w:lang w:val="ro-RO"/>
              </w:rPr>
              <w:t>Dependența structurală de depozitare, determinată de captarea redusă a biodeșeurilor și capacitatea insuficientă de tratare biologică.</w:t>
            </w:r>
          </w:p>
        </w:tc>
        <w:tc>
          <w:tcPr>
            <w:tcW w:w="1937" w:type="dxa"/>
            <w:hideMark/>
          </w:tcPr>
          <w:p w14:paraId="2DE7F8EB"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C00000"/>
                <w:sz w:val="16"/>
                <w:szCs w:val="16"/>
                <w:lang w:val="ro-RO"/>
              </w:rPr>
              <w:t>SEMNIFICATIV</w:t>
            </w:r>
          </w:p>
        </w:tc>
        <w:tc>
          <w:tcPr>
            <w:tcW w:w="5403" w:type="dxa"/>
            <w:hideMark/>
          </w:tcPr>
          <w:p w14:paraId="374516B4" w14:textId="159514FA" w:rsidR="00371F04" w:rsidRPr="0067604E" w:rsidRDefault="0028528C" w:rsidP="00371F04">
            <w:pPr>
              <w:spacing w:before="0" w:after="0" w:line="240" w:lineRule="auto"/>
              <w:jc w:val="both"/>
              <w:rPr>
                <w:rFonts w:ascii="Nunito" w:hAnsi="Nunito"/>
                <w:sz w:val="16"/>
                <w:szCs w:val="16"/>
                <w:lang w:val="ro-RO"/>
              </w:rPr>
            </w:pPr>
            <w:r>
              <w:rPr>
                <w:rFonts w:ascii="Nunito" w:hAnsi="Nunito"/>
                <w:sz w:val="16"/>
                <w:szCs w:val="16"/>
                <w:lang w:val="ro-RO"/>
              </w:rPr>
              <w:t>PNGD poate reduce dependența de depozitare prin extinderea colectării separate a biodeșeurilor, dezvoltarea capacităților de compostare și digestie anaerobă și creșterea tratării înainte de eliminare. Efectul depinde de corelarea dintre infrastructura construită, calitatea colectării separate și funcționarea efectivă a instalațiilor biologice.</w:t>
            </w:r>
          </w:p>
        </w:tc>
      </w:tr>
      <w:tr w:rsidR="00371F04" w:rsidRPr="00C36764" w14:paraId="66867706" w14:textId="77777777" w:rsidTr="00A34A79">
        <w:tc>
          <w:tcPr>
            <w:tcW w:w="837" w:type="dxa"/>
            <w:hideMark/>
          </w:tcPr>
          <w:p w14:paraId="31E89B48"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05326E"/>
                <w:sz w:val="16"/>
                <w:szCs w:val="16"/>
                <w:lang w:val="ro-RO"/>
              </w:rPr>
              <w:t>P11.2</w:t>
            </w:r>
          </w:p>
        </w:tc>
        <w:tc>
          <w:tcPr>
            <w:tcW w:w="1200" w:type="dxa"/>
            <w:hideMark/>
          </w:tcPr>
          <w:p w14:paraId="4399D7B9" w14:textId="77777777" w:rsidR="00371F04" w:rsidRPr="0067604E" w:rsidRDefault="00371F04" w:rsidP="00371F04">
            <w:pPr>
              <w:spacing w:before="0" w:after="0" w:line="240" w:lineRule="auto"/>
              <w:rPr>
                <w:rFonts w:ascii="Nunito" w:hAnsi="Nunito"/>
                <w:sz w:val="16"/>
                <w:szCs w:val="16"/>
                <w:lang w:val="ro-RO"/>
              </w:rPr>
            </w:pPr>
            <w:r>
              <w:rPr>
                <w:rFonts w:ascii="Nunito" w:hAnsi="Nunito"/>
                <w:b/>
                <w:bCs/>
                <w:color w:val="05326E"/>
                <w:sz w:val="16"/>
                <w:szCs w:val="16"/>
                <w:lang w:val="ro-RO"/>
              </w:rPr>
              <w:t>Economie circulară</w:t>
            </w:r>
          </w:p>
        </w:tc>
        <w:tc>
          <w:tcPr>
            <w:tcW w:w="4657" w:type="dxa"/>
            <w:hideMark/>
          </w:tcPr>
          <w:p w14:paraId="0D3D09E4" w14:textId="22686759" w:rsidR="00371F04" w:rsidRPr="0028528C" w:rsidRDefault="0028528C" w:rsidP="00371F04">
            <w:pPr>
              <w:spacing w:before="0" w:after="0" w:line="240" w:lineRule="auto"/>
              <w:jc w:val="both"/>
              <w:rPr>
                <w:rFonts w:ascii="Nunito" w:hAnsi="Nunito"/>
                <w:sz w:val="16"/>
                <w:szCs w:val="16"/>
                <w:lang w:val="ro-RO"/>
              </w:rPr>
            </w:pPr>
            <w:r>
              <w:rPr>
                <w:rFonts w:ascii="Nunito" w:hAnsi="Nunito"/>
                <w:sz w:val="16"/>
                <w:szCs w:val="16"/>
                <w:lang w:val="ro-RO"/>
              </w:rPr>
              <w:t>Persistența unor stimulente economice insuficiente pentru devierea de la depozitare și creșterea reciclării..</w:t>
            </w:r>
          </w:p>
        </w:tc>
        <w:tc>
          <w:tcPr>
            <w:tcW w:w="1937" w:type="dxa"/>
            <w:hideMark/>
          </w:tcPr>
          <w:p w14:paraId="79B128D8"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C00000"/>
                <w:sz w:val="16"/>
                <w:szCs w:val="16"/>
                <w:lang w:val="ro-RO"/>
              </w:rPr>
              <w:t>SEMNIFICATIV</w:t>
            </w:r>
          </w:p>
        </w:tc>
        <w:tc>
          <w:tcPr>
            <w:tcW w:w="5403" w:type="dxa"/>
            <w:hideMark/>
          </w:tcPr>
          <w:p w14:paraId="1C78EF71" w14:textId="011C609B" w:rsidR="00371F04" w:rsidRPr="0067604E" w:rsidRDefault="0028528C" w:rsidP="00371F04">
            <w:pPr>
              <w:spacing w:before="0" w:after="0" w:line="240" w:lineRule="auto"/>
              <w:jc w:val="both"/>
              <w:rPr>
                <w:rFonts w:ascii="Nunito" w:hAnsi="Nunito"/>
                <w:sz w:val="16"/>
                <w:szCs w:val="16"/>
                <w:lang w:val="ro-RO"/>
              </w:rPr>
            </w:pPr>
            <w:r>
              <w:rPr>
                <w:rFonts w:ascii="Nunito" w:hAnsi="Nunito"/>
                <w:sz w:val="16"/>
                <w:szCs w:val="16"/>
                <w:lang w:val="ro-RO"/>
              </w:rPr>
              <w:t xml:space="preserve">PNGD poate corecta distorsiunile economice care mențin depozitarea ca opțiune dominantă, prin instrumente fiscale, reformarea schemelor REP și mecanisme care să susțină financiar colectarea separată și reciclarea. Efectul este condiționat de adoptarea reformelor, aplicarea lor </w:t>
            </w:r>
            <w:r>
              <w:rPr>
                <w:rFonts w:ascii="Nunito" w:hAnsi="Nunito"/>
                <w:sz w:val="16"/>
                <w:szCs w:val="16"/>
                <w:lang w:val="ro-RO"/>
              </w:rPr>
              <w:lastRenderedPageBreak/>
              <w:t>consecventă și capacitatea autorităților locale de a utiliza aceste instrumente.</w:t>
            </w:r>
          </w:p>
        </w:tc>
      </w:tr>
      <w:tr w:rsidR="00371F04" w:rsidRPr="00C36764" w14:paraId="00F5FCF2" w14:textId="77777777" w:rsidTr="00A34A79">
        <w:tc>
          <w:tcPr>
            <w:tcW w:w="837" w:type="dxa"/>
            <w:hideMark/>
          </w:tcPr>
          <w:p w14:paraId="4F910B21"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05326E"/>
                <w:sz w:val="16"/>
                <w:szCs w:val="16"/>
                <w:lang w:val="ro-RO"/>
              </w:rPr>
              <w:lastRenderedPageBreak/>
              <w:t>P11.3</w:t>
            </w:r>
          </w:p>
        </w:tc>
        <w:tc>
          <w:tcPr>
            <w:tcW w:w="1200" w:type="dxa"/>
            <w:hideMark/>
          </w:tcPr>
          <w:p w14:paraId="0A64C4B0" w14:textId="77777777" w:rsidR="00371F04" w:rsidRPr="0067604E" w:rsidRDefault="00371F04" w:rsidP="00371F04">
            <w:pPr>
              <w:spacing w:before="0" w:after="0" w:line="240" w:lineRule="auto"/>
              <w:rPr>
                <w:rFonts w:ascii="Nunito" w:hAnsi="Nunito"/>
                <w:sz w:val="16"/>
                <w:szCs w:val="16"/>
                <w:lang w:val="ro-RO"/>
              </w:rPr>
            </w:pPr>
            <w:r>
              <w:rPr>
                <w:rFonts w:ascii="Nunito" w:hAnsi="Nunito"/>
                <w:b/>
                <w:bCs/>
                <w:color w:val="05326E"/>
                <w:sz w:val="16"/>
                <w:szCs w:val="16"/>
                <w:lang w:val="ro-RO"/>
              </w:rPr>
              <w:t>Economie circulară</w:t>
            </w:r>
          </w:p>
        </w:tc>
        <w:tc>
          <w:tcPr>
            <w:tcW w:w="4657" w:type="dxa"/>
            <w:hideMark/>
          </w:tcPr>
          <w:p w14:paraId="0E54664C" w14:textId="6B74B7DE" w:rsidR="00371F04" w:rsidRPr="0067604E" w:rsidRDefault="0028528C" w:rsidP="00371F04">
            <w:pPr>
              <w:spacing w:before="0" w:after="0" w:line="240" w:lineRule="auto"/>
              <w:jc w:val="both"/>
              <w:rPr>
                <w:rFonts w:ascii="Nunito" w:hAnsi="Nunito"/>
                <w:sz w:val="16"/>
                <w:szCs w:val="16"/>
                <w:lang w:val="ro-RO"/>
              </w:rPr>
            </w:pPr>
            <w:r>
              <w:rPr>
                <w:rFonts w:ascii="Nunito" w:hAnsi="Nunito"/>
                <w:sz w:val="16"/>
                <w:szCs w:val="16"/>
                <w:lang w:val="ro-RO"/>
              </w:rPr>
              <w:t>Performanță circulară limitată prin eterogenitatea sistemelor județene și cererea redusă pentru materiale secundare</w:t>
            </w:r>
            <w:r>
              <w:rPr>
                <w:rFonts w:ascii="Nunito" w:hAnsi="Nunito"/>
                <w:b/>
                <w:bCs/>
                <w:sz w:val="16"/>
                <w:szCs w:val="16"/>
                <w:lang w:val="ro-RO"/>
              </w:rPr>
              <w:t>.</w:t>
            </w:r>
          </w:p>
        </w:tc>
        <w:tc>
          <w:tcPr>
            <w:tcW w:w="1937" w:type="dxa"/>
            <w:hideMark/>
          </w:tcPr>
          <w:p w14:paraId="56E5211D"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C00000"/>
                <w:sz w:val="16"/>
                <w:szCs w:val="16"/>
                <w:lang w:val="ro-RO"/>
              </w:rPr>
              <w:t>SEMNIFICATIV</w:t>
            </w:r>
          </w:p>
        </w:tc>
        <w:tc>
          <w:tcPr>
            <w:tcW w:w="5403" w:type="dxa"/>
            <w:hideMark/>
          </w:tcPr>
          <w:p w14:paraId="2F343585" w14:textId="77777777" w:rsidR="00371F04" w:rsidRPr="0067604E" w:rsidRDefault="00371F04" w:rsidP="00371F04">
            <w:pPr>
              <w:spacing w:before="0" w:after="0" w:line="240" w:lineRule="auto"/>
              <w:jc w:val="both"/>
              <w:rPr>
                <w:rFonts w:ascii="Nunito" w:hAnsi="Nunito"/>
                <w:sz w:val="16"/>
                <w:szCs w:val="16"/>
                <w:lang w:val="ro-RO"/>
              </w:rPr>
            </w:pPr>
            <w:r>
              <w:rPr>
                <w:rFonts w:ascii="Nunito" w:hAnsi="Nunito"/>
                <w:sz w:val="16"/>
                <w:szCs w:val="16"/>
                <w:lang w:val="ro-RO"/>
              </w:rPr>
              <w:t>Dependență structurală incompatibilă cu ierarhia deșeurilor, cu rată ridicată de eliminare finală. Planul are ca obiectiv o schimbare de sistem, nu o îmbunătățire incrementală; efectul este condiționat de implementarea integrată a măsurilor.</w:t>
            </w:r>
          </w:p>
        </w:tc>
      </w:tr>
      <w:tr w:rsidR="00371F04" w:rsidRPr="00C36764" w14:paraId="6370C3EE" w14:textId="77777777" w:rsidTr="00A34A79">
        <w:tc>
          <w:tcPr>
            <w:tcW w:w="837" w:type="dxa"/>
            <w:hideMark/>
          </w:tcPr>
          <w:p w14:paraId="027B801B"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05326E"/>
                <w:sz w:val="16"/>
                <w:szCs w:val="16"/>
                <w:lang w:val="ro-RO"/>
              </w:rPr>
              <w:t>P12.1</w:t>
            </w:r>
          </w:p>
        </w:tc>
        <w:tc>
          <w:tcPr>
            <w:tcW w:w="1200" w:type="dxa"/>
            <w:hideMark/>
          </w:tcPr>
          <w:p w14:paraId="56EE4C05" w14:textId="77777777" w:rsidR="00371F04" w:rsidRPr="0067604E" w:rsidRDefault="00371F04" w:rsidP="00371F04">
            <w:pPr>
              <w:spacing w:before="0" w:after="0" w:line="240" w:lineRule="auto"/>
              <w:rPr>
                <w:rFonts w:ascii="Nunito" w:hAnsi="Nunito"/>
                <w:sz w:val="16"/>
                <w:szCs w:val="16"/>
                <w:lang w:val="ro-RO"/>
              </w:rPr>
            </w:pPr>
            <w:r>
              <w:rPr>
                <w:rFonts w:ascii="Nunito" w:hAnsi="Nunito"/>
                <w:b/>
                <w:bCs/>
                <w:color w:val="05326E"/>
                <w:sz w:val="16"/>
                <w:szCs w:val="16"/>
                <w:lang w:val="ro-RO"/>
              </w:rPr>
              <w:t>Transport</w:t>
            </w:r>
          </w:p>
        </w:tc>
        <w:tc>
          <w:tcPr>
            <w:tcW w:w="4657" w:type="dxa"/>
            <w:hideMark/>
          </w:tcPr>
          <w:p w14:paraId="5AD68A9B" w14:textId="06D98D8B" w:rsidR="00371F04" w:rsidRPr="0067604E" w:rsidRDefault="007A3D64" w:rsidP="00371F04">
            <w:pPr>
              <w:spacing w:before="0" w:after="0" w:line="240" w:lineRule="auto"/>
              <w:jc w:val="both"/>
              <w:rPr>
                <w:rFonts w:ascii="Nunito" w:hAnsi="Nunito"/>
                <w:sz w:val="16"/>
                <w:szCs w:val="16"/>
                <w:lang w:val="ro-RO"/>
              </w:rPr>
            </w:pPr>
            <w:r>
              <w:rPr>
                <w:rFonts w:ascii="Nunito" w:hAnsi="Nunito"/>
                <w:sz w:val="16"/>
                <w:szCs w:val="16"/>
                <w:lang w:val="ro-RO"/>
              </w:rPr>
              <w:t>Control insuficient al fluxurilor de deșeuri municipale și risc de transporturi neconforme, pe fondul trasabilității incomplete și al capacității limitate de supraveghere.</w:t>
            </w:r>
          </w:p>
        </w:tc>
        <w:tc>
          <w:tcPr>
            <w:tcW w:w="1937" w:type="dxa"/>
            <w:hideMark/>
          </w:tcPr>
          <w:p w14:paraId="73903ACA"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B5651D"/>
                <w:sz w:val="16"/>
                <w:szCs w:val="16"/>
                <w:lang w:val="ro-RO"/>
              </w:rPr>
              <w:t>POTENȚIAL SEMNIFICATIV</w:t>
            </w:r>
          </w:p>
        </w:tc>
        <w:tc>
          <w:tcPr>
            <w:tcW w:w="5403" w:type="dxa"/>
            <w:hideMark/>
          </w:tcPr>
          <w:p w14:paraId="7F2C5974" w14:textId="77777777" w:rsidR="00371F04" w:rsidRPr="0067604E" w:rsidRDefault="00371F04" w:rsidP="00371F04">
            <w:pPr>
              <w:spacing w:before="0" w:after="0" w:line="240" w:lineRule="auto"/>
              <w:jc w:val="both"/>
              <w:rPr>
                <w:rFonts w:ascii="Nunito" w:hAnsi="Nunito"/>
                <w:sz w:val="16"/>
                <w:szCs w:val="16"/>
                <w:lang w:val="ro-RO"/>
              </w:rPr>
            </w:pPr>
            <w:r>
              <w:rPr>
                <w:rFonts w:ascii="Nunito" w:hAnsi="Nunito"/>
                <w:sz w:val="16"/>
                <w:szCs w:val="16"/>
                <w:lang w:val="ro-RO"/>
              </w:rPr>
              <w:t>Lacună de trasabilitate cu risc de neconformare reglementară din 2026. Planul poate reduce riscul prin extinderea SIATD la acoperire integrală; efectul este condiționat de implementarea echipamentelor și a procedurilor.</w:t>
            </w:r>
          </w:p>
        </w:tc>
      </w:tr>
      <w:tr w:rsidR="00371F04" w:rsidRPr="00C36764" w14:paraId="789D37BF" w14:textId="77777777" w:rsidTr="00A34A79">
        <w:tc>
          <w:tcPr>
            <w:tcW w:w="837" w:type="dxa"/>
            <w:hideMark/>
          </w:tcPr>
          <w:p w14:paraId="781966FC"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05326E"/>
                <w:sz w:val="16"/>
                <w:szCs w:val="16"/>
                <w:lang w:val="ro-RO"/>
              </w:rPr>
              <w:t>P12.2</w:t>
            </w:r>
          </w:p>
        </w:tc>
        <w:tc>
          <w:tcPr>
            <w:tcW w:w="1200" w:type="dxa"/>
            <w:hideMark/>
          </w:tcPr>
          <w:p w14:paraId="0190D679" w14:textId="77777777" w:rsidR="00371F04" w:rsidRPr="0067604E" w:rsidRDefault="00371F04" w:rsidP="00371F04">
            <w:pPr>
              <w:spacing w:before="0" w:after="0" w:line="240" w:lineRule="auto"/>
              <w:rPr>
                <w:rFonts w:ascii="Nunito" w:hAnsi="Nunito"/>
                <w:sz w:val="16"/>
                <w:szCs w:val="16"/>
                <w:lang w:val="ro-RO"/>
              </w:rPr>
            </w:pPr>
            <w:r>
              <w:rPr>
                <w:rFonts w:ascii="Nunito" w:hAnsi="Nunito"/>
                <w:b/>
                <w:bCs/>
                <w:color w:val="05326E"/>
                <w:sz w:val="16"/>
                <w:szCs w:val="16"/>
                <w:lang w:val="ro-RO"/>
              </w:rPr>
              <w:t>Transport</w:t>
            </w:r>
          </w:p>
        </w:tc>
        <w:tc>
          <w:tcPr>
            <w:tcW w:w="4657" w:type="dxa"/>
            <w:hideMark/>
          </w:tcPr>
          <w:p w14:paraId="5CFDCB7A" w14:textId="21A414AF" w:rsidR="00371F04" w:rsidRPr="0067604E" w:rsidRDefault="007A3D64" w:rsidP="00371F04">
            <w:pPr>
              <w:spacing w:before="0" w:after="0" w:line="240" w:lineRule="auto"/>
              <w:jc w:val="both"/>
              <w:rPr>
                <w:rFonts w:ascii="Nunito" w:hAnsi="Nunito"/>
                <w:sz w:val="16"/>
                <w:szCs w:val="16"/>
                <w:lang w:val="ro-RO"/>
              </w:rPr>
            </w:pPr>
            <w:r>
              <w:rPr>
                <w:rFonts w:ascii="Nunito" w:hAnsi="Nunito"/>
                <w:sz w:val="16"/>
                <w:szCs w:val="16"/>
                <w:lang w:val="ro-RO"/>
              </w:rPr>
              <w:t>Ineficiență operațională a serviciilor de colectare și transport, determinată de fragmentarea pieței, flote învechite și rute neoptimizate.</w:t>
            </w:r>
          </w:p>
        </w:tc>
        <w:tc>
          <w:tcPr>
            <w:tcW w:w="1937" w:type="dxa"/>
            <w:hideMark/>
          </w:tcPr>
          <w:p w14:paraId="0F73F069"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4F7A28"/>
                <w:sz w:val="16"/>
                <w:szCs w:val="16"/>
                <w:lang w:val="ro-RO"/>
              </w:rPr>
              <w:t>NESEMNIFICATIV</w:t>
            </w:r>
          </w:p>
        </w:tc>
        <w:tc>
          <w:tcPr>
            <w:tcW w:w="5403" w:type="dxa"/>
            <w:hideMark/>
          </w:tcPr>
          <w:p w14:paraId="6DDAA949" w14:textId="77777777" w:rsidR="00371F04" w:rsidRPr="0067604E" w:rsidRDefault="00371F04" w:rsidP="00371F04">
            <w:pPr>
              <w:spacing w:before="0" w:after="0" w:line="240" w:lineRule="auto"/>
              <w:jc w:val="both"/>
              <w:rPr>
                <w:rFonts w:ascii="Nunito" w:hAnsi="Nunito"/>
                <w:sz w:val="16"/>
                <w:szCs w:val="16"/>
                <w:lang w:val="ro-RO"/>
              </w:rPr>
            </w:pPr>
            <w:r>
              <w:rPr>
                <w:rFonts w:ascii="Nunito" w:hAnsi="Nunito"/>
                <w:sz w:val="16"/>
                <w:szCs w:val="16"/>
                <w:lang w:val="ro-RO"/>
              </w:rPr>
              <w:t>Efectul asupra calității aerului este evaluat la componenta Aer; reînnoirea flotei este în curs prin PNRR – C3. Clasificarea reflectă caracterul tranzitoriu și suprapunerea cu aspectul Aer. Planul poate accelera reînnoirea flotei.</w:t>
            </w:r>
          </w:p>
        </w:tc>
      </w:tr>
      <w:tr w:rsidR="00371F04" w:rsidRPr="00C36764" w14:paraId="3F4EFB2B" w14:textId="77777777" w:rsidTr="00A34A79">
        <w:tc>
          <w:tcPr>
            <w:tcW w:w="837" w:type="dxa"/>
            <w:hideMark/>
          </w:tcPr>
          <w:p w14:paraId="05C30E1D" w14:textId="2A9BD45F"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05326E"/>
                <w:sz w:val="16"/>
                <w:szCs w:val="16"/>
                <w:lang w:val="ro-RO"/>
              </w:rPr>
              <w:t>P12.3</w:t>
            </w:r>
          </w:p>
        </w:tc>
        <w:tc>
          <w:tcPr>
            <w:tcW w:w="1200" w:type="dxa"/>
            <w:hideMark/>
          </w:tcPr>
          <w:p w14:paraId="27012250" w14:textId="77777777" w:rsidR="00371F04" w:rsidRPr="0067604E" w:rsidRDefault="00371F04" w:rsidP="00371F04">
            <w:pPr>
              <w:spacing w:before="0" w:after="0" w:line="240" w:lineRule="auto"/>
              <w:rPr>
                <w:rFonts w:ascii="Nunito" w:hAnsi="Nunito"/>
                <w:sz w:val="16"/>
                <w:szCs w:val="16"/>
                <w:lang w:val="ro-RO"/>
              </w:rPr>
            </w:pPr>
            <w:r>
              <w:rPr>
                <w:rFonts w:ascii="Nunito" w:hAnsi="Nunito"/>
                <w:b/>
                <w:bCs/>
                <w:color w:val="05326E"/>
                <w:sz w:val="16"/>
                <w:szCs w:val="16"/>
                <w:lang w:val="ro-RO"/>
              </w:rPr>
              <w:t>Transport</w:t>
            </w:r>
          </w:p>
        </w:tc>
        <w:tc>
          <w:tcPr>
            <w:tcW w:w="4657" w:type="dxa"/>
            <w:hideMark/>
          </w:tcPr>
          <w:p w14:paraId="742B1FCA" w14:textId="7C54A6EE" w:rsidR="00371F04" w:rsidRPr="0067604E" w:rsidRDefault="007A3D64" w:rsidP="00371F04">
            <w:pPr>
              <w:spacing w:before="0" w:after="0" w:line="240" w:lineRule="auto"/>
              <w:jc w:val="both"/>
              <w:rPr>
                <w:rFonts w:ascii="Nunito" w:hAnsi="Nunito"/>
                <w:sz w:val="16"/>
                <w:szCs w:val="16"/>
                <w:lang w:val="ro-RO"/>
              </w:rPr>
            </w:pPr>
            <w:r>
              <w:rPr>
                <w:rFonts w:ascii="Nunito" w:hAnsi="Nunito"/>
                <w:sz w:val="16"/>
                <w:szCs w:val="16"/>
                <w:lang w:val="ro-RO"/>
              </w:rPr>
              <w:t>Acces limitat la transport specializat pentru fluxurile periculoase, în special în mediul rural.</w:t>
            </w:r>
          </w:p>
        </w:tc>
        <w:tc>
          <w:tcPr>
            <w:tcW w:w="1937" w:type="dxa"/>
            <w:hideMark/>
          </w:tcPr>
          <w:p w14:paraId="356F7E8C"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B5651D"/>
                <w:sz w:val="16"/>
                <w:szCs w:val="16"/>
                <w:lang w:val="ro-RO"/>
              </w:rPr>
              <w:t>POTENȚIAL SEMNIFICATIV</w:t>
            </w:r>
          </w:p>
        </w:tc>
        <w:tc>
          <w:tcPr>
            <w:tcW w:w="5403" w:type="dxa"/>
            <w:hideMark/>
          </w:tcPr>
          <w:p w14:paraId="11568592" w14:textId="77777777" w:rsidR="00371F04" w:rsidRPr="0067604E" w:rsidRDefault="00371F04" w:rsidP="00371F04">
            <w:pPr>
              <w:spacing w:before="0" w:after="0" w:line="240" w:lineRule="auto"/>
              <w:jc w:val="both"/>
              <w:rPr>
                <w:rFonts w:ascii="Nunito" w:hAnsi="Nunito"/>
                <w:sz w:val="16"/>
                <w:szCs w:val="16"/>
                <w:lang w:val="ro-RO"/>
              </w:rPr>
            </w:pPr>
            <w:r>
              <w:rPr>
                <w:rFonts w:ascii="Nunito" w:hAnsi="Nunito"/>
                <w:sz w:val="16"/>
                <w:szCs w:val="16"/>
                <w:lang w:val="ro-RO"/>
              </w:rPr>
              <w:t>Risc specific de poluare accidentală, cu magnitudine dependentă de amplasare. Planul poate reduce riscul prin infrastructura de transfer pentru deșeuri periculoase la nivel regional; efectul este condiționat de implementare.</w:t>
            </w:r>
          </w:p>
        </w:tc>
      </w:tr>
      <w:tr w:rsidR="00371F04" w:rsidRPr="00C36764" w14:paraId="56879D1B" w14:textId="77777777" w:rsidTr="00A34A79">
        <w:tc>
          <w:tcPr>
            <w:tcW w:w="837" w:type="dxa"/>
            <w:hideMark/>
          </w:tcPr>
          <w:p w14:paraId="1813E804"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05326E"/>
                <w:sz w:val="16"/>
                <w:szCs w:val="16"/>
                <w:lang w:val="ro-RO"/>
              </w:rPr>
              <w:t>P13.1</w:t>
            </w:r>
          </w:p>
        </w:tc>
        <w:tc>
          <w:tcPr>
            <w:tcW w:w="1200" w:type="dxa"/>
            <w:hideMark/>
          </w:tcPr>
          <w:p w14:paraId="4EB89B86" w14:textId="77777777" w:rsidR="00371F04" w:rsidRPr="0067604E" w:rsidRDefault="00371F04" w:rsidP="00371F04">
            <w:pPr>
              <w:spacing w:before="0" w:after="0" w:line="240" w:lineRule="auto"/>
              <w:rPr>
                <w:rFonts w:ascii="Nunito" w:hAnsi="Nunito"/>
                <w:sz w:val="16"/>
                <w:szCs w:val="16"/>
                <w:lang w:val="ro-RO"/>
              </w:rPr>
            </w:pPr>
            <w:r>
              <w:rPr>
                <w:rFonts w:ascii="Nunito" w:hAnsi="Nunito"/>
                <w:b/>
                <w:bCs/>
                <w:color w:val="05326E"/>
                <w:sz w:val="16"/>
                <w:szCs w:val="16"/>
                <w:lang w:val="ro-RO"/>
              </w:rPr>
              <w:t>Eficiența energetică</w:t>
            </w:r>
          </w:p>
        </w:tc>
        <w:tc>
          <w:tcPr>
            <w:tcW w:w="4657" w:type="dxa"/>
            <w:hideMark/>
          </w:tcPr>
          <w:p w14:paraId="167B981F" w14:textId="204A844C" w:rsidR="00371F04" w:rsidRPr="0067604E" w:rsidRDefault="001264B6" w:rsidP="00371F04">
            <w:pPr>
              <w:spacing w:before="0" w:after="0" w:line="240" w:lineRule="auto"/>
              <w:jc w:val="both"/>
              <w:rPr>
                <w:rFonts w:ascii="Nunito" w:hAnsi="Nunito"/>
                <w:sz w:val="16"/>
                <w:szCs w:val="16"/>
                <w:lang w:val="ro-RO"/>
              </w:rPr>
            </w:pPr>
            <w:r w:rsidRPr="001264B6">
              <w:rPr>
                <w:rFonts w:ascii="Nunito" w:hAnsi="Nunito"/>
                <w:sz w:val="16"/>
                <w:szCs w:val="16"/>
                <w:lang w:val="ro-RO"/>
              </w:rPr>
              <w:t>Gradul redus de valorificare energetică a deșeurilor nereciclabile și a altor fluxuri cu potențial energetic determină utilizarea ineficientă a resurselor, creșterea dependenței de depozitare și raterea oportunităților de recuperare energetică în condiții controlate</w:t>
            </w:r>
          </w:p>
        </w:tc>
        <w:tc>
          <w:tcPr>
            <w:tcW w:w="1937" w:type="dxa"/>
            <w:hideMark/>
          </w:tcPr>
          <w:p w14:paraId="1E87A618"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C00000"/>
                <w:sz w:val="16"/>
                <w:szCs w:val="16"/>
                <w:lang w:val="ro-RO"/>
              </w:rPr>
              <w:t>SEMNIFICATIV</w:t>
            </w:r>
          </w:p>
        </w:tc>
        <w:tc>
          <w:tcPr>
            <w:tcW w:w="5403" w:type="dxa"/>
            <w:hideMark/>
          </w:tcPr>
          <w:p w14:paraId="34D8C655" w14:textId="77777777" w:rsidR="00371F04" w:rsidRDefault="00371F04" w:rsidP="00371F04">
            <w:pPr>
              <w:spacing w:before="0" w:after="0" w:line="240" w:lineRule="auto"/>
              <w:jc w:val="both"/>
              <w:rPr>
                <w:rFonts w:ascii="Nunito" w:hAnsi="Nunito"/>
                <w:sz w:val="16"/>
                <w:szCs w:val="16"/>
                <w:lang w:val="ro-RO"/>
              </w:rPr>
            </w:pPr>
            <w:r>
              <w:rPr>
                <w:rFonts w:ascii="Nunito" w:hAnsi="Nunito"/>
                <w:sz w:val="16"/>
                <w:szCs w:val="16"/>
                <w:lang w:val="ro-RO"/>
              </w:rPr>
              <w:t>Pierdere energetică de scară națională (4,7–5,8% din consumul electric). Planul poate reduce pierderea printr-un plan gradual de creștere a valorificării energetice; efectul este condiționat de dezvoltarea capacităților.</w:t>
            </w:r>
          </w:p>
          <w:p w14:paraId="54FBAF79" w14:textId="64BBD594" w:rsidR="007A3D64" w:rsidRPr="0067604E" w:rsidRDefault="007A3D64" w:rsidP="00371F04">
            <w:pPr>
              <w:spacing w:before="0" w:after="0" w:line="240" w:lineRule="auto"/>
              <w:jc w:val="both"/>
              <w:rPr>
                <w:rFonts w:ascii="Nunito" w:hAnsi="Nunito"/>
                <w:sz w:val="16"/>
                <w:szCs w:val="16"/>
                <w:lang w:val="ro-RO"/>
              </w:rPr>
            </w:pPr>
            <w:r>
              <w:rPr>
                <w:rFonts w:ascii="Nunito" w:hAnsi="Nunito"/>
                <w:sz w:val="16"/>
                <w:szCs w:val="16"/>
                <w:lang w:val="ro-RO"/>
              </w:rPr>
              <w:t>Potențial major nevalorificat, condiționat de calitatea RDF/SRF. Planul poate debloca potențialul prin standarde de calitate a combustibilului din deșeuri; efectul este condiționat de conformarea instalațiilor TMB.</w:t>
            </w:r>
          </w:p>
        </w:tc>
      </w:tr>
      <w:tr w:rsidR="00371F04" w:rsidRPr="00C36764" w14:paraId="5AD1DC74" w14:textId="77777777" w:rsidTr="007A3D64">
        <w:tc>
          <w:tcPr>
            <w:tcW w:w="837" w:type="dxa"/>
            <w:hideMark/>
          </w:tcPr>
          <w:p w14:paraId="2BA30115"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05326E"/>
                <w:sz w:val="16"/>
                <w:szCs w:val="16"/>
                <w:lang w:val="ro-RO"/>
              </w:rPr>
              <w:t>P13.2</w:t>
            </w:r>
          </w:p>
        </w:tc>
        <w:tc>
          <w:tcPr>
            <w:tcW w:w="1200" w:type="dxa"/>
            <w:hideMark/>
          </w:tcPr>
          <w:p w14:paraId="276D482A" w14:textId="77777777" w:rsidR="00371F04" w:rsidRPr="0067604E" w:rsidRDefault="00371F04" w:rsidP="00371F04">
            <w:pPr>
              <w:spacing w:before="0" w:after="0" w:line="240" w:lineRule="auto"/>
              <w:rPr>
                <w:rFonts w:ascii="Nunito" w:hAnsi="Nunito"/>
                <w:sz w:val="16"/>
                <w:szCs w:val="16"/>
                <w:lang w:val="ro-RO"/>
              </w:rPr>
            </w:pPr>
            <w:r>
              <w:rPr>
                <w:rFonts w:ascii="Nunito" w:hAnsi="Nunito"/>
                <w:b/>
                <w:bCs/>
                <w:color w:val="05326E"/>
                <w:sz w:val="16"/>
                <w:szCs w:val="16"/>
                <w:lang w:val="ro-RO"/>
              </w:rPr>
              <w:t>Eficiența energetică</w:t>
            </w:r>
          </w:p>
        </w:tc>
        <w:tc>
          <w:tcPr>
            <w:tcW w:w="4657" w:type="dxa"/>
            <w:hideMark/>
          </w:tcPr>
          <w:p w14:paraId="20F4A6BA" w14:textId="002DAE91" w:rsidR="00371F04" w:rsidRPr="0067604E" w:rsidRDefault="007A3D64" w:rsidP="00371F04">
            <w:pPr>
              <w:spacing w:before="0" w:after="0" w:line="240" w:lineRule="auto"/>
              <w:jc w:val="both"/>
              <w:rPr>
                <w:rFonts w:ascii="Nunito" w:hAnsi="Nunito"/>
                <w:sz w:val="16"/>
                <w:szCs w:val="16"/>
                <w:lang w:val="ro-RO"/>
              </w:rPr>
            </w:pPr>
            <w:r>
              <w:rPr>
                <w:rFonts w:ascii="Nunito" w:hAnsi="Nunito"/>
                <w:sz w:val="16"/>
                <w:szCs w:val="16"/>
                <w:lang w:val="ro-RO"/>
              </w:rPr>
              <w:t>Capacitate insuficient utilizată sau nedezvoltată pentru valorificarea energetică a deșeurilor, inclusiv co-procesare și instalații dedicate.</w:t>
            </w:r>
          </w:p>
        </w:tc>
        <w:tc>
          <w:tcPr>
            <w:tcW w:w="1937" w:type="dxa"/>
            <w:hideMark/>
          </w:tcPr>
          <w:p w14:paraId="64ACE2FE" w14:textId="77777777" w:rsidR="00371F04" w:rsidRPr="0067604E" w:rsidRDefault="00371F04" w:rsidP="00371F04">
            <w:pPr>
              <w:spacing w:before="0" w:after="0" w:line="240" w:lineRule="auto"/>
              <w:jc w:val="center"/>
              <w:rPr>
                <w:rFonts w:ascii="Nunito" w:hAnsi="Nunito"/>
                <w:sz w:val="16"/>
                <w:szCs w:val="16"/>
                <w:lang w:val="ro-RO"/>
              </w:rPr>
            </w:pPr>
            <w:r>
              <w:rPr>
                <w:rFonts w:ascii="Nunito" w:hAnsi="Nunito"/>
                <w:b/>
                <w:bCs/>
                <w:color w:val="C00000"/>
                <w:sz w:val="16"/>
                <w:szCs w:val="16"/>
                <w:lang w:val="ro-RO"/>
              </w:rPr>
              <w:t>SEMNIFICATIV</w:t>
            </w:r>
          </w:p>
        </w:tc>
        <w:tc>
          <w:tcPr>
            <w:tcW w:w="5403" w:type="dxa"/>
          </w:tcPr>
          <w:p w14:paraId="578D17AB" w14:textId="18B8C894" w:rsidR="00371F04" w:rsidRPr="0067604E" w:rsidRDefault="007A3D64" w:rsidP="00371F04">
            <w:pPr>
              <w:spacing w:before="0" w:after="0" w:line="240" w:lineRule="auto"/>
              <w:jc w:val="both"/>
              <w:rPr>
                <w:rFonts w:ascii="Nunito" w:hAnsi="Nunito"/>
                <w:sz w:val="16"/>
                <w:szCs w:val="16"/>
                <w:lang w:val="ro-RO"/>
              </w:rPr>
            </w:pPr>
            <w:r>
              <w:rPr>
                <w:rFonts w:ascii="Nunito" w:hAnsi="Nunito"/>
                <w:sz w:val="16"/>
                <w:szCs w:val="16"/>
                <w:lang w:val="ro-RO"/>
              </w:rPr>
              <w:t>PNGD poate crește eficiența energetică a sistemului prin utilizarea capacității existente de co-procesare, îmbunătățirea calității RDF/SRF și analizarea necesarului de instalații dedicate pentru fracțiile reziduale nereciclabile. Planul poate reduce pierderea energetică cumulativă și presiunea asupra depozitelor prin corelarea infrastructurii de tratare cu cererea energetică și cu țintele de reducere a depozitării. Efectul este condiționat de dezvoltarea capacităților, de asigurarea unor fluxuri stabile și de conformarea cu cerințele de mediu aplicabile instalațiilor de valorificare energetică.</w:t>
            </w:r>
          </w:p>
        </w:tc>
      </w:tr>
    </w:tbl>
    <w:p w14:paraId="2440DEF6" w14:textId="77777777" w:rsidR="001264B6" w:rsidRPr="001264B6" w:rsidRDefault="001264B6" w:rsidP="001264B6">
      <w:pPr>
        <w:spacing w:after="60"/>
        <w:jc w:val="both"/>
        <w:rPr>
          <w:rFonts w:ascii="Nunito" w:hAnsi="Nunito"/>
          <w:lang w:val="ro-RO"/>
        </w:rPr>
      </w:pPr>
      <w:r w:rsidRPr="001264B6">
        <w:rPr>
          <w:rFonts w:ascii="Nunito" w:hAnsi="Nunito"/>
          <w:lang w:val="ro-RO"/>
        </w:rPr>
        <w:t>Directiva SEA impune o atenție deosebită zonelor cu valoare ecologică ridicată, în special siturilor desemnate în temeiul Directivelor Habitate (92/43/CEE) și Păsări (2009/147/CE). Analiza prezentată în Capitolul 3, subcapitolul 3.1.5.8, evidențiază relevanța problemelor de biodiversitate și fundamentează concluzia că acestea nu pot fi considerate, în mod generalizat, nesemnificative.</w:t>
      </w:r>
    </w:p>
    <w:p w14:paraId="67B6411B" w14:textId="4545723A" w:rsidR="001264B6" w:rsidRPr="001264B6" w:rsidRDefault="001264B6" w:rsidP="001264B6">
      <w:pPr>
        <w:spacing w:after="60"/>
        <w:jc w:val="both"/>
        <w:rPr>
          <w:rFonts w:ascii="Nunito" w:hAnsi="Nunito"/>
          <w:lang w:val="ro-RO"/>
        </w:rPr>
      </w:pPr>
      <w:r w:rsidRPr="001264B6">
        <w:rPr>
          <w:rFonts w:ascii="Nunito" w:hAnsi="Nunito"/>
          <w:lang w:val="ro-RO"/>
        </w:rPr>
        <w:t xml:space="preserve">Conform planurilor de management ale siturilor Natura 2000 (ANMAP, 2018–2023) și formularelor standard Natura 2000 (versiunea 2024), gestionarea deficitară a deșeurilor este identificată ca presiune actuală asupra obiectivelor de conservare, și nu doar ca o amenințare potențială. Aceste presiuni sunt încadrate în nomenclatorul Natura 2000 prin codurile </w:t>
      </w:r>
      <w:r w:rsidRPr="001264B6">
        <w:rPr>
          <w:rFonts w:ascii="Nunito" w:hAnsi="Nunito"/>
          <w:lang w:val="ro-RO"/>
        </w:rPr>
        <w:lastRenderedPageBreak/>
        <w:t xml:space="preserve">E03 – gestionarea deșeurilor, H05 – poluarea solului și deșeurile solide și H02 – poluarea apelor subterane, cu intensități evaluate ca ridicate (H), medii (M) sau scăzute (L). În numeroase situri cu valoare conservativă ridicată, aceste presiuni sunt evaluate ca fiind actuale și de intensitate ridicată, inclusiv în ROSAC0382 </w:t>
      </w:r>
      <w:r>
        <w:rPr>
          <w:rFonts w:ascii="Nunito" w:hAnsi="Nunito"/>
          <w:lang w:val="ro-RO"/>
        </w:rPr>
        <w:t>-</w:t>
      </w:r>
      <w:r w:rsidRPr="001264B6">
        <w:rPr>
          <w:rFonts w:ascii="Nunito" w:hAnsi="Nunito"/>
          <w:lang w:val="ro-RO"/>
        </w:rPr>
        <w:t xml:space="preserve"> Râul Târnava Mare între Copșa Mică și Mihalț </w:t>
      </w:r>
      <w:r>
        <w:rPr>
          <w:rFonts w:ascii="Nunito" w:hAnsi="Nunito"/>
          <w:lang w:val="ro-RO"/>
        </w:rPr>
        <w:t xml:space="preserve">, </w:t>
      </w:r>
      <w:r w:rsidRPr="001264B6">
        <w:rPr>
          <w:rFonts w:ascii="Nunito" w:hAnsi="Nunito"/>
          <w:lang w:val="ro-RO"/>
        </w:rPr>
        <w:t xml:space="preserve">ROSAC0383 </w:t>
      </w:r>
      <w:r>
        <w:rPr>
          <w:rFonts w:ascii="Nunito" w:hAnsi="Nunito"/>
          <w:lang w:val="ro-RO"/>
        </w:rPr>
        <w:t>-</w:t>
      </w:r>
      <w:r w:rsidRPr="001264B6">
        <w:rPr>
          <w:rFonts w:ascii="Nunito" w:hAnsi="Nunito"/>
          <w:lang w:val="ro-RO"/>
        </w:rPr>
        <w:t>Râul Târnava Mare între Odorheiu Secuiesc și Vânători (Harghita/Mureș), ROSAC0381 Râul Târgului–Argeșel–Râușor, ROSAC0200 Platoul Vașcău, ROSAC0103 Lunca Buzăului, ROSAC0173 Pădurea Stârmina, precum și în situri de protecție avifaunistică precum ROSPA0031 Delta Dunării și Complexul Razim–Sinoie.</w:t>
      </w:r>
    </w:p>
    <w:p w14:paraId="55EC9C6C" w14:textId="77777777" w:rsidR="001264B6" w:rsidRPr="001264B6" w:rsidRDefault="001264B6" w:rsidP="001264B6">
      <w:pPr>
        <w:spacing w:after="60"/>
        <w:jc w:val="both"/>
        <w:rPr>
          <w:rFonts w:ascii="Nunito" w:hAnsi="Nunito"/>
          <w:lang w:val="ro-RO"/>
        </w:rPr>
      </w:pPr>
      <w:r w:rsidRPr="001264B6">
        <w:rPr>
          <w:rFonts w:ascii="Nunito" w:hAnsi="Nunito"/>
          <w:lang w:val="ro-RO"/>
        </w:rPr>
        <w:t>Impacturile pot apărea atât în interiorul siturilor, cât și în afara acestora, prin mecanisme de conectivitate ecologică. Printre acestea se numără transportul poluanților prin levigat, ape de suprafață, ape subterane sau atmosferă, creșterea disponibilității resurselor trofice asociate depozitelor de deșeuri cu conținut biodegradabil, favorizarea speciilor oportuniste și a prădătorilor subvenționați, fragmentarea habitatelor și coridoarelor ecologice, precum și răspândirea speciilor alogene invazive. Aceste mecanisme pot afecta speciile și habitatele de interes comunitar chiar și atunci când instalațiile sunt amplasate în afara limitelor siturilor Natura 2000.</w:t>
      </w:r>
    </w:p>
    <w:p w14:paraId="1312A0E9" w14:textId="4F73F999" w:rsidR="00371F04" w:rsidRPr="0067604E" w:rsidRDefault="001264B6" w:rsidP="001264B6">
      <w:pPr>
        <w:spacing w:after="60"/>
        <w:jc w:val="both"/>
        <w:rPr>
          <w:rFonts w:ascii="Nunito" w:hAnsi="Nunito"/>
          <w:lang w:val="ro-RO"/>
        </w:rPr>
      </w:pPr>
      <w:r w:rsidRPr="001264B6">
        <w:rPr>
          <w:rFonts w:ascii="Nunito" w:hAnsi="Nunito"/>
          <w:lang w:val="ro-RO"/>
        </w:rPr>
        <w:t>În ansamblu, efectele preconizate ale PNGD asupra acestor presiuni sunt predominant favorabile, însă depind de condițiile de implementare. Reducerea cantităților depozitate și devierea biodeșeurilor de la eliminare contribuie la diminuarea subvenției trofice și a riscului de poluare, iar modernizarea și conformarea instalațiilor de gestionare a deșeurilor reduc potențialul de fragmentare a habitatelor și de introducere sau răspândire a speciilor invazive. Cu toate acestea, dezvoltarea de noi infrastructuri poate genera presiuni locale suplimentare, precum ocuparea terenurilor, efectele de barieră, perturbarea faunei și poluarea luminoasă. În consecință, amplasarea noilor instalații în afara siturilor sensibile și a zonelor funcțional importante pentru speciile vulnerabile reprezintă o măsură esențială de evitare la nivel de plan, urmând ca eventualele efecte reziduale să fie analizate prin evaluare adecvată la nivel de proiect.</w:t>
      </w:r>
    </w:p>
    <w:p w14:paraId="20EDF308" w14:textId="77777777" w:rsidR="00E51087" w:rsidRPr="0067604E" w:rsidRDefault="00E51087" w:rsidP="00E51087">
      <w:pPr>
        <w:spacing w:after="60"/>
        <w:jc w:val="both"/>
        <w:rPr>
          <w:rFonts w:ascii="Arial" w:hAnsi="Arial" w:cs="Arial"/>
          <w:color w:val="000000"/>
          <w:sz w:val="20"/>
          <w:szCs w:val="20"/>
          <w:lang w:val="ro-RO"/>
        </w:rPr>
        <w:sectPr w:rsidR="00E51087" w:rsidRPr="0067604E" w:rsidSect="00371F04">
          <w:pgSz w:w="16838" w:h="11906" w:orient="landscape" w:code="9"/>
          <w:pgMar w:top="1191" w:right="962" w:bottom="1134" w:left="1418" w:header="839" w:footer="680" w:gutter="0"/>
          <w:cols w:space="708"/>
          <w:docGrid w:linePitch="360"/>
        </w:sectPr>
      </w:pPr>
    </w:p>
    <w:p w14:paraId="5B9AA0EC" w14:textId="7473ADFD" w:rsidR="00E51087" w:rsidRPr="0067604E" w:rsidRDefault="00330BD3" w:rsidP="00330BD3">
      <w:pPr>
        <w:pStyle w:val="Heading2"/>
        <w:suppressAutoHyphens w:val="0"/>
        <w:spacing w:before="260" w:line="260" w:lineRule="atLeast"/>
        <w:rPr>
          <w:rFonts w:ascii="Nunito" w:hAnsi="Nunito"/>
          <w:b w:val="0"/>
          <w:bCs w:val="0"/>
          <w:sz w:val="24"/>
          <w:szCs w:val="24"/>
          <w:lang w:val="ro-RO"/>
        </w:rPr>
      </w:pPr>
      <w:r>
        <w:rPr>
          <w:rFonts w:ascii="Nunito" w:hAnsi="Nunito"/>
          <w:b w:val="0"/>
          <w:bCs w:val="0"/>
          <w:sz w:val="24"/>
          <w:szCs w:val="24"/>
          <w:lang w:val="ro-RO"/>
        </w:rPr>
        <w:lastRenderedPageBreak/>
        <w:t>4.2 Concluzii privind problemele de mediu relevante pentru PNGD</w:t>
      </w:r>
    </w:p>
    <w:p w14:paraId="676EC64C" w14:textId="3E54C5F0" w:rsidR="00371F04" w:rsidRPr="0067604E" w:rsidRDefault="00371F04" w:rsidP="00371F04">
      <w:pPr>
        <w:spacing w:after="140"/>
        <w:jc w:val="both"/>
        <w:rPr>
          <w:rFonts w:ascii="Nunito" w:hAnsi="Nunito"/>
          <w:lang w:val="ro-RO"/>
        </w:rPr>
      </w:pPr>
      <w:r>
        <w:rPr>
          <w:rFonts w:ascii="Nunito" w:hAnsi="Nunito"/>
          <w:lang w:val="ro-RO"/>
        </w:rPr>
        <w:t xml:space="preserve">Analiza stării actuale a celor 13 componente de mediu a identificat în total </w:t>
      </w:r>
      <w:r w:rsidR="00C36764">
        <w:rPr>
          <w:rFonts w:ascii="Nunito" w:hAnsi="Nunito"/>
          <w:b/>
          <w:bCs/>
          <w:lang w:val="ro-RO"/>
        </w:rPr>
        <w:t>39</w:t>
      </w:r>
      <w:r>
        <w:rPr>
          <w:rFonts w:ascii="Nunito" w:hAnsi="Nunito"/>
          <w:b/>
          <w:bCs/>
          <w:lang w:val="ro-RO"/>
        </w:rPr>
        <w:t xml:space="preserve"> de probleme</w:t>
      </w:r>
      <w:r>
        <w:rPr>
          <w:rFonts w:ascii="Nunito" w:hAnsi="Nunito"/>
          <w:lang w:val="ro-RO"/>
        </w:rPr>
        <w:t xml:space="preserve"> cu relevanță pentru gestionarea deșeurilor. Repartiția pe niveluri de clasificare este următoarea:</w:t>
      </w:r>
    </w:p>
    <w:tbl>
      <w:tblPr>
        <w:tblStyle w:val="Ramboll-Table"/>
        <w:tblW w:w="9582" w:type="dxa"/>
        <w:tblLook w:val="04A0" w:firstRow="1" w:lastRow="0" w:firstColumn="1" w:lastColumn="0" w:noHBand="0" w:noVBand="1"/>
      </w:tblPr>
      <w:tblGrid>
        <w:gridCol w:w="7100"/>
        <w:gridCol w:w="2482"/>
      </w:tblGrid>
      <w:tr w:rsidR="00371F04" w:rsidRPr="0067604E" w14:paraId="03BA30E1" w14:textId="77777777" w:rsidTr="00371F04">
        <w:trPr>
          <w:cnfStyle w:val="100000000000" w:firstRow="1" w:lastRow="0" w:firstColumn="0" w:lastColumn="0" w:oddVBand="0" w:evenVBand="0" w:oddHBand="0" w:evenHBand="0" w:firstRowFirstColumn="0" w:firstRowLastColumn="0" w:lastRowFirstColumn="0" w:lastRowLastColumn="0"/>
        </w:trPr>
        <w:tc>
          <w:tcPr>
            <w:tcW w:w="7100" w:type="dxa"/>
            <w:shd w:val="clear" w:color="auto" w:fill="00B0F0"/>
            <w:hideMark/>
          </w:tcPr>
          <w:p w14:paraId="1FBA3F92" w14:textId="77777777" w:rsidR="00371F04" w:rsidRPr="0067604E" w:rsidRDefault="00371F04">
            <w:pPr>
              <w:rPr>
                <w:rFonts w:ascii="Nunito" w:hAnsi="Nunito"/>
                <w:sz w:val="16"/>
                <w:szCs w:val="16"/>
                <w:lang w:val="ro-RO"/>
              </w:rPr>
            </w:pPr>
            <w:r>
              <w:rPr>
                <w:rFonts w:ascii="Nunito" w:hAnsi="Nunito"/>
                <w:b/>
                <w:bCs/>
                <w:color w:val="FFFFFF"/>
                <w:sz w:val="16"/>
                <w:szCs w:val="16"/>
                <w:lang w:val="ro-RO"/>
              </w:rPr>
              <w:t>Nivel de clasificare</w:t>
            </w:r>
          </w:p>
        </w:tc>
        <w:tc>
          <w:tcPr>
            <w:tcW w:w="2482" w:type="dxa"/>
            <w:shd w:val="clear" w:color="auto" w:fill="00B0F0"/>
            <w:hideMark/>
          </w:tcPr>
          <w:p w14:paraId="472579B0" w14:textId="77777777" w:rsidR="00371F04" w:rsidRPr="0067604E" w:rsidRDefault="00371F04">
            <w:pPr>
              <w:jc w:val="center"/>
              <w:rPr>
                <w:rFonts w:ascii="Nunito" w:hAnsi="Nunito"/>
                <w:sz w:val="16"/>
                <w:szCs w:val="16"/>
                <w:lang w:val="ro-RO"/>
              </w:rPr>
            </w:pPr>
            <w:r>
              <w:rPr>
                <w:rFonts w:ascii="Nunito" w:hAnsi="Nunito"/>
                <w:b/>
                <w:bCs/>
                <w:color w:val="FFFFFF"/>
                <w:sz w:val="16"/>
                <w:szCs w:val="16"/>
                <w:lang w:val="ro-RO"/>
              </w:rPr>
              <w:t>Nr. probleme</w:t>
            </w:r>
          </w:p>
        </w:tc>
      </w:tr>
      <w:tr w:rsidR="00371F04" w:rsidRPr="0067604E" w14:paraId="1BB9632B" w14:textId="77777777" w:rsidTr="00371F04">
        <w:tc>
          <w:tcPr>
            <w:tcW w:w="7100" w:type="dxa"/>
            <w:hideMark/>
          </w:tcPr>
          <w:p w14:paraId="18F1D659" w14:textId="77777777" w:rsidR="00371F04" w:rsidRPr="0067604E" w:rsidRDefault="00371F04">
            <w:pPr>
              <w:rPr>
                <w:rFonts w:ascii="Nunito" w:hAnsi="Nunito"/>
                <w:sz w:val="16"/>
                <w:szCs w:val="16"/>
                <w:lang w:val="ro-RO"/>
              </w:rPr>
            </w:pPr>
            <w:r>
              <w:rPr>
                <w:rFonts w:ascii="Nunito" w:hAnsi="Nunito"/>
                <w:b/>
                <w:bCs/>
                <w:color w:val="C00000"/>
                <w:sz w:val="16"/>
                <w:szCs w:val="16"/>
                <w:lang w:val="ro-RO"/>
              </w:rPr>
              <w:t>SEMNIFICATIV</w:t>
            </w:r>
          </w:p>
        </w:tc>
        <w:tc>
          <w:tcPr>
            <w:tcW w:w="2482" w:type="dxa"/>
            <w:hideMark/>
          </w:tcPr>
          <w:p w14:paraId="10B8C710" w14:textId="3E86658B" w:rsidR="00371F04" w:rsidRPr="0067604E" w:rsidRDefault="00371F04">
            <w:pPr>
              <w:jc w:val="center"/>
              <w:rPr>
                <w:rFonts w:ascii="Nunito" w:hAnsi="Nunito"/>
                <w:sz w:val="16"/>
                <w:szCs w:val="16"/>
                <w:lang w:val="ro-RO"/>
              </w:rPr>
            </w:pPr>
            <w:r>
              <w:rPr>
                <w:rFonts w:ascii="Nunito" w:hAnsi="Nunito"/>
                <w:b/>
                <w:bCs/>
                <w:color w:val="C00000"/>
                <w:sz w:val="16"/>
                <w:szCs w:val="16"/>
                <w:lang w:val="ro-RO"/>
              </w:rPr>
              <w:t>2</w:t>
            </w:r>
            <w:r w:rsidR="00C36764">
              <w:rPr>
                <w:rFonts w:ascii="Nunito" w:hAnsi="Nunito"/>
                <w:b/>
                <w:bCs/>
                <w:color w:val="C00000"/>
                <w:sz w:val="16"/>
                <w:szCs w:val="16"/>
                <w:lang w:val="ro-RO"/>
              </w:rPr>
              <w:t>0</w:t>
            </w:r>
          </w:p>
        </w:tc>
      </w:tr>
      <w:tr w:rsidR="00371F04" w:rsidRPr="0067604E" w14:paraId="26AB4E01" w14:textId="77777777" w:rsidTr="00371F04">
        <w:tc>
          <w:tcPr>
            <w:tcW w:w="7100" w:type="dxa"/>
            <w:hideMark/>
          </w:tcPr>
          <w:p w14:paraId="321E1E7F" w14:textId="77777777" w:rsidR="00371F04" w:rsidRPr="0067604E" w:rsidRDefault="00371F04">
            <w:pPr>
              <w:rPr>
                <w:rFonts w:ascii="Nunito" w:hAnsi="Nunito"/>
                <w:sz w:val="16"/>
                <w:szCs w:val="16"/>
                <w:lang w:val="ro-RO"/>
              </w:rPr>
            </w:pPr>
            <w:r>
              <w:rPr>
                <w:rFonts w:ascii="Nunito" w:hAnsi="Nunito"/>
                <w:b/>
                <w:bCs/>
                <w:color w:val="B5651D"/>
                <w:sz w:val="16"/>
                <w:szCs w:val="16"/>
                <w:lang w:val="ro-RO"/>
              </w:rPr>
              <w:t>POTENȚIAL SEMNIFICATIV</w:t>
            </w:r>
          </w:p>
        </w:tc>
        <w:tc>
          <w:tcPr>
            <w:tcW w:w="2482" w:type="dxa"/>
            <w:hideMark/>
          </w:tcPr>
          <w:p w14:paraId="4884B89E" w14:textId="77777777" w:rsidR="00371F04" w:rsidRPr="0067604E" w:rsidRDefault="00371F04">
            <w:pPr>
              <w:jc w:val="center"/>
              <w:rPr>
                <w:rFonts w:ascii="Nunito" w:hAnsi="Nunito"/>
                <w:sz w:val="16"/>
                <w:szCs w:val="16"/>
                <w:lang w:val="ro-RO"/>
              </w:rPr>
            </w:pPr>
            <w:r>
              <w:rPr>
                <w:rFonts w:ascii="Nunito" w:hAnsi="Nunito"/>
                <w:b/>
                <w:bCs/>
                <w:color w:val="B5651D"/>
                <w:sz w:val="16"/>
                <w:szCs w:val="16"/>
                <w:lang w:val="ro-RO"/>
              </w:rPr>
              <w:t>17</w:t>
            </w:r>
          </w:p>
        </w:tc>
      </w:tr>
      <w:tr w:rsidR="00371F04" w:rsidRPr="0067604E" w14:paraId="5EA4B127" w14:textId="77777777" w:rsidTr="00371F04">
        <w:tc>
          <w:tcPr>
            <w:tcW w:w="7100" w:type="dxa"/>
            <w:hideMark/>
          </w:tcPr>
          <w:p w14:paraId="14DC5694" w14:textId="77777777" w:rsidR="00371F04" w:rsidRPr="0067604E" w:rsidRDefault="00371F04">
            <w:pPr>
              <w:rPr>
                <w:rFonts w:ascii="Nunito" w:hAnsi="Nunito"/>
                <w:sz w:val="16"/>
                <w:szCs w:val="16"/>
                <w:lang w:val="ro-RO"/>
              </w:rPr>
            </w:pPr>
            <w:r>
              <w:rPr>
                <w:rFonts w:ascii="Nunito" w:hAnsi="Nunito"/>
                <w:b/>
                <w:bCs/>
                <w:color w:val="4F7A28"/>
                <w:sz w:val="16"/>
                <w:szCs w:val="16"/>
                <w:lang w:val="ro-RO"/>
              </w:rPr>
              <w:t>NESEMNIFICATIV</w:t>
            </w:r>
          </w:p>
        </w:tc>
        <w:tc>
          <w:tcPr>
            <w:tcW w:w="2482" w:type="dxa"/>
            <w:hideMark/>
          </w:tcPr>
          <w:p w14:paraId="63F239EA" w14:textId="77777777" w:rsidR="00371F04" w:rsidRPr="0067604E" w:rsidRDefault="00371F04">
            <w:pPr>
              <w:jc w:val="center"/>
              <w:rPr>
                <w:rFonts w:ascii="Nunito" w:hAnsi="Nunito"/>
                <w:sz w:val="16"/>
                <w:szCs w:val="16"/>
                <w:lang w:val="ro-RO"/>
              </w:rPr>
            </w:pPr>
            <w:r>
              <w:rPr>
                <w:rFonts w:ascii="Nunito" w:hAnsi="Nunito"/>
                <w:b/>
                <w:bCs/>
                <w:color w:val="4F7A28"/>
                <w:sz w:val="16"/>
                <w:szCs w:val="16"/>
                <w:lang w:val="ro-RO"/>
              </w:rPr>
              <w:t>2</w:t>
            </w:r>
          </w:p>
        </w:tc>
      </w:tr>
      <w:tr w:rsidR="00371F04" w:rsidRPr="0067604E" w14:paraId="31FD41AE" w14:textId="77777777" w:rsidTr="00371F04">
        <w:tc>
          <w:tcPr>
            <w:tcW w:w="7100" w:type="dxa"/>
            <w:hideMark/>
          </w:tcPr>
          <w:p w14:paraId="6F2D1BA1" w14:textId="77777777" w:rsidR="00371F04" w:rsidRPr="0067604E" w:rsidRDefault="00371F04">
            <w:pPr>
              <w:rPr>
                <w:rFonts w:ascii="Nunito" w:hAnsi="Nunito"/>
                <w:sz w:val="16"/>
                <w:szCs w:val="16"/>
                <w:lang w:val="ro-RO"/>
              </w:rPr>
            </w:pPr>
            <w:r>
              <w:rPr>
                <w:rFonts w:ascii="Nunito" w:hAnsi="Nunito"/>
                <w:b/>
                <w:bCs/>
                <w:color w:val="7F7F7F"/>
                <w:sz w:val="16"/>
                <w:szCs w:val="16"/>
                <w:lang w:val="ro-RO"/>
              </w:rPr>
              <w:t>FĂRĂ LEGĂTURĂ DIRECTĂ CU PNGD</w:t>
            </w:r>
          </w:p>
        </w:tc>
        <w:tc>
          <w:tcPr>
            <w:tcW w:w="2482" w:type="dxa"/>
            <w:hideMark/>
          </w:tcPr>
          <w:p w14:paraId="3089CFFF" w14:textId="77777777" w:rsidR="00371F04" w:rsidRPr="0067604E" w:rsidRDefault="00371F04">
            <w:pPr>
              <w:jc w:val="center"/>
              <w:rPr>
                <w:rFonts w:ascii="Nunito" w:hAnsi="Nunito"/>
                <w:sz w:val="16"/>
                <w:szCs w:val="16"/>
                <w:lang w:val="ro-RO"/>
              </w:rPr>
            </w:pPr>
            <w:r>
              <w:rPr>
                <w:rFonts w:ascii="Nunito" w:hAnsi="Nunito"/>
                <w:b/>
                <w:bCs/>
                <w:color w:val="7F7F7F"/>
                <w:sz w:val="16"/>
                <w:szCs w:val="16"/>
                <w:lang w:val="ro-RO"/>
              </w:rPr>
              <w:t>0</w:t>
            </w:r>
          </w:p>
        </w:tc>
      </w:tr>
      <w:tr w:rsidR="00371F04" w:rsidRPr="0067604E" w14:paraId="333D581E" w14:textId="77777777" w:rsidTr="00371F04">
        <w:tc>
          <w:tcPr>
            <w:tcW w:w="7100" w:type="dxa"/>
            <w:hideMark/>
          </w:tcPr>
          <w:p w14:paraId="5BCD7418" w14:textId="77777777" w:rsidR="00371F04" w:rsidRPr="0067604E" w:rsidRDefault="00371F04">
            <w:pPr>
              <w:rPr>
                <w:rFonts w:ascii="Nunito" w:hAnsi="Nunito"/>
                <w:sz w:val="16"/>
                <w:szCs w:val="16"/>
                <w:lang w:val="ro-RO"/>
              </w:rPr>
            </w:pPr>
            <w:r>
              <w:rPr>
                <w:rFonts w:ascii="Nunito" w:hAnsi="Nunito"/>
                <w:b/>
                <w:bCs/>
                <w:sz w:val="16"/>
                <w:szCs w:val="16"/>
                <w:lang w:val="ro-RO"/>
              </w:rPr>
              <w:t>TOTAL probleme identificate</w:t>
            </w:r>
          </w:p>
        </w:tc>
        <w:tc>
          <w:tcPr>
            <w:tcW w:w="2482" w:type="dxa"/>
            <w:hideMark/>
          </w:tcPr>
          <w:p w14:paraId="73EBAC49" w14:textId="21D2F5D7" w:rsidR="00371F04" w:rsidRPr="0067604E" w:rsidRDefault="00C36764">
            <w:pPr>
              <w:jc w:val="center"/>
              <w:rPr>
                <w:rFonts w:ascii="Nunito" w:hAnsi="Nunito"/>
                <w:sz w:val="16"/>
                <w:szCs w:val="16"/>
                <w:lang w:val="ro-RO"/>
              </w:rPr>
            </w:pPr>
            <w:r>
              <w:rPr>
                <w:rFonts w:ascii="Nunito" w:hAnsi="Nunito"/>
                <w:b/>
                <w:bCs/>
                <w:sz w:val="16"/>
                <w:szCs w:val="16"/>
                <w:lang w:val="ro-RO"/>
              </w:rPr>
              <w:t>39</w:t>
            </w:r>
          </w:p>
        </w:tc>
      </w:tr>
    </w:tbl>
    <w:p w14:paraId="7457E291" w14:textId="77777777" w:rsidR="000D7410" w:rsidRPr="0067604E" w:rsidRDefault="000D7410" w:rsidP="00A03EA2">
      <w:pPr>
        <w:spacing w:after="80"/>
        <w:jc w:val="both"/>
        <w:rPr>
          <w:rFonts w:ascii="Nunito" w:hAnsi="Nunito"/>
          <w:lang w:val="ro-RO"/>
        </w:rPr>
      </w:pPr>
    </w:p>
    <w:p w14:paraId="4A4416A3" w14:textId="562A8E27" w:rsidR="005A7D28" w:rsidRPr="0067604E" w:rsidRDefault="00371F04" w:rsidP="00A03EA2">
      <w:pPr>
        <w:spacing w:after="80"/>
        <w:jc w:val="both"/>
        <w:rPr>
          <w:rFonts w:ascii="Nunito" w:hAnsi="Nunito"/>
          <w:lang w:val="ro-RO"/>
        </w:rPr>
      </w:pPr>
      <w:r>
        <w:rPr>
          <w:rFonts w:ascii="Nunito" w:hAnsi="Nunito"/>
          <w:lang w:val="ro-RO"/>
        </w:rPr>
        <w:t xml:space="preserve">Cele </w:t>
      </w:r>
      <w:r>
        <w:rPr>
          <w:rFonts w:ascii="Nunito" w:hAnsi="Nunito"/>
          <w:b/>
          <w:bCs/>
          <w:lang w:val="ro-RO"/>
        </w:rPr>
        <w:t>2</w:t>
      </w:r>
      <w:r w:rsidR="00C36764">
        <w:rPr>
          <w:rFonts w:ascii="Nunito" w:hAnsi="Nunito"/>
          <w:b/>
          <w:bCs/>
          <w:lang w:val="ro-RO"/>
        </w:rPr>
        <w:t>0</w:t>
      </w:r>
      <w:r>
        <w:rPr>
          <w:rFonts w:ascii="Nunito" w:hAnsi="Nunito"/>
          <w:b/>
          <w:bCs/>
          <w:lang w:val="ro-RO"/>
        </w:rPr>
        <w:t xml:space="preserve"> probleme </w:t>
      </w:r>
      <w:r>
        <w:rPr>
          <w:rFonts w:ascii="Nunito" w:hAnsi="Nunito"/>
          <w:lang w:val="ro-RO"/>
        </w:rPr>
        <w:t xml:space="preserve">încadrate ca </w:t>
      </w:r>
      <w:r>
        <w:rPr>
          <w:rFonts w:ascii="Nunito" w:hAnsi="Nunito"/>
          <w:b/>
          <w:bCs/>
          <w:color w:val="C00000"/>
          <w:lang w:val="ro-RO"/>
        </w:rPr>
        <w:t>SEMNIFICATIV</w:t>
      </w:r>
      <w:r>
        <w:rPr>
          <w:rFonts w:ascii="Nunito" w:hAnsi="Nunito"/>
          <w:lang w:val="ro-RO"/>
        </w:rPr>
        <w:t xml:space="preserve"> sunt presiuni active, cu consecințe juridice sau financiare imediate (proceduri de infringement, depășiri de praguri legale, risc de pierdere a finanțărilor PNRR) ori cu magnitudine relevantă la scară regională sau națională. Cele </w:t>
      </w:r>
      <w:r w:rsidR="00C36764">
        <w:rPr>
          <w:rFonts w:ascii="Nunito" w:hAnsi="Nunito"/>
          <w:b/>
          <w:bCs/>
          <w:lang w:val="ro-RO"/>
        </w:rPr>
        <w:t>17</w:t>
      </w:r>
      <w:r>
        <w:rPr>
          <w:rFonts w:ascii="Nunito" w:hAnsi="Nunito"/>
          <w:b/>
          <w:bCs/>
          <w:lang w:val="ro-RO"/>
        </w:rPr>
        <w:t xml:space="preserve"> probleme </w:t>
      </w:r>
      <w:r>
        <w:rPr>
          <w:rFonts w:ascii="Nunito" w:hAnsi="Nunito"/>
          <w:lang w:val="ro-RO"/>
        </w:rPr>
        <w:t xml:space="preserve">încadrate ca </w:t>
      </w:r>
      <w:r>
        <w:rPr>
          <w:rFonts w:ascii="Nunito" w:hAnsi="Nunito"/>
          <w:b/>
          <w:bCs/>
          <w:color w:val="B5651D"/>
          <w:lang w:val="ro-RO"/>
        </w:rPr>
        <w:t>POTENȚIAL SEMNIFICATIV</w:t>
      </w:r>
      <w:r>
        <w:rPr>
          <w:rFonts w:ascii="Nunito" w:hAnsi="Nunito"/>
          <w:lang w:val="ro-RO"/>
        </w:rPr>
        <w:t xml:space="preserve"> prezintă o cale credibilă de impact a cărei semnificație nu poate fi exclusă în absența măsurilor și se confirmă la nivel de proiect prin EIA sau evaluare adecvată. Numai </w:t>
      </w:r>
      <w:r w:rsidR="00C36764">
        <w:rPr>
          <w:rFonts w:ascii="Nunito" w:hAnsi="Nunito"/>
          <w:b/>
          <w:bCs/>
          <w:lang w:val="ro-RO"/>
        </w:rPr>
        <w:t>2</w:t>
      </w:r>
      <w:r>
        <w:rPr>
          <w:rFonts w:ascii="Nunito" w:hAnsi="Nunito"/>
          <w:b/>
          <w:bCs/>
          <w:lang w:val="ro-RO"/>
        </w:rPr>
        <w:t xml:space="preserve"> probleme </w:t>
      </w:r>
      <w:r>
        <w:rPr>
          <w:rFonts w:ascii="Nunito" w:hAnsi="Nunito"/>
          <w:lang w:val="ro-RO"/>
        </w:rPr>
        <w:t xml:space="preserve">rămân </w:t>
      </w:r>
      <w:r>
        <w:rPr>
          <w:rFonts w:ascii="Nunito" w:hAnsi="Nunito"/>
          <w:b/>
          <w:bCs/>
          <w:color w:val="4F7A28"/>
          <w:lang w:val="ro-RO"/>
        </w:rPr>
        <w:t>NESEMNIFICATIV</w:t>
      </w:r>
      <w:r>
        <w:rPr>
          <w:rFonts w:ascii="Nunito" w:hAnsi="Nunito"/>
          <w:lang w:val="ro-RO"/>
        </w:rPr>
        <w:t>, justificat prin caracterul lor strict local și reversibil, iar o singură problemă are factori determinanți externi domeniului de intervenție al planului</w:t>
      </w:r>
    </w:p>
    <w:p w14:paraId="1E1C93E5" w14:textId="77777777" w:rsidR="00A03EA2" w:rsidRPr="0067604E" w:rsidRDefault="00A03EA2" w:rsidP="00A03EA2">
      <w:pPr>
        <w:spacing w:after="80"/>
        <w:jc w:val="both"/>
        <w:rPr>
          <w:rFonts w:ascii="Nunito" w:hAnsi="Nunito"/>
          <w:b/>
          <w:bCs/>
          <w:color w:val="1A1A1A"/>
          <w:lang w:val="ro-RO"/>
        </w:rPr>
      </w:pPr>
      <w:r>
        <w:rPr>
          <w:rFonts w:ascii="Nunito" w:hAnsi="Nunito"/>
          <w:b/>
          <w:bCs/>
          <w:color w:val="1A1A1A"/>
          <w:lang w:val="ro-RO"/>
        </w:rPr>
        <w:t>Probleme transversale care afectează mai multe componente</w:t>
      </w:r>
    </w:p>
    <w:p w14:paraId="49627B8D" w14:textId="77777777" w:rsidR="00A03EA2" w:rsidRPr="0067604E" w:rsidRDefault="00A03EA2" w:rsidP="00A03EA2">
      <w:pPr>
        <w:spacing w:after="80"/>
        <w:jc w:val="both"/>
        <w:rPr>
          <w:rFonts w:ascii="Nunito" w:hAnsi="Nunito"/>
          <w:color w:val="1A1A1A"/>
          <w:lang w:val="ro-RO"/>
        </w:rPr>
      </w:pPr>
      <w:r>
        <w:rPr>
          <w:rFonts w:ascii="Nunito" w:hAnsi="Nunito"/>
          <w:color w:val="1A1A1A"/>
          <w:lang w:val="ro-RO"/>
        </w:rPr>
        <w:t>Analiza evidențiază trei surse principale de probleme transversale, care produc efecte negative simultane asupra mai multor componente de mediu.</w:t>
      </w:r>
    </w:p>
    <w:tbl>
      <w:tblPr>
        <w:tblStyle w:val="Ramboll-Table"/>
        <w:tblW w:w="9498" w:type="dxa"/>
        <w:tblLook w:val="04A0" w:firstRow="1" w:lastRow="0" w:firstColumn="1" w:lastColumn="0" w:noHBand="0" w:noVBand="1"/>
      </w:tblPr>
      <w:tblGrid>
        <w:gridCol w:w="2268"/>
        <w:gridCol w:w="1323"/>
        <w:gridCol w:w="5907"/>
      </w:tblGrid>
      <w:tr w:rsidR="00E43733" w:rsidRPr="0067604E" w14:paraId="6EE6A6EF" w14:textId="77777777" w:rsidTr="000D7410">
        <w:trPr>
          <w:cnfStyle w:val="100000000000" w:firstRow="1" w:lastRow="0" w:firstColumn="0" w:lastColumn="0" w:oddVBand="0" w:evenVBand="0" w:oddHBand="0" w:evenHBand="0" w:firstRowFirstColumn="0" w:firstRowLastColumn="0" w:lastRowFirstColumn="0" w:lastRowLastColumn="0"/>
          <w:trHeight w:val="191"/>
        </w:trPr>
        <w:tc>
          <w:tcPr>
            <w:tcW w:w="3591" w:type="dxa"/>
            <w:gridSpan w:val="2"/>
            <w:shd w:val="clear" w:color="auto" w:fill="D9D9D9" w:themeFill="background1" w:themeFillShade="D9"/>
          </w:tcPr>
          <w:p w14:paraId="2C84039A" w14:textId="5EFC8FCD" w:rsidR="00E43733" w:rsidRPr="0067604E" w:rsidRDefault="005A7D28" w:rsidP="00E43733">
            <w:pPr>
              <w:spacing w:before="0" w:after="0" w:line="240" w:lineRule="auto"/>
              <w:jc w:val="both"/>
              <w:rPr>
                <w:rFonts w:ascii="Nunito" w:hAnsi="Nunito"/>
                <w:b/>
                <w:bCs/>
                <w:color w:val="009DF0" w:themeColor="text2"/>
                <w:sz w:val="16"/>
                <w:szCs w:val="16"/>
                <w:lang w:val="ro-RO"/>
              </w:rPr>
            </w:pPr>
            <w:r>
              <w:rPr>
                <w:rFonts w:ascii="Nunito" w:hAnsi="Nunito"/>
                <w:b/>
                <w:bCs/>
                <w:color w:val="009DF0" w:themeColor="text2"/>
                <w:sz w:val="16"/>
                <w:szCs w:val="16"/>
                <w:lang w:val="ro-RO"/>
              </w:rPr>
              <w:t>Probleme transversanele</w:t>
            </w:r>
          </w:p>
        </w:tc>
        <w:tc>
          <w:tcPr>
            <w:tcW w:w="5907" w:type="dxa"/>
            <w:shd w:val="clear" w:color="auto" w:fill="D9D9D9" w:themeFill="background1" w:themeFillShade="D9"/>
          </w:tcPr>
          <w:p w14:paraId="5F8AE7AC" w14:textId="3092A100" w:rsidR="00E43733" w:rsidRPr="0067604E" w:rsidRDefault="005A7D28" w:rsidP="005A7D28">
            <w:pPr>
              <w:spacing w:before="0" w:after="0" w:line="240" w:lineRule="auto"/>
              <w:ind w:left="0"/>
              <w:jc w:val="both"/>
              <w:rPr>
                <w:rFonts w:ascii="Nunito" w:hAnsi="Nunito"/>
                <w:b/>
                <w:bCs/>
                <w:color w:val="009DF0" w:themeColor="text2"/>
                <w:sz w:val="16"/>
                <w:szCs w:val="16"/>
                <w:lang w:val="ro-RO"/>
              </w:rPr>
            </w:pPr>
            <w:r>
              <w:rPr>
                <w:rFonts w:ascii="Nunito" w:hAnsi="Nunito"/>
                <w:b/>
                <w:bCs/>
                <w:color w:val="009DF0" w:themeColor="text2"/>
                <w:sz w:val="16"/>
                <w:szCs w:val="16"/>
                <w:lang w:val="ro-RO"/>
              </w:rPr>
              <w:t>Descriere</w:t>
            </w:r>
          </w:p>
        </w:tc>
      </w:tr>
      <w:tr w:rsidR="000D7410" w:rsidRPr="00C36764" w14:paraId="453F191D" w14:textId="77777777" w:rsidTr="000D7410">
        <w:trPr>
          <w:trHeight w:val="820"/>
        </w:trPr>
        <w:tc>
          <w:tcPr>
            <w:tcW w:w="2268" w:type="dxa"/>
          </w:tcPr>
          <w:p w14:paraId="32AB0176" w14:textId="6272AAF2" w:rsidR="000D7410" w:rsidRPr="0067604E" w:rsidRDefault="000D7410" w:rsidP="000D7410">
            <w:pPr>
              <w:spacing w:before="0" w:after="0" w:line="240" w:lineRule="auto"/>
              <w:rPr>
                <w:rFonts w:ascii="Nunito" w:hAnsi="Nunito"/>
                <w:b/>
                <w:bCs/>
                <w:color w:val="1A1A1A"/>
                <w:sz w:val="16"/>
                <w:szCs w:val="16"/>
                <w:lang w:val="ro-RO"/>
              </w:rPr>
            </w:pPr>
            <w:r>
              <w:rPr>
                <w:rFonts w:ascii="Nunito" w:hAnsi="Nunito"/>
                <w:b/>
                <w:bCs/>
                <w:sz w:val="16"/>
                <w:szCs w:val="16"/>
                <w:lang w:val="ro-RO"/>
              </w:rPr>
              <w:t>Depozitele municipale neconforme</w:t>
            </w:r>
          </w:p>
        </w:tc>
        <w:tc>
          <w:tcPr>
            <w:tcW w:w="7230" w:type="dxa"/>
            <w:gridSpan w:val="2"/>
          </w:tcPr>
          <w:p w14:paraId="71E2501F" w14:textId="2AA1E968" w:rsidR="000D7410" w:rsidRPr="0067604E" w:rsidRDefault="00C36764" w:rsidP="000D7410">
            <w:pPr>
              <w:spacing w:before="0" w:after="0" w:line="240" w:lineRule="auto"/>
              <w:jc w:val="both"/>
              <w:rPr>
                <w:rFonts w:ascii="Nunito" w:hAnsi="Nunito"/>
                <w:sz w:val="16"/>
                <w:szCs w:val="16"/>
                <w:lang w:val="ro-RO"/>
              </w:rPr>
            </w:pPr>
            <w:r>
              <w:rPr>
                <w:rFonts w:ascii="Nunito" w:hAnsi="Nunito"/>
                <w:sz w:val="16"/>
                <w:szCs w:val="16"/>
                <w:lang w:val="ro-RO"/>
              </w:rPr>
              <w:t>D</w:t>
            </w:r>
            <w:r w:rsidR="000D7410">
              <w:rPr>
                <w:rFonts w:ascii="Nunito" w:hAnsi="Nunito"/>
                <w:sz w:val="16"/>
                <w:szCs w:val="16"/>
                <w:lang w:val="ro-RO"/>
              </w:rPr>
              <w:t>epozite</w:t>
            </w:r>
            <w:r>
              <w:rPr>
                <w:rFonts w:ascii="Nunito" w:hAnsi="Nunito"/>
                <w:sz w:val="16"/>
                <w:szCs w:val="16"/>
                <w:lang w:val="ro-RO"/>
              </w:rPr>
              <w:t>le</w:t>
            </w:r>
            <w:r w:rsidR="000D7410">
              <w:rPr>
                <w:rFonts w:ascii="Nunito" w:hAnsi="Nunito"/>
                <w:sz w:val="16"/>
                <w:szCs w:val="16"/>
                <w:lang w:val="ro-RO"/>
              </w:rPr>
              <w:t xml:space="preserve"> </w:t>
            </w:r>
            <w:r>
              <w:rPr>
                <w:rFonts w:ascii="Nunito" w:hAnsi="Nunito"/>
                <w:sz w:val="16"/>
                <w:szCs w:val="16"/>
                <w:lang w:val="ro-RO"/>
              </w:rPr>
              <w:t xml:space="preserve">de deșeuri </w:t>
            </w:r>
            <w:r w:rsidR="000D7410">
              <w:rPr>
                <w:rFonts w:ascii="Nunito" w:hAnsi="Nunito"/>
                <w:sz w:val="16"/>
                <w:szCs w:val="16"/>
                <w:lang w:val="ro-RO"/>
              </w:rPr>
              <w:t xml:space="preserve">municipale neconforme </w:t>
            </w:r>
            <w:r>
              <w:rPr>
                <w:rFonts w:ascii="Nunito" w:hAnsi="Nunito"/>
                <w:sz w:val="16"/>
                <w:szCs w:val="16"/>
                <w:lang w:val="ro-RO"/>
              </w:rPr>
              <w:t>neînchise</w:t>
            </w:r>
            <w:r w:rsidR="000D7410">
              <w:rPr>
                <w:rFonts w:ascii="Nunito" w:hAnsi="Nunito"/>
                <w:sz w:val="16"/>
                <w:szCs w:val="16"/>
                <w:lang w:val="ro-RO"/>
              </w:rPr>
              <w:t xml:space="preserve"> sunt sursa comună a problemelor semnificative din Apă, Sol, Populație și sănătate și Valori materiale și contribuie la presiuni asupra Biodiversității, Schimbărilor climatice, Peisajului și Economiei circulare. </w:t>
            </w:r>
          </w:p>
          <w:p w14:paraId="6563EB19" w14:textId="6940B165" w:rsidR="000D7410" w:rsidRPr="0067604E" w:rsidRDefault="000D7410" w:rsidP="000D7410">
            <w:pPr>
              <w:spacing w:before="0" w:after="0" w:line="240" w:lineRule="auto"/>
              <w:jc w:val="both"/>
              <w:rPr>
                <w:rFonts w:ascii="Nunito" w:hAnsi="Nunito"/>
                <w:color w:val="1A1A1A"/>
                <w:sz w:val="16"/>
                <w:szCs w:val="16"/>
                <w:lang w:val="ro-RO"/>
              </w:rPr>
            </w:pPr>
            <w:r>
              <w:rPr>
                <w:rFonts w:ascii="Nunito" w:hAnsi="Nunito"/>
                <w:sz w:val="16"/>
                <w:szCs w:val="16"/>
                <w:lang w:val="ro-RO"/>
              </w:rPr>
              <w:t>Conformarea lor este o condiție necesară, dar nu suficientă, pentru ameliorarea simultană a mai multor componente.</w:t>
            </w:r>
          </w:p>
        </w:tc>
      </w:tr>
      <w:tr w:rsidR="000D7410" w:rsidRPr="0067604E" w14:paraId="7EAB3D08" w14:textId="77777777" w:rsidTr="000D7410">
        <w:trPr>
          <w:trHeight w:val="444"/>
        </w:trPr>
        <w:tc>
          <w:tcPr>
            <w:tcW w:w="2268" w:type="dxa"/>
          </w:tcPr>
          <w:p w14:paraId="20B3511E" w14:textId="38261FE8" w:rsidR="000D7410" w:rsidRPr="0067604E" w:rsidRDefault="000D7410" w:rsidP="000D7410">
            <w:pPr>
              <w:spacing w:before="0" w:after="0" w:line="240" w:lineRule="auto"/>
              <w:rPr>
                <w:rFonts w:ascii="Nunito" w:hAnsi="Nunito"/>
                <w:b/>
                <w:bCs/>
                <w:color w:val="1A1A1A"/>
                <w:sz w:val="16"/>
                <w:szCs w:val="16"/>
                <w:lang w:val="ro-RO"/>
              </w:rPr>
            </w:pPr>
            <w:r>
              <w:rPr>
                <w:rFonts w:ascii="Nunito" w:hAnsi="Nunito"/>
                <w:b/>
                <w:bCs/>
                <w:sz w:val="16"/>
                <w:szCs w:val="16"/>
                <w:lang w:val="ro-RO"/>
              </w:rPr>
              <w:t>Absența colectării separate și a tratării biologice</w:t>
            </w:r>
          </w:p>
        </w:tc>
        <w:tc>
          <w:tcPr>
            <w:tcW w:w="7230" w:type="dxa"/>
            <w:gridSpan w:val="2"/>
          </w:tcPr>
          <w:p w14:paraId="1A3BAEBD" w14:textId="65505A36" w:rsidR="000D7410" w:rsidRPr="0067604E" w:rsidRDefault="000D7410" w:rsidP="000D7410">
            <w:pPr>
              <w:spacing w:before="0" w:after="0" w:line="240" w:lineRule="auto"/>
              <w:jc w:val="both"/>
              <w:rPr>
                <w:rFonts w:ascii="Nunito" w:hAnsi="Nunito"/>
                <w:color w:val="1A1A1A"/>
                <w:sz w:val="16"/>
                <w:szCs w:val="16"/>
                <w:lang w:val="ro-RO"/>
              </w:rPr>
            </w:pPr>
            <w:r>
              <w:rPr>
                <w:rFonts w:ascii="Nunito" w:hAnsi="Nunito"/>
                <w:sz w:val="16"/>
                <w:szCs w:val="16"/>
                <w:lang w:val="ro-RO"/>
              </w:rPr>
              <w:t>Lacuna structurală de colectare separată și de tratare biologică a biodeșeurilor generează probleme semnificative în Economie circulară și Schimbări climatice și contribuie la presiuni asupra Apei, Solului, Aerului, Sănătății și Peisajului. Este, în prezent, sursa cea mai productivă de efecte negative în cascadă.</w:t>
            </w:r>
          </w:p>
        </w:tc>
      </w:tr>
      <w:tr w:rsidR="000D7410" w:rsidRPr="00C36764" w14:paraId="72F34275" w14:textId="77777777" w:rsidTr="000D7410">
        <w:trPr>
          <w:trHeight w:val="711"/>
        </w:trPr>
        <w:tc>
          <w:tcPr>
            <w:tcW w:w="2268" w:type="dxa"/>
          </w:tcPr>
          <w:p w14:paraId="0A515AD7" w14:textId="168C1D31" w:rsidR="000D7410" w:rsidRPr="0067604E" w:rsidRDefault="000D7410" w:rsidP="000D7410">
            <w:pPr>
              <w:spacing w:before="0" w:after="0" w:line="240" w:lineRule="auto"/>
              <w:rPr>
                <w:rFonts w:ascii="Nunito" w:hAnsi="Nunito"/>
                <w:b/>
                <w:bCs/>
                <w:color w:val="1A1A1A"/>
                <w:sz w:val="16"/>
                <w:szCs w:val="16"/>
                <w:lang w:val="ro-RO"/>
              </w:rPr>
            </w:pPr>
            <w:r>
              <w:rPr>
                <w:rFonts w:ascii="Nunito" w:hAnsi="Nunito"/>
                <w:b/>
                <w:bCs/>
                <w:sz w:val="16"/>
                <w:szCs w:val="16"/>
                <w:lang w:val="ro-RO"/>
              </w:rPr>
              <w:t>Absența serviciilor conforme în mediul rural</w:t>
            </w:r>
          </w:p>
        </w:tc>
        <w:tc>
          <w:tcPr>
            <w:tcW w:w="7230" w:type="dxa"/>
            <w:gridSpan w:val="2"/>
          </w:tcPr>
          <w:p w14:paraId="6E169231" w14:textId="324DC666" w:rsidR="000D7410" w:rsidRPr="0067604E" w:rsidRDefault="000D7410" w:rsidP="000D7410">
            <w:pPr>
              <w:spacing w:before="0" w:after="0" w:line="240" w:lineRule="auto"/>
              <w:jc w:val="both"/>
              <w:rPr>
                <w:rFonts w:ascii="Nunito" w:hAnsi="Nunito"/>
                <w:color w:val="1A1A1A"/>
                <w:sz w:val="16"/>
                <w:szCs w:val="16"/>
                <w:lang w:val="ro-RO"/>
              </w:rPr>
            </w:pPr>
            <w:r>
              <w:rPr>
                <w:rFonts w:ascii="Nunito" w:hAnsi="Nunito"/>
                <w:sz w:val="16"/>
                <w:szCs w:val="16"/>
                <w:lang w:val="ro-RO"/>
              </w:rPr>
              <w:t>Lipsa serviciilor conforme de colectare în rural explică arderile necontrolate (Aer), depozitările ilegale (Peisaj), contaminarea fântânilor (Apă, Sănătate) și menținerea practicilor neconforme (Economie circulară). Raportat la investiție, extinderea acoperirii are cel mai mare efect multiplicator pozitiv.</w:t>
            </w:r>
          </w:p>
        </w:tc>
      </w:tr>
    </w:tbl>
    <w:p w14:paraId="66CCBCC7" w14:textId="15FD015A" w:rsidR="000D7410" w:rsidRPr="0067604E" w:rsidRDefault="00A03EA2" w:rsidP="000D7410">
      <w:pPr>
        <w:spacing w:after="80"/>
        <w:jc w:val="both"/>
        <w:rPr>
          <w:rFonts w:ascii="Nunito" w:hAnsi="Nunito"/>
          <w:lang w:val="ro-RO"/>
        </w:rPr>
      </w:pPr>
      <w:r>
        <w:rPr>
          <w:rFonts w:ascii="Nunito" w:hAnsi="Nunito"/>
          <w:color w:val="1A1A1A"/>
          <w:lang w:val="ro-RO"/>
        </w:rPr>
        <w:t>.</w:t>
      </w:r>
      <w:r>
        <w:rPr>
          <w:rFonts w:ascii="Nunito" w:hAnsi="Nunito"/>
          <w:lang w:val="ro-RO"/>
        </w:rPr>
        <w:t>În acord cu Ghidul SEA, pentru fiecare problemă a fost evaluat sensul probabil al efectului planului. Per ansamblu, PNGD tinde să reducă majoritatea presiunilor existente - prin închiderea depozitelor neconforme, colectarea separată, tratarea biologică, valorificarea materială și energetică și extinderea serviciilor conforme. Această reducere este însă condiționată de implementarea efectivă: în absența sau în aplicarea incompletă a măsurilor, presiunile identificate persistă și se pot agrava, cu efecte semnificative. Un număr restrâns de presiuni pot fi induse de plan prin dezvoltarea de infrastructură nouă (ocupare de teren, fragmentare, impact vizual, emisii din instalațiile de tratare termică, poluare luminoasă); pentru acestea, semnificația se stabilește la nivel de proiect, prin EIA și, după caz, evaluare adecvată, cu aplicarea ierarhiei de evitare–reducere–compensare.</w:t>
      </w:r>
    </w:p>
    <w:p w14:paraId="3461C285" w14:textId="77777777" w:rsidR="000D7410" w:rsidRPr="0067604E" w:rsidRDefault="000D7410" w:rsidP="000D7410">
      <w:pPr>
        <w:spacing w:after="120"/>
        <w:jc w:val="both"/>
        <w:rPr>
          <w:rFonts w:ascii="Nunito" w:hAnsi="Nunito"/>
          <w:lang w:val="ro-RO"/>
        </w:rPr>
      </w:pPr>
      <w:r>
        <w:rPr>
          <w:rFonts w:ascii="Nunito" w:hAnsi="Nunito"/>
          <w:lang w:val="ro-RO"/>
        </w:rPr>
        <w:t xml:space="preserve">Prioritatea de intervenție trebuie orientată către problemele clasificate </w:t>
      </w:r>
      <w:r>
        <w:rPr>
          <w:rFonts w:ascii="Nunito" w:hAnsi="Nunito"/>
          <w:b/>
          <w:bCs/>
          <w:color w:val="C00000"/>
          <w:lang w:val="ro-RO"/>
        </w:rPr>
        <w:t>SEMNIFICATIV</w:t>
      </w:r>
      <w:r>
        <w:rPr>
          <w:rFonts w:ascii="Nunito" w:hAnsi="Nunito"/>
          <w:lang w:val="ro-RO"/>
        </w:rPr>
        <w:t xml:space="preserve"> și </w:t>
      </w:r>
      <w:r>
        <w:rPr>
          <w:rFonts w:ascii="Nunito" w:hAnsi="Nunito"/>
          <w:b/>
          <w:bCs/>
          <w:color w:val="B5651D"/>
          <w:lang w:val="ro-RO"/>
        </w:rPr>
        <w:t>POTENȚIAL SEMNIFICATIV</w:t>
      </w:r>
      <w:r>
        <w:rPr>
          <w:rFonts w:ascii="Nunito" w:hAnsi="Nunito"/>
          <w:lang w:val="ro-RO"/>
        </w:rPr>
        <w:t>, cu accent pe conformarea depozitelor neconforme, extinderea colectării separate, reducerea ratei de depozitare, dezvoltarea infrastructurii de tratare biologică a biodeșeurilor și protecția zonelor de importanță deosebită (Natura 2000), pentru care semnificația se confirmă prin evaluare adecvată la nivel de proiect.</w:t>
      </w:r>
    </w:p>
    <w:sectPr w:rsidR="000D7410" w:rsidRPr="0067604E" w:rsidSect="00E43733">
      <w:pgSz w:w="11906" w:h="16838" w:code="9"/>
      <w:pgMar w:top="1560" w:right="1133" w:bottom="1418" w:left="1191" w:header="83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8D104" w14:textId="77777777" w:rsidR="00BF617A" w:rsidRDefault="00BF617A" w:rsidP="009E4B94">
      <w:pPr>
        <w:spacing w:line="240" w:lineRule="auto"/>
      </w:pPr>
      <w:r>
        <w:separator/>
      </w:r>
    </w:p>
  </w:endnote>
  <w:endnote w:type="continuationSeparator" w:id="0">
    <w:p w14:paraId="13E41E83" w14:textId="77777777" w:rsidR="00BF617A" w:rsidRDefault="00BF617A" w:rsidP="009E4B94">
      <w:pPr>
        <w:spacing w:line="240" w:lineRule="auto"/>
      </w:pPr>
      <w:r>
        <w:continuationSeparator/>
      </w:r>
    </w:p>
  </w:endnote>
  <w:endnote w:type="continuationNotice" w:id="1">
    <w:p w14:paraId="2FAA6A73" w14:textId="77777777" w:rsidR="00BF617A" w:rsidRDefault="00BF617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 w:name="Nunito Light">
    <w:charset w:val="00"/>
    <w:family w:val="auto"/>
    <w:pitch w:val="variable"/>
    <w:sig w:usb0="A00002FF" w:usb1="5000204B"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3338C" w14:textId="56B13FCD" w:rsidR="00B10C6D" w:rsidRDefault="00B10C6D">
    <w:pPr>
      <w:pStyle w:val="Footer"/>
    </w:pPr>
    <w:r>
      <w:rPr>
        <w:noProof/>
      </w:rPr>
      <mc:AlternateContent>
        <mc:Choice Requires="wps">
          <w:drawing>
            <wp:anchor distT="0" distB="0" distL="0" distR="0" simplePos="0" relativeHeight="251658264" behindDoc="0" locked="0" layoutInCell="1" allowOverlap="1" wp14:anchorId="68E99035" wp14:editId="1DA708A5">
              <wp:simplePos x="635" y="635"/>
              <wp:positionH relativeFrom="page">
                <wp:align>center</wp:align>
              </wp:positionH>
              <wp:positionV relativeFrom="page">
                <wp:align>bottom</wp:align>
              </wp:positionV>
              <wp:extent cx="443865" cy="443865"/>
              <wp:effectExtent l="0" t="0" r="3175" b="0"/>
              <wp:wrapNone/>
              <wp:docPr id="1864615065" name="Text Box 2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7577EF4" w14:textId="52AE4A7B" w:rsidR="00B10C6D" w:rsidRPr="00B10C6D" w:rsidRDefault="00B10C6D" w:rsidP="00B10C6D">
                          <w:pPr>
                            <w:rPr>
                              <w:rFonts w:eastAsia="Verdana" w:cs="Verdana"/>
                              <w:noProof/>
                              <w:color w:val="000000"/>
                              <w:sz w:val="14"/>
                              <w:szCs w:val="14"/>
                            </w:rPr>
                          </w:pPr>
                          <w:r w:rsidRPr="00B10C6D">
                            <w:rPr>
                              <w:rFonts w:eastAsia="Verdana" w:cs="Verdana"/>
                              <w:noProof/>
                              <w:color w:val="000000"/>
                              <w:sz w:val="14"/>
                              <w:szCs w:val="14"/>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8E99035" id="_x0000_t202" coordsize="21600,21600" o:spt="202" path="m,l,21600r21600,l21600,xe">
              <v:stroke joinstyle="miter"/>
              <v:path gradientshapeok="t" o:connecttype="rect"/>
            </v:shapetype>
            <v:shape id="Text Box 23" o:spid="_x0000_s1028" type="#_x0000_t202" alt="Confidential" style="position:absolute;margin-left:0;margin-top:0;width:34.95pt;height:34.95pt;z-index:251658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PK12BgIAABUEAAAOAAAAZHJzL2Uyb0RvYy54bWysU01v2zAMvQ/YfxB0X+x0bdEacYqsRYYB QVsgHXpWZCk2IIsCpcTOfv0o2W62bqdhF/mZpPjx+LS461vDjgp9A7bk81nOmbISqsbuS/79Zf3p hjMfhK2EAatKflKe3y0/flh0rlAXUIOpFDJKYn3RuZLXIbgiy7ysVSv8DJyy5NSArQj0i/usQtFR 9tZkF3l+nXWAlUOQynuyPgxOvkz5tVYyPGntVWCm5NRbSCemcxfPbLkQxR6Fqxs5tiH+oYtWNJaK vqV6EEGwAzZ/pGobieBBh5mENgOtG6nSDDTNPH83zbYWTqVZiBzv3mjy/y+tfDxu3TOy0H+BnhYY CemcLzwZ4zy9xjZ+qVNGfqLw9Eab6gOTZLy8/HxzfcWZJNeIKUt2vuzQh68KWhZByZG2ksgSx40P Q+gUEmtZWDfGpM0Y+5uBckZLdu4wotDv+rHtHVQnmgZhWLR3ct1QzY3w4VkgbZYGILWGJzq0ga7k MCLOasAff7PHeCKcvJx1pJSSW5IyZ+abpUVEUU0AJ7BLYH6bX+Xkt4f2Hkh/c3oKTiZIVgxmghqh fSUdr2IhcgkrqVzJdxO8D4Nk6R1ItVqlINKPE2Fjt07G1JGnSOJL/yrQjUwHWtEjTDISxTvCh9h4 07vVIRDtaRuR04HIkWrSXtrn+E6iuH/9T1Hn17z8CQAA//8DAFBLAwQUAAYACAAAACEAN+3R+NkA AAADAQAADwAAAGRycy9kb3ducmV2LnhtbEyPQU/DMAyF70j8h8hI3FjKJiZWmk5oEqchpG1cuHmJ 1xYap2rcrfv3BDiwi5+sZ733uViOvlVH6mMT2MD9JANFbINruDLwvnu5ewQVBdlhG5gMnCnCsry+ KjB34cQbOm6lUimEY44GapEu1zramjzGSeiIk3cIvUdJa19p1+MphftWT7Nsrj02nBpq7GhVk/3a Dt7Aw0ZehzfezT7G6flz3a3s7LC2xtzejM9PoIRG+T+GH/yEDmVi2oeBXVStgfSI/M7kzRcLUPs/ 1WWhL9nLbwAAAP//AwBQSwECLQAUAAYACAAAACEAtoM4kv4AAADhAQAAEwAAAAAAAAAAAAAAAAAA AAAAW0NvbnRlbnRfVHlwZXNdLnhtbFBLAQItABQABgAIAAAAIQA4/SH/1gAAAJQBAAALAAAAAAAA AAAAAAAAAC8BAABfcmVscy8ucmVsc1BLAQItABQABgAIAAAAIQB2PK12BgIAABUEAAAOAAAAAAAA AAAAAAAAAC4CAABkcnMvZTJvRG9jLnhtbFBLAQItABQABgAIAAAAIQA37dH42QAAAAMBAAAPAAAA AAAAAAAAAAAAAGAEAABkcnMvZG93bnJldi54bWxQSwUGAAAAAAQABADzAAAAZgUAAAAA " filled="f" stroked="f">
              <v:textbox style="mso-fit-shape-to-text:t" inset="0,0,0,15pt">
                <w:txbxContent>
                  <w:p w14:paraId="57577EF4" w14:textId="52AE4A7B" w:rsidR="00B10C6D" w:rsidRPr="00B10C6D" w:rsidRDefault="00B10C6D" w:rsidP="00B10C6D">
                    <w:pPr>
                      <w:rPr>
                        <w:rFonts w:eastAsia="Verdana" w:cs="Verdana"/>
                        <w:noProof/>
                        <w:color w:val="000000"/>
                        <w:sz w:val="14"/>
                        <w:szCs w:val="14"/>
                      </w:rPr>
                    </w:pPr>
                    <w:r w:rsidRPr="00B10C6D">
                      <w:rPr>
                        <w:rFonts w:eastAsia="Verdana" w:cs="Verdana"/>
                        <w:noProof/>
                        <w:color w:val="000000"/>
                        <w:sz w:val="14"/>
                        <w:szCs w:val="14"/>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2994682"/>
      <w:docPartObj>
        <w:docPartGallery w:val="Page Numbers (Bottom of Page)"/>
        <w:docPartUnique/>
      </w:docPartObj>
    </w:sdtPr>
    <w:sdtEndPr>
      <w:rPr>
        <w:noProof/>
      </w:rPr>
    </w:sdtEndPr>
    <w:sdtContent>
      <w:p w14:paraId="3967F242" w14:textId="785483F9" w:rsidR="00C8792F" w:rsidRDefault="00C8792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D23640B" w14:textId="77777777" w:rsidR="00845BCE" w:rsidRDefault="00845BC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E01A9" w14:textId="7CD5A2B9" w:rsidR="00B10C6D" w:rsidRDefault="00B10C6D">
    <w:pPr>
      <w:pStyle w:val="Footer"/>
    </w:pPr>
    <w:r>
      <w:rPr>
        <w:noProof/>
      </w:rPr>
      <mc:AlternateContent>
        <mc:Choice Requires="wps">
          <w:drawing>
            <wp:anchor distT="0" distB="0" distL="0" distR="0" simplePos="0" relativeHeight="251658263" behindDoc="0" locked="0" layoutInCell="1" allowOverlap="1" wp14:anchorId="2AD08985" wp14:editId="7F2B1549">
              <wp:simplePos x="635" y="635"/>
              <wp:positionH relativeFrom="page">
                <wp:align>center</wp:align>
              </wp:positionH>
              <wp:positionV relativeFrom="page">
                <wp:align>bottom</wp:align>
              </wp:positionV>
              <wp:extent cx="443865" cy="443865"/>
              <wp:effectExtent l="0" t="0" r="3175" b="0"/>
              <wp:wrapNone/>
              <wp:docPr id="2124007739" name="Text Box 2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5E233C7" w14:textId="11E929EB" w:rsidR="00B10C6D" w:rsidRPr="00B10C6D" w:rsidRDefault="00B10C6D" w:rsidP="00B10C6D">
                          <w:pPr>
                            <w:rPr>
                              <w:rFonts w:eastAsia="Verdana" w:cs="Verdana"/>
                              <w:noProof/>
                              <w:color w:val="000000"/>
                              <w:sz w:val="14"/>
                              <w:szCs w:val="14"/>
                            </w:rPr>
                          </w:pPr>
                          <w:r w:rsidRPr="00B10C6D">
                            <w:rPr>
                              <w:rFonts w:eastAsia="Verdana" w:cs="Verdana"/>
                              <w:noProof/>
                              <w:color w:val="000000"/>
                              <w:sz w:val="14"/>
                              <w:szCs w:val="14"/>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AD08985" id="_x0000_t202" coordsize="21600,21600" o:spt="202" path="m,l,21600r21600,l21600,xe">
              <v:stroke joinstyle="miter"/>
              <v:path gradientshapeok="t" o:connecttype="rect"/>
            </v:shapetype>
            <v:shape id="Text Box 22" o:spid="_x0000_s1029" type="#_x0000_t202" alt="Confidential" style="position:absolute;margin-left:0;margin-top:0;width:34.95pt;height:34.95pt;z-index:25165826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PHLlaCQIAABwEAAAOAAAAZHJzL2Uyb0RvYy54bWysU01v2zAMvQ/YfxB0X+x0bdEZcYqsRYYB QVsgHXpWZCk2IIsCpcTOfv0o2W66bqdhF/mZpPjx+LS47VvDjgp9A7bk81nOmbISqsbuS/7jef3p hjMfhK2EAatKflKe3y4/flh0rlAXUIOpFDJKYn3RuZLXIbgiy7ysVSv8DJyy5NSArQj0i/usQtFR 9tZkF3l+nXWAlUOQynuy3g9Ovkz5tVYyPGrtVWCm5NRbSCemcxfPbLkQxR6Fqxs5tiH+oYtWNJaK vqa6F0GwAzZ/pGobieBBh5mENgOtG6nSDDTNPH83zbYWTqVZiBzvXmny/y+tfDhu3ROy0H+FnhYY CemcLzwZ4zy9xjZ+qVNGfqLw9Eqb6gOTZLy8/HxzfcWZJNeIKUt2vuzQh28KWhZByZG2ksgSx40P Q+gUEmtZWDfGpM0Y+5uBckZLdu4wotDvetZUb7rfQXWioRCGfXsn1w2V3ggfngTSgmkOEm14pEMb 6EoOI+KsBvz5N3uMJ97Jy1lHgim5JUVzZr5b2kfU1gRwArsE5l/yq5z89tDeAclwTi/CyQTJisFM UCO0LyTnVSxELmEllSv5boJ3YVAuPQepVqsURDJyImzs1smYOtIVuXzuXwS6kfBAm3qASU2ieMf7 EBtverc6BGI/LSVSOxA5Mk4STGsdn0vU+Nv/FHV+1MtfAAAA//8DAFBLAwQUAAYACAAAACEAN+3R +NkAAAADAQAADwAAAGRycy9kb3ducmV2LnhtbEyPQU/DMAyF70j8h8hI3FjKJiZWmk5oEqchpG1c uHmJ1xYap2rcrfv3BDiwi5+sZ733uViOvlVH6mMT2MD9JANFbINruDLwvnu5ewQVBdlhG5gMnCnC sry+KjB34cQbOm6lUimEY44GapEu1zramjzGSeiIk3cIvUdJa19p1+MphftWT7Nsrj02nBpq7GhV k/3aDt7Aw0ZehzfezT7G6flz3a3s7LC2xtzejM9PoIRG+T+GH/yEDmVi2oeBXVStgfSI/M7kzRcL UPs/1WWhL9nLbwAAAP//AwBQSwECLQAUAAYACAAAACEAtoM4kv4AAADhAQAAEwAAAAAAAAAAAAAA AAAAAAAAW0NvbnRlbnRfVHlwZXNdLnhtbFBLAQItABQABgAIAAAAIQA4/SH/1gAAAJQBAAALAAAA AAAAAAAAAAAAAC8BAABfcmVscy8ucmVsc1BLAQItABQABgAIAAAAIQAPHLlaCQIAABwEAAAOAAAA AAAAAAAAAAAAAC4CAABkcnMvZTJvRG9jLnhtbFBLAQItABQABgAIAAAAIQA37dH42QAAAAMBAAAP AAAAAAAAAAAAAAAAAGMEAABkcnMvZG93bnJldi54bWxQSwUGAAAAAAQABADzAAAAaQUAAAAA " filled="f" stroked="f">
              <v:textbox style="mso-fit-shape-to-text:t" inset="0,0,0,15pt">
                <w:txbxContent>
                  <w:p w14:paraId="45E233C7" w14:textId="11E929EB" w:rsidR="00B10C6D" w:rsidRPr="00B10C6D" w:rsidRDefault="00B10C6D" w:rsidP="00B10C6D">
                    <w:pPr>
                      <w:rPr>
                        <w:rFonts w:eastAsia="Verdana" w:cs="Verdana"/>
                        <w:noProof/>
                        <w:color w:val="000000"/>
                        <w:sz w:val="14"/>
                        <w:szCs w:val="14"/>
                      </w:rPr>
                    </w:pPr>
                    <w:r w:rsidRPr="00B10C6D">
                      <w:rPr>
                        <w:rFonts w:eastAsia="Verdana" w:cs="Verdana"/>
                        <w:noProof/>
                        <w:color w:val="000000"/>
                        <w:sz w:val="14"/>
                        <w:szCs w:val="14"/>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68E96" w14:textId="77777777" w:rsidR="00BF617A" w:rsidRDefault="00BF617A" w:rsidP="009E4B94">
      <w:pPr>
        <w:spacing w:line="240" w:lineRule="auto"/>
      </w:pPr>
    </w:p>
  </w:footnote>
  <w:footnote w:type="continuationSeparator" w:id="0">
    <w:p w14:paraId="163B5586" w14:textId="77777777" w:rsidR="00BF617A" w:rsidRDefault="00BF617A" w:rsidP="009E4B94">
      <w:pPr>
        <w:spacing w:line="240" w:lineRule="auto"/>
      </w:pPr>
    </w:p>
  </w:footnote>
  <w:footnote w:type="continuationNotice" w:id="1">
    <w:p w14:paraId="0418B1A4" w14:textId="77777777" w:rsidR="00BF617A" w:rsidRDefault="00BF617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4CBFC" w14:textId="1296C67B" w:rsidR="005A7D28" w:rsidRPr="00E37AB1" w:rsidRDefault="005A7D28" w:rsidP="005A7D28">
    <w:pPr>
      <w:pStyle w:val="Header"/>
      <w:ind w:firstLine="993"/>
      <w:rPr>
        <w:lang w:val="pt-PT"/>
      </w:rPr>
    </w:pPr>
    <w:r>
      <w:rPr>
        <w:noProof/>
      </w:rPr>
      <w:drawing>
        <wp:anchor distT="0" distB="0" distL="0" distR="0" simplePos="0" relativeHeight="251660312" behindDoc="0" locked="0" layoutInCell="1" allowOverlap="1" wp14:anchorId="47E44BDA" wp14:editId="6E5BCB36">
          <wp:simplePos x="0" y="0"/>
          <wp:positionH relativeFrom="margin">
            <wp:posOffset>2540</wp:posOffset>
          </wp:positionH>
          <wp:positionV relativeFrom="page">
            <wp:posOffset>532130</wp:posOffset>
          </wp:positionV>
          <wp:extent cx="590550" cy="161925"/>
          <wp:effectExtent l="0" t="0" r="0" b="0"/>
          <wp:wrapNone/>
          <wp:docPr id="1922819037" name="Picture 1922819037"/>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1"/>
                  <a:srcRect r="67511" b="59109"/>
                  <a:stretch>
                    <a:fillRect/>
                  </a:stretch>
                </pic:blipFill>
                <pic:spPr>
                  <a:xfrm>
                    <a:off x="0" y="0"/>
                    <a:ext cx="590550" cy="161925"/>
                  </a:xfrm>
                  <a:prstGeom prst="rect">
                    <a:avLst/>
                  </a:prstGeom>
                  <a:ln>
                    <a:noFill/>
                  </a:ln>
                </pic:spPr>
              </pic:pic>
            </a:graphicData>
          </a:graphic>
        </wp:anchor>
      </w:drawing>
    </w:r>
    <w:sdt>
      <w:sdtPr>
        <w:rPr>
          <w:lang w:val="pt-PT"/>
        </w:rPr>
        <w:alias w:val="Title"/>
        <w:tag w:val=""/>
        <w:id w:val="-866900370"/>
        <w:placeholder>
          <w:docPart w:val="1A924C4FEE404661BEAA2B6087F83325"/>
        </w:placeholder>
        <w:dataBinding w:prefixMappings="xmlns:ns0='http://purl.org/dc/elements/1.1/' xmlns:ns1='http://schemas.openxmlformats.org/package/2006/metadata/core-properties' " w:xpath="/ns1:coreProperties[1]/ns0:title[1]" w:storeItemID="{6C3C8BC8-F283-45AE-878A-BAB7291924A1}"/>
        <w:text/>
      </w:sdtPr>
      <w:sdtContent>
        <w:r w:rsidRPr="00E37AB1">
          <w:rPr>
            <w:lang w:val="pt-PT"/>
          </w:rPr>
          <w:t xml:space="preserve">Raport </w:t>
        </w:r>
        <w:r w:rsidR="00D07880" w:rsidRPr="00E37AB1">
          <w:rPr>
            <w:lang w:val="pt-PT"/>
          </w:rPr>
          <w:t xml:space="preserve">de </w:t>
        </w:r>
        <w:r w:rsidRPr="00E37AB1">
          <w:rPr>
            <w:lang w:val="pt-PT"/>
          </w:rPr>
          <w:t>Mediu – PLANUL NAȚIONAL DE GESTIUNEA DEȘEURILOR</w:t>
        </w:r>
      </w:sdtContent>
    </w:sdt>
    <w:r w:rsidRPr="00E37AB1">
      <w:rPr>
        <w:lang w:val="pt-PT"/>
      </w:rPr>
      <w:t xml:space="preserve"> </w:t>
    </w:r>
  </w:p>
  <w:p w14:paraId="11B0D256" w14:textId="7AF29C13" w:rsidR="005A7D28" w:rsidRPr="00E37AB1" w:rsidRDefault="005A7D28">
    <w:pPr>
      <w:pStyle w:val="Header"/>
      <w:rPr>
        <w:lang w:val="pt-P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1B0DD5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303A92D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6EC75C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6C08CF4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AD60DF8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148C66C"/>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6D29360"/>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3148490"/>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13F41C92"/>
    <w:multiLevelType w:val="multilevel"/>
    <w:tmpl w:val="15FE1764"/>
    <w:lvl w:ilvl="0">
      <w:start w:val="1"/>
      <w:numFmt w:val="decimal"/>
      <w:suff w:val="space"/>
      <w:lvlText w:val="%1."/>
      <w:lvlJc w:val="left"/>
      <w:pPr>
        <w:ind w:left="0" w:firstLine="0"/>
      </w:pPr>
      <w:rPr>
        <w:rFonts w:hint="default"/>
        <w:b/>
        <w:bCs w:val="0"/>
      </w:rPr>
    </w:lvl>
    <w:lvl w:ilvl="1">
      <w:start w:val="1"/>
      <w:numFmt w:val="decimal"/>
      <w:suff w:val="space"/>
      <w:lvlText w:val="%1.%2"/>
      <w:lvlJc w:val="left"/>
      <w:pPr>
        <w:ind w:left="284" w:firstLine="0"/>
      </w:pPr>
    </w:lvl>
    <w:lvl w:ilvl="2">
      <w:start w:val="1"/>
      <w:numFmt w:val="decimal"/>
      <w:pStyle w:val="Heading3"/>
      <w:suff w:val="space"/>
      <w:lvlText w:val="%1.%2.%3"/>
      <w:lvlJc w:val="left"/>
      <w:pPr>
        <w:ind w:left="360" w:firstLine="0"/>
      </w:pPr>
      <w:rPr>
        <w:rFonts w:hint="default"/>
      </w:rPr>
    </w:lvl>
    <w:lvl w:ilvl="3">
      <w:start w:val="1"/>
      <w:numFmt w:val="decimal"/>
      <w:pStyle w:val="Heading4"/>
      <w:suff w:val="space"/>
      <w:lvlText w:val="%1.%2.%3.%4"/>
      <w:lvlJc w:val="left"/>
      <w:pPr>
        <w:ind w:left="5954" w:firstLine="0"/>
      </w:pPr>
      <w:rPr>
        <w:rFonts w:hint="default"/>
      </w:rPr>
    </w:lvl>
    <w:lvl w:ilvl="4">
      <w:start w:val="1"/>
      <w:numFmt w:val="none"/>
      <w:pStyle w:val="Heading5"/>
      <w:suff w:val="space"/>
      <w:lvlText w:val=""/>
      <w:lvlJc w:val="left"/>
      <w:pPr>
        <w:ind w:left="0" w:firstLine="0"/>
      </w:pPr>
      <w:rPr>
        <w:rFonts w:hint="default"/>
      </w:rPr>
    </w:lvl>
    <w:lvl w:ilvl="5">
      <w:start w:val="1"/>
      <w:numFmt w:val="none"/>
      <w:pStyle w:val="Heading6"/>
      <w:suff w:val="space"/>
      <w:lvlText w:val=""/>
      <w:lvlJc w:val="left"/>
      <w:pPr>
        <w:ind w:left="0" w:firstLine="0"/>
      </w:pPr>
      <w:rPr>
        <w:rFonts w:hint="default"/>
      </w:rPr>
    </w:lvl>
    <w:lvl w:ilvl="6">
      <w:start w:val="1"/>
      <w:numFmt w:val="none"/>
      <w:pStyle w:val="Heading7"/>
      <w:suff w:val="space"/>
      <w:lvlText w:val=""/>
      <w:lvlJc w:val="left"/>
      <w:pPr>
        <w:ind w:left="0" w:firstLine="0"/>
      </w:pPr>
      <w:rPr>
        <w:rFonts w:hint="default"/>
      </w:rPr>
    </w:lvl>
    <w:lvl w:ilvl="7">
      <w:start w:val="1"/>
      <w:numFmt w:val="none"/>
      <w:pStyle w:val="Heading8"/>
      <w:suff w:val="space"/>
      <w:lvlText w:val=""/>
      <w:lvlJc w:val="left"/>
      <w:pPr>
        <w:ind w:left="0" w:firstLine="0"/>
      </w:pPr>
      <w:rPr>
        <w:rFonts w:hint="default"/>
      </w:rPr>
    </w:lvl>
    <w:lvl w:ilvl="8">
      <w:start w:val="1"/>
      <w:numFmt w:val="none"/>
      <w:pStyle w:val="Heading9"/>
      <w:suff w:val="space"/>
      <w:lvlText w:val=""/>
      <w:lvlJc w:val="left"/>
      <w:pPr>
        <w:ind w:left="0" w:firstLine="0"/>
      </w:pPr>
      <w:rPr>
        <w:rFonts w:hint="default"/>
      </w:rPr>
    </w:lvl>
  </w:abstractNum>
  <w:abstractNum w:abstractNumId="9" w15:restartNumberingAfterBreak="0">
    <w:nsid w:val="33115170"/>
    <w:multiLevelType w:val="multilevel"/>
    <w:tmpl w:val="C126842E"/>
    <w:lvl w:ilvl="0">
      <w:start w:val="1"/>
      <w:numFmt w:val="decimal"/>
      <w:pStyle w:val="H1-NOTTOC"/>
      <w:suff w:val="space"/>
      <w:lvlText w:val="%1."/>
      <w:lvlJc w:val="left"/>
      <w:pPr>
        <w:ind w:left="0" w:firstLine="0"/>
      </w:pPr>
      <w:rPr>
        <w:rFonts w:ascii="Verdana" w:hAnsi="Verdana" w:hint="default"/>
        <w:b w:val="0"/>
        <w:i w:val="0"/>
        <w:color w:val="009DE0"/>
        <w:sz w:val="28"/>
      </w:rPr>
    </w:lvl>
    <w:lvl w:ilvl="1">
      <w:start w:val="1"/>
      <w:numFmt w:val="decimal"/>
      <w:suff w:val="space"/>
      <w:lvlText w:val="%1.%2"/>
      <w:lvlJc w:val="left"/>
      <w:pPr>
        <w:ind w:left="0" w:firstLine="0"/>
      </w:pPr>
      <w:rPr>
        <w:rFonts w:ascii="Verdana" w:hAnsi="Verdana" w:hint="default"/>
        <w:b w:val="0"/>
        <w:i w:val="0"/>
        <w:color w:val="000000"/>
        <w:sz w:val="18"/>
      </w:rPr>
    </w:lvl>
    <w:lvl w:ilvl="2">
      <w:start w:val="1"/>
      <w:numFmt w:val="decimal"/>
      <w:pStyle w:val="H3-NOTTOC"/>
      <w:suff w:val="space"/>
      <w:lvlText w:val="%1.%2.%3"/>
      <w:lvlJc w:val="left"/>
      <w:pPr>
        <w:ind w:left="0" w:firstLine="0"/>
      </w:pPr>
      <w:rPr>
        <w:rFonts w:ascii="Verdana" w:hAnsi="Verdana" w:hint="default"/>
        <w:b w:val="0"/>
        <w:i w:val="0"/>
        <w:color w:val="000000"/>
        <w:sz w:val="18"/>
      </w:rPr>
    </w:lvl>
    <w:lvl w:ilvl="3">
      <w:start w:val="1"/>
      <w:numFmt w:val="decimal"/>
      <w:pStyle w:val="H4-NOTTOC"/>
      <w:suff w:val="space"/>
      <w:lvlText w:val="%1.%2.%3.%4"/>
      <w:lvlJc w:val="left"/>
      <w:pPr>
        <w:ind w:left="0" w:firstLine="0"/>
      </w:pPr>
      <w:rPr>
        <w:rFonts w:ascii="Verdana" w:hAnsi="Verdana" w:hint="default"/>
        <w:b w:val="0"/>
        <w:i w:val="0"/>
        <w:color w:val="auto"/>
        <w:sz w:val="18"/>
      </w:rPr>
    </w:lvl>
    <w:lvl w:ilvl="4">
      <w:start w:val="1"/>
      <w:numFmt w:val="decimal"/>
      <w:lvlRestart w:val="0"/>
      <w:lvlText w:val="%1.%2.%3.%4.%5"/>
      <w:lvlJc w:val="right"/>
      <w:pPr>
        <w:tabs>
          <w:tab w:val="num" w:pos="567"/>
        </w:tabs>
        <w:ind w:left="0" w:hanging="624"/>
      </w:pPr>
      <w:rPr>
        <w:rFonts w:hint="default"/>
      </w:rPr>
    </w:lvl>
    <w:lvl w:ilvl="5">
      <w:start w:val="1"/>
      <w:numFmt w:val="decimal"/>
      <w:lvlText w:val="%1.%2.%3.%4.%5.%6"/>
      <w:lvlJc w:val="right"/>
      <w:pPr>
        <w:tabs>
          <w:tab w:val="num" w:pos="567"/>
        </w:tabs>
        <w:ind w:left="0" w:hanging="624"/>
      </w:pPr>
      <w:rPr>
        <w:rFonts w:hint="default"/>
      </w:rPr>
    </w:lvl>
    <w:lvl w:ilvl="6">
      <w:start w:val="1"/>
      <w:numFmt w:val="decimal"/>
      <w:lvlText w:val="%1.%2.%3.%4.%5.%6.%7"/>
      <w:lvlJc w:val="right"/>
      <w:pPr>
        <w:tabs>
          <w:tab w:val="num" w:pos="851"/>
        </w:tabs>
        <w:ind w:left="0" w:hanging="624"/>
      </w:pPr>
      <w:rPr>
        <w:rFonts w:hint="default"/>
      </w:rPr>
    </w:lvl>
    <w:lvl w:ilvl="7">
      <w:start w:val="1"/>
      <w:numFmt w:val="decimal"/>
      <w:lvlText w:val="%1.%2.%3.%4.%5.%6.%7.%8"/>
      <w:lvlJc w:val="right"/>
      <w:pPr>
        <w:tabs>
          <w:tab w:val="num" w:pos="851"/>
        </w:tabs>
        <w:ind w:left="0" w:hanging="624"/>
      </w:pPr>
      <w:rPr>
        <w:rFonts w:hint="default"/>
      </w:rPr>
    </w:lvl>
    <w:lvl w:ilvl="8">
      <w:start w:val="1"/>
      <w:numFmt w:val="decimal"/>
      <w:lvlText w:val="%1.%2.%3.%4.%5.%6.%7.%8.%9"/>
      <w:lvlJc w:val="right"/>
      <w:pPr>
        <w:tabs>
          <w:tab w:val="num" w:pos="1134"/>
        </w:tabs>
        <w:ind w:left="0" w:hanging="624"/>
      </w:pPr>
      <w:rPr>
        <w:rFonts w:hint="default"/>
      </w:rPr>
    </w:lvl>
  </w:abstractNum>
  <w:abstractNum w:abstractNumId="10" w15:restartNumberingAfterBreak="0">
    <w:nsid w:val="51B84842"/>
    <w:multiLevelType w:val="hybridMultilevel"/>
    <w:tmpl w:val="AB28CE2E"/>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1" w15:restartNumberingAfterBreak="0">
    <w:nsid w:val="65390C94"/>
    <w:multiLevelType w:val="hybridMultilevel"/>
    <w:tmpl w:val="00E6B752"/>
    <w:lvl w:ilvl="0" w:tplc="EC7E2AFE">
      <w:start w:val="1"/>
      <w:numFmt w:val="decimal"/>
      <w:pStyle w:val="Supplementtitle"/>
      <w:suff w:val="nothing"/>
      <w:lvlText w:val="%1."/>
      <w:lvlJc w:val="left"/>
      <w:rPr>
        <w:rFonts w:cs="Times New Roman" w:hint="default"/>
        <w:vanish/>
      </w:rPr>
    </w:lvl>
    <w:lvl w:ilvl="1" w:tplc="CB6CACF8" w:tentative="1">
      <w:start w:val="1"/>
      <w:numFmt w:val="lowerLetter"/>
      <w:lvlText w:val="%2."/>
      <w:lvlJc w:val="left"/>
      <w:pPr>
        <w:ind w:left="1440" w:hanging="360"/>
      </w:pPr>
      <w:rPr>
        <w:rFonts w:cs="Times New Roman"/>
      </w:rPr>
    </w:lvl>
    <w:lvl w:ilvl="2" w:tplc="195E9562" w:tentative="1">
      <w:start w:val="1"/>
      <w:numFmt w:val="lowerRoman"/>
      <w:lvlText w:val="%3."/>
      <w:lvlJc w:val="right"/>
      <w:pPr>
        <w:ind w:left="2160" w:hanging="180"/>
      </w:pPr>
      <w:rPr>
        <w:rFonts w:cs="Times New Roman"/>
      </w:rPr>
    </w:lvl>
    <w:lvl w:ilvl="3" w:tplc="71DA28A8" w:tentative="1">
      <w:start w:val="1"/>
      <w:numFmt w:val="decimal"/>
      <w:lvlText w:val="%4."/>
      <w:lvlJc w:val="left"/>
      <w:pPr>
        <w:ind w:left="2880" w:hanging="360"/>
      </w:pPr>
      <w:rPr>
        <w:rFonts w:cs="Times New Roman"/>
      </w:rPr>
    </w:lvl>
    <w:lvl w:ilvl="4" w:tplc="135AB854" w:tentative="1">
      <w:start w:val="1"/>
      <w:numFmt w:val="lowerLetter"/>
      <w:lvlText w:val="%5."/>
      <w:lvlJc w:val="left"/>
      <w:pPr>
        <w:ind w:left="3600" w:hanging="360"/>
      </w:pPr>
      <w:rPr>
        <w:rFonts w:cs="Times New Roman"/>
      </w:rPr>
    </w:lvl>
    <w:lvl w:ilvl="5" w:tplc="17DA5F44" w:tentative="1">
      <w:start w:val="1"/>
      <w:numFmt w:val="lowerRoman"/>
      <w:lvlText w:val="%6."/>
      <w:lvlJc w:val="right"/>
      <w:pPr>
        <w:ind w:left="4320" w:hanging="180"/>
      </w:pPr>
      <w:rPr>
        <w:rFonts w:cs="Times New Roman"/>
      </w:rPr>
    </w:lvl>
    <w:lvl w:ilvl="6" w:tplc="41AA6FDE" w:tentative="1">
      <w:start w:val="1"/>
      <w:numFmt w:val="decimal"/>
      <w:lvlText w:val="%7."/>
      <w:lvlJc w:val="left"/>
      <w:pPr>
        <w:ind w:left="5040" w:hanging="360"/>
      </w:pPr>
      <w:rPr>
        <w:rFonts w:cs="Times New Roman"/>
      </w:rPr>
    </w:lvl>
    <w:lvl w:ilvl="7" w:tplc="09BE03B8" w:tentative="1">
      <w:start w:val="1"/>
      <w:numFmt w:val="lowerLetter"/>
      <w:lvlText w:val="%8."/>
      <w:lvlJc w:val="left"/>
      <w:pPr>
        <w:ind w:left="5760" w:hanging="360"/>
      </w:pPr>
      <w:rPr>
        <w:rFonts w:cs="Times New Roman"/>
      </w:rPr>
    </w:lvl>
    <w:lvl w:ilvl="8" w:tplc="0D84D3E6" w:tentative="1">
      <w:start w:val="1"/>
      <w:numFmt w:val="lowerRoman"/>
      <w:lvlText w:val="%9."/>
      <w:lvlJc w:val="right"/>
      <w:pPr>
        <w:ind w:left="6480" w:hanging="180"/>
      </w:pPr>
      <w:rPr>
        <w:rFonts w:cs="Times New Roman"/>
      </w:rPr>
    </w:lvl>
  </w:abstractNum>
  <w:abstractNum w:abstractNumId="12" w15:restartNumberingAfterBreak="0">
    <w:nsid w:val="73572551"/>
    <w:multiLevelType w:val="hybridMultilevel"/>
    <w:tmpl w:val="97A6380C"/>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3" w15:restartNumberingAfterBreak="0">
    <w:nsid w:val="7E20588C"/>
    <w:multiLevelType w:val="multilevel"/>
    <w:tmpl w:val="F1EA2C2E"/>
    <w:lvl w:ilvl="0">
      <w:start w:val="1"/>
      <w:numFmt w:val="decimal"/>
      <w:pStyle w:val="ListNumber"/>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758" w:hanging="794"/>
      </w:pPr>
      <w:rPr>
        <w:rFonts w:hint="default"/>
      </w:rPr>
    </w:lvl>
    <w:lvl w:ilvl="3">
      <w:start w:val="1"/>
      <w:numFmt w:val="decimal"/>
      <w:lvlText w:val="%1.%2.%3.%4."/>
      <w:lvlJc w:val="left"/>
      <w:pPr>
        <w:tabs>
          <w:tab w:val="num" w:pos="4536"/>
        </w:tabs>
        <w:ind w:left="2722" w:hanging="964"/>
      </w:pPr>
      <w:rPr>
        <w:rFonts w:hint="default"/>
      </w:rPr>
    </w:lvl>
    <w:lvl w:ilvl="4">
      <w:start w:val="1"/>
      <w:numFmt w:val="decimal"/>
      <w:lvlText w:val="%1.%2.%3.%4.%5."/>
      <w:lvlJc w:val="left"/>
      <w:pPr>
        <w:ind w:left="2892" w:hanging="1134"/>
      </w:pPr>
      <w:rPr>
        <w:rFonts w:hint="default"/>
      </w:rPr>
    </w:lvl>
    <w:lvl w:ilvl="5">
      <w:start w:val="1"/>
      <w:numFmt w:val="decimal"/>
      <w:lvlText w:val="%1.%2.%3.%4.%5.%6."/>
      <w:lvlJc w:val="left"/>
      <w:pPr>
        <w:tabs>
          <w:tab w:val="num" w:pos="17577"/>
        </w:tabs>
        <w:ind w:left="3119" w:hanging="1361"/>
      </w:pPr>
      <w:rPr>
        <w:rFonts w:hint="default"/>
      </w:rPr>
    </w:lvl>
    <w:lvl w:ilvl="6">
      <w:start w:val="1"/>
      <w:numFmt w:val="decimal"/>
      <w:lvlText w:val="%1.%2.%3.%4.%5.%6.%7."/>
      <w:lvlJc w:val="left"/>
      <w:pPr>
        <w:ind w:left="3289" w:hanging="1531"/>
      </w:pPr>
      <w:rPr>
        <w:rFonts w:hint="default"/>
      </w:rPr>
    </w:lvl>
    <w:lvl w:ilvl="7">
      <w:start w:val="1"/>
      <w:numFmt w:val="decimal"/>
      <w:lvlText w:val="%1.%2.%3.%4.%5.%6.%7.%8."/>
      <w:lvlJc w:val="left"/>
      <w:pPr>
        <w:ind w:left="3459" w:hanging="1701"/>
      </w:pPr>
      <w:rPr>
        <w:rFonts w:hint="default"/>
      </w:rPr>
    </w:lvl>
    <w:lvl w:ilvl="8">
      <w:start w:val="1"/>
      <w:numFmt w:val="decimal"/>
      <w:lvlText w:val="%1.%2.%3.%4.%5.%6.%7.%8.%9."/>
      <w:lvlJc w:val="left"/>
      <w:pPr>
        <w:ind w:left="3686" w:hanging="1928"/>
      </w:pPr>
      <w:rPr>
        <w:rFonts w:hint="default"/>
      </w:rPr>
    </w:lvl>
  </w:abstractNum>
  <w:abstractNum w:abstractNumId="14" w15:restartNumberingAfterBreak="0">
    <w:nsid w:val="7FB354B8"/>
    <w:multiLevelType w:val="multilevel"/>
    <w:tmpl w:val="B52AAC72"/>
    <w:lvl w:ilvl="0">
      <w:start w:val="1"/>
      <w:numFmt w:val="bullet"/>
      <w:pStyle w:val="ListBullet"/>
      <w:lvlText w:val=""/>
      <w:lvlJc w:val="left"/>
      <w:pPr>
        <w:ind w:left="284" w:hanging="284"/>
      </w:pPr>
      <w:rPr>
        <w:rFonts w:ascii="Symbol" w:hAnsi="Symbol" w:hint="default"/>
        <w:color w:val="auto"/>
      </w:rPr>
    </w:lvl>
    <w:lvl w:ilvl="1">
      <w:start w:val="1"/>
      <w:numFmt w:val="bullet"/>
      <w:lvlText w:val=""/>
      <w:lvlJc w:val="left"/>
      <w:pPr>
        <w:ind w:left="568" w:hanging="284"/>
      </w:pPr>
      <w:rPr>
        <w:rFonts w:ascii="Symbol" w:hAnsi="Symbol" w:hint="default"/>
        <w:color w:val="auto"/>
      </w:rPr>
    </w:lvl>
    <w:lvl w:ilvl="2">
      <w:start w:val="1"/>
      <w:numFmt w:val="bullet"/>
      <w:lvlText w:val=""/>
      <w:lvlJc w:val="left"/>
      <w:pPr>
        <w:ind w:left="852" w:hanging="284"/>
      </w:pPr>
      <w:rPr>
        <w:rFonts w:ascii="Symbol" w:hAnsi="Symbol" w:hint="default"/>
        <w:color w:val="auto"/>
      </w:rPr>
    </w:lvl>
    <w:lvl w:ilvl="3">
      <w:start w:val="1"/>
      <w:numFmt w:val="bullet"/>
      <w:lvlText w:val=""/>
      <w:lvlJc w:val="left"/>
      <w:pPr>
        <w:ind w:left="1136" w:hanging="284"/>
      </w:pPr>
      <w:rPr>
        <w:rFonts w:ascii="Symbol" w:hAnsi="Symbol" w:hint="default"/>
      </w:rPr>
    </w:lvl>
    <w:lvl w:ilvl="4">
      <w:start w:val="1"/>
      <w:numFmt w:val="bullet"/>
      <w:lvlText w:val=""/>
      <w:lvlJc w:val="left"/>
      <w:pPr>
        <w:ind w:left="1420" w:hanging="284"/>
      </w:pPr>
      <w:rPr>
        <w:rFonts w:ascii="Symbol" w:hAnsi="Symbol" w:hint="default"/>
        <w:color w:val="auto"/>
      </w:rPr>
    </w:lvl>
    <w:lvl w:ilvl="5">
      <w:start w:val="1"/>
      <w:numFmt w:val="bullet"/>
      <w:lvlText w:val=""/>
      <w:lvlJc w:val="left"/>
      <w:pPr>
        <w:ind w:left="1704" w:hanging="284"/>
      </w:pPr>
      <w:rPr>
        <w:rFonts w:ascii="Symbol" w:hAnsi="Symbol" w:hint="default"/>
        <w:color w:val="auto"/>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Symbol" w:hAnsi="Symbol" w:hint="default"/>
      </w:rPr>
    </w:lvl>
    <w:lvl w:ilvl="8">
      <w:start w:val="1"/>
      <w:numFmt w:val="bullet"/>
      <w:lvlText w:val=""/>
      <w:lvlJc w:val="left"/>
      <w:pPr>
        <w:ind w:left="2556" w:hanging="284"/>
      </w:pPr>
      <w:rPr>
        <w:rFonts w:ascii="Symbol" w:hAnsi="Symbol" w:hint="default"/>
        <w:color w:val="auto"/>
      </w:rPr>
    </w:lvl>
  </w:abstractNum>
  <w:num w:numId="1" w16cid:durableId="25644482">
    <w:abstractNumId w:val="9"/>
  </w:num>
  <w:num w:numId="2" w16cid:durableId="1205021078">
    <w:abstractNumId w:val="8"/>
  </w:num>
  <w:num w:numId="3" w16cid:durableId="522015526">
    <w:abstractNumId w:val="14"/>
  </w:num>
  <w:num w:numId="4" w16cid:durableId="639001854">
    <w:abstractNumId w:val="7"/>
  </w:num>
  <w:num w:numId="5" w16cid:durableId="877857891">
    <w:abstractNumId w:val="6"/>
  </w:num>
  <w:num w:numId="6" w16cid:durableId="1450007267">
    <w:abstractNumId w:val="5"/>
  </w:num>
  <w:num w:numId="7" w16cid:durableId="313991465">
    <w:abstractNumId w:val="4"/>
  </w:num>
  <w:num w:numId="8" w16cid:durableId="1712224518">
    <w:abstractNumId w:val="13"/>
  </w:num>
  <w:num w:numId="9" w16cid:durableId="652562637">
    <w:abstractNumId w:val="3"/>
  </w:num>
  <w:num w:numId="10" w16cid:durableId="422260272">
    <w:abstractNumId w:val="2"/>
  </w:num>
  <w:num w:numId="11" w16cid:durableId="898321517">
    <w:abstractNumId w:val="1"/>
  </w:num>
  <w:num w:numId="12" w16cid:durableId="678585821">
    <w:abstractNumId w:val="0"/>
  </w:num>
  <w:num w:numId="13" w16cid:durableId="449056615">
    <w:abstractNumId w:val="11"/>
  </w:num>
  <w:num w:numId="14" w16cid:durableId="484905930">
    <w:abstractNumId w:val="10"/>
  </w:num>
  <w:num w:numId="15" w16cid:durableId="600915581">
    <w:abstractNumId w:val="1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D66"/>
    <w:rsid w:val="000008C8"/>
    <w:rsid w:val="00000F4B"/>
    <w:rsid w:val="00001BF9"/>
    <w:rsid w:val="00002019"/>
    <w:rsid w:val="0000208F"/>
    <w:rsid w:val="0000217D"/>
    <w:rsid w:val="00002383"/>
    <w:rsid w:val="000023F8"/>
    <w:rsid w:val="00002490"/>
    <w:rsid w:val="000026E3"/>
    <w:rsid w:val="00002869"/>
    <w:rsid w:val="00002EDA"/>
    <w:rsid w:val="00003175"/>
    <w:rsid w:val="00003A0C"/>
    <w:rsid w:val="00003B68"/>
    <w:rsid w:val="00004865"/>
    <w:rsid w:val="00005318"/>
    <w:rsid w:val="0000565D"/>
    <w:rsid w:val="00005B88"/>
    <w:rsid w:val="00005CA2"/>
    <w:rsid w:val="00006015"/>
    <w:rsid w:val="00006719"/>
    <w:rsid w:val="0000694B"/>
    <w:rsid w:val="00007261"/>
    <w:rsid w:val="000101EC"/>
    <w:rsid w:val="00010804"/>
    <w:rsid w:val="0001088B"/>
    <w:rsid w:val="000117D6"/>
    <w:rsid w:val="00011B5D"/>
    <w:rsid w:val="00011EC0"/>
    <w:rsid w:val="00012259"/>
    <w:rsid w:val="0001265E"/>
    <w:rsid w:val="0001306E"/>
    <w:rsid w:val="00014E8D"/>
    <w:rsid w:val="00014FD3"/>
    <w:rsid w:val="000150A8"/>
    <w:rsid w:val="000154EC"/>
    <w:rsid w:val="000155D5"/>
    <w:rsid w:val="0001586C"/>
    <w:rsid w:val="000162D0"/>
    <w:rsid w:val="00016958"/>
    <w:rsid w:val="00016AD9"/>
    <w:rsid w:val="00016D91"/>
    <w:rsid w:val="00016DBD"/>
    <w:rsid w:val="000178B0"/>
    <w:rsid w:val="00017967"/>
    <w:rsid w:val="000179E8"/>
    <w:rsid w:val="00017AF0"/>
    <w:rsid w:val="00017BC5"/>
    <w:rsid w:val="00020124"/>
    <w:rsid w:val="000212EB"/>
    <w:rsid w:val="000216CC"/>
    <w:rsid w:val="000221FC"/>
    <w:rsid w:val="00022442"/>
    <w:rsid w:val="00022BAC"/>
    <w:rsid w:val="00023269"/>
    <w:rsid w:val="00023EDA"/>
    <w:rsid w:val="00024BDD"/>
    <w:rsid w:val="00025411"/>
    <w:rsid w:val="00025683"/>
    <w:rsid w:val="0002587F"/>
    <w:rsid w:val="00025B0D"/>
    <w:rsid w:val="000265CD"/>
    <w:rsid w:val="000266E4"/>
    <w:rsid w:val="00026783"/>
    <w:rsid w:val="00027189"/>
    <w:rsid w:val="000275D6"/>
    <w:rsid w:val="00027911"/>
    <w:rsid w:val="0002796A"/>
    <w:rsid w:val="000305CC"/>
    <w:rsid w:val="0003213E"/>
    <w:rsid w:val="00032498"/>
    <w:rsid w:val="00034046"/>
    <w:rsid w:val="00034181"/>
    <w:rsid w:val="000354F4"/>
    <w:rsid w:val="000360C6"/>
    <w:rsid w:val="00036754"/>
    <w:rsid w:val="00036861"/>
    <w:rsid w:val="0003686F"/>
    <w:rsid w:val="000408D6"/>
    <w:rsid w:val="00040F5F"/>
    <w:rsid w:val="0004102A"/>
    <w:rsid w:val="0004196B"/>
    <w:rsid w:val="00041B19"/>
    <w:rsid w:val="00041B76"/>
    <w:rsid w:val="00042393"/>
    <w:rsid w:val="00042E64"/>
    <w:rsid w:val="0004321D"/>
    <w:rsid w:val="000439ED"/>
    <w:rsid w:val="00043DCE"/>
    <w:rsid w:val="00043E86"/>
    <w:rsid w:val="00044048"/>
    <w:rsid w:val="0004498F"/>
    <w:rsid w:val="00044A18"/>
    <w:rsid w:val="00045C01"/>
    <w:rsid w:val="000473E6"/>
    <w:rsid w:val="00047667"/>
    <w:rsid w:val="00047F19"/>
    <w:rsid w:val="00050588"/>
    <w:rsid w:val="00050A13"/>
    <w:rsid w:val="00051AE8"/>
    <w:rsid w:val="00051D7B"/>
    <w:rsid w:val="00052797"/>
    <w:rsid w:val="0005351C"/>
    <w:rsid w:val="00053E7C"/>
    <w:rsid w:val="000542D2"/>
    <w:rsid w:val="00054910"/>
    <w:rsid w:val="00054B8D"/>
    <w:rsid w:val="00054F6C"/>
    <w:rsid w:val="000550A3"/>
    <w:rsid w:val="000557F2"/>
    <w:rsid w:val="000559DC"/>
    <w:rsid w:val="00055AAE"/>
    <w:rsid w:val="00056428"/>
    <w:rsid w:val="000567EE"/>
    <w:rsid w:val="0005683E"/>
    <w:rsid w:val="000571B0"/>
    <w:rsid w:val="000572BC"/>
    <w:rsid w:val="00057D86"/>
    <w:rsid w:val="00057E5D"/>
    <w:rsid w:val="00057F31"/>
    <w:rsid w:val="00060946"/>
    <w:rsid w:val="00061068"/>
    <w:rsid w:val="00061C3B"/>
    <w:rsid w:val="00061C92"/>
    <w:rsid w:val="00062A2B"/>
    <w:rsid w:val="00062E65"/>
    <w:rsid w:val="000633CA"/>
    <w:rsid w:val="00063798"/>
    <w:rsid w:val="00063E48"/>
    <w:rsid w:val="00064226"/>
    <w:rsid w:val="000642B5"/>
    <w:rsid w:val="000644F0"/>
    <w:rsid w:val="0006492C"/>
    <w:rsid w:val="00064938"/>
    <w:rsid w:val="00064BDC"/>
    <w:rsid w:val="00064C16"/>
    <w:rsid w:val="0006515B"/>
    <w:rsid w:val="00065C32"/>
    <w:rsid w:val="00065C3C"/>
    <w:rsid w:val="0006626D"/>
    <w:rsid w:val="00066424"/>
    <w:rsid w:val="00066591"/>
    <w:rsid w:val="00066747"/>
    <w:rsid w:val="00067B64"/>
    <w:rsid w:val="0007148D"/>
    <w:rsid w:val="00071497"/>
    <w:rsid w:val="000715D7"/>
    <w:rsid w:val="0007167E"/>
    <w:rsid w:val="00071851"/>
    <w:rsid w:val="00071A87"/>
    <w:rsid w:val="0007237C"/>
    <w:rsid w:val="000731B3"/>
    <w:rsid w:val="00073EF9"/>
    <w:rsid w:val="000751C2"/>
    <w:rsid w:val="00075228"/>
    <w:rsid w:val="000752BA"/>
    <w:rsid w:val="00075388"/>
    <w:rsid w:val="00075452"/>
    <w:rsid w:val="00075596"/>
    <w:rsid w:val="00076780"/>
    <w:rsid w:val="00076B0E"/>
    <w:rsid w:val="00076D04"/>
    <w:rsid w:val="000778F1"/>
    <w:rsid w:val="00077C1A"/>
    <w:rsid w:val="00077E97"/>
    <w:rsid w:val="000802F7"/>
    <w:rsid w:val="00081679"/>
    <w:rsid w:val="00081BC8"/>
    <w:rsid w:val="00081DE3"/>
    <w:rsid w:val="0008223F"/>
    <w:rsid w:val="00082A0A"/>
    <w:rsid w:val="00082FE9"/>
    <w:rsid w:val="00083566"/>
    <w:rsid w:val="00083780"/>
    <w:rsid w:val="000839E4"/>
    <w:rsid w:val="00083D17"/>
    <w:rsid w:val="00084285"/>
    <w:rsid w:val="00084AB9"/>
    <w:rsid w:val="00084D74"/>
    <w:rsid w:val="000854C0"/>
    <w:rsid w:val="000858FC"/>
    <w:rsid w:val="00085FB4"/>
    <w:rsid w:val="00086990"/>
    <w:rsid w:val="00086BA6"/>
    <w:rsid w:val="00086D33"/>
    <w:rsid w:val="000877BE"/>
    <w:rsid w:val="00087A73"/>
    <w:rsid w:val="00090843"/>
    <w:rsid w:val="0009128C"/>
    <w:rsid w:val="00091B1B"/>
    <w:rsid w:val="00092C74"/>
    <w:rsid w:val="0009353C"/>
    <w:rsid w:val="000937A1"/>
    <w:rsid w:val="00093AEE"/>
    <w:rsid w:val="00093AFD"/>
    <w:rsid w:val="000944D6"/>
    <w:rsid w:val="000948AF"/>
    <w:rsid w:val="00094A0E"/>
    <w:rsid w:val="00094ABD"/>
    <w:rsid w:val="00095648"/>
    <w:rsid w:val="00096E8A"/>
    <w:rsid w:val="00096FA0"/>
    <w:rsid w:val="0009730F"/>
    <w:rsid w:val="0009750A"/>
    <w:rsid w:val="000A0BED"/>
    <w:rsid w:val="000A142E"/>
    <w:rsid w:val="000A1547"/>
    <w:rsid w:val="000A1894"/>
    <w:rsid w:val="000A1A2D"/>
    <w:rsid w:val="000A20F7"/>
    <w:rsid w:val="000A2AB5"/>
    <w:rsid w:val="000A2D9D"/>
    <w:rsid w:val="000A39C0"/>
    <w:rsid w:val="000A4502"/>
    <w:rsid w:val="000A492D"/>
    <w:rsid w:val="000A5F02"/>
    <w:rsid w:val="000A67CB"/>
    <w:rsid w:val="000A68D1"/>
    <w:rsid w:val="000A69BC"/>
    <w:rsid w:val="000A775F"/>
    <w:rsid w:val="000A7CA6"/>
    <w:rsid w:val="000B020B"/>
    <w:rsid w:val="000B06E4"/>
    <w:rsid w:val="000B287B"/>
    <w:rsid w:val="000B29C5"/>
    <w:rsid w:val="000B2E75"/>
    <w:rsid w:val="000B3CAD"/>
    <w:rsid w:val="000B40FD"/>
    <w:rsid w:val="000B4E56"/>
    <w:rsid w:val="000B4E9D"/>
    <w:rsid w:val="000B4FE1"/>
    <w:rsid w:val="000B58E9"/>
    <w:rsid w:val="000B5E9B"/>
    <w:rsid w:val="000B6D60"/>
    <w:rsid w:val="000B7619"/>
    <w:rsid w:val="000B7BC1"/>
    <w:rsid w:val="000B7E47"/>
    <w:rsid w:val="000C02B4"/>
    <w:rsid w:val="000C05A4"/>
    <w:rsid w:val="000C0EE8"/>
    <w:rsid w:val="000C15B8"/>
    <w:rsid w:val="000C170D"/>
    <w:rsid w:val="000C21E7"/>
    <w:rsid w:val="000C2358"/>
    <w:rsid w:val="000C2378"/>
    <w:rsid w:val="000C35CF"/>
    <w:rsid w:val="000C362B"/>
    <w:rsid w:val="000C3A1E"/>
    <w:rsid w:val="000C3BE7"/>
    <w:rsid w:val="000C3F99"/>
    <w:rsid w:val="000C50A0"/>
    <w:rsid w:val="000C51B6"/>
    <w:rsid w:val="000C6A96"/>
    <w:rsid w:val="000C6B85"/>
    <w:rsid w:val="000C6E56"/>
    <w:rsid w:val="000C75A2"/>
    <w:rsid w:val="000C76CC"/>
    <w:rsid w:val="000C7974"/>
    <w:rsid w:val="000D0AD1"/>
    <w:rsid w:val="000D0F78"/>
    <w:rsid w:val="000D2738"/>
    <w:rsid w:val="000D3B26"/>
    <w:rsid w:val="000D40C9"/>
    <w:rsid w:val="000D49DE"/>
    <w:rsid w:val="000D4AAE"/>
    <w:rsid w:val="000D4E53"/>
    <w:rsid w:val="000D4E9C"/>
    <w:rsid w:val="000D5085"/>
    <w:rsid w:val="000D5465"/>
    <w:rsid w:val="000D566B"/>
    <w:rsid w:val="000D56D8"/>
    <w:rsid w:val="000D5A7D"/>
    <w:rsid w:val="000D6329"/>
    <w:rsid w:val="000D634C"/>
    <w:rsid w:val="000D64FB"/>
    <w:rsid w:val="000D6509"/>
    <w:rsid w:val="000D6E4E"/>
    <w:rsid w:val="000D6FC8"/>
    <w:rsid w:val="000D71B5"/>
    <w:rsid w:val="000D7410"/>
    <w:rsid w:val="000D77AD"/>
    <w:rsid w:val="000E00CD"/>
    <w:rsid w:val="000E07B0"/>
    <w:rsid w:val="000E1190"/>
    <w:rsid w:val="000E13BE"/>
    <w:rsid w:val="000E13D8"/>
    <w:rsid w:val="000E258B"/>
    <w:rsid w:val="000E284A"/>
    <w:rsid w:val="000E295D"/>
    <w:rsid w:val="000E2AAD"/>
    <w:rsid w:val="000E2D04"/>
    <w:rsid w:val="000E30EA"/>
    <w:rsid w:val="000E3763"/>
    <w:rsid w:val="000E38C4"/>
    <w:rsid w:val="000E39C2"/>
    <w:rsid w:val="000E3E6D"/>
    <w:rsid w:val="000E3F44"/>
    <w:rsid w:val="000E40B3"/>
    <w:rsid w:val="000E5DA9"/>
    <w:rsid w:val="000E6791"/>
    <w:rsid w:val="000E694D"/>
    <w:rsid w:val="000E73B7"/>
    <w:rsid w:val="000E75F6"/>
    <w:rsid w:val="000E7C59"/>
    <w:rsid w:val="000F0BCB"/>
    <w:rsid w:val="000F119B"/>
    <w:rsid w:val="000F1247"/>
    <w:rsid w:val="000F1B17"/>
    <w:rsid w:val="000F1D86"/>
    <w:rsid w:val="000F22C7"/>
    <w:rsid w:val="000F22CD"/>
    <w:rsid w:val="000F27DE"/>
    <w:rsid w:val="000F2E6C"/>
    <w:rsid w:val="000F3679"/>
    <w:rsid w:val="000F3FF4"/>
    <w:rsid w:val="000F48A1"/>
    <w:rsid w:val="000F4DE8"/>
    <w:rsid w:val="000F4E10"/>
    <w:rsid w:val="000F4EE1"/>
    <w:rsid w:val="000F556D"/>
    <w:rsid w:val="000F5818"/>
    <w:rsid w:val="000F5CF1"/>
    <w:rsid w:val="000F6497"/>
    <w:rsid w:val="000F65D1"/>
    <w:rsid w:val="000F685F"/>
    <w:rsid w:val="000F6A42"/>
    <w:rsid w:val="000F6DA3"/>
    <w:rsid w:val="000F774E"/>
    <w:rsid w:val="000F7C61"/>
    <w:rsid w:val="001006BD"/>
    <w:rsid w:val="001008D0"/>
    <w:rsid w:val="001009D3"/>
    <w:rsid w:val="0010101B"/>
    <w:rsid w:val="0010113F"/>
    <w:rsid w:val="0010125E"/>
    <w:rsid w:val="001016DB"/>
    <w:rsid w:val="00101B29"/>
    <w:rsid w:val="00101E69"/>
    <w:rsid w:val="0010215A"/>
    <w:rsid w:val="00102425"/>
    <w:rsid w:val="00102743"/>
    <w:rsid w:val="0010284B"/>
    <w:rsid w:val="001035B6"/>
    <w:rsid w:val="0010362B"/>
    <w:rsid w:val="00103A8E"/>
    <w:rsid w:val="00103E3F"/>
    <w:rsid w:val="00103F0B"/>
    <w:rsid w:val="001043A6"/>
    <w:rsid w:val="00104989"/>
    <w:rsid w:val="00104B4E"/>
    <w:rsid w:val="00104C79"/>
    <w:rsid w:val="00104CA9"/>
    <w:rsid w:val="00105CA7"/>
    <w:rsid w:val="00106791"/>
    <w:rsid w:val="00106B3D"/>
    <w:rsid w:val="001072F3"/>
    <w:rsid w:val="00107B56"/>
    <w:rsid w:val="00107C80"/>
    <w:rsid w:val="0011040B"/>
    <w:rsid w:val="00111096"/>
    <w:rsid w:val="001117EB"/>
    <w:rsid w:val="00111A18"/>
    <w:rsid w:val="00111FED"/>
    <w:rsid w:val="00112EDD"/>
    <w:rsid w:val="00113390"/>
    <w:rsid w:val="00113A47"/>
    <w:rsid w:val="00113FC2"/>
    <w:rsid w:val="001144FA"/>
    <w:rsid w:val="001149A1"/>
    <w:rsid w:val="00114EF2"/>
    <w:rsid w:val="0011527A"/>
    <w:rsid w:val="001159A4"/>
    <w:rsid w:val="0011633B"/>
    <w:rsid w:val="001163BA"/>
    <w:rsid w:val="00116C0F"/>
    <w:rsid w:val="00117C84"/>
    <w:rsid w:val="00117DFE"/>
    <w:rsid w:val="001203F6"/>
    <w:rsid w:val="001207E0"/>
    <w:rsid w:val="00120B0D"/>
    <w:rsid w:val="00120C9A"/>
    <w:rsid w:val="00121A0C"/>
    <w:rsid w:val="00121CCB"/>
    <w:rsid w:val="001228F8"/>
    <w:rsid w:val="00122A44"/>
    <w:rsid w:val="00122B3D"/>
    <w:rsid w:val="00122C6A"/>
    <w:rsid w:val="00122F31"/>
    <w:rsid w:val="0012301D"/>
    <w:rsid w:val="00123154"/>
    <w:rsid w:val="001235C2"/>
    <w:rsid w:val="0012397A"/>
    <w:rsid w:val="001250DC"/>
    <w:rsid w:val="001251C9"/>
    <w:rsid w:val="0012534C"/>
    <w:rsid w:val="00125F09"/>
    <w:rsid w:val="001264B6"/>
    <w:rsid w:val="0012689E"/>
    <w:rsid w:val="001269B4"/>
    <w:rsid w:val="001275F8"/>
    <w:rsid w:val="00130A06"/>
    <w:rsid w:val="00130AC0"/>
    <w:rsid w:val="00130E3D"/>
    <w:rsid w:val="00130F67"/>
    <w:rsid w:val="00131209"/>
    <w:rsid w:val="00131DB6"/>
    <w:rsid w:val="00131E46"/>
    <w:rsid w:val="001323E0"/>
    <w:rsid w:val="0013244F"/>
    <w:rsid w:val="00132918"/>
    <w:rsid w:val="00132BDD"/>
    <w:rsid w:val="00132CCC"/>
    <w:rsid w:val="00132D45"/>
    <w:rsid w:val="00132EAE"/>
    <w:rsid w:val="00133086"/>
    <w:rsid w:val="00133115"/>
    <w:rsid w:val="001338CB"/>
    <w:rsid w:val="0013403A"/>
    <w:rsid w:val="001341AB"/>
    <w:rsid w:val="001344B2"/>
    <w:rsid w:val="00134B61"/>
    <w:rsid w:val="00134F89"/>
    <w:rsid w:val="00135DF2"/>
    <w:rsid w:val="0013628F"/>
    <w:rsid w:val="00137898"/>
    <w:rsid w:val="00137BCA"/>
    <w:rsid w:val="001402E7"/>
    <w:rsid w:val="00140356"/>
    <w:rsid w:val="001407A2"/>
    <w:rsid w:val="00140926"/>
    <w:rsid w:val="00140967"/>
    <w:rsid w:val="00140B33"/>
    <w:rsid w:val="00140E1F"/>
    <w:rsid w:val="001412B5"/>
    <w:rsid w:val="0014191D"/>
    <w:rsid w:val="00141CF4"/>
    <w:rsid w:val="00142D64"/>
    <w:rsid w:val="00142ED0"/>
    <w:rsid w:val="00142F21"/>
    <w:rsid w:val="001433B0"/>
    <w:rsid w:val="001437C0"/>
    <w:rsid w:val="0014451A"/>
    <w:rsid w:val="001447F2"/>
    <w:rsid w:val="0014537A"/>
    <w:rsid w:val="001453FA"/>
    <w:rsid w:val="00145F49"/>
    <w:rsid w:val="001464FF"/>
    <w:rsid w:val="00146903"/>
    <w:rsid w:val="00146EAD"/>
    <w:rsid w:val="00146F1E"/>
    <w:rsid w:val="00147140"/>
    <w:rsid w:val="00147BF1"/>
    <w:rsid w:val="00147D1B"/>
    <w:rsid w:val="001501FB"/>
    <w:rsid w:val="001502DF"/>
    <w:rsid w:val="00150678"/>
    <w:rsid w:val="001527B3"/>
    <w:rsid w:val="001529BD"/>
    <w:rsid w:val="00152EC3"/>
    <w:rsid w:val="001533E7"/>
    <w:rsid w:val="0015375C"/>
    <w:rsid w:val="001537F8"/>
    <w:rsid w:val="00153B18"/>
    <w:rsid w:val="0015482E"/>
    <w:rsid w:val="00155E97"/>
    <w:rsid w:val="001562D8"/>
    <w:rsid w:val="00156B08"/>
    <w:rsid w:val="00156BA2"/>
    <w:rsid w:val="00156CD2"/>
    <w:rsid w:val="00157E67"/>
    <w:rsid w:val="00160495"/>
    <w:rsid w:val="00160733"/>
    <w:rsid w:val="001610BB"/>
    <w:rsid w:val="00161FD6"/>
    <w:rsid w:val="0016209C"/>
    <w:rsid w:val="001627F7"/>
    <w:rsid w:val="00163516"/>
    <w:rsid w:val="00164251"/>
    <w:rsid w:val="001644E4"/>
    <w:rsid w:val="0016490E"/>
    <w:rsid w:val="0016507B"/>
    <w:rsid w:val="00165B31"/>
    <w:rsid w:val="00165CED"/>
    <w:rsid w:val="00165E17"/>
    <w:rsid w:val="00165E26"/>
    <w:rsid w:val="00166676"/>
    <w:rsid w:val="00166E8D"/>
    <w:rsid w:val="001673CD"/>
    <w:rsid w:val="00167658"/>
    <w:rsid w:val="00167775"/>
    <w:rsid w:val="00167E65"/>
    <w:rsid w:val="001709AD"/>
    <w:rsid w:val="00171484"/>
    <w:rsid w:val="001714CC"/>
    <w:rsid w:val="0017191F"/>
    <w:rsid w:val="001720CC"/>
    <w:rsid w:val="00172328"/>
    <w:rsid w:val="00172C70"/>
    <w:rsid w:val="00173217"/>
    <w:rsid w:val="00173BDB"/>
    <w:rsid w:val="00173DE1"/>
    <w:rsid w:val="00173E96"/>
    <w:rsid w:val="001743C6"/>
    <w:rsid w:val="001745D3"/>
    <w:rsid w:val="00174EEF"/>
    <w:rsid w:val="00175A1A"/>
    <w:rsid w:val="00176635"/>
    <w:rsid w:val="00177201"/>
    <w:rsid w:val="0018007F"/>
    <w:rsid w:val="0018088D"/>
    <w:rsid w:val="00180A24"/>
    <w:rsid w:val="00181556"/>
    <w:rsid w:val="001818F6"/>
    <w:rsid w:val="00181AC6"/>
    <w:rsid w:val="00181B3E"/>
    <w:rsid w:val="00181D89"/>
    <w:rsid w:val="00182212"/>
    <w:rsid w:val="00182651"/>
    <w:rsid w:val="00183470"/>
    <w:rsid w:val="00183DE7"/>
    <w:rsid w:val="001846C3"/>
    <w:rsid w:val="001848F7"/>
    <w:rsid w:val="001849D8"/>
    <w:rsid w:val="001870D4"/>
    <w:rsid w:val="00190300"/>
    <w:rsid w:val="0019034B"/>
    <w:rsid w:val="001908BB"/>
    <w:rsid w:val="00190D69"/>
    <w:rsid w:val="00190F59"/>
    <w:rsid w:val="00191239"/>
    <w:rsid w:val="00191C15"/>
    <w:rsid w:val="00191DA9"/>
    <w:rsid w:val="00191E08"/>
    <w:rsid w:val="00191FA2"/>
    <w:rsid w:val="0019264E"/>
    <w:rsid w:val="00193076"/>
    <w:rsid w:val="00194114"/>
    <w:rsid w:val="00195045"/>
    <w:rsid w:val="00196218"/>
    <w:rsid w:val="001968CD"/>
    <w:rsid w:val="00196CC6"/>
    <w:rsid w:val="00197147"/>
    <w:rsid w:val="00197792"/>
    <w:rsid w:val="00197C80"/>
    <w:rsid w:val="00197D3F"/>
    <w:rsid w:val="001A0936"/>
    <w:rsid w:val="001A0DF2"/>
    <w:rsid w:val="001A0FF0"/>
    <w:rsid w:val="001A18E5"/>
    <w:rsid w:val="001A19E5"/>
    <w:rsid w:val="001A222C"/>
    <w:rsid w:val="001A22AD"/>
    <w:rsid w:val="001A26E5"/>
    <w:rsid w:val="001A377E"/>
    <w:rsid w:val="001A3C4A"/>
    <w:rsid w:val="001A4126"/>
    <w:rsid w:val="001A43CE"/>
    <w:rsid w:val="001A46BA"/>
    <w:rsid w:val="001A5023"/>
    <w:rsid w:val="001A5131"/>
    <w:rsid w:val="001A5462"/>
    <w:rsid w:val="001A5694"/>
    <w:rsid w:val="001A5CB8"/>
    <w:rsid w:val="001A5EFF"/>
    <w:rsid w:val="001A61FD"/>
    <w:rsid w:val="001A622A"/>
    <w:rsid w:val="001A63F5"/>
    <w:rsid w:val="001A6577"/>
    <w:rsid w:val="001A6C77"/>
    <w:rsid w:val="001A73EC"/>
    <w:rsid w:val="001A792B"/>
    <w:rsid w:val="001B0334"/>
    <w:rsid w:val="001B0531"/>
    <w:rsid w:val="001B053E"/>
    <w:rsid w:val="001B09A2"/>
    <w:rsid w:val="001B1099"/>
    <w:rsid w:val="001B17FD"/>
    <w:rsid w:val="001B1B64"/>
    <w:rsid w:val="001B20AF"/>
    <w:rsid w:val="001B2341"/>
    <w:rsid w:val="001B2688"/>
    <w:rsid w:val="001B28F6"/>
    <w:rsid w:val="001B323E"/>
    <w:rsid w:val="001B3332"/>
    <w:rsid w:val="001B36F6"/>
    <w:rsid w:val="001B3960"/>
    <w:rsid w:val="001B3B20"/>
    <w:rsid w:val="001B40B7"/>
    <w:rsid w:val="001B4AE7"/>
    <w:rsid w:val="001B4F39"/>
    <w:rsid w:val="001B622B"/>
    <w:rsid w:val="001B6CF4"/>
    <w:rsid w:val="001B7F09"/>
    <w:rsid w:val="001C0044"/>
    <w:rsid w:val="001C0B42"/>
    <w:rsid w:val="001C0C53"/>
    <w:rsid w:val="001C0C66"/>
    <w:rsid w:val="001C10F9"/>
    <w:rsid w:val="001C1290"/>
    <w:rsid w:val="001C168A"/>
    <w:rsid w:val="001C1EBE"/>
    <w:rsid w:val="001C2147"/>
    <w:rsid w:val="001C2E6A"/>
    <w:rsid w:val="001C2F81"/>
    <w:rsid w:val="001C3EF4"/>
    <w:rsid w:val="001C4240"/>
    <w:rsid w:val="001C4618"/>
    <w:rsid w:val="001C489D"/>
    <w:rsid w:val="001C54C8"/>
    <w:rsid w:val="001C5DBD"/>
    <w:rsid w:val="001C5F36"/>
    <w:rsid w:val="001C5FFF"/>
    <w:rsid w:val="001C7831"/>
    <w:rsid w:val="001C7E26"/>
    <w:rsid w:val="001D0686"/>
    <w:rsid w:val="001D161E"/>
    <w:rsid w:val="001D328D"/>
    <w:rsid w:val="001D3583"/>
    <w:rsid w:val="001D3917"/>
    <w:rsid w:val="001D4507"/>
    <w:rsid w:val="001D4947"/>
    <w:rsid w:val="001D4BD5"/>
    <w:rsid w:val="001D5BB5"/>
    <w:rsid w:val="001D6151"/>
    <w:rsid w:val="001D651F"/>
    <w:rsid w:val="001D7042"/>
    <w:rsid w:val="001D78C4"/>
    <w:rsid w:val="001D7A18"/>
    <w:rsid w:val="001E09E4"/>
    <w:rsid w:val="001E1164"/>
    <w:rsid w:val="001E1303"/>
    <w:rsid w:val="001E1890"/>
    <w:rsid w:val="001E1B37"/>
    <w:rsid w:val="001E292A"/>
    <w:rsid w:val="001E3272"/>
    <w:rsid w:val="001E3AA8"/>
    <w:rsid w:val="001E3DD3"/>
    <w:rsid w:val="001E3DEA"/>
    <w:rsid w:val="001E416B"/>
    <w:rsid w:val="001E44DF"/>
    <w:rsid w:val="001E4788"/>
    <w:rsid w:val="001E50C3"/>
    <w:rsid w:val="001E50F4"/>
    <w:rsid w:val="001E63BA"/>
    <w:rsid w:val="001E6781"/>
    <w:rsid w:val="001E6B7B"/>
    <w:rsid w:val="001E71BC"/>
    <w:rsid w:val="001E7B2B"/>
    <w:rsid w:val="001F093A"/>
    <w:rsid w:val="001F0B3D"/>
    <w:rsid w:val="001F12B0"/>
    <w:rsid w:val="001F139C"/>
    <w:rsid w:val="001F1859"/>
    <w:rsid w:val="001F245F"/>
    <w:rsid w:val="001F2A5A"/>
    <w:rsid w:val="001F2A78"/>
    <w:rsid w:val="001F2BD5"/>
    <w:rsid w:val="001F3C90"/>
    <w:rsid w:val="001F477C"/>
    <w:rsid w:val="001F50CC"/>
    <w:rsid w:val="001F54CC"/>
    <w:rsid w:val="001F59AA"/>
    <w:rsid w:val="001F5A05"/>
    <w:rsid w:val="001F68F5"/>
    <w:rsid w:val="001F7511"/>
    <w:rsid w:val="001F7909"/>
    <w:rsid w:val="001F7A89"/>
    <w:rsid w:val="001F7CF1"/>
    <w:rsid w:val="00200046"/>
    <w:rsid w:val="00200077"/>
    <w:rsid w:val="0020052F"/>
    <w:rsid w:val="00201656"/>
    <w:rsid w:val="00201713"/>
    <w:rsid w:val="00201780"/>
    <w:rsid w:val="00202BBE"/>
    <w:rsid w:val="00204160"/>
    <w:rsid w:val="0020426C"/>
    <w:rsid w:val="00205A43"/>
    <w:rsid w:val="00205AC9"/>
    <w:rsid w:val="00205F89"/>
    <w:rsid w:val="00205F96"/>
    <w:rsid w:val="00206730"/>
    <w:rsid w:val="00206EC3"/>
    <w:rsid w:val="00206EF3"/>
    <w:rsid w:val="0020747B"/>
    <w:rsid w:val="00207DCF"/>
    <w:rsid w:val="00207F12"/>
    <w:rsid w:val="00207F3C"/>
    <w:rsid w:val="002109BA"/>
    <w:rsid w:val="00211082"/>
    <w:rsid w:val="00211723"/>
    <w:rsid w:val="002132EE"/>
    <w:rsid w:val="0021395A"/>
    <w:rsid w:val="00214335"/>
    <w:rsid w:val="00214642"/>
    <w:rsid w:val="00215572"/>
    <w:rsid w:val="002156A6"/>
    <w:rsid w:val="0021644B"/>
    <w:rsid w:val="002164C1"/>
    <w:rsid w:val="0021654F"/>
    <w:rsid w:val="00216771"/>
    <w:rsid w:val="002167E9"/>
    <w:rsid w:val="00216988"/>
    <w:rsid w:val="002170DE"/>
    <w:rsid w:val="0021735E"/>
    <w:rsid w:val="00217446"/>
    <w:rsid w:val="002176E5"/>
    <w:rsid w:val="00217832"/>
    <w:rsid w:val="00220379"/>
    <w:rsid w:val="00221023"/>
    <w:rsid w:val="0022110C"/>
    <w:rsid w:val="00222799"/>
    <w:rsid w:val="00222DAA"/>
    <w:rsid w:val="00223163"/>
    <w:rsid w:val="00223B95"/>
    <w:rsid w:val="00224435"/>
    <w:rsid w:val="00224AAC"/>
    <w:rsid w:val="00224B6E"/>
    <w:rsid w:val="00224C64"/>
    <w:rsid w:val="00226622"/>
    <w:rsid w:val="00227213"/>
    <w:rsid w:val="00227296"/>
    <w:rsid w:val="002274B7"/>
    <w:rsid w:val="002308BB"/>
    <w:rsid w:val="00230A53"/>
    <w:rsid w:val="002314A9"/>
    <w:rsid w:val="00231974"/>
    <w:rsid w:val="002319F3"/>
    <w:rsid w:val="00231A6B"/>
    <w:rsid w:val="00231F82"/>
    <w:rsid w:val="00232137"/>
    <w:rsid w:val="0023227F"/>
    <w:rsid w:val="002323C4"/>
    <w:rsid w:val="00232D0F"/>
    <w:rsid w:val="00232EC9"/>
    <w:rsid w:val="00233198"/>
    <w:rsid w:val="002336B6"/>
    <w:rsid w:val="0023410F"/>
    <w:rsid w:val="0023431D"/>
    <w:rsid w:val="0023461C"/>
    <w:rsid w:val="00234720"/>
    <w:rsid w:val="00234762"/>
    <w:rsid w:val="00234B95"/>
    <w:rsid w:val="00234CF0"/>
    <w:rsid w:val="00234FEB"/>
    <w:rsid w:val="002352C6"/>
    <w:rsid w:val="00235F64"/>
    <w:rsid w:val="002360DD"/>
    <w:rsid w:val="00236307"/>
    <w:rsid w:val="00236357"/>
    <w:rsid w:val="00236383"/>
    <w:rsid w:val="002363EC"/>
    <w:rsid w:val="0023683B"/>
    <w:rsid w:val="002378C5"/>
    <w:rsid w:val="00237976"/>
    <w:rsid w:val="00240825"/>
    <w:rsid w:val="00240D99"/>
    <w:rsid w:val="00240E83"/>
    <w:rsid w:val="00241411"/>
    <w:rsid w:val="002415B7"/>
    <w:rsid w:val="00241C7E"/>
    <w:rsid w:val="00241D6A"/>
    <w:rsid w:val="00241D99"/>
    <w:rsid w:val="002423CD"/>
    <w:rsid w:val="00242830"/>
    <w:rsid w:val="00242A6E"/>
    <w:rsid w:val="00243DE5"/>
    <w:rsid w:val="002445BD"/>
    <w:rsid w:val="002449BB"/>
    <w:rsid w:val="00244D70"/>
    <w:rsid w:val="00245BF8"/>
    <w:rsid w:val="00245C61"/>
    <w:rsid w:val="00245DDF"/>
    <w:rsid w:val="00246312"/>
    <w:rsid w:val="002476FF"/>
    <w:rsid w:val="00247B28"/>
    <w:rsid w:val="00250237"/>
    <w:rsid w:val="002516A8"/>
    <w:rsid w:val="002518D1"/>
    <w:rsid w:val="00251B4D"/>
    <w:rsid w:val="0025216A"/>
    <w:rsid w:val="00252C37"/>
    <w:rsid w:val="002537E4"/>
    <w:rsid w:val="00253CCD"/>
    <w:rsid w:val="002542A8"/>
    <w:rsid w:val="00254C41"/>
    <w:rsid w:val="002550B8"/>
    <w:rsid w:val="002551D1"/>
    <w:rsid w:val="00255ADB"/>
    <w:rsid w:val="002560AF"/>
    <w:rsid w:val="002572AB"/>
    <w:rsid w:val="00257602"/>
    <w:rsid w:val="002577BE"/>
    <w:rsid w:val="00257FDB"/>
    <w:rsid w:val="002603A1"/>
    <w:rsid w:val="002603E0"/>
    <w:rsid w:val="00261211"/>
    <w:rsid w:val="002613C9"/>
    <w:rsid w:val="00261E9A"/>
    <w:rsid w:val="00261FC8"/>
    <w:rsid w:val="002620FC"/>
    <w:rsid w:val="00262315"/>
    <w:rsid w:val="00262407"/>
    <w:rsid w:val="00262E3A"/>
    <w:rsid w:val="00262F38"/>
    <w:rsid w:val="002634FE"/>
    <w:rsid w:val="00263606"/>
    <w:rsid w:val="0026449E"/>
    <w:rsid w:val="00264638"/>
    <w:rsid w:val="00264744"/>
    <w:rsid w:val="00264F4E"/>
    <w:rsid w:val="00265D25"/>
    <w:rsid w:val="00266899"/>
    <w:rsid w:val="002668A9"/>
    <w:rsid w:val="002668B4"/>
    <w:rsid w:val="00266EAC"/>
    <w:rsid w:val="0026709F"/>
    <w:rsid w:val="0026796D"/>
    <w:rsid w:val="00270115"/>
    <w:rsid w:val="00270A46"/>
    <w:rsid w:val="00270C04"/>
    <w:rsid w:val="00270CC6"/>
    <w:rsid w:val="00272980"/>
    <w:rsid w:val="00272B8A"/>
    <w:rsid w:val="0027348B"/>
    <w:rsid w:val="002737FC"/>
    <w:rsid w:val="00273C77"/>
    <w:rsid w:val="00273F92"/>
    <w:rsid w:val="002743F2"/>
    <w:rsid w:val="00274750"/>
    <w:rsid w:val="00274837"/>
    <w:rsid w:val="00275035"/>
    <w:rsid w:val="00275CCA"/>
    <w:rsid w:val="00275D35"/>
    <w:rsid w:val="00275E16"/>
    <w:rsid w:val="00275F5E"/>
    <w:rsid w:val="002762F5"/>
    <w:rsid w:val="00276A9F"/>
    <w:rsid w:val="00277879"/>
    <w:rsid w:val="00277C0A"/>
    <w:rsid w:val="00281160"/>
    <w:rsid w:val="00281AB5"/>
    <w:rsid w:val="00281E53"/>
    <w:rsid w:val="00282B3B"/>
    <w:rsid w:val="00284385"/>
    <w:rsid w:val="002848C8"/>
    <w:rsid w:val="00284CC2"/>
    <w:rsid w:val="00284CE9"/>
    <w:rsid w:val="0028522C"/>
    <w:rsid w:val="0028527D"/>
    <w:rsid w:val="0028528C"/>
    <w:rsid w:val="00285A15"/>
    <w:rsid w:val="00285D61"/>
    <w:rsid w:val="00286313"/>
    <w:rsid w:val="00286347"/>
    <w:rsid w:val="00287B90"/>
    <w:rsid w:val="002901A3"/>
    <w:rsid w:val="00290808"/>
    <w:rsid w:val="002912BB"/>
    <w:rsid w:val="00291A97"/>
    <w:rsid w:val="0029246D"/>
    <w:rsid w:val="00292536"/>
    <w:rsid w:val="00292630"/>
    <w:rsid w:val="002935F6"/>
    <w:rsid w:val="002943C3"/>
    <w:rsid w:val="00295B06"/>
    <w:rsid w:val="0029658B"/>
    <w:rsid w:val="00296BEA"/>
    <w:rsid w:val="00297493"/>
    <w:rsid w:val="00297787"/>
    <w:rsid w:val="002979BA"/>
    <w:rsid w:val="00297CE0"/>
    <w:rsid w:val="002A0039"/>
    <w:rsid w:val="002A0E02"/>
    <w:rsid w:val="002A0E9D"/>
    <w:rsid w:val="002A1612"/>
    <w:rsid w:val="002A3043"/>
    <w:rsid w:val="002A33A3"/>
    <w:rsid w:val="002A4917"/>
    <w:rsid w:val="002A521B"/>
    <w:rsid w:val="002A5334"/>
    <w:rsid w:val="002A56FD"/>
    <w:rsid w:val="002A6A7B"/>
    <w:rsid w:val="002A7572"/>
    <w:rsid w:val="002A78D4"/>
    <w:rsid w:val="002A7B3A"/>
    <w:rsid w:val="002B0B92"/>
    <w:rsid w:val="002B19A6"/>
    <w:rsid w:val="002B1B07"/>
    <w:rsid w:val="002B23B0"/>
    <w:rsid w:val="002B2863"/>
    <w:rsid w:val="002B3634"/>
    <w:rsid w:val="002B4250"/>
    <w:rsid w:val="002B44D5"/>
    <w:rsid w:val="002B4A12"/>
    <w:rsid w:val="002B4C06"/>
    <w:rsid w:val="002B4E79"/>
    <w:rsid w:val="002B4E99"/>
    <w:rsid w:val="002B4FC2"/>
    <w:rsid w:val="002B5167"/>
    <w:rsid w:val="002B5852"/>
    <w:rsid w:val="002B6528"/>
    <w:rsid w:val="002B71E2"/>
    <w:rsid w:val="002B76F5"/>
    <w:rsid w:val="002B7C2C"/>
    <w:rsid w:val="002B7E3C"/>
    <w:rsid w:val="002B7F2D"/>
    <w:rsid w:val="002B7FD2"/>
    <w:rsid w:val="002C276E"/>
    <w:rsid w:val="002C3110"/>
    <w:rsid w:val="002C3931"/>
    <w:rsid w:val="002C402E"/>
    <w:rsid w:val="002C42ED"/>
    <w:rsid w:val="002C5297"/>
    <w:rsid w:val="002C53C6"/>
    <w:rsid w:val="002C5734"/>
    <w:rsid w:val="002C5A77"/>
    <w:rsid w:val="002C5C6C"/>
    <w:rsid w:val="002C5FD9"/>
    <w:rsid w:val="002C6059"/>
    <w:rsid w:val="002C6073"/>
    <w:rsid w:val="002C69E7"/>
    <w:rsid w:val="002C6C1F"/>
    <w:rsid w:val="002C7003"/>
    <w:rsid w:val="002D06A8"/>
    <w:rsid w:val="002D0742"/>
    <w:rsid w:val="002D0F01"/>
    <w:rsid w:val="002D10F4"/>
    <w:rsid w:val="002D1FCD"/>
    <w:rsid w:val="002D4133"/>
    <w:rsid w:val="002D4521"/>
    <w:rsid w:val="002D4CF3"/>
    <w:rsid w:val="002D51B2"/>
    <w:rsid w:val="002D5275"/>
    <w:rsid w:val="002D539E"/>
    <w:rsid w:val="002D5562"/>
    <w:rsid w:val="002D5617"/>
    <w:rsid w:val="002D57C4"/>
    <w:rsid w:val="002D5983"/>
    <w:rsid w:val="002D5E0E"/>
    <w:rsid w:val="002D60BA"/>
    <w:rsid w:val="002D63F7"/>
    <w:rsid w:val="002D64C3"/>
    <w:rsid w:val="002D670C"/>
    <w:rsid w:val="002D7BE0"/>
    <w:rsid w:val="002E17BB"/>
    <w:rsid w:val="002E1821"/>
    <w:rsid w:val="002E2157"/>
    <w:rsid w:val="002E2465"/>
    <w:rsid w:val="002E27B6"/>
    <w:rsid w:val="002E4314"/>
    <w:rsid w:val="002E53B4"/>
    <w:rsid w:val="002E5EC9"/>
    <w:rsid w:val="002E65B7"/>
    <w:rsid w:val="002E74A4"/>
    <w:rsid w:val="002E7A0A"/>
    <w:rsid w:val="002F026F"/>
    <w:rsid w:val="002F02B5"/>
    <w:rsid w:val="002F0527"/>
    <w:rsid w:val="002F0872"/>
    <w:rsid w:val="002F0942"/>
    <w:rsid w:val="002F0C4D"/>
    <w:rsid w:val="002F1EAE"/>
    <w:rsid w:val="002F1ED2"/>
    <w:rsid w:val="002F2435"/>
    <w:rsid w:val="002F2474"/>
    <w:rsid w:val="002F2C78"/>
    <w:rsid w:val="002F35FD"/>
    <w:rsid w:val="002F38F3"/>
    <w:rsid w:val="002F3985"/>
    <w:rsid w:val="002F3CCD"/>
    <w:rsid w:val="002F3DAD"/>
    <w:rsid w:val="002F3E6A"/>
    <w:rsid w:val="002F4301"/>
    <w:rsid w:val="002F4384"/>
    <w:rsid w:val="002F447F"/>
    <w:rsid w:val="002F46F4"/>
    <w:rsid w:val="002F4DE5"/>
    <w:rsid w:val="002F50DA"/>
    <w:rsid w:val="002F5844"/>
    <w:rsid w:val="002F5B54"/>
    <w:rsid w:val="002F5F2E"/>
    <w:rsid w:val="002F6AC0"/>
    <w:rsid w:val="002F6CCB"/>
    <w:rsid w:val="002F6DF5"/>
    <w:rsid w:val="00300AF9"/>
    <w:rsid w:val="0030113C"/>
    <w:rsid w:val="00301547"/>
    <w:rsid w:val="00301E86"/>
    <w:rsid w:val="00301EE6"/>
    <w:rsid w:val="0030221C"/>
    <w:rsid w:val="0030227E"/>
    <w:rsid w:val="00304404"/>
    <w:rsid w:val="0030448F"/>
    <w:rsid w:val="003047D7"/>
    <w:rsid w:val="00304A46"/>
    <w:rsid w:val="00305018"/>
    <w:rsid w:val="0030526E"/>
    <w:rsid w:val="003054DE"/>
    <w:rsid w:val="00305820"/>
    <w:rsid w:val="0031076D"/>
    <w:rsid w:val="003109D3"/>
    <w:rsid w:val="003109D5"/>
    <w:rsid w:val="00310B68"/>
    <w:rsid w:val="00311438"/>
    <w:rsid w:val="00311BE7"/>
    <w:rsid w:val="0031290B"/>
    <w:rsid w:val="00312BD2"/>
    <w:rsid w:val="00312F8A"/>
    <w:rsid w:val="00313835"/>
    <w:rsid w:val="00313DE7"/>
    <w:rsid w:val="00314D2B"/>
    <w:rsid w:val="00316B0F"/>
    <w:rsid w:val="00316D19"/>
    <w:rsid w:val="00316DA1"/>
    <w:rsid w:val="00316FA1"/>
    <w:rsid w:val="00317712"/>
    <w:rsid w:val="003206D1"/>
    <w:rsid w:val="00320821"/>
    <w:rsid w:val="00320DB1"/>
    <w:rsid w:val="0032140B"/>
    <w:rsid w:val="003215BE"/>
    <w:rsid w:val="003217F9"/>
    <w:rsid w:val="003226A7"/>
    <w:rsid w:val="00322D79"/>
    <w:rsid w:val="00322EF5"/>
    <w:rsid w:val="00323519"/>
    <w:rsid w:val="00323915"/>
    <w:rsid w:val="00323ABD"/>
    <w:rsid w:val="00323ABF"/>
    <w:rsid w:val="00324180"/>
    <w:rsid w:val="00324B49"/>
    <w:rsid w:val="00324E28"/>
    <w:rsid w:val="00325527"/>
    <w:rsid w:val="003256FD"/>
    <w:rsid w:val="003259AB"/>
    <w:rsid w:val="0032649B"/>
    <w:rsid w:val="00326543"/>
    <w:rsid w:val="00326A19"/>
    <w:rsid w:val="00326D0B"/>
    <w:rsid w:val="003271C5"/>
    <w:rsid w:val="00327611"/>
    <w:rsid w:val="00330497"/>
    <w:rsid w:val="00330543"/>
    <w:rsid w:val="00330B28"/>
    <w:rsid w:val="00330BD3"/>
    <w:rsid w:val="00331263"/>
    <w:rsid w:val="00331DFE"/>
    <w:rsid w:val="00332159"/>
    <w:rsid w:val="003327D9"/>
    <w:rsid w:val="00332838"/>
    <w:rsid w:val="00333208"/>
    <w:rsid w:val="003336F7"/>
    <w:rsid w:val="00333789"/>
    <w:rsid w:val="003338E9"/>
    <w:rsid w:val="003374B0"/>
    <w:rsid w:val="003377A6"/>
    <w:rsid w:val="00337F1E"/>
    <w:rsid w:val="003405CD"/>
    <w:rsid w:val="003407A2"/>
    <w:rsid w:val="00340932"/>
    <w:rsid w:val="003409FF"/>
    <w:rsid w:val="00340B08"/>
    <w:rsid w:val="00340E12"/>
    <w:rsid w:val="00340FE3"/>
    <w:rsid w:val="003410B6"/>
    <w:rsid w:val="003411AB"/>
    <w:rsid w:val="00341BBB"/>
    <w:rsid w:val="003420D6"/>
    <w:rsid w:val="0034222A"/>
    <w:rsid w:val="00342652"/>
    <w:rsid w:val="00342BCC"/>
    <w:rsid w:val="00343819"/>
    <w:rsid w:val="00343A15"/>
    <w:rsid w:val="003440CA"/>
    <w:rsid w:val="00344134"/>
    <w:rsid w:val="0034448F"/>
    <w:rsid w:val="0034450D"/>
    <w:rsid w:val="003453D9"/>
    <w:rsid w:val="00345A9C"/>
    <w:rsid w:val="00346B73"/>
    <w:rsid w:val="00346C66"/>
    <w:rsid w:val="00347354"/>
    <w:rsid w:val="0034752E"/>
    <w:rsid w:val="00347EAC"/>
    <w:rsid w:val="00350E32"/>
    <w:rsid w:val="00351558"/>
    <w:rsid w:val="0035177E"/>
    <w:rsid w:val="00351869"/>
    <w:rsid w:val="00351C1D"/>
    <w:rsid w:val="00351DF1"/>
    <w:rsid w:val="0035202A"/>
    <w:rsid w:val="00352062"/>
    <w:rsid w:val="003523BC"/>
    <w:rsid w:val="003525C9"/>
    <w:rsid w:val="003526EC"/>
    <w:rsid w:val="00352EF9"/>
    <w:rsid w:val="003534D2"/>
    <w:rsid w:val="0035377C"/>
    <w:rsid w:val="00353DDB"/>
    <w:rsid w:val="00354044"/>
    <w:rsid w:val="003543D0"/>
    <w:rsid w:val="003545CA"/>
    <w:rsid w:val="00354746"/>
    <w:rsid w:val="0035484E"/>
    <w:rsid w:val="00355131"/>
    <w:rsid w:val="003552F2"/>
    <w:rsid w:val="0035570D"/>
    <w:rsid w:val="00356100"/>
    <w:rsid w:val="0035634F"/>
    <w:rsid w:val="003566FE"/>
    <w:rsid w:val="00356ED8"/>
    <w:rsid w:val="00357929"/>
    <w:rsid w:val="00357B25"/>
    <w:rsid w:val="00357DEF"/>
    <w:rsid w:val="0036122F"/>
    <w:rsid w:val="003614B4"/>
    <w:rsid w:val="003621FE"/>
    <w:rsid w:val="00362373"/>
    <w:rsid w:val="00362876"/>
    <w:rsid w:val="003633F2"/>
    <w:rsid w:val="00363597"/>
    <w:rsid w:val="00363A3E"/>
    <w:rsid w:val="00366156"/>
    <w:rsid w:val="00367633"/>
    <w:rsid w:val="00367EFB"/>
    <w:rsid w:val="00370998"/>
    <w:rsid w:val="00370C4B"/>
    <w:rsid w:val="00371041"/>
    <w:rsid w:val="00371A0B"/>
    <w:rsid w:val="00371E0E"/>
    <w:rsid w:val="00371F04"/>
    <w:rsid w:val="00372610"/>
    <w:rsid w:val="003728B8"/>
    <w:rsid w:val="003728FE"/>
    <w:rsid w:val="00372AB5"/>
    <w:rsid w:val="00372B29"/>
    <w:rsid w:val="003731BF"/>
    <w:rsid w:val="00373625"/>
    <w:rsid w:val="00373A69"/>
    <w:rsid w:val="0037412A"/>
    <w:rsid w:val="00374432"/>
    <w:rsid w:val="00374805"/>
    <w:rsid w:val="00374944"/>
    <w:rsid w:val="00374B12"/>
    <w:rsid w:val="00374F9B"/>
    <w:rsid w:val="0037536F"/>
    <w:rsid w:val="0037567A"/>
    <w:rsid w:val="00375A76"/>
    <w:rsid w:val="00375D54"/>
    <w:rsid w:val="00375DC2"/>
    <w:rsid w:val="0037607E"/>
    <w:rsid w:val="00376288"/>
    <w:rsid w:val="00376A05"/>
    <w:rsid w:val="00376E9C"/>
    <w:rsid w:val="0037710D"/>
    <w:rsid w:val="0037759E"/>
    <w:rsid w:val="00377F3A"/>
    <w:rsid w:val="00377FCC"/>
    <w:rsid w:val="0038085F"/>
    <w:rsid w:val="00380CA3"/>
    <w:rsid w:val="00381F72"/>
    <w:rsid w:val="003835D4"/>
    <w:rsid w:val="00383AFB"/>
    <w:rsid w:val="00383BF1"/>
    <w:rsid w:val="00383D27"/>
    <w:rsid w:val="00383DC3"/>
    <w:rsid w:val="0038418E"/>
    <w:rsid w:val="003848E2"/>
    <w:rsid w:val="00384BE5"/>
    <w:rsid w:val="00384F17"/>
    <w:rsid w:val="00385C2A"/>
    <w:rsid w:val="00385FB1"/>
    <w:rsid w:val="00386037"/>
    <w:rsid w:val="003869C5"/>
    <w:rsid w:val="00386E37"/>
    <w:rsid w:val="00387540"/>
    <w:rsid w:val="00387911"/>
    <w:rsid w:val="003879B2"/>
    <w:rsid w:val="00387E72"/>
    <w:rsid w:val="0039072F"/>
    <w:rsid w:val="003907F2"/>
    <w:rsid w:val="00390AA1"/>
    <w:rsid w:val="00390F87"/>
    <w:rsid w:val="00391123"/>
    <w:rsid w:val="00391583"/>
    <w:rsid w:val="00391623"/>
    <w:rsid w:val="0039231E"/>
    <w:rsid w:val="0039269D"/>
    <w:rsid w:val="00393659"/>
    <w:rsid w:val="00394192"/>
    <w:rsid w:val="003941C8"/>
    <w:rsid w:val="003956C9"/>
    <w:rsid w:val="003968BC"/>
    <w:rsid w:val="00396B36"/>
    <w:rsid w:val="00397822"/>
    <w:rsid w:val="00397DA3"/>
    <w:rsid w:val="003A0C28"/>
    <w:rsid w:val="003A1059"/>
    <w:rsid w:val="003A14DE"/>
    <w:rsid w:val="003A19E0"/>
    <w:rsid w:val="003A2845"/>
    <w:rsid w:val="003A2AA4"/>
    <w:rsid w:val="003A31C2"/>
    <w:rsid w:val="003A357F"/>
    <w:rsid w:val="003A42F0"/>
    <w:rsid w:val="003A4740"/>
    <w:rsid w:val="003A4BEB"/>
    <w:rsid w:val="003A57D9"/>
    <w:rsid w:val="003A668D"/>
    <w:rsid w:val="003A6B4A"/>
    <w:rsid w:val="003A722C"/>
    <w:rsid w:val="003A767B"/>
    <w:rsid w:val="003B00D6"/>
    <w:rsid w:val="003B0673"/>
    <w:rsid w:val="003B0F22"/>
    <w:rsid w:val="003B12D1"/>
    <w:rsid w:val="003B153F"/>
    <w:rsid w:val="003B1869"/>
    <w:rsid w:val="003B204D"/>
    <w:rsid w:val="003B34A3"/>
    <w:rsid w:val="003B35B0"/>
    <w:rsid w:val="003B3850"/>
    <w:rsid w:val="003B391B"/>
    <w:rsid w:val="003B3BF2"/>
    <w:rsid w:val="003B3D9E"/>
    <w:rsid w:val="003B48C8"/>
    <w:rsid w:val="003B4BB5"/>
    <w:rsid w:val="003B4E66"/>
    <w:rsid w:val="003B4FB3"/>
    <w:rsid w:val="003B52C3"/>
    <w:rsid w:val="003B66FA"/>
    <w:rsid w:val="003B6C20"/>
    <w:rsid w:val="003B6F75"/>
    <w:rsid w:val="003B7184"/>
    <w:rsid w:val="003B7514"/>
    <w:rsid w:val="003B7DC3"/>
    <w:rsid w:val="003C0255"/>
    <w:rsid w:val="003C037C"/>
    <w:rsid w:val="003C076F"/>
    <w:rsid w:val="003C095F"/>
    <w:rsid w:val="003C0CC5"/>
    <w:rsid w:val="003C0FDB"/>
    <w:rsid w:val="003C109D"/>
    <w:rsid w:val="003C17CF"/>
    <w:rsid w:val="003C1854"/>
    <w:rsid w:val="003C1D8E"/>
    <w:rsid w:val="003C239D"/>
    <w:rsid w:val="003C3041"/>
    <w:rsid w:val="003C3B80"/>
    <w:rsid w:val="003C422D"/>
    <w:rsid w:val="003C474A"/>
    <w:rsid w:val="003C4E18"/>
    <w:rsid w:val="003C4F9F"/>
    <w:rsid w:val="003C50EC"/>
    <w:rsid w:val="003C60F1"/>
    <w:rsid w:val="003C6AFF"/>
    <w:rsid w:val="003C744B"/>
    <w:rsid w:val="003C7748"/>
    <w:rsid w:val="003C77F3"/>
    <w:rsid w:val="003C78A3"/>
    <w:rsid w:val="003C7E35"/>
    <w:rsid w:val="003D0891"/>
    <w:rsid w:val="003D0975"/>
    <w:rsid w:val="003D0E00"/>
    <w:rsid w:val="003D1116"/>
    <w:rsid w:val="003D12B1"/>
    <w:rsid w:val="003D1B38"/>
    <w:rsid w:val="003D269A"/>
    <w:rsid w:val="003D2D79"/>
    <w:rsid w:val="003D3383"/>
    <w:rsid w:val="003D45C4"/>
    <w:rsid w:val="003D4694"/>
    <w:rsid w:val="003D562B"/>
    <w:rsid w:val="003D6456"/>
    <w:rsid w:val="003D73C7"/>
    <w:rsid w:val="003D79A6"/>
    <w:rsid w:val="003D7A06"/>
    <w:rsid w:val="003D7A27"/>
    <w:rsid w:val="003D7EBA"/>
    <w:rsid w:val="003E01C7"/>
    <w:rsid w:val="003E04E3"/>
    <w:rsid w:val="003E053C"/>
    <w:rsid w:val="003E06D5"/>
    <w:rsid w:val="003E0AE8"/>
    <w:rsid w:val="003E0B62"/>
    <w:rsid w:val="003E0F5E"/>
    <w:rsid w:val="003E1F35"/>
    <w:rsid w:val="003E23C1"/>
    <w:rsid w:val="003E26F5"/>
    <w:rsid w:val="003E2850"/>
    <w:rsid w:val="003E2C30"/>
    <w:rsid w:val="003E2E80"/>
    <w:rsid w:val="003E36A0"/>
    <w:rsid w:val="003E374E"/>
    <w:rsid w:val="003E3F60"/>
    <w:rsid w:val="003E4566"/>
    <w:rsid w:val="003E4920"/>
    <w:rsid w:val="003E49AC"/>
    <w:rsid w:val="003E4B2E"/>
    <w:rsid w:val="003E5118"/>
    <w:rsid w:val="003E5BE9"/>
    <w:rsid w:val="003E6021"/>
    <w:rsid w:val="003E6303"/>
    <w:rsid w:val="003E6ABA"/>
    <w:rsid w:val="003E6BA6"/>
    <w:rsid w:val="003E7AD9"/>
    <w:rsid w:val="003E7FA3"/>
    <w:rsid w:val="003F00B1"/>
    <w:rsid w:val="003F0621"/>
    <w:rsid w:val="003F08B0"/>
    <w:rsid w:val="003F1F49"/>
    <w:rsid w:val="003F2363"/>
    <w:rsid w:val="003F24C0"/>
    <w:rsid w:val="003F2AFA"/>
    <w:rsid w:val="003F2F53"/>
    <w:rsid w:val="003F319F"/>
    <w:rsid w:val="003F4DC2"/>
    <w:rsid w:val="003F4EB7"/>
    <w:rsid w:val="003F4F80"/>
    <w:rsid w:val="003F5389"/>
    <w:rsid w:val="003F558C"/>
    <w:rsid w:val="003F561A"/>
    <w:rsid w:val="003F574A"/>
    <w:rsid w:val="003F59BD"/>
    <w:rsid w:val="003F59C8"/>
    <w:rsid w:val="003F6049"/>
    <w:rsid w:val="003F6388"/>
    <w:rsid w:val="003F63F4"/>
    <w:rsid w:val="003F6895"/>
    <w:rsid w:val="003F7D0D"/>
    <w:rsid w:val="003F7DA0"/>
    <w:rsid w:val="003F7FF1"/>
    <w:rsid w:val="004007FC"/>
    <w:rsid w:val="00400D7E"/>
    <w:rsid w:val="0040228E"/>
    <w:rsid w:val="0040248E"/>
    <w:rsid w:val="00402748"/>
    <w:rsid w:val="004029A4"/>
    <w:rsid w:val="0040325D"/>
    <w:rsid w:val="00404693"/>
    <w:rsid w:val="00405084"/>
    <w:rsid w:val="004054B8"/>
    <w:rsid w:val="00405D1F"/>
    <w:rsid w:val="0040653D"/>
    <w:rsid w:val="00406651"/>
    <w:rsid w:val="00406E97"/>
    <w:rsid w:val="0040705D"/>
    <w:rsid w:val="004071A4"/>
    <w:rsid w:val="00407FCE"/>
    <w:rsid w:val="00410C38"/>
    <w:rsid w:val="00410F62"/>
    <w:rsid w:val="0041142D"/>
    <w:rsid w:val="00411504"/>
    <w:rsid w:val="004117A1"/>
    <w:rsid w:val="00412000"/>
    <w:rsid w:val="004120A6"/>
    <w:rsid w:val="004124C5"/>
    <w:rsid w:val="00412983"/>
    <w:rsid w:val="0041381E"/>
    <w:rsid w:val="00413944"/>
    <w:rsid w:val="00413B14"/>
    <w:rsid w:val="00413FBC"/>
    <w:rsid w:val="00414021"/>
    <w:rsid w:val="00414049"/>
    <w:rsid w:val="00414E2F"/>
    <w:rsid w:val="00414EFF"/>
    <w:rsid w:val="00415210"/>
    <w:rsid w:val="00415557"/>
    <w:rsid w:val="00415DFF"/>
    <w:rsid w:val="0041634C"/>
    <w:rsid w:val="00416DE3"/>
    <w:rsid w:val="004170D1"/>
    <w:rsid w:val="004171BF"/>
    <w:rsid w:val="00417B80"/>
    <w:rsid w:val="00417D07"/>
    <w:rsid w:val="00420155"/>
    <w:rsid w:val="004201E5"/>
    <w:rsid w:val="004203AA"/>
    <w:rsid w:val="00420890"/>
    <w:rsid w:val="00420B6E"/>
    <w:rsid w:val="00420FDF"/>
    <w:rsid w:val="00421075"/>
    <w:rsid w:val="00421C94"/>
    <w:rsid w:val="00422416"/>
    <w:rsid w:val="00422D94"/>
    <w:rsid w:val="004236DD"/>
    <w:rsid w:val="00423BBE"/>
    <w:rsid w:val="00423CC4"/>
    <w:rsid w:val="00423F82"/>
    <w:rsid w:val="00424047"/>
    <w:rsid w:val="00424373"/>
    <w:rsid w:val="00424709"/>
    <w:rsid w:val="004248F6"/>
    <w:rsid w:val="00424AD9"/>
    <w:rsid w:val="00424E09"/>
    <w:rsid w:val="00425380"/>
    <w:rsid w:val="0042761A"/>
    <w:rsid w:val="00430730"/>
    <w:rsid w:val="00430A0F"/>
    <w:rsid w:val="00430CEB"/>
    <w:rsid w:val="00430DA0"/>
    <w:rsid w:val="00431347"/>
    <w:rsid w:val="00431C94"/>
    <w:rsid w:val="004327EC"/>
    <w:rsid w:val="00432A20"/>
    <w:rsid w:val="0043301C"/>
    <w:rsid w:val="004337A3"/>
    <w:rsid w:val="00433DE8"/>
    <w:rsid w:val="0043440B"/>
    <w:rsid w:val="00434FBF"/>
    <w:rsid w:val="00435695"/>
    <w:rsid w:val="004359AE"/>
    <w:rsid w:val="004364FA"/>
    <w:rsid w:val="00437E4F"/>
    <w:rsid w:val="004404D8"/>
    <w:rsid w:val="004405A2"/>
    <w:rsid w:val="00440717"/>
    <w:rsid w:val="0044123D"/>
    <w:rsid w:val="0044177B"/>
    <w:rsid w:val="00441F9C"/>
    <w:rsid w:val="004420B2"/>
    <w:rsid w:val="0044270A"/>
    <w:rsid w:val="0044277F"/>
    <w:rsid w:val="00442CD0"/>
    <w:rsid w:val="00442E6E"/>
    <w:rsid w:val="004432A1"/>
    <w:rsid w:val="0044376F"/>
    <w:rsid w:val="00443A70"/>
    <w:rsid w:val="00443D04"/>
    <w:rsid w:val="004441CD"/>
    <w:rsid w:val="004443FE"/>
    <w:rsid w:val="00445796"/>
    <w:rsid w:val="00445ECD"/>
    <w:rsid w:val="0044658D"/>
    <w:rsid w:val="004465CD"/>
    <w:rsid w:val="00446B9B"/>
    <w:rsid w:val="00447646"/>
    <w:rsid w:val="00447942"/>
    <w:rsid w:val="004506AE"/>
    <w:rsid w:val="00450788"/>
    <w:rsid w:val="00450DC1"/>
    <w:rsid w:val="004511E7"/>
    <w:rsid w:val="004518BC"/>
    <w:rsid w:val="00452447"/>
    <w:rsid w:val="00453014"/>
    <w:rsid w:val="004530BD"/>
    <w:rsid w:val="00453658"/>
    <w:rsid w:val="00453CA2"/>
    <w:rsid w:val="0045404F"/>
    <w:rsid w:val="0045493C"/>
    <w:rsid w:val="00455283"/>
    <w:rsid w:val="00455365"/>
    <w:rsid w:val="0045545F"/>
    <w:rsid w:val="004559EC"/>
    <w:rsid w:val="00455B6F"/>
    <w:rsid w:val="00455CE9"/>
    <w:rsid w:val="00456070"/>
    <w:rsid w:val="0045618F"/>
    <w:rsid w:val="00456BB7"/>
    <w:rsid w:val="00456E1C"/>
    <w:rsid w:val="00456F06"/>
    <w:rsid w:val="0045719A"/>
    <w:rsid w:val="00457644"/>
    <w:rsid w:val="00460007"/>
    <w:rsid w:val="00460C0D"/>
    <w:rsid w:val="00460F22"/>
    <w:rsid w:val="00460F5D"/>
    <w:rsid w:val="004624F6"/>
    <w:rsid w:val="0046251D"/>
    <w:rsid w:val="00462E4B"/>
    <w:rsid w:val="0046353B"/>
    <w:rsid w:val="00463E39"/>
    <w:rsid w:val="00464701"/>
    <w:rsid w:val="00464823"/>
    <w:rsid w:val="00464B10"/>
    <w:rsid w:val="00464EEC"/>
    <w:rsid w:val="00465D99"/>
    <w:rsid w:val="00465E04"/>
    <w:rsid w:val="0046669B"/>
    <w:rsid w:val="0046677C"/>
    <w:rsid w:val="00467126"/>
    <w:rsid w:val="00471144"/>
    <w:rsid w:val="00471740"/>
    <w:rsid w:val="00471AA2"/>
    <w:rsid w:val="00471F4E"/>
    <w:rsid w:val="00472694"/>
    <w:rsid w:val="00473517"/>
    <w:rsid w:val="00473654"/>
    <w:rsid w:val="00473BCF"/>
    <w:rsid w:val="00474259"/>
    <w:rsid w:val="00474B34"/>
    <w:rsid w:val="00474F99"/>
    <w:rsid w:val="0047526D"/>
    <w:rsid w:val="004757C2"/>
    <w:rsid w:val="004758D0"/>
    <w:rsid w:val="00475CAB"/>
    <w:rsid w:val="00476C52"/>
    <w:rsid w:val="00481553"/>
    <w:rsid w:val="00481EAF"/>
    <w:rsid w:val="0048235C"/>
    <w:rsid w:val="00483235"/>
    <w:rsid w:val="0048537C"/>
    <w:rsid w:val="00485679"/>
    <w:rsid w:val="004859DD"/>
    <w:rsid w:val="00486017"/>
    <w:rsid w:val="00486080"/>
    <w:rsid w:val="004864F6"/>
    <w:rsid w:val="00486D97"/>
    <w:rsid w:val="004871C2"/>
    <w:rsid w:val="004879C9"/>
    <w:rsid w:val="00491F55"/>
    <w:rsid w:val="00492A18"/>
    <w:rsid w:val="00492BE1"/>
    <w:rsid w:val="00492C63"/>
    <w:rsid w:val="004932DC"/>
    <w:rsid w:val="00493357"/>
    <w:rsid w:val="00493730"/>
    <w:rsid w:val="00493987"/>
    <w:rsid w:val="00493C16"/>
    <w:rsid w:val="00493C58"/>
    <w:rsid w:val="004940E2"/>
    <w:rsid w:val="004944DC"/>
    <w:rsid w:val="00494ACB"/>
    <w:rsid w:val="00494F1D"/>
    <w:rsid w:val="00495441"/>
    <w:rsid w:val="00495F16"/>
    <w:rsid w:val="00496448"/>
    <w:rsid w:val="004969C4"/>
    <w:rsid w:val="00496BA8"/>
    <w:rsid w:val="00496D95"/>
    <w:rsid w:val="00496F82"/>
    <w:rsid w:val="00497708"/>
    <w:rsid w:val="00497992"/>
    <w:rsid w:val="004979F3"/>
    <w:rsid w:val="00497B2B"/>
    <w:rsid w:val="00497F03"/>
    <w:rsid w:val="004A0A58"/>
    <w:rsid w:val="004A0B8B"/>
    <w:rsid w:val="004A0C91"/>
    <w:rsid w:val="004A1081"/>
    <w:rsid w:val="004A1511"/>
    <w:rsid w:val="004A1969"/>
    <w:rsid w:val="004A1B47"/>
    <w:rsid w:val="004A227D"/>
    <w:rsid w:val="004A2AD7"/>
    <w:rsid w:val="004A3C46"/>
    <w:rsid w:val="004A42BB"/>
    <w:rsid w:val="004A4327"/>
    <w:rsid w:val="004A47EA"/>
    <w:rsid w:val="004A4A8C"/>
    <w:rsid w:val="004A5138"/>
    <w:rsid w:val="004A5311"/>
    <w:rsid w:val="004A5967"/>
    <w:rsid w:val="004A5FFD"/>
    <w:rsid w:val="004A6B71"/>
    <w:rsid w:val="004A77FA"/>
    <w:rsid w:val="004A78D4"/>
    <w:rsid w:val="004A79CF"/>
    <w:rsid w:val="004A7C16"/>
    <w:rsid w:val="004B0933"/>
    <w:rsid w:val="004B098F"/>
    <w:rsid w:val="004B09EC"/>
    <w:rsid w:val="004B1279"/>
    <w:rsid w:val="004B15AC"/>
    <w:rsid w:val="004B1627"/>
    <w:rsid w:val="004B22ED"/>
    <w:rsid w:val="004B29C7"/>
    <w:rsid w:val="004B2A88"/>
    <w:rsid w:val="004B3789"/>
    <w:rsid w:val="004B37EB"/>
    <w:rsid w:val="004B3AB6"/>
    <w:rsid w:val="004B400B"/>
    <w:rsid w:val="004B43A1"/>
    <w:rsid w:val="004B4910"/>
    <w:rsid w:val="004B50F0"/>
    <w:rsid w:val="004B57AB"/>
    <w:rsid w:val="004B5DD0"/>
    <w:rsid w:val="004B5E99"/>
    <w:rsid w:val="004B61A3"/>
    <w:rsid w:val="004B62F7"/>
    <w:rsid w:val="004B6653"/>
    <w:rsid w:val="004B6B20"/>
    <w:rsid w:val="004B70CC"/>
    <w:rsid w:val="004B73A8"/>
    <w:rsid w:val="004B76F2"/>
    <w:rsid w:val="004B7967"/>
    <w:rsid w:val="004B7A71"/>
    <w:rsid w:val="004B7BA6"/>
    <w:rsid w:val="004C0154"/>
    <w:rsid w:val="004C01B2"/>
    <w:rsid w:val="004C0D6F"/>
    <w:rsid w:val="004C0E43"/>
    <w:rsid w:val="004C12F4"/>
    <w:rsid w:val="004C1C33"/>
    <w:rsid w:val="004C272B"/>
    <w:rsid w:val="004C27FE"/>
    <w:rsid w:val="004C3A3D"/>
    <w:rsid w:val="004C3DAF"/>
    <w:rsid w:val="004C3EF8"/>
    <w:rsid w:val="004C4153"/>
    <w:rsid w:val="004C48C7"/>
    <w:rsid w:val="004C4EB0"/>
    <w:rsid w:val="004C5746"/>
    <w:rsid w:val="004C5DEA"/>
    <w:rsid w:val="004C5F0C"/>
    <w:rsid w:val="004C6391"/>
    <w:rsid w:val="004C6438"/>
    <w:rsid w:val="004C6892"/>
    <w:rsid w:val="004C6C83"/>
    <w:rsid w:val="004C6E8F"/>
    <w:rsid w:val="004C7194"/>
    <w:rsid w:val="004C728D"/>
    <w:rsid w:val="004C7B73"/>
    <w:rsid w:val="004C7E82"/>
    <w:rsid w:val="004D054D"/>
    <w:rsid w:val="004D0EB4"/>
    <w:rsid w:val="004D10DB"/>
    <w:rsid w:val="004D143E"/>
    <w:rsid w:val="004D159A"/>
    <w:rsid w:val="004D2CDA"/>
    <w:rsid w:val="004D2D0C"/>
    <w:rsid w:val="004D31EB"/>
    <w:rsid w:val="004D3EFD"/>
    <w:rsid w:val="004D52C7"/>
    <w:rsid w:val="004D5795"/>
    <w:rsid w:val="004D5B34"/>
    <w:rsid w:val="004D60E9"/>
    <w:rsid w:val="004D649D"/>
    <w:rsid w:val="004D7017"/>
    <w:rsid w:val="004D72C8"/>
    <w:rsid w:val="004D73AD"/>
    <w:rsid w:val="004D779D"/>
    <w:rsid w:val="004E10E7"/>
    <w:rsid w:val="004E166F"/>
    <w:rsid w:val="004E17FD"/>
    <w:rsid w:val="004E3461"/>
    <w:rsid w:val="004E3A29"/>
    <w:rsid w:val="004E3C25"/>
    <w:rsid w:val="004E4C65"/>
    <w:rsid w:val="004E4E84"/>
    <w:rsid w:val="004E5304"/>
    <w:rsid w:val="004E586D"/>
    <w:rsid w:val="004E5A82"/>
    <w:rsid w:val="004E5AA0"/>
    <w:rsid w:val="004E5E64"/>
    <w:rsid w:val="004E6173"/>
    <w:rsid w:val="004E6211"/>
    <w:rsid w:val="004E640E"/>
    <w:rsid w:val="004E749A"/>
    <w:rsid w:val="004E7660"/>
    <w:rsid w:val="004E76C5"/>
    <w:rsid w:val="004F05EB"/>
    <w:rsid w:val="004F1733"/>
    <w:rsid w:val="004F194C"/>
    <w:rsid w:val="004F1ED7"/>
    <w:rsid w:val="004F1ED8"/>
    <w:rsid w:val="004F1FEA"/>
    <w:rsid w:val="004F306E"/>
    <w:rsid w:val="004F3900"/>
    <w:rsid w:val="004F3F51"/>
    <w:rsid w:val="004F47ED"/>
    <w:rsid w:val="004F5407"/>
    <w:rsid w:val="004F59FD"/>
    <w:rsid w:val="004F6121"/>
    <w:rsid w:val="004F73BA"/>
    <w:rsid w:val="004F7566"/>
    <w:rsid w:val="004F7750"/>
    <w:rsid w:val="005000EB"/>
    <w:rsid w:val="0050065A"/>
    <w:rsid w:val="005008E1"/>
    <w:rsid w:val="00500A40"/>
    <w:rsid w:val="00500DFF"/>
    <w:rsid w:val="00500ECF"/>
    <w:rsid w:val="005014C0"/>
    <w:rsid w:val="005019ED"/>
    <w:rsid w:val="005019FB"/>
    <w:rsid w:val="005021ED"/>
    <w:rsid w:val="00502CC2"/>
    <w:rsid w:val="00502E79"/>
    <w:rsid w:val="00502F65"/>
    <w:rsid w:val="005035C5"/>
    <w:rsid w:val="0050369C"/>
    <w:rsid w:val="0050393B"/>
    <w:rsid w:val="00503A1E"/>
    <w:rsid w:val="005046EA"/>
    <w:rsid w:val="00504F13"/>
    <w:rsid w:val="005058F4"/>
    <w:rsid w:val="00505EF9"/>
    <w:rsid w:val="00507056"/>
    <w:rsid w:val="0050710A"/>
    <w:rsid w:val="00507F17"/>
    <w:rsid w:val="005100BF"/>
    <w:rsid w:val="005106B8"/>
    <w:rsid w:val="00510855"/>
    <w:rsid w:val="00511C67"/>
    <w:rsid w:val="00511FAB"/>
    <w:rsid w:val="00512249"/>
    <w:rsid w:val="00513B63"/>
    <w:rsid w:val="0051405A"/>
    <w:rsid w:val="005140CF"/>
    <w:rsid w:val="00514EC2"/>
    <w:rsid w:val="00515262"/>
    <w:rsid w:val="00515C94"/>
    <w:rsid w:val="00515F49"/>
    <w:rsid w:val="00515F76"/>
    <w:rsid w:val="00516BC1"/>
    <w:rsid w:val="0051730B"/>
    <w:rsid w:val="0051734F"/>
    <w:rsid w:val="005178A7"/>
    <w:rsid w:val="00517EB0"/>
    <w:rsid w:val="00517FDE"/>
    <w:rsid w:val="005203AF"/>
    <w:rsid w:val="00520618"/>
    <w:rsid w:val="00521931"/>
    <w:rsid w:val="00522A97"/>
    <w:rsid w:val="00522DEF"/>
    <w:rsid w:val="0052328F"/>
    <w:rsid w:val="005241F9"/>
    <w:rsid w:val="005242B7"/>
    <w:rsid w:val="00524D38"/>
    <w:rsid w:val="00525476"/>
    <w:rsid w:val="00525603"/>
    <w:rsid w:val="00525C71"/>
    <w:rsid w:val="00525E80"/>
    <w:rsid w:val="00525EBE"/>
    <w:rsid w:val="0052610B"/>
    <w:rsid w:val="00526A71"/>
    <w:rsid w:val="00527205"/>
    <w:rsid w:val="005273E8"/>
    <w:rsid w:val="00527767"/>
    <w:rsid w:val="005305CB"/>
    <w:rsid w:val="0053079A"/>
    <w:rsid w:val="005307BA"/>
    <w:rsid w:val="00530914"/>
    <w:rsid w:val="00530A46"/>
    <w:rsid w:val="00530B6D"/>
    <w:rsid w:val="00531AAA"/>
    <w:rsid w:val="00531ED4"/>
    <w:rsid w:val="00532040"/>
    <w:rsid w:val="005328A3"/>
    <w:rsid w:val="00534155"/>
    <w:rsid w:val="00534577"/>
    <w:rsid w:val="0053564A"/>
    <w:rsid w:val="00535DEA"/>
    <w:rsid w:val="005364C6"/>
    <w:rsid w:val="005365B4"/>
    <w:rsid w:val="00536738"/>
    <w:rsid w:val="0053740A"/>
    <w:rsid w:val="005401FE"/>
    <w:rsid w:val="00540C78"/>
    <w:rsid w:val="0054196B"/>
    <w:rsid w:val="00541BBC"/>
    <w:rsid w:val="00542168"/>
    <w:rsid w:val="00543029"/>
    <w:rsid w:val="0054358A"/>
    <w:rsid w:val="0054375C"/>
    <w:rsid w:val="0054388F"/>
    <w:rsid w:val="00543CE6"/>
    <w:rsid w:val="00543EF2"/>
    <w:rsid w:val="0054522B"/>
    <w:rsid w:val="005461F4"/>
    <w:rsid w:val="005470B1"/>
    <w:rsid w:val="00547DA3"/>
    <w:rsid w:val="0055063E"/>
    <w:rsid w:val="005506CA"/>
    <w:rsid w:val="00550C19"/>
    <w:rsid w:val="00550FAB"/>
    <w:rsid w:val="005510E4"/>
    <w:rsid w:val="00551164"/>
    <w:rsid w:val="0055126D"/>
    <w:rsid w:val="005524A0"/>
    <w:rsid w:val="005524F5"/>
    <w:rsid w:val="00552542"/>
    <w:rsid w:val="0055259F"/>
    <w:rsid w:val="005529BE"/>
    <w:rsid w:val="00552A8D"/>
    <w:rsid w:val="005537FE"/>
    <w:rsid w:val="00553DC0"/>
    <w:rsid w:val="005540BF"/>
    <w:rsid w:val="005547E3"/>
    <w:rsid w:val="00554FD5"/>
    <w:rsid w:val="005551A2"/>
    <w:rsid w:val="00555393"/>
    <w:rsid w:val="0055579F"/>
    <w:rsid w:val="00555FF8"/>
    <w:rsid w:val="00556443"/>
    <w:rsid w:val="0055675D"/>
    <w:rsid w:val="00556F16"/>
    <w:rsid w:val="00557253"/>
    <w:rsid w:val="005572C2"/>
    <w:rsid w:val="00557CDB"/>
    <w:rsid w:val="0056019E"/>
    <w:rsid w:val="0056086A"/>
    <w:rsid w:val="00561376"/>
    <w:rsid w:val="005615A5"/>
    <w:rsid w:val="0056269A"/>
    <w:rsid w:val="0056280F"/>
    <w:rsid w:val="00563E59"/>
    <w:rsid w:val="00564912"/>
    <w:rsid w:val="00564B02"/>
    <w:rsid w:val="00564F2E"/>
    <w:rsid w:val="005655C0"/>
    <w:rsid w:val="005656E8"/>
    <w:rsid w:val="00565A9C"/>
    <w:rsid w:val="00565B27"/>
    <w:rsid w:val="00565BBE"/>
    <w:rsid w:val="005675DF"/>
    <w:rsid w:val="00567927"/>
    <w:rsid w:val="00567B21"/>
    <w:rsid w:val="0057053B"/>
    <w:rsid w:val="0057082B"/>
    <w:rsid w:val="00570B37"/>
    <w:rsid w:val="0057107B"/>
    <w:rsid w:val="005715B4"/>
    <w:rsid w:val="0057162C"/>
    <w:rsid w:val="0057209C"/>
    <w:rsid w:val="005723B0"/>
    <w:rsid w:val="00572A8B"/>
    <w:rsid w:val="00572B6C"/>
    <w:rsid w:val="00574722"/>
    <w:rsid w:val="00574AF8"/>
    <w:rsid w:val="00575173"/>
    <w:rsid w:val="005751D5"/>
    <w:rsid w:val="005759D1"/>
    <w:rsid w:val="00576149"/>
    <w:rsid w:val="00576636"/>
    <w:rsid w:val="00576CB2"/>
    <w:rsid w:val="0057732D"/>
    <w:rsid w:val="005775D8"/>
    <w:rsid w:val="00577A25"/>
    <w:rsid w:val="005804F4"/>
    <w:rsid w:val="00580970"/>
    <w:rsid w:val="005809E8"/>
    <w:rsid w:val="0058100A"/>
    <w:rsid w:val="0058128B"/>
    <w:rsid w:val="00581442"/>
    <w:rsid w:val="0058146C"/>
    <w:rsid w:val="005815E6"/>
    <w:rsid w:val="005826C9"/>
    <w:rsid w:val="00582AE7"/>
    <w:rsid w:val="00582B46"/>
    <w:rsid w:val="00583022"/>
    <w:rsid w:val="00584BFD"/>
    <w:rsid w:val="00584EA3"/>
    <w:rsid w:val="00585126"/>
    <w:rsid w:val="0058557B"/>
    <w:rsid w:val="00585B83"/>
    <w:rsid w:val="00585C00"/>
    <w:rsid w:val="005868BB"/>
    <w:rsid w:val="00586AD4"/>
    <w:rsid w:val="00586C7E"/>
    <w:rsid w:val="00587C3B"/>
    <w:rsid w:val="00587C53"/>
    <w:rsid w:val="0059001E"/>
    <w:rsid w:val="00590C99"/>
    <w:rsid w:val="0059261E"/>
    <w:rsid w:val="005929FD"/>
    <w:rsid w:val="00593B5A"/>
    <w:rsid w:val="00593F19"/>
    <w:rsid w:val="00593F2F"/>
    <w:rsid w:val="00594F0A"/>
    <w:rsid w:val="00595115"/>
    <w:rsid w:val="005952AE"/>
    <w:rsid w:val="0059596A"/>
    <w:rsid w:val="00595DA7"/>
    <w:rsid w:val="00596235"/>
    <w:rsid w:val="00596D7C"/>
    <w:rsid w:val="00596F25"/>
    <w:rsid w:val="00596FD4"/>
    <w:rsid w:val="00597522"/>
    <w:rsid w:val="00597C4D"/>
    <w:rsid w:val="005A0173"/>
    <w:rsid w:val="005A0393"/>
    <w:rsid w:val="005A0F3B"/>
    <w:rsid w:val="005A0F59"/>
    <w:rsid w:val="005A16C6"/>
    <w:rsid w:val="005A18F0"/>
    <w:rsid w:val="005A1938"/>
    <w:rsid w:val="005A20A2"/>
    <w:rsid w:val="005A21B2"/>
    <w:rsid w:val="005A21D0"/>
    <w:rsid w:val="005A23C3"/>
    <w:rsid w:val="005A27A4"/>
    <w:rsid w:val="005A28D4"/>
    <w:rsid w:val="005A2E5D"/>
    <w:rsid w:val="005A2F0A"/>
    <w:rsid w:val="005A4578"/>
    <w:rsid w:val="005A4A95"/>
    <w:rsid w:val="005A64C3"/>
    <w:rsid w:val="005A6727"/>
    <w:rsid w:val="005A741F"/>
    <w:rsid w:val="005A75F1"/>
    <w:rsid w:val="005A7B5C"/>
    <w:rsid w:val="005A7D28"/>
    <w:rsid w:val="005B067F"/>
    <w:rsid w:val="005B0D2B"/>
    <w:rsid w:val="005B11E4"/>
    <w:rsid w:val="005B2040"/>
    <w:rsid w:val="005B240D"/>
    <w:rsid w:val="005B2883"/>
    <w:rsid w:val="005B345F"/>
    <w:rsid w:val="005B44FA"/>
    <w:rsid w:val="005B4D9D"/>
    <w:rsid w:val="005B5D02"/>
    <w:rsid w:val="005B6502"/>
    <w:rsid w:val="005B708D"/>
    <w:rsid w:val="005B7104"/>
    <w:rsid w:val="005B7217"/>
    <w:rsid w:val="005B7410"/>
    <w:rsid w:val="005B7708"/>
    <w:rsid w:val="005C0392"/>
    <w:rsid w:val="005C04AF"/>
    <w:rsid w:val="005C0DBD"/>
    <w:rsid w:val="005C1191"/>
    <w:rsid w:val="005C1C3C"/>
    <w:rsid w:val="005C2A07"/>
    <w:rsid w:val="005C2B8C"/>
    <w:rsid w:val="005C3E49"/>
    <w:rsid w:val="005C4AE9"/>
    <w:rsid w:val="005C59EE"/>
    <w:rsid w:val="005C5B38"/>
    <w:rsid w:val="005C5B8E"/>
    <w:rsid w:val="005C5E42"/>
    <w:rsid w:val="005C5F97"/>
    <w:rsid w:val="005C6264"/>
    <w:rsid w:val="005C6784"/>
    <w:rsid w:val="005C680B"/>
    <w:rsid w:val="005C749A"/>
    <w:rsid w:val="005C769C"/>
    <w:rsid w:val="005C77B6"/>
    <w:rsid w:val="005D0003"/>
    <w:rsid w:val="005D176A"/>
    <w:rsid w:val="005D28DF"/>
    <w:rsid w:val="005D2C52"/>
    <w:rsid w:val="005D30E4"/>
    <w:rsid w:val="005D30E9"/>
    <w:rsid w:val="005D315A"/>
    <w:rsid w:val="005D31B8"/>
    <w:rsid w:val="005D372D"/>
    <w:rsid w:val="005D3A6E"/>
    <w:rsid w:val="005D3C2F"/>
    <w:rsid w:val="005D46B2"/>
    <w:rsid w:val="005D5545"/>
    <w:rsid w:val="005D55AA"/>
    <w:rsid w:val="005D73FD"/>
    <w:rsid w:val="005D75BF"/>
    <w:rsid w:val="005D7A31"/>
    <w:rsid w:val="005E00E3"/>
    <w:rsid w:val="005E01DE"/>
    <w:rsid w:val="005E0200"/>
    <w:rsid w:val="005E06D3"/>
    <w:rsid w:val="005E1245"/>
    <w:rsid w:val="005E1494"/>
    <w:rsid w:val="005E2149"/>
    <w:rsid w:val="005E227B"/>
    <w:rsid w:val="005E281E"/>
    <w:rsid w:val="005E2D62"/>
    <w:rsid w:val="005E2E8B"/>
    <w:rsid w:val="005E326D"/>
    <w:rsid w:val="005E336A"/>
    <w:rsid w:val="005E35AC"/>
    <w:rsid w:val="005E3CE0"/>
    <w:rsid w:val="005E3F5A"/>
    <w:rsid w:val="005E41B4"/>
    <w:rsid w:val="005E435B"/>
    <w:rsid w:val="005E4F0D"/>
    <w:rsid w:val="005E580B"/>
    <w:rsid w:val="005E5F70"/>
    <w:rsid w:val="005E63AD"/>
    <w:rsid w:val="005E657F"/>
    <w:rsid w:val="005E7135"/>
    <w:rsid w:val="005E774A"/>
    <w:rsid w:val="005E7AFE"/>
    <w:rsid w:val="005E7CF7"/>
    <w:rsid w:val="005E7D4C"/>
    <w:rsid w:val="005F1424"/>
    <w:rsid w:val="005F148D"/>
    <w:rsid w:val="005F1580"/>
    <w:rsid w:val="005F1C17"/>
    <w:rsid w:val="005F260E"/>
    <w:rsid w:val="005F29A0"/>
    <w:rsid w:val="005F2C2D"/>
    <w:rsid w:val="005F3973"/>
    <w:rsid w:val="005F3ED8"/>
    <w:rsid w:val="005F3FA5"/>
    <w:rsid w:val="005F499C"/>
    <w:rsid w:val="005F4A53"/>
    <w:rsid w:val="005F4E9B"/>
    <w:rsid w:val="005F5095"/>
    <w:rsid w:val="005F516C"/>
    <w:rsid w:val="005F590E"/>
    <w:rsid w:val="005F590F"/>
    <w:rsid w:val="005F6468"/>
    <w:rsid w:val="005F66A0"/>
    <w:rsid w:val="005F66D7"/>
    <w:rsid w:val="005F6B57"/>
    <w:rsid w:val="005F6CB7"/>
    <w:rsid w:val="005F705F"/>
    <w:rsid w:val="005F7107"/>
    <w:rsid w:val="005F74A3"/>
    <w:rsid w:val="005F7BA1"/>
    <w:rsid w:val="00600643"/>
    <w:rsid w:val="006008F6"/>
    <w:rsid w:val="00601012"/>
    <w:rsid w:val="00601429"/>
    <w:rsid w:val="00601585"/>
    <w:rsid w:val="0060164A"/>
    <w:rsid w:val="00602315"/>
    <w:rsid w:val="00602CF0"/>
    <w:rsid w:val="00603417"/>
    <w:rsid w:val="00603558"/>
    <w:rsid w:val="0060356C"/>
    <w:rsid w:val="0060385A"/>
    <w:rsid w:val="00603A07"/>
    <w:rsid w:val="00603D3E"/>
    <w:rsid w:val="00604630"/>
    <w:rsid w:val="00604998"/>
    <w:rsid w:val="0060530E"/>
    <w:rsid w:val="00605B13"/>
    <w:rsid w:val="00605E6F"/>
    <w:rsid w:val="00605ECA"/>
    <w:rsid w:val="00606471"/>
    <w:rsid w:val="006065A5"/>
    <w:rsid w:val="00607502"/>
    <w:rsid w:val="0060785F"/>
    <w:rsid w:val="00610275"/>
    <w:rsid w:val="00610DE0"/>
    <w:rsid w:val="00610E66"/>
    <w:rsid w:val="006113F1"/>
    <w:rsid w:val="0061178A"/>
    <w:rsid w:val="00611A96"/>
    <w:rsid w:val="00611EBC"/>
    <w:rsid w:val="00612116"/>
    <w:rsid w:val="006123C3"/>
    <w:rsid w:val="00612756"/>
    <w:rsid w:val="00613115"/>
    <w:rsid w:val="00613452"/>
    <w:rsid w:val="00615084"/>
    <w:rsid w:val="006151E1"/>
    <w:rsid w:val="0061557E"/>
    <w:rsid w:val="006157F0"/>
    <w:rsid w:val="00615BEF"/>
    <w:rsid w:val="00615C8A"/>
    <w:rsid w:val="00615D70"/>
    <w:rsid w:val="006163ED"/>
    <w:rsid w:val="0061650E"/>
    <w:rsid w:val="00617FB6"/>
    <w:rsid w:val="0062073D"/>
    <w:rsid w:val="006215B4"/>
    <w:rsid w:val="0062207A"/>
    <w:rsid w:val="00622DBD"/>
    <w:rsid w:val="0062319F"/>
    <w:rsid w:val="00623833"/>
    <w:rsid w:val="006247D4"/>
    <w:rsid w:val="00624CE6"/>
    <w:rsid w:val="006255A6"/>
    <w:rsid w:val="006255A7"/>
    <w:rsid w:val="00625C78"/>
    <w:rsid w:val="0062637A"/>
    <w:rsid w:val="006272A5"/>
    <w:rsid w:val="006276E0"/>
    <w:rsid w:val="006279F4"/>
    <w:rsid w:val="00630087"/>
    <w:rsid w:val="006311C7"/>
    <w:rsid w:val="00631348"/>
    <w:rsid w:val="00631C9D"/>
    <w:rsid w:val="006328D2"/>
    <w:rsid w:val="00632C62"/>
    <w:rsid w:val="00632C9B"/>
    <w:rsid w:val="00632FB6"/>
    <w:rsid w:val="00632FF3"/>
    <w:rsid w:val="00633848"/>
    <w:rsid w:val="00633EA3"/>
    <w:rsid w:val="00635394"/>
    <w:rsid w:val="006354B8"/>
    <w:rsid w:val="00635510"/>
    <w:rsid w:val="00635D8C"/>
    <w:rsid w:val="00637421"/>
    <w:rsid w:val="006374EB"/>
    <w:rsid w:val="00637695"/>
    <w:rsid w:val="00637F5D"/>
    <w:rsid w:val="006401AE"/>
    <w:rsid w:val="00640D44"/>
    <w:rsid w:val="00641BCF"/>
    <w:rsid w:val="00641EFE"/>
    <w:rsid w:val="00643547"/>
    <w:rsid w:val="006438EA"/>
    <w:rsid w:val="006442B1"/>
    <w:rsid w:val="006456AD"/>
    <w:rsid w:val="00645A0F"/>
    <w:rsid w:val="00647435"/>
    <w:rsid w:val="00647752"/>
    <w:rsid w:val="00650134"/>
    <w:rsid w:val="006503B1"/>
    <w:rsid w:val="006505DE"/>
    <w:rsid w:val="00650CC3"/>
    <w:rsid w:val="00650D90"/>
    <w:rsid w:val="00651543"/>
    <w:rsid w:val="00651B42"/>
    <w:rsid w:val="006523A2"/>
    <w:rsid w:val="00653757"/>
    <w:rsid w:val="00654441"/>
    <w:rsid w:val="00654BA5"/>
    <w:rsid w:val="0065578D"/>
    <w:rsid w:val="00655B49"/>
    <w:rsid w:val="00655E65"/>
    <w:rsid w:val="00655E99"/>
    <w:rsid w:val="0065673C"/>
    <w:rsid w:val="00656D90"/>
    <w:rsid w:val="006572A0"/>
    <w:rsid w:val="00657448"/>
    <w:rsid w:val="00657923"/>
    <w:rsid w:val="00657E06"/>
    <w:rsid w:val="00657E7D"/>
    <w:rsid w:val="00657FEF"/>
    <w:rsid w:val="00660432"/>
    <w:rsid w:val="0066047A"/>
    <w:rsid w:val="00660497"/>
    <w:rsid w:val="00660877"/>
    <w:rsid w:val="006611EA"/>
    <w:rsid w:val="006612C9"/>
    <w:rsid w:val="006616B7"/>
    <w:rsid w:val="006617F6"/>
    <w:rsid w:val="00661C11"/>
    <w:rsid w:val="00661CA4"/>
    <w:rsid w:val="00661E08"/>
    <w:rsid w:val="00661E2E"/>
    <w:rsid w:val="00662561"/>
    <w:rsid w:val="0066291B"/>
    <w:rsid w:val="00662DBB"/>
    <w:rsid w:val="006630B7"/>
    <w:rsid w:val="00664B8A"/>
    <w:rsid w:val="00664B98"/>
    <w:rsid w:val="00665789"/>
    <w:rsid w:val="00665C9C"/>
    <w:rsid w:val="0066656D"/>
    <w:rsid w:val="006667DB"/>
    <w:rsid w:val="00666A4E"/>
    <w:rsid w:val="00666EEF"/>
    <w:rsid w:val="006678AF"/>
    <w:rsid w:val="00667A40"/>
    <w:rsid w:val="00670761"/>
    <w:rsid w:val="00671775"/>
    <w:rsid w:val="00671BAE"/>
    <w:rsid w:val="00671D64"/>
    <w:rsid w:val="006729CB"/>
    <w:rsid w:val="00672ED4"/>
    <w:rsid w:val="0067334A"/>
    <w:rsid w:val="006736FD"/>
    <w:rsid w:val="00674CB3"/>
    <w:rsid w:val="0067500E"/>
    <w:rsid w:val="0067604E"/>
    <w:rsid w:val="0067667C"/>
    <w:rsid w:val="00676949"/>
    <w:rsid w:val="00676ED6"/>
    <w:rsid w:val="00680997"/>
    <w:rsid w:val="00680F7C"/>
    <w:rsid w:val="00681592"/>
    <w:rsid w:val="00681D83"/>
    <w:rsid w:val="0068262B"/>
    <w:rsid w:val="006836F8"/>
    <w:rsid w:val="00683C8B"/>
    <w:rsid w:val="00683C94"/>
    <w:rsid w:val="00683F5A"/>
    <w:rsid w:val="00684DC9"/>
    <w:rsid w:val="00685522"/>
    <w:rsid w:val="006858BA"/>
    <w:rsid w:val="00685E82"/>
    <w:rsid w:val="00685F0F"/>
    <w:rsid w:val="0068710A"/>
    <w:rsid w:val="006900C2"/>
    <w:rsid w:val="00690E52"/>
    <w:rsid w:val="006911D6"/>
    <w:rsid w:val="00692116"/>
    <w:rsid w:val="006927F8"/>
    <w:rsid w:val="00693214"/>
    <w:rsid w:val="00693554"/>
    <w:rsid w:val="00693FCC"/>
    <w:rsid w:val="006940FB"/>
    <w:rsid w:val="0069456F"/>
    <w:rsid w:val="0069471F"/>
    <w:rsid w:val="00694977"/>
    <w:rsid w:val="00694DDE"/>
    <w:rsid w:val="00694ECC"/>
    <w:rsid w:val="00695319"/>
    <w:rsid w:val="00695ABB"/>
    <w:rsid w:val="006964CD"/>
    <w:rsid w:val="00697866"/>
    <w:rsid w:val="00697F59"/>
    <w:rsid w:val="00697FF7"/>
    <w:rsid w:val="006A037B"/>
    <w:rsid w:val="006A1701"/>
    <w:rsid w:val="006A1C33"/>
    <w:rsid w:val="006A1D20"/>
    <w:rsid w:val="006A2180"/>
    <w:rsid w:val="006A2289"/>
    <w:rsid w:val="006A2905"/>
    <w:rsid w:val="006A3031"/>
    <w:rsid w:val="006A337B"/>
    <w:rsid w:val="006A35A5"/>
    <w:rsid w:val="006A3AF5"/>
    <w:rsid w:val="006A40FC"/>
    <w:rsid w:val="006A42DC"/>
    <w:rsid w:val="006A549C"/>
    <w:rsid w:val="006A5719"/>
    <w:rsid w:val="006A5CDB"/>
    <w:rsid w:val="006A66AE"/>
    <w:rsid w:val="006A74F1"/>
    <w:rsid w:val="006B090A"/>
    <w:rsid w:val="006B0CD9"/>
    <w:rsid w:val="006B1072"/>
    <w:rsid w:val="006B1090"/>
    <w:rsid w:val="006B1901"/>
    <w:rsid w:val="006B2591"/>
    <w:rsid w:val="006B26D9"/>
    <w:rsid w:val="006B30A9"/>
    <w:rsid w:val="006B36E3"/>
    <w:rsid w:val="006B3BED"/>
    <w:rsid w:val="006B3CBC"/>
    <w:rsid w:val="006B404E"/>
    <w:rsid w:val="006B4A70"/>
    <w:rsid w:val="006B4DC3"/>
    <w:rsid w:val="006B52DD"/>
    <w:rsid w:val="006B5665"/>
    <w:rsid w:val="006B57C9"/>
    <w:rsid w:val="006B5E7A"/>
    <w:rsid w:val="006B616A"/>
    <w:rsid w:val="006B628B"/>
    <w:rsid w:val="006B70A2"/>
    <w:rsid w:val="006B7588"/>
    <w:rsid w:val="006C01A1"/>
    <w:rsid w:val="006C0A4C"/>
    <w:rsid w:val="006C0B4D"/>
    <w:rsid w:val="006C0F49"/>
    <w:rsid w:val="006C14B4"/>
    <w:rsid w:val="006C24FD"/>
    <w:rsid w:val="006C2680"/>
    <w:rsid w:val="006C269A"/>
    <w:rsid w:val="006C3CA7"/>
    <w:rsid w:val="006C42BC"/>
    <w:rsid w:val="006C444B"/>
    <w:rsid w:val="006C5683"/>
    <w:rsid w:val="006C59CB"/>
    <w:rsid w:val="006C5FE5"/>
    <w:rsid w:val="006C6230"/>
    <w:rsid w:val="006C6737"/>
    <w:rsid w:val="006C7801"/>
    <w:rsid w:val="006C7A16"/>
    <w:rsid w:val="006D0630"/>
    <w:rsid w:val="006D1164"/>
    <w:rsid w:val="006D1780"/>
    <w:rsid w:val="006D2297"/>
    <w:rsid w:val="006D22B3"/>
    <w:rsid w:val="006D29DF"/>
    <w:rsid w:val="006D353E"/>
    <w:rsid w:val="006D3E0D"/>
    <w:rsid w:val="006D3F04"/>
    <w:rsid w:val="006D41D4"/>
    <w:rsid w:val="006D44B3"/>
    <w:rsid w:val="006D496E"/>
    <w:rsid w:val="006D6353"/>
    <w:rsid w:val="006D671A"/>
    <w:rsid w:val="006D6E4E"/>
    <w:rsid w:val="006D7383"/>
    <w:rsid w:val="006D7712"/>
    <w:rsid w:val="006D7EF5"/>
    <w:rsid w:val="006E044E"/>
    <w:rsid w:val="006E049B"/>
    <w:rsid w:val="006E0AB1"/>
    <w:rsid w:val="006E14B4"/>
    <w:rsid w:val="006E1889"/>
    <w:rsid w:val="006E18AE"/>
    <w:rsid w:val="006E1CC0"/>
    <w:rsid w:val="006E24D5"/>
    <w:rsid w:val="006E269F"/>
    <w:rsid w:val="006E2751"/>
    <w:rsid w:val="006E2A6F"/>
    <w:rsid w:val="006E33EE"/>
    <w:rsid w:val="006E389D"/>
    <w:rsid w:val="006E445D"/>
    <w:rsid w:val="006E4E28"/>
    <w:rsid w:val="006E50DB"/>
    <w:rsid w:val="006E52B6"/>
    <w:rsid w:val="006E52E5"/>
    <w:rsid w:val="006E5454"/>
    <w:rsid w:val="006E58CD"/>
    <w:rsid w:val="006E5F97"/>
    <w:rsid w:val="006E66A7"/>
    <w:rsid w:val="006F0951"/>
    <w:rsid w:val="006F1752"/>
    <w:rsid w:val="006F2211"/>
    <w:rsid w:val="006F23FB"/>
    <w:rsid w:val="006F2662"/>
    <w:rsid w:val="006F27B9"/>
    <w:rsid w:val="006F2837"/>
    <w:rsid w:val="006F2977"/>
    <w:rsid w:val="006F2D46"/>
    <w:rsid w:val="006F2EA8"/>
    <w:rsid w:val="006F3195"/>
    <w:rsid w:val="006F3499"/>
    <w:rsid w:val="006F34AC"/>
    <w:rsid w:val="006F365A"/>
    <w:rsid w:val="006F39BF"/>
    <w:rsid w:val="006F3DEB"/>
    <w:rsid w:val="006F3FAD"/>
    <w:rsid w:val="006F4435"/>
    <w:rsid w:val="006F48B1"/>
    <w:rsid w:val="006F4916"/>
    <w:rsid w:val="006F4CB6"/>
    <w:rsid w:val="006F5AC1"/>
    <w:rsid w:val="006F5C4C"/>
    <w:rsid w:val="006F5E6C"/>
    <w:rsid w:val="006F5F84"/>
    <w:rsid w:val="006F655C"/>
    <w:rsid w:val="006F689F"/>
    <w:rsid w:val="006F6A57"/>
    <w:rsid w:val="006F7586"/>
    <w:rsid w:val="006F7610"/>
    <w:rsid w:val="006F7B56"/>
    <w:rsid w:val="007008EE"/>
    <w:rsid w:val="00700D98"/>
    <w:rsid w:val="00701362"/>
    <w:rsid w:val="00701D42"/>
    <w:rsid w:val="0070267E"/>
    <w:rsid w:val="00702A6F"/>
    <w:rsid w:val="00702D8B"/>
    <w:rsid w:val="00703990"/>
    <w:rsid w:val="00703AA7"/>
    <w:rsid w:val="00704208"/>
    <w:rsid w:val="0070457E"/>
    <w:rsid w:val="007046EB"/>
    <w:rsid w:val="00704918"/>
    <w:rsid w:val="007059DA"/>
    <w:rsid w:val="00706889"/>
    <w:rsid w:val="007069F5"/>
    <w:rsid w:val="00706E32"/>
    <w:rsid w:val="0070706E"/>
    <w:rsid w:val="00707BCD"/>
    <w:rsid w:val="00707DFF"/>
    <w:rsid w:val="00707F94"/>
    <w:rsid w:val="00710AD9"/>
    <w:rsid w:val="00710E10"/>
    <w:rsid w:val="00710F64"/>
    <w:rsid w:val="007117AD"/>
    <w:rsid w:val="00711882"/>
    <w:rsid w:val="00711BE6"/>
    <w:rsid w:val="00712501"/>
    <w:rsid w:val="0071266C"/>
    <w:rsid w:val="00712844"/>
    <w:rsid w:val="00713207"/>
    <w:rsid w:val="00713639"/>
    <w:rsid w:val="0071611B"/>
    <w:rsid w:val="00716392"/>
    <w:rsid w:val="00717A83"/>
    <w:rsid w:val="007200D2"/>
    <w:rsid w:val="00720475"/>
    <w:rsid w:val="00721488"/>
    <w:rsid w:val="0072150B"/>
    <w:rsid w:val="00721954"/>
    <w:rsid w:val="00721B85"/>
    <w:rsid w:val="007221FF"/>
    <w:rsid w:val="00722E45"/>
    <w:rsid w:val="00722E5E"/>
    <w:rsid w:val="007240FE"/>
    <w:rsid w:val="007242E9"/>
    <w:rsid w:val="00724DD5"/>
    <w:rsid w:val="00724FA5"/>
    <w:rsid w:val="007252D2"/>
    <w:rsid w:val="007258AA"/>
    <w:rsid w:val="00725C9A"/>
    <w:rsid w:val="00725D4A"/>
    <w:rsid w:val="00725E49"/>
    <w:rsid w:val="00725E7B"/>
    <w:rsid w:val="007260B9"/>
    <w:rsid w:val="0072677E"/>
    <w:rsid w:val="007272BE"/>
    <w:rsid w:val="00730DD0"/>
    <w:rsid w:val="007312ED"/>
    <w:rsid w:val="007314AB"/>
    <w:rsid w:val="007332BD"/>
    <w:rsid w:val="007334D0"/>
    <w:rsid w:val="007334F1"/>
    <w:rsid w:val="00733B12"/>
    <w:rsid w:val="00734619"/>
    <w:rsid w:val="00734754"/>
    <w:rsid w:val="007347CB"/>
    <w:rsid w:val="007349C9"/>
    <w:rsid w:val="00734E5B"/>
    <w:rsid w:val="00734F68"/>
    <w:rsid w:val="00735086"/>
    <w:rsid w:val="007360B2"/>
    <w:rsid w:val="00736647"/>
    <w:rsid w:val="00736EE2"/>
    <w:rsid w:val="007373E9"/>
    <w:rsid w:val="007375F8"/>
    <w:rsid w:val="007379A4"/>
    <w:rsid w:val="00737F00"/>
    <w:rsid w:val="00737FD4"/>
    <w:rsid w:val="007408CC"/>
    <w:rsid w:val="00740FBD"/>
    <w:rsid w:val="00741EC7"/>
    <w:rsid w:val="00742611"/>
    <w:rsid w:val="00742657"/>
    <w:rsid w:val="00742707"/>
    <w:rsid w:val="0074279E"/>
    <w:rsid w:val="007427FB"/>
    <w:rsid w:val="00743F6E"/>
    <w:rsid w:val="00745821"/>
    <w:rsid w:val="00745D38"/>
    <w:rsid w:val="00745D6A"/>
    <w:rsid w:val="00745DE9"/>
    <w:rsid w:val="00746918"/>
    <w:rsid w:val="00746A22"/>
    <w:rsid w:val="00746FBC"/>
    <w:rsid w:val="007507E4"/>
    <w:rsid w:val="007526DC"/>
    <w:rsid w:val="00752D68"/>
    <w:rsid w:val="00752EC2"/>
    <w:rsid w:val="0075343C"/>
    <w:rsid w:val="007538CD"/>
    <w:rsid w:val="00753F36"/>
    <w:rsid w:val="00754023"/>
    <w:rsid w:val="007546AF"/>
    <w:rsid w:val="00754707"/>
    <w:rsid w:val="0075621D"/>
    <w:rsid w:val="0075660E"/>
    <w:rsid w:val="007566F6"/>
    <w:rsid w:val="007579C3"/>
    <w:rsid w:val="00757AF3"/>
    <w:rsid w:val="00757B7A"/>
    <w:rsid w:val="0076045D"/>
    <w:rsid w:val="00760588"/>
    <w:rsid w:val="007607A5"/>
    <w:rsid w:val="00760B40"/>
    <w:rsid w:val="007616FC"/>
    <w:rsid w:val="00761BDC"/>
    <w:rsid w:val="00761C44"/>
    <w:rsid w:val="00761DF0"/>
    <w:rsid w:val="007620B2"/>
    <w:rsid w:val="0076218C"/>
    <w:rsid w:val="007629C8"/>
    <w:rsid w:val="00762BE0"/>
    <w:rsid w:val="00763DCB"/>
    <w:rsid w:val="0076453A"/>
    <w:rsid w:val="00765856"/>
    <w:rsid w:val="00765934"/>
    <w:rsid w:val="00765A3D"/>
    <w:rsid w:val="0076601B"/>
    <w:rsid w:val="00766E28"/>
    <w:rsid w:val="00766E81"/>
    <w:rsid w:val="0077040E"/>
    <w:rsid w:val="00770C1A"/>
    <w:rsid w:val="00770EF7"/>
    <w:rsid w:val="00770FCC"/>
    <w:rsid w:val="0077131B"/>
    <w:rsid w:val="007717F7"/>
    <w:rsid w:val="00771E0A"/>
    <w:rsid w:val="007726C4"/>
    <w:rsid w:val="0077274A"/>
    <w:rsid w:val="00772A8D"/>
    <w:rsid w:val="00772CC5"/>
    <w:rsid w:val="0077386D"/>
    <w:rsid w:val="00773A6D"/>
    <w:rsid w:val="00773B7D"/>
    <w:rsid w:val="00773EE0"/>
    <w:rsid w:val="007743E9"/>
    <w:rsid w:val="0077451B"/>
    <w:rsid w:val="00774522"/>
    <w:rsid w:val="00774B33"/>
    <w:rsid w:val="00775074"/>
    <w:rsid w:val="007752D1"/>
    <w:rsid w:val="00775664"/>
    <w:rsid w:val="00775815"/>
    <w:rsid w:val="00775F50"/>
    <w:rsid w:val="00776246"/>
    <w:rsid w:val="007768F4"/>
    <w:rsid w:val="00776D6D"/>
    <w:rsid w:val="00776DCE"/>
    <w:rsid w:val="0077700D"/>
    <w:rsid w:val="007775D1"/>
    <w:rsid w:val="00777DE5"/>
    <w:rsid w:val="00777E4A"/>
    <w:rsid w:val="00780081"/>
    <w:rsid w:val="00780137"/>
    <w:rsid w:val="0078135F"/>
    <w:rsid w:val="00781401"/>
    <w:rsid w:val="00781B72"/>
    <w:rsid w:val="00782E04"/>
    <w:rsid w:val="007830AC"/>
    <w:rsid w:val="007834B3"/>
    <w:rsid w:val="007837D9"/>
    <w:rsid w:val="007838A6"/>
    <w:rsid w:val="00783C4D"/>
    <w:rsid w:val="007843F1"/>
    <w:rsid w:val="007849B9"/>
    <w:rsid w:val="00784A44"/>
    <w:rsid w:val="0078527B"/>
    <w:rsid w:val="007852C8"/>
    <w:rsid w:val="007855A3"/>
    <w:rsid w:val="00785AF3"/>
    <w:rsid w:val="00785C90"/>
    <w:rsid w:val="00785FDC"/>
    <w:rsid w:val="00786962"/>
    <w:rsid w:val="00786969"/>
    <w:rsid w:val="00786C31"/>
    <w:rsid w:val="007872F9"/>
    <w:rsid w:val="00787375"/>
    <w:rsid w:val="00787399"/>
    <w:rsid w:val="007873C5"/>
    <w:rsid w:val="00787EFE"/>
    <w:rsid w:val="007906CE"/>
    <w:rsid w:val="00790E3B"/>
    <w:rsid w:val="00790E8E"/>
    <w:rsid w:val="00790F6B"/>
    <w:rsid w:val="00792586"/>
    <w:rsid w:val="0079272B"/>
    <w:rsid w:val="007929FA"/>
    <w:rsid w:val="00792B73"/>
    <w:rsid w:val="00792B7C"/>
    <w:rsid w:val="00793180"/>
    <w:rsid w:val="00793223"/>
    <w:rsid w:val="00793AE9"/>
    <w:rsid w:val="00793B06"/>
    <w:rsid w:val="00793C41"/>
    <w:rsid w:val="00793CB3"/>
    <w:rsid w:val="00793F67"/>
    <w:rsid w:val="007947AC"/>
    <w:rsid w:val="00794EE4"/>
    <w:rsid w:val="00796E99"/>
    <w:rsid w:val="0079713F"/>
    <w:rsid w:val="007A06A9"/>
    <w:rsid w:val="007A07FE"/>
    <w:rsid w:val="007A098E"/>
    <w:rsid w:val="007A0DC5"/>
    <w:rsid w:val="007A1EB6"/>
    <w:rsid w:val="007A1F19"/>
    <w:rsid w:val="007A2DE5"/>
    <w:rsid w:val="007A2F38"/>
    <w:rsid w:val="007A31D5"/>
    <w:rsid w:val="007A3C95"/>
    <w:rsid w:val="007A3D64"/>
    <w:rsid w:val="007A4131"/>
    <w:rsid w:val="007A428F"/>
    <w:rsid w:val="007A4831"/>
    <w:rsid w:val="007A6A20"/>
    <w:rsid w:val="007A6B35"/>
    <w:rsid w:val="007A6D54"/>
    <w:rsid w:val="007A70C6"/>
    <w:rsid w:val="007A796A"/>
    <w:rsid w:val="007A7EEF"/>
    <w:rsid w:val="007B0A94"/>
    <w:rsid w:val="007B1074"/>
    <w:rsid w:val="007B10F7"/>
    <w:rsid w:val="007B1834"/>
    <w:rsid w:val="007B1A48"/>
    <w:rsid w:val="007B1C9D"/>
    <w:rsid w:val="007B1DE8"/>
    <w:rsid w:val="007B2129"/>
    <w:rsid w:val="007B296D"/>
    <w:rsid w:val="007B296F"/>
    <w:rsid w:val="007B29FA"/>
    <w:rsid w:val="007B2A6C"/>
    <w:rsid w:val="007B33FB"/>
    <w:rsid w:val="007B354F"/>
    <w:rsid w:val="007B3B15"/>
    <w:rsid w:val="007B3D4D"/>
    <w:rsid w:val="007B41B5"/>
    <w:rsid w:val="007B4EFA"/>
    <w:rsid w:val="007B5DA3"/>
    <w:rsid w:val="007B5F55"/>
    <w:rsid w:val="007B703B"/>
    <w:rsid w:val="007B70B3"/>
    <w:rsid w:val="007B71D7"/>
    <w:rsid w:val="007B7436"/>
    <w:rsid w:val="007B7491"/>
    <w:rsid w:val="007B778A"/>
    <w:rsid w:val="007B7BCA"/>
    <w:rsid w:val="007B7EE1"/>
    <w:rsid w:val="007B7F94"/>
    <w:rsid w:val="007C010F"/>
    <w:rsid w:val="007C0164"/>
    <w:rsid w:val="007C0B45"/>
    <w:rsid w:val="007C2044"/>
    <w:rsid w:val="007C21C6"/>
    <w:rsid w:val="007C26A7"/>
    <w:rsid w:val="007C2BC7"/>
    <w:rsid w:val="007C2D5F"/>
    <w:rsid w:val="007C43C6"/>
    <w:rsid w:val="007C4C58"/>
    <w:rsid w:val="007C4F78"/>
    <w:rsid w:val="007C52D8"/>
    <w:rsid w:val="007C5AE2"/>
    <w:rsid w:val="007C5D6B"/>
    <w:rsid w:val="007C6045"/>
    <w:rsid w:val="007C6141"/>
    <w:rsid w:val="007C6B22"/>
    <w:rsid w:val="007C758C"/>
    <w:rsid w:val="007C77BA"/>
    <w:rsid w:val="007C7A9E"/>
    <w:rsid w:val="007D0142"/>
    <w:rsid w:val="007D022A"/>
    <w:rsid w:val="007D1B14"/>
    <w:rsid w:val="007D2626"/>
    <w:rsid w:val="007D30E8"/>
    <w:rsid w:val="007D382B"/>
    <w:rsid w:val="007D4024"/>
    <w:rsid w:val="007D40A4"/>
    <w:rsid w:val="007D48B7"/>
    <w:rsid w:val="007D5DCF"/>
    <w:rsid w:val="007D61B1"/>
    <w:rsid w:val="007D63D1"/>
    <w:rsid w:val="007D70D5"/>
    <w:rsid w:val="007D7121"/>
    <w:rsid w:val="007D73EF"/>
    <w:rsid w:val="007D74E1"/>
    <w:rsid w:val="007E01B1"/>
    <w:rsid w:val="007E0F4C"/>
    <w:rsid w:val="007E1034"/>
    <w:rsid w:val="007E1251"/>
    <w:rsid w:val="007E1C00"/>
    <w:rsid w:val="007E252B"/>
    <w:rsid w:val="007E25E0"/>
    <w:rsid w:val="007E26A3"/>
    <w:rsid w:val="007E2BED"/>
    <w:rsid w:val="007E373C"/>
    <w:rsid w:val="007E44F2"/>
    <w:rsid w:val="007E462B"/>
    <w:rsid w:val="007E5142"/>
    <w:rsid w:val="007E566D"/>
    <w:rsid w:val="007E5B09"/>
    <w:rsid w:val="007E61C0"/>
    <w:rsid w:val="007E665F"/>
    <w:rsid w:val="007E6708"/>
    <w:rsid w:val="007E69B8"/>
    <w:rsid w:val="007E6D19"/>
    <w:rsid w:val="007E7058"/>
    <w:rsid w:val="007E76EA"/>
    <w:rsid w:val="007E7A6B"/>
    <w:rsid w:val="007E7C13"/>
    <w:rsid w:val="007E7FE7"/>
    <w:rsid w:val="007F072A"/>
    <w:rsid w:val="007F0B43"/>
    <w:rsid w:val="007F0EEA"/>
    <w:rsid w:val="007F107F"/>
    <w:rsid w:val="007F1A4F"/>
    <w:rsid w:val="007F2136"/>
    <w:rsid w:val="007F270C"/>
    <w:rsid w:val="007F340F"/>
    <w:rsid w:val="007F39E3"/>
    <w:rsid w:val="007F43AD"/>
    <w:rsid w:val="007F470B"/>
    <w:rsid w:val="007F4A51"/>
    <w:rsid w:val="007F4A7B"/>
    <w:rsid w:val="007F4DFE"/>
    <w:rsid w:val="007F4F77"/>
    <w:rsid w:val="007F5707"/>
    <w:rsid w:val="007F5CD9"/>
    <w:rsid w:val="007F5D9D"/>
    <w:rsid w:val="007F5E79"/>
    <w:rsid w:val="007F683A"/>
    <w:rsid w:val="007F689B"/>
    <w:rsid w:val="007F6FF6"/>
    <w:rsid w:val="007F71A1"/>
    <w:rsid w:val="007F734F"/>
    <w:rsid w:val="008002CE"/>
    <w:rsid w:val="00800448"/>
    <w:rsid w:val="008006F3"/>
    <w:rsid w:val="00801662"/>
    <w:rsid w:val="00801E16"/>
    <w:rsid w:val="00801F45"/>
    <w:rsid w:val="008021D1"/>
    <w:rsid w:val="008021E8"/>
    <w:rsid w:val="0080224B"/>
    <w:rsid w:val="0080227B"/>
    <w:rsid w:val="008028DB"/>
    <w:rsid w:val="00802928"/>
    <w:rsid w:val="008029A2"/>
    <w:rsid w:val="00802E46"/>
    <w:rsid w:val="00802ED2"/>
    <w:rsid w:val="00803402"/>
    <w:rsid w:val="008041B5"/>
    <w:rsid w:val="00805667"/>
    <w:rsid w:val="008059E1"/>
    <w:rsid w:val="008063D3"/>
    <w:rsid w:val="0080751E"/>
    <w:rsid w:val="00807561"/>
    <w:rsid w:val="00810090"/>
    <w:rsid w:val="00810530"/>
    <w:rsid w:val="00810D6D"/>
    <w:rsid w:val="0081118C"/>
    <w:rsid w:val="00811287"/>
    <w:rsid w:val="008113FA"/>
    <w:rsid w:val="008118A6"/>
    <w:rsid w:val="00812EEA"/>
    <w:rsid w:val="00813EDE"/>
    <w:rsid w:val="0081536F"/>
    <w:rsid w:val="0081553A"/>
    <w:rsid w:val="00815FCC"/>
    <w:rsid w:val="00816661"/>
    <w:rsid w:val="008177F1"/>
    <w:rsid w:val="00817842"/>
    <w:rsid w:val="00817FF2"/>
    <w:rsid w:val="0082028A"/>
    <w:rsid w:val="008204E5"/>
    <w:rsid w:val="008207AA"/>
    <w:rsid w:val="0082106F"/>
    <w:rsid w:val="0082134A"/>
    <w:rsid w:val="00822ED8"/>
    <w:rsid w:val="00822FEA"/>
    <w:rsid w:val="0082398E"/>
    <w:rsid w:val="00823BC3"/>
    <w:rsid w:val="00823FD6"/>
    <w:rsid w:val="0082593D"/>
    <w:rsid w:val="00825C78"/>
    <w:rsid w:val="008260BB"/>
    <w:rsid w:val="0082632F"/>
    <w:rsid w:val="00826D6C"/>
    <w:rsid w:val="008276C4"/>
    <w:rsid w:val="00827742"/>
    <w:rsid w:val="00827B1A"/>
    <w:rsid w:val="0083104B"/>
    <w:rsid w:val="0083105E"/>
    <w:rsid w:val="00831449"/>
    <w:rsid w:val="00831537"/>
    <w:rsid w:val="00831F1B"/>
    <w:rsid w:val="008329E3"/>
    <w:rsid w:val="00832D43"/>
    <w:rsid w:val="008333BB"/>
    <w:rsid w:val="00834100"/>
    <w:rsid w:val="008351BA"/>
    <w:rsid w:val="008352D3"/>
    <w:rsid w:val="0083561F"/>
    <w:rsid w:val="00835622"/>
    <w:rsid w:val="00835B6E"/>
    <w:rsid w:val="00835F58"/>
    <w:rsid w:val="00836161"/>
    <w:rsid w:val="00836574"/>
    <w:rsid w:val="0083685F"/>
    <w:rsid w:val="008372CB"/>
    <w:rsid w:val="00840014"/>
    <w:rsid w:val="00840A2E"/>
    <w:rsid w:val="00841133"/>
    <w:rsid w:val="008412F4"/>
    <w:rsid w:val="00841561"/>
    <w:rsid w:val="00842644"/>
    <w:rsid w:val="00842ADF"/>
    <w:rsid w:val="008430E2"/>
    <w:rsid w:val="008430E8"/>
    <w:rsid w:val="00843364"/>
    <w:rsid w:val="00843EA4"/>
    <w:rsid w:val="00843F9C"/>
    <w:rsid w:val="00843FFC"/>
    <w:rsid w:val="00844872"/>
    <w:rsid w:val="00845BCE"/>
    <w:rsid w:val="00845E8D"/>
    <w:rsid w:val="00846153"/>
    <w:rsid w:val="0084630F"/>
    <w:rsid w:val="008467B5"/>
    <w:rsid w:val="00846C0E"/>
    <w:rsid w:val="008474FE"/>
    <w:rsid w:val="00847C24"/>
    <w:rsid w:val="00850297"/>
    <w:rsid w:val="0085034E"/>
    <w:rsid w:val="0085064E"/>
    <w:rsid w:val="008509BE"/>
    <w:rsid w:val="00850B44"/>
    <w:rsid w:val="00850BCC"/>
    <w:rsid w:val="00850FCE"/>
    <w:rsid w:val="008519FC"/>
    <w:rsid w:val="00851F58"/>
    <w:rsid w:val="00852AA5"/>
    <w:rsid w:val="00852CF0"/>
    <w:rsid w:val="00852D19"/>
    <w:rsid w:val="00852FB1"/>
    <w:rsid w:val="00853143"/>
    <w:rsid w:val="00853EA7"/>
    <w:rsid w:val="00854A50"/>
    <w:rsid w:val="00854C98"/>
    <w:rsid w:val="00854E40"/>
    <w:rsid w:val="00855604"/>
    <w:rsid w:val="00855F73"/>
    <w:rsid w:val="00856537"/>
    <w:rsid w:val="00856699"/>
    <w:rsid w:val="00857B53"/>
    <w:rsid w:val="00857BE1"/>
    <w:rsid w:val="00861186"/>
    <w:rsid w:val="008625D8"/>
    <w:rsid w:val="008626CB"/>
    <w:rsid w:val="00863176"/>
    <w:rsid w:val="00863281"/>
    <w:rsid w:val="008637B5"/>
    <w:rsid w:val="008644E3"/>
    <w:rsid w:val="008647FD"/>
    <w:rsid w:val="00864D5D"/>
    <w:rsid w:val="0086501E"/>
    <w:rsid w:val="0086502D"/>
    <w:rsid w:val="00865C2D"/>
    <w:rsid w:val="008674BE"/>
    <w:rsid w:val="0086796B"/>
    <w:rsid w:val="008679CA"/>
    <w:rsid w:val="008702A6"/>
    <w:rsid w:val="00870778"/>
    <w:rsid w:val="00870F03"/>
    <w:rsid w:val="008718F6"/>
    <w:rsid w:val="00872DAB"/>
    <w:rsid w:val="00872E5B"/>
    <w:rsid w:val="0087381D"/>
    <w:rsid w:val="008746E5"/>
    <w:rsid w:val="00874C13"/>
    <w:rsid w:val="00874D64"/>
    <w:rsid w:val="00874E36"/>
    <w:rsid w:val="0087523C"/>
    <w:rsid w:val="0087579A"/>
    <w:rsid w:val="00875835"/>
    <w:rsid w:val="00875F2D"/>
    <w:rsid w:val="00876793"/>
    <w:rsid w:val="00876803"/>
    <w:rsid w:val="00876C81"/>
    <w:rsid w:val="00876FA2"/>
    <w:rsid w:val="0087739C"/>
    <w:rsid w:val="0087764E"/>
    <w:rsid w:val="00877775"/>
    <w:rsid w:val="00877EC7"/>
    <w:rsid w:val="0088009E"/>
    <w:rsid w:val="00880494"/>
    <w:rsid w:val="00880A5E"/>
    <w:rsid w:val="00880A75"/>
    <w:rsid w:val="00880AC0"/>
    <w:rsid w:val="00880DE7"/>
    <w:rsid w:val="00881751"/>
    <w:rsid w:val="00881B54"/>
    <w:rsid w:val="00881CC4"/>
    <w:rsid w:val="00882266"/>
    <w:rsid w:val="00882A7A"/>
    <w:rsid w:val="008833CC"/>
    <w:rsid w:val="00883485"/>
    <w:rsid w:val="00883509"/>
    <w:rsid w:val="008835BB"/>
    <w:rsid w:val="00883ED8"/>
    <w:rsid w:val="00884235"/>
    <w:rsid w:val="00884C39"/>
    <w:rsid w:val="00885633"/>
    <w:rsid w:val="00885734"/>
    <w:rsid w:val="00885999"/>
    <w:rsid w:val="00885E0E"/>
    <w:rsid w:val="00886141"/>
    <w:rsid w:val="008861D5"/>
    <w:rsid w:val="0088784C"/>
    <w:rsid w:val="008878C6"/>
    <w:rsid w:val="008901A3"/>
    <w:rsid w:val="008901AF"/>
    <w:rsid w:val="008901DD"/>
    <w:rsid w:val="00890512"/>
    <w:rsid w:val="008905EE"/>
    <w:rsid w:val="00890AC8"/>
    <w:rsid w:val="00890FDF"/>
    <w:rsid w:val="00891A68"/>
    <w:rsid w:val="00892451"/>
    <w:rsid w:val="00892766"/>
    <w:rsid w:val="00892D08"/>
    <w:rsid w:val="00892FA9"/>
    <w:rsid w:val="00893073"/>
    <w:rsid w:val="008931AA"/>
    <w:rsid w:val="00893791"/>
    <w:rsid w:val="00893886"/>
    <w:rsid w:val="00894348"/>
    <w:rsid w:val="008947B9"/>
    <w:rsid w:val="008948B9"/>
    <w:rsid w:val="008957C8"/>
    <w:rsid w:val="00895A02"/>
    <w:rsid w:val="00896721"/>
    <w:rsid w:val="00897237"/>
    <w:rsid w:val="0089723B"/>
    <w:rsid w:val="008977F1"/>
    <w:rsid w:val="00897BE8"/>
    <w:rsid w:val="008A051B"/>
    <w:rsid w:val="008A09CF"/>
    <w:rsid w:val="008A25EA"/>
    <w:rsid w:val="008A3360"/>
    <w:rsid w:val="008A34B1"/>
    <w:rsid w:val="008A36F0"/>
    <w:rsid w:val="008A3AED"/>
    <w:rsid w:val="008A4AD4"/>
    <w:rsid w:val="008A5751"/>
    <w:rsid w:val="008A5C6D"/>
    <w:rsid w:val="008A5DAA"/>
    <w:rsid w:val="008A5DEE"/>
    <w:rsid w:val="008A6296"/>
    <w:rsid w:val="008A63F2"/>
    <w:rsid w:val="008A68FB"/>
    <w:rsid w:val="008A6B4F"/>
    <w:rsid w:val="008A7006"/>
    <w:rsid w:val="008A774C"/>
    <w:rsid w:val="008B0B95"/>
    <w:rsid w:val="008B0BC8"/>
    <w:rsid w:val="008B0C05"/>
    <w:rsid w:val="008B17C8"/>
    <w:rsid w:val="008B188D"/>
    <w:rsid w:val="008B1952"/>
    <w:rsid w:val="008B1B1A"/>
    <w:rsid w:val="008B227D"/>
    <w:rsid w:val="008B2769"/>
    <w:rsid w:val="008B2CCB"/>
    <w:rsid w:val="008B37C4"/>
    <w:rsid w:val="008B3D5A"/>
    <w:rsid w:val="008B3E92"/>
    <w:rsid w:val="008B4087"/>
    <w:rsid w:val="008B4354"/>
    <w:rsid w:val="008B586A"/>
    <w:rsid w:val="008B5D4B"/>
    <w:rsid w:val="008B6034"/>
    <w:rsid w:val="008B6DBF"/>
    <w:rsid w:val="008B6DD3"/>
    <w:rsid w:val="008B6F90"/>
    <w:rsid w:val="008B7E18"/>
    <w:rsid w:val="008C0206"/>
    <w:rsid w:val="008C18A7"/>
    <w:rsid w:val="008C1A8A"/>
    <w:rsid w:val="008C1AC0"/>
    <w:rsid w:val="008C1B05"/>
    <w:rsid w:val="008C1EAB"/>
    <w:rsid w:val="008C23FC"/>
    <w:rsid w:val="008C26D8"/>
    <w:rsid w:val="008C27A1"/>
    <w:rsid w:val="008C2CF8"/>
    <w:rsid w:val="008C2D66"/>
    <w:rsid w:val="008C2DDD"/>
    <w:rsid w:val="008C3061"/>
    <w:rsid w:val="008C3ADE"/>
    <w:rsid w:val="008C44E3"/>
    <w:rsid w:val="008C4586"/>
    <w:rsid w:val="008C55AE"/>
    <w:rsid w:val="008C5E3F"/>
    <w:rsid w:val="008C68B7"/>
    <w:rsid w:val="008C6B14"/>
    <w:rsid w:val="008C6B80"/>
    <w:rsid w:val="008D0C5E"/>
    <w:rsid w:val="008D0DD3"/>
    <w:rsid w:val="008D10B9"/>
    <w:rsid w:val="008D2FBD"/>
    <w:rsid w:val="008D32D7"/>
    <w:rsid w:val="008D3F7C"/>
    <w:rsid w:val="008D47E6"/>
    <w:rsid w:val="008D496C"/>
    <w:rsid w:val="008D5849"/>
    <w:rsid w:val="008D5A6A"/>
    <w:rsid w:val="008D60EA"/>
    <w:rsid w:val="008D6D8B"/>
    <w:rsid w:val="008D6FCB"/>
    <w:rsid w:val="008D771D"/>
    <w:rsid w:val="008E064A"/>
    <w:rsid w:val="008E09DC"/>
    <w:rsid w:val="008E19A8"/>
    <w:rsid w:val="008E2A87"/>
    <w:rsid w:val="008E2F26"/>
    <w:rsid w:val="008E3144"/>
    <w:rsid w:val="008E393B"/>
    <w:rsid w:val="008E48AB"/>
    <w:rsid w:val="008E4C08"/>
    <w:rsid w:val="008E572C"/>
    <w:rsid w:val="008E5A6D"/>
    <w:rsid w:val="008E5C5B"/>
    <w:rsid w:val="008E6088"/>
    <w:rsid w:val="008E639E"/>
    <w:rsid w:val="008E726D"/>
    <w:rsid w:val="008E77D4"/>
    <w:rsid w:val="008E7E72"/>
    <w:rsid w:val="008F024E"/>
    <w:rsid w:val="008F0905"/>
    <w:rsid w:val="008F09E9"/>
    <w:rsid w:val="008F0D10"/>
    <w:rsid w:val="008F0D90"/>
    <w:rsid w:val="008F0EBB"/>
    <w:rsid w:val="008F1333"/>
    <w:rsid w:val="008F23CF"/>
    <w:rsid w:val="008F2613"/>
    <w:rsid w:val="008F2C12"/>
    <w:rsid w:val="008F32DF"/>
    <w:rsid w:val="008F37F8"/>
    <w:rsid w:val="008F3FAA"/>
    <w:rsid w:val="008F40F4"/>
    <w:rsid w:val="008F4A14"/>
    <w:rsid w:val="008F4D20"/>
    <w:rsid w:val="008F57ED"/>
    <w:rsid w:val="008F57F2"/>
    <w:rsid w:val="008F5944"/>
    <w:rsid w:val="008F5DF6"/>
    <w:rsid w:val="008F6D4B"/>
    <w:rsid w:val="008F6F69"/>
    <w:rsid w:val="008F6FC8"/>
    <w:rsid w:val="008F75D2"/>
    <w:rsid w:val="008F776C"/>
    <w:rsid w:val="0090017D"/>
    <w:rsid w:val="00900A46"/>
    <w:rsid w:val="009011E2"/>
    <w:rsid w:val="009017AE"/>
    <w:rsid w:val="00901BB2"/>
    <w:rsid w:val="009024BF"/>
    <w:rsid w:val="009028E4"/>
    <w:rsid w:val="00902D9B"/>
    <w:rsid w:val="00903C18"/>
    <w:rsid w:val="00903FAF"/>
    <w:rsid w:val="00904B2C"/>
    <w:rsid w:val="00904BAA"/>
    <w:rsid w:val="00904E29"/>
    <w:rsid w:val="00905114"/>
    <w:rsid w:val="009053A8"/>
    <w:rsid w:val="009058D7"/>
    <w:rsid w:val="00905CA3"/>
    <w:rsid w:val="0090717B"/>
    <w:rsid w:val="0090787A"/>
    <w:rsid w:val="0090790C"/>
    <w:rsid w:val="009108E5"/>
    <w:rsid w:val="00910AEC"/>
    <w:rsid w:val="00911BCE"/>
    <w:rsid w:val="009126A0"/>
    <w:rsid w:val="00912BAA"/>
    <w:rsid w:val="00913110"/>
    <w:rsid w:val="00913512"/>
    <w:rsid w:val="00913819"/>
    <w:rsid w:val="00913B2D"/>
    <w:rsid w:val="009140EA"/>
    <w:rsid w:val="00914B7D"/>
    <w:rsid w:val="00914DE0"/>
    <w:rsid w:val="0091587F"/>
    <w:rsid w:val="00917104"/>
    <w:rsid w:val="009176AC"/>
    <w:rsid w:val="00917CA2"/>
    <w:rsid w:val="00920D86"/>
    <w:rsid w:val="00920F22"/>
    <w:rsid w:val="00921281"/>
    <w:rsid w:val="009218F8"/>
    <w:rsid w:val="00921E38"/>
    <w:rsid w:val="0092256D"/>
    <w:rsid w:val="00922594"/>
    <w:rsid w:val="00923409"/>
    <w:rsid w:val="00923798"/>
    <w:rsid w:val="00923F90"/>
    <w:rsid w:val="00924AFF"/>
    <w:rsid w:val="00924E14"/>
    <w:rsid w:val="00925131"/>
    <w:rsid w:val="00925850"/>
    <w:rsid w:val="00925B9D"/>
    <w:rsid w:val="009262E0"/>
    <w:rsid w:val="00926CCA"/>
    <w:rsid w:val="00927AC9"/>
    <w:rsid w:val="0093094A"/>
    <w:rsid w:val="00930D6E"/>
    <w:rsid w:val="009312FD"/>
    <w:rsid w:val="0093196B"/>
    <w:rsid w:val="00932195"/>
    <w:rsid w:val="009324AA"/>
    <w:rsid w:val="0093379E"/>
    <w:rsid w:val="009338A0"/>
    <w:rsid w:val="00934072"/>
    <w:rsid w:val="009340B2"/>
    <w:rsid w:val="0093485F"/>
    <w:rsid w:val="00934967"/>
    <w:rsid w:val="00934A5F"/>
    <w:rsid w:val="00935FFE"/>
    <w:rsid w:val="009360A7"/>
    <w:rsid w:val="009361F9"/>
    <w:rsid w:val="0093685A"/>
    <w:rsid w:val="00936B38"/>
    <w:rsid w:val="00937D64"/>
    <w:rsid w:val="00937EC5"/>
    <w:rsid w:val="00940197"/>
    <w:rsid w:val="00940D07"/>
    <w:rsid w:val="00940D2B"/>
    <w:rsid w:val="0094129F"/>
    <w:rsid w:val="00942941"/>
    <w:rsid w:val="00942D10"/>
    <w:rsid w:val="009434B2"/>
    <w:rsid w:val="0094408D"/>
    <w:rsid w:val="00944263"/>
    <w:rsid w:val="00944911"/>
    <w:rsid w:val="00944BB7"/>
    <w:rsid w:val="00944FDF"/>
    <w:rsid w:val="009451F6"/>
    <w:rsid w:val="00946152"/>
    <w:rsid w:val="009464C2"/>
    <w:rsid w:val="0094653F"/>
    <w:rsid w:val="0094757D"/>
    <w:rsid w:val="00947A09"/>
    <w:rsid w:val="00950117"/>
    <w:rsid w:val="0095073F"/>
    <w:rsid w:val="0095083A"/>
    <w:rsid w:val="00950C04"/>
    <w:rsid w:val="00950C18"/>
    <w:rsid w:val="00950EB3"/>
    <w:rsid w:val="0095160B"/>
    <w:rsid w:val="00951B25"/>
    <w:rsid w:val="00951BC8"/>
    <w:rsid w:val="009521BF"/>
    <w:rsid w:val="00952398"/>
    <w:rsid w:val="0095268B"/>
    <w:rsid w:val="00952815"/>
    <w:rsid w:val="009529ED"/>
    <w:rsid w:val="00952F70"/>
    <w:rsid w:val="00953201"/>
    <w:rsid w:val="00953288"/>
    <w:rsid w:val="00953507"/>
    <w:rsid w:val="009538DC"/>
    <w:rsid w:val="009540FC"/>
    <w:rsid w:val="0095432C"/>
    <w:rsid w:val="00954633"/>
    <w:rsid w:val="009547FA"/>
    <w:rsid w:val="00954C17"/>
    <w:rsid w:val="00955547"/>
    <w:rsid w:val="00955FE8"/>
    <w:rsid w:val="00956A3E"/>
    <w:rsid w:val="0095708C"/>
    <w:rsid w:val="00957AA7"/>
    <w:rsid w:val="00957FC9"/>
    <w:rsid w:val="0096064D"/>
    <w:rsid w:val="00960BAC"/>
    <w:rsid w:val="009616C9"/>
    <w:rsid w:val="009616DC"/>
    <w:rsid w:val="00961DD8"/>
    <w:rsid w:val="009621C6"/>
    <w:rsid w:val="009624CA"/>
    <w:rsid w:val="009628E1"/>
    <w:rsid w:val="00962B86"/>
    <w:rsid w:val="00962D44"/>
    <w:rsid w:val="00964042"/>
    <w:rsid w:val="00964341"/>
    <w:rsid w:val="00964E2D"/>
    <w:rsid w:val="00964F21"/>
    <w:rsid w:val="0096619A"/>
    <w:rsid w:val="0096644A"/>
    <w:rsid w:val="00967766"/>
    <w:rsid w:val="0096783E"/>
    <w:rsid w:val="00967BB5"/>
    <w:rsid w:val="00967E5B"/>
    <w:rsid w:val="00970AFD"/>
    <w:rsid w:val="00970F6D"/>
    <w:rsid w:val="00971498"/>
    <w:rsid w:val="00971CAD"/>
    <w:rsid w:val="009720C6"/>
    <w:rsid w:val="0097213D"/>
    <w:rsid w:val="009721E4"/>
    <w:rsid w:val="0097241E"/>
    <w:rsid w:val="00972630"/>
    <w:rsid w:val="009737E4"/>
    <w:rsid w:val="00973849"/>
    <w:rsid w:val="00973936"/>
    <w:rsid w:val="00973CDC"/>
    <w:rsid w:val="00973DFA"/>
    <w:rsid w:val="0097420D"/>
    <w:rsid w:val="00974A4E"/>
    <w:rsid w:val="00974D4B"/>
    <w:rsid w:val="0097576F"/>
    <w:rsid w:val="00975C52"/>
    <w:rsid w:val="0097627B"/>
    <w:rsid w:val="00976B2E"/>
    <w:rsid w:val="00977BD0"/>
    <w:rsid w:val="009801A6"/>
    <w:rsid w:val="00981234"/>
    <w:rsid w:val="00981355"/>
    <w:rsid w:val="00981554"/>
    <w:rsid w:val="00981996"/>
    <w:rsid w:val="00981C3A"/>
    <w:rsid w:val="00982680"/>
    <w:rsid w:val="009827CE"/>
    <w:rsid w:val="00982A12"/>
    <w:rsid w:val="00982A26"/>
    <w:rsid w:val="009830E8"/>
    <w:rsid w:val="00983125"/>
    <w:rsid w:val="00983B74"/>
    <w:rsid w:val="009841A9"/>
    <w:rsid w:val="009844F0"/>
    <w:rsid w:val="009868CF"/>
    <w:rsid w:val="009873FA"/>
    <w:rsid w:val="00990263"/>
    <w:rsid w:val="0099044D"/>
    <w:rsid w:val="00990718"/>
    <w:rsid w:val="0099081B"/>
    <w:rsid w:val="00990BEE"/>
    <w:rsid w:val="00990C6C"/>
    <w:rsid w:val="00990E33"/>
    <w:rsid w:val="00990F3B"/>
    <w:rsid w:val="00991265"/>
    <w:rsid w:val="00991BCA"/>
    <w:rsid w:val="00991C1A"/>
    <w:rsid w:val="009925B3"/>
    <w:rsid w:val="00993D3B"/>
    <w:rsid w:val="00993FEF"/>
    <w:rsid w:val="0099405A"/>
    <w:rsid w:val="00994182"/>
    <w:rsid w:val="00994421"/>
    <w:rsid w:val="009944E0"/>
    <w:rsid w:val="00994DD9"/>
    <w:rsid w:val="009955CD"/>
    <w:rsid w:val="00995C68"/>
    <w:rsid w:val="00995DC9"/>
    <w:rsid w:val="00995F26"/>
    <w:rsid w:val="00995FD4"/>
    <w:rsid w:val="00996413"/>
    <w:rsid w:val="00996498"/>
    <w:rsid w:val="0099696E"/>
    <w:rsid w:val="00997D5B"/>
    <w:rsid w:val="00997DB6"/>
    <w:rsid w:val="00997F2F"/>
    <w:rsid w:val="00997FDF"/>
    <w:rsid w:val="009A0065"/>
    <w:rsid w:val="009A0EFE"/>
    <w:rsid w:val="009A2163"/>
    <w:rsid w:val="009A28C2"/>
    <w:rsid w:val="009A2CE4"/>
    <w:rsid w:val="009A3457"/>
    <w:rsid w:val="009A34CB"/>
    <w:rsid w:val="009A3628"/>
    <w:rsid w:val="009A3960"/>
    <w:rsid w:val="009A492A"/>
    <w:rsid w:val="009A4CCC"/>
    <w:rsid w:val="009A529A"/>
    <w:rsid w:val="009A5711"/>
    <w:rsid w:val="009A5FBA"/>
    <w:rsid w:val="009A6270"/>
    <w:rsid w:val="009A68C0"/>
    <w:rsid w:val="009A6FB6"/>
    <w:rsid w:val="009A7491"/>
    <w:rsid w:val="009A7646"/>
    <w:rsid w:val="009A7B18"/>
    <w:rsid w:val="009A7C3A"/>
    <w:rsid w:val="009B0293"/>
    <w:rsid w:val="009B03D1"/>
    <w:rsid w:val="009B0615"/>
    <w:rsid w:val="009B07A0"/>
    <w:rsid w:val="009B0EA7"/>
    <w:rsid w:val="009B3112"/>
    <w:rsid w:val="009B35B5"/>
    <w:rsid w:val="009B402D"/>
    <w:rsid w:val="009B4554"/>
    <w:rsid w:val="009B49F0"/>
    <w:rsid w:val="009B517F"/>
    <w:rsid w:val="009B5836"/>
    <w:rsid w:val="009B58D0"/>
    <w:rsid w:val="009B5911"/>
    <w:rsid w:val="009B5940"/>
    <w:rsid w:val="009B5F27"/>
    <w:rsid w:val="009B6537"/>
    <w:rsid w:val="009B6916"/>
    <w:rsid w:val="009B6A36"/>
    <w:rsid w:val="009B6F0E"/>
    <w:rsid w:val="009B773B"/>
    <w:rsid w:val="009B7797"/>
    <w:rsid w:val="009C051E"/>
    <w:rsid w:val="009C08EC"/>
    <w:rsid w:val="009C0C62"/>
    <w:rsid w:val="009C0D1D"/>
    <w:rsid w:val="009C1C0B"/>
    <w:rsid w:val="009C1D3C"/>
    <w:rsid w:val="009C1DAE"/>
    <w:rsid w:val="009C1F98"/>
    <w:rsid w:val="009C2261"/>
    <w:rsid w:val="009C2401"/>
    <w:rsid w:val="009C29B1"/>
    <w:rsid w:val="009C2F53"/>
    <w:rsid w:val="009C2F8E"/>
    <w:rsid w:val="009C3139"/>
    <w:rsid w:val="009C39BA"/>
    <w:rsid w:val="009C407E"/>
    <w:rsid w:val="009C5440"/>
    <w:rsid w:val="009C55EB"/>
    <w:rsid w:val="009C5BE3"/>
    <w:rsid w:val="009C5D96"/>
    <w:rsid w:val="009C66EA"/>
    <w:rsid w:val="009C6DC3"/>
    <w:rsid w:val="009C6E13"/>
    <w:rsid w:val="009C723F"/>
    <w:rsid w:val="009C7EF0"/>
    <w:rsid w:val="009D0068"/>
    <w:rsid w:val="009D0085"/>
    <w:rsid w:val="009D012C"/>
    <w:rsid w:val="009D02AA"/>
    <w:rsid w:val="009D0A96"/>
    <w:rsid w:val="009D1E80"/>
    <w:rsid w:val="009D2BDE"/>
    <w:rsid w:val="009D2F26"/>
    <w:rsid w:val="009D3A1B"/>
    <w:rsid w:val="009D4070"/>
    <w:rsid w:val="009D4714"/>
    <w:rsid w:val="009D59AE"/>
    <w:rsid w:val="009D5CE5"/>
    <w:rsid w:val="009D5F4C"/>
    <w:rsid w:val="009D5F99"/>
    <w:rsid w:val="009D7141"/>
    <w:rsid w:val="009D78F6"/>
    <w:rsid w:val="009D7C2C"/>
    <w:rsid w:val="009E050D"/>
    <w:rsid w:val="009E0946"/>
    <w:rsid w:val="009E0DD1"/>
    <w:rsid w:val="009E12CC"/>
    <w:rsid w:val="009E13AB"/>
    <w:rsid w:val="009E1404"/>
    <w:rsid w:val="009E2210"/>
    <w:rsid w:val="009E24AC"/>
    <w:rsid w:val="009E2FB1"/>
    <w:rsid w:val="009E30AA"/>
    <w:rsid w:val="009E3CCD"/>
    <w:rsid w:val="009E3FCD"/>
    <w:rsid w:val="009E4B94"/>
    <w:rsid w:val="009E4E5F"/>
    <w:rsid w:val="009E5895"/>
    <w:rsid w:val="009E5E35"/>
    <w:rsid w:val="009E6396"/>
    <w:rsid w:val="009E6D29"/>
    <w:rsid w:val="009E6D56"/>
    <w:rsid w:val="009E7121"/>
    <w:rsid w:val="009E7CC2"/>
    <w:rsid w:val="009E7D0E"/>
    <w:rsid w:val="009E7E7C"/>
    <w:rsid w:val="009F0018"/>
    <w:rsid w:val="009F08B4"/>
    <w:rsid w:val="009F0A78"/>
    <w:rsid w:val="009F0FF1"/>
    <w:rsid w:val="009F1CB4"/>
    <w:rsid w:val="009F1DDB"/>
    <w:rsid w:val="009F1E19"/>
    <w:rsid w:val="009F263C"/>
    <w:rsid w:val="009F2C6C"/>
    <w:rsid w:val="009F37DB"/>
    <w:rsid w:val="009F435F"/>
    <w:rsid w:val="009F4436"/>
    <w:rsid w:val="009F4CE5"/>
    <w:rsid w:val="009F53E5"/>
    <w:rsid w:val="009F5D19"/>
    <w:rsid w:val="009F5D67"/>
    <w:rsid w:val="009F61E2"/>
    <w:rsid w:val="009F6A89"/>
    <w:rsid w:val="009F6C4C"/>
    <w:rsid w:val="009F6DDD"/>
    <w:rsid w:val="009F7000"/>
    <w:rsid w:val="009F7384"/>
    <w:rsid w:val="009F77DB"/>
    <w:rsid w:val="00A00A6A"/>
    <w:rsid w:val="00A01230"/>
    <w:rsid w:val="00A016F4"/>
    <w:rsid w:val="00A02115"/>
    <w:rsid w:val="00A02810"/>
    <w:rsid w:val="00A030F6"/>
    <w:rsid w:val="00A03128"/>
    <w:rsid w:val="00A03A6D"/>
    <w:rsid w:val="00A03ABF"/>
    <w:rsid w:val="00A03AC0"/>
    <w:rsid w:val="00A03CC2"/>
    <w:rsid w:val="00A03EA2"/>
    <w:rsid w:val="00A04056"/>
    <w:rsid w:val="00A041E9"/>
    <w:rsid w:val="00A04220"/>
    <w:rsid w:val="00A04A1D"/>
    <w:rsid w:val="00A04FA2"/>
    <w:rsid w:val="00A0516C"/>
    <w:rsid w:val="00A05301"/>
    <w:rsid w:val="00A059DD"/>
    <w:rsid w:val="00A061F7"/>
    <w:rsid w:val="00A06823"/>
    <w:rsid w:val="00A07C59"/>
    <w:rsid w:val="00A11004"/>
    <w:rsid w:val="00A1156F"/>
    <w:rsid w:val="00A11B92"/>
    <w:rsid w:val="00A124F5"/>
    <w:rsid w:val="00A12608"/>
    <w:rsid w:val="00A12C05"/>
    <w:rsid w:val="00A12F1A"/>
    <w:rsid w:val="00A133D5"/>
    <w:rsid w:val="00A1396F"/>
    <w:rsid w:val="00A1423E"/>
    <w:rsid w:val="00A14F36"/>
    <w:rsid w:val="00A15625"/>
    <w:rsid w:val="00A156AC"/>
    <w:rsid w:val="00A16494"/>
    <w:rsid w:val="00A1753E"/>
    <w:rsid w:val="00A17B96"/>
    <w:rsid w:val="00A17E06"/>
    <w:rsid w:val="00A201E5"/>
    <w:rsid w:val="00A202D6"/>
    <w:rsid w:val="00A204B9"/>
    <w:rsid w:val="00A20628"/>
    <w:rsid w:val="00A21116"/>
    <w:rsid w:val="00A2184B"/>
    <w:rsid w:val="00A2198A"/>
    <w:rsid w:val="00A21F2F"/>
    <w:rsid w:val="00A22A86"/>
    <w:rsid w:val="00A22E59"/>
    <w:rsid w:val="00A2396B"/>
    <w:rsid w:val="00A2397F"/>
    <w:rsid w:val="00A23BCE"/>
    <w:rsid w:val="00A23CD9"/>
    <w:rsid w:val="00A23D39"/>
    <w:rsid w:val="00A24277"/>
    <w:rsid w:val="00A24585"/>
    <w:rsid w:val="00A250EA"/>
    <w:rsid w:val="00A25346"/>
    <w:rsid w:val="00A253F3"/>
    <w:rsid w:val="00A25753"/>
    <w:rsid w:val="00A26D5D"/>
    <w:rsid w:val="00A27165"/>
    <w:rsid w:val="00A2728F"/>
    <w:rsid w:val="00A27553"/>
    <w:rsid w:val="00A27A90"/>
    <w:rsid w:val="00A30942"/>
    <w:rsid w:val="00A30E6A"/>
    <w:rsid w:val="00A3162F"/>
    <w:rsid w:val="00A31634"/>
    <w:rsid w:val="00A31694"/>
    <w:rsid w:val="00A31824"/>
    <w:rsid w:val="00A31D8B"/>
    <w:rsid w:val="00A321E0"/>
    <w:rsid w:val="00A327DF"/>
    <w:rsid w:val="00A3282A"/>
    <w:rsid w:val="00A32A50"/>
    <w:rsid w:val="00A330A2"/>
    <w:rsid w:val="00A33598"/>
    <w:rsid w:val="00A33694"/>
    <w:rsid w:val="00A336E7"/>
    <w:rsid w:val="00A340FB"/>
    <w:rsid w:val="00A3415A"/>
    <w:rsid w:val="00A34A79"/>
    <w:rsid w:val="00A34F2E"/>
    <w:rsid w:val="00A3533F"/>
    <w:rsid w:val="00A354BB"/>
    <w:rsid w:val="00A359DE"/>
    <w:rsid w:val="00A35F0F"/>
    <w:rsid w:val="00A36132"/>
    <w:rsid w:val="00A361E9"/>
    <w:rsid w:val="00A3778E"/>
    <w:rsid w:val="00A40D61"/>
    <w:rsid w:val="00A40EAD"/>
    <w:rsid w:val="00A40F04"/>
    <w:rsid w:val="00A41173"/>
    <w:rsid w:val="00A412F4"/>
    <w:rsid w:val="00A4216F"/>
    <w:rsid w:val="00A43429"/>
    <w:rsid w:val="00A444A8"/>
    <w:rsid w:val="00A45006"/>
    <w:rsid w:val="00A466F2"/>
    <w:rsid w:val="00A46EAC"/>
    <w:rsid w:val="00A46FB4"/>
    <w:rsid w:val="00A470E5"/>
    <w:rsid w:val="00A4723A"/>
    <w:rsid w:val="00A472D5"/>
    <w:rsid w:val="00A47651"/>
    <w:rsid w:val="00A4783D"/>
    <w:rsid w:val="00A47923"/>
    <w:rsid w:val="00A50029"/>
    <w:rsid w:val="00A501E1"/>
    <w:rsid w:val="00A5080B"/>
    <w:rsid w:val="00A50B64"/>
    <w:rsid w:val="00A50C17"/>
    <w:rsid w:val="00A51662"/>
    <w:rsid w:val="00A51725"/>
    <w:rsid w:val="00A523D4"/>
    <w:rsid w:val="00A524AB"/>
    <w:rsid w:val="00A52CCA"/>
    <w:rsid w:val="00A53773"/>
    <w:rsid w:val="00A539A2"/>
    <w:rsid w:val="00A53C7C"/>
    <w:rsid w:val="00A540A9"/>
    <w:rsid w:val="00A542C1"/>
    <w:rsid w:val="00A54483"/>
    <w:rsid w:val="00A54F3E"/>
    <w:rsid w:val="00A55C20"/>
    <w:rsid w:val="00A55CEB"/>
    <w:rsid w:val="00A55E60"/>
    <w:rsid w:val="00A607BC"/>
    <w:rsid w:val="00A61258"/>
    <w:rsid w:val="00A61721"/>
    <w:rsid w:val="00A61836"/>
    <w:rsid w:val="00A61E76"/>
    <w:rsid w:val="00A626FD"/>
    <w:rsid w:val="00A62D68"/>
    <w:rsid w:val="00A63006"/>
    <w:rsid w:val="00A63052"/>
    <w:rsid w:val="00A63C52"/>
    <w:rsid w:val="00A63DF1"/>
    <w:rsid w:val="00A64E37"/>
    <w:rsid w:val="00A657AA"/>
    <w:rsid w:val="00A65AB7"/>
    <w:rsid w:val="00A664C8"/>
    <w:rsid w:val="00A66722"/>
    <w:rsid w:val="00A6699E"/>
    <w:rsid w:val="00A66E5C"/>
    <w:rsid w:val="00A6724C"/>
    <w:rsid w:val="00A67A4E"/>
    <w:rsid w:val="00A67AC2"/>
    <w:rsid w:val="00A67B40"/>
    <w:rsid w:val="00A70AF2"/>
    <w:rsid w:val="00A70B6A"/>
    <w:rsid w:val="00A70EC8"/>
    <w:rsid w:val="00A7185A"/>
    <w:rsid w:val="00A71CA8"/>
    <w:rsid w:val="00A71D95"/>
    <w:rsid w:val="00A726F7"/>
    <w:rsid w:val="00A72B7E"/>
    <w:rsid w:val="00A72F73"/>
    <w:rsid w:val="00A73329"/>
    <w:rsid w:val="00A7353D"/>
    <w:rsid w:val="00A736B5"/>
    <w:rsid w:val="00A74341"/>
    <w:rsid w:val="00A74A50"/>
    <w:rsid w:val="00A74C22"/>
    <w:rsid w:val="00A75550"/>
    <w:rsid w:val="00A7573D"/>
    <w:rsid w:val="00A75775"/>
    <w:rsid w:val="00A75AE3"/>
    <w:rsid w:val="00A76A6D"/>
    <w:rsid w:val="00A76C90"/>
    <w:rsid w:val="00A77379"/>
    <w:rsid w:val="00A77555"/>
    <w:rsid w:val="00A77A92"/>
    <w:rsid w:val="00A77E64"/>
    <w:rsid w:val="00A8041A"/>
    <w:rsid w:val="00A80604"/>
    <w:rsid w:val="00A810DA"/>
    <w:rsid w:val="00A815AB"/>
    <w:rsid w:val="00A81E57"/>
    <w:rsid w:val="00A82541"/>
    <w:rsid w:val="00A83B02"/>
    <w:rsid w:val="00A84F08"/>
    <w:rsid w:val="00A85D21"/>
    <w:rsid w:val="00A86119"/>
    <w:rsid w:val="00A863E1"/>
    <w:rsid w:val="00A86498"/>
    <w:rsid w:val="00A8749A"/>
    <w:rsid w:val="00A879E3"/>
    <w:rsid w:val="00A87DB4"/>
    <w:rsid w:val="00A9001A"/>
    <w:rsid w:val="00A90481"/>
    <w:rsid w:val="00A906F3"/>
    <w:rsid w:val="00A90F38"/>
    <w:rsid w:val="00A91A0F"/>
    <w:rsid w:val="00A91DA5"/>
    <w:rsid w:val="00A91DB7"/>
    <w:rsid w:val="00A91FCE"/>
    <w:rsid w:val="00A92B81"/>
    <w:rsid w:val="00A92BCB"/>
    <w:rsid w:val="00A92D76"/>
    <w:rsid w:val="00A93038"/>
    <w:rsid w:val="00A9313E"/>
    <w:rsid w:val="00A9367A"/>
    <w:rsid w:val="00A93BF6"/>
    <w:rsid w:val="00A93C88"/>
    <w:rsid w:val="00A93CE9"/>
    <w:rsid w:val="00A94044"/>
    <w:rsid w:val="00A94F0B"/>
    <w:rsid w:val="00A94F13"/>
    <w:rsid w:val="00A95295"/>
    <w:rsid w:val="00A959D2"/>
    <w:rsid w:val="00A96311"/>
    <w:rsid w:val="00A966B5"/>
    <w:rsid w:val="00A972B6"/>
    <w:rsid w:val="00A97D7F"/>
    <w:rsid w:val="00AA0C7B"/>
    <w:rsid w:val="00AA12EE"/>
    <w:rsid w:val="00AA17D5"/>
    <w:rsid w:val="00AA187E"/>
    <w:rsid w:val="00AA228C"/>
    <w:rsid w:val="00AA3011"/>
    <w:rsid w:val="00AA3620"/>
    <w:rsid w:val="00AA3845"/>
    <w:rsid w:val="00AA3980"/>
    <w:rsid w:val="00AA407B"/>
    <w:rsid w:val="00AA4F59"/>
    <w:rsid w:val="00AA52E6"/>
    <w:rsid w:val="00AA5C0F"/>
    <w:rsid w:val="00AA625E"/>
    <w:rsid w:val="00AA6633"/>
    <w:rsid w:val="00AA6CEE"/>
    <w:rsid w:val="00AA7150"/>
    <w:rsid w:val="00AA71B9"/>
    <w:rsid w:val="00AB03DA"/>
    <w:rsid w:val="00AB115D"/>
    <w:rsid w:val="00AB2293"/>
    <w:rsid w:val="00AB26E4"/>
    <w:rsid w:val="00AB30D3"/>
    <w:rsid w:val="00AB3599"/>
    <w:rsid w:val="00AB3925"/>
    <w:rsid w:val="00AB3F1E"/>
    <w:rsid w:val="00AB4582"/>
    <w:rsid w:val="00AB4999"/>
    <w:rsid w:val="00AB4A12"/>
    <w:rsid w:val="00AB4EE2"/>
    <w:rsid w:val="00AB527E"/>
    <w:rsid w:val="00AB5AA4"/>
    <w:rsid w:val="00AB5BFC"/>
    <w:rsid w:val="00AB65EA"/>
    <w:rsid w:val="00AB6AFD"/>
    <w:rsid w:val="00AB6B0D"/>
    <w:rsid w:val="00AB6F20"/>
    <w:rsid w:val="00AB7BD2"/>
    <w:rsid w:val="00AC072F"/>
    <w:rsid w:val="00AC079A"/>
    <w:rsid w:val="00AC2DFA"/>
    <w:rsid w:val="00AC35F6"/>
    <w:rsid w:val="00AC3BCB"/>
    <w:rsid w:val="00AC4604"/>
    <w:rsid w:val="00AC488C"/>
    <w:rsid w:val="00AC57EA"/>
    <w:rsid w:val="00AC58B4"/>
    <w:rsid w:val="00AC5A17"/>
    <w:rsid w:val="00AC6224"/>
    <w:rsid w:val="00AC6640"/>
    <w:rsid w:val="00AC6A8C"/>
    <w:rsid w:val="00AC6F38"/>
    <w:rsid w:val="00AC6FC9"/>
    <w:rsid w:val="00AC70AA"/>
    <w:rsid w:val="00AC716E"/>
    <w:rsid w:val="00AC75BE"/>
    <w:rsid w:val="00AC77C9"/>
    <w:rsid w:val="00AC7844"/>
    <w:rsid w:val="00AC7BFA"/>
    <w:rsid w:val="00AC7C7A"/>
    <w:rsid w:val="00AD098C"/>
    <w:rsid w:val="00AD0B7B"/>
    <w:rsid w:val="00AD0D34"/>
    <w:rsid w:val="00AD1050"/>
    <w:rsid w:val="00AD124B"/>
    <w:rsid w:val="00AD2539"/>
    <w:rsid w:val="00AD3529"/>
    <w:rsid w:val="00AD38C4"/>
    <w:rsid w:val="00AD397B"/>
    <w:rsid w:val="00AD3AB2"/>
    <w:rsid w:val="00AD3B6A"/>
    <w:rsid w:val="00AD4C30"/>
    <w:rsid w:val="00AD4F88"/>
    <w:rsid w:val="00AD565F"/>
    <w:rsid w:val="00AD5F89"/>
    <w:rsid w:val="00AD6CAC"/>
    <w:rsid w:val="00AD6D30"/>
    <w:rsid w:val="00AD6DEB"/>
    <w:rsid w:val="00AD7243"/>
    <w:rsid w:val="00AD78BD"/>
    <w:rsid w:val="00AD7916"/>
    <w:rsid w:val="00AD7A16"/>
    <w:rsid w:val="00AD7A2F"/>
    <w:rsid w:val="00AE0136"/>
    <w:rsid w:val="00AE023E"/>
    <w:rsid w:val="00AE02DF"/>
    <w:rsid w:val="00AE1025"/>
    <w:rsid w:val="00AE1076"/>
    <w:rsid w:val="00AE1837"/>
    <w:rsid w:val="00AE1BEB"/>
    <w:rsid w:val="00AE20A1"/>
    <w:rsid w:val="00AE2675"/>
    <w:rsid w:val="00AE3062"/>
    <w:rsid w:val="00AE320E"/>
    <w:rsid w:val="00AE3298"/>
    <w:rsid w:val="00AE3A91"/>
    <w:rsid w:val="00AE3B43"/>
    <w:rsid w:val="00AE4FD5"/>
    <w:rsid w:val="00AE4FDF"/>
    <w:rsid w:val="00AE5736"/>
    <w:rsid w:val="00AE5D41"/>
    <w:rsid w:val="00AE5DF7"/>
    <w:rsid w:val="00AE6502"/>
    <w:rsid w:val="00AE6510"/>
    <w:rsid w:val="00AE65B0"/>
    <w:rsid w:val="00AE6670"/>
    <w:rsid w:val="00AE67AD"/>
    <w:rsid w:val="00AE6836"/>
    <w:rsid w:val="00AE6E10"/>
    <w:rsid w:val="00AE7412"/>
    <w:rsid w:val="00AE7CFA"/>
    <w:rsid w:val="00AF0058"/>
    <w:rsid w:val="00AF05A4"/>
    <w:rsid w:val="00AF08DF"/>
    <w:rsid w:val="00AF0B2D"/>
    <w:rsid w:val="00AF0E23"/>
    <w:rsid w:val="00AF1AF3"/>
    <w:rsid w:val="00AF1D02"/>
    <w:rsid w:val="00AF1FD0"/>
    <w:rsid w:val="00AF2279"/>
    <w:rsid w:val="00AF32D5"/>
    <w:rsid w:val="00AF342B"/>
    <w:rsid w:val="00AF4BAC"/>
    <w:rsid w:val="00AF4DB7"/>
    <w:rsid w:val="00AF4ECE"/>
    <w:rsid w:val="00AF56DF"/>
    <w:rsid w:val="00AF5AB3"/>
    <w:rsid w:val="00AF76E3"/>
    <w:rsid w:val="00B00D92"/>
    <w:rsid w:val="00B01601"/>
    <w:rsid w:val="00B01724"/>
    <w:rsid w:val="00B017AB"/>
    <w:rsid w:val="00B01C38"/>
    <w:rsid w:val="00B02BD4"/>
    <w:rsid w:val="00B02C04"/>
    <w:rsid w:val="00B02E25"/>
    <w:rsid w:val="00B03250"/>
    <w:rsid w:val="00B0422A"/>
    <w:rsid w:val="00B04728"/>
    <w:rsid w:val="00B04DDD"/>
    <w:rsid w:val="00B04F6A"/>
    <w:rsid w:val="00B06699"/>
    <w:rsid w:val="00B07500"/>
    <w:rsid w:val="00B1062E"/>
    <w:rsid w:val="00B10770"/>
    <w:rsid w:val="00B10B47"/>
    <w:rsid w:val="00B10C6D"/>
    <w:rsid w:val="00B124AA"/>
    <w:rsid w:val="00B125A3"/>
    <w:rsid w:val="00B1331B"/>
    <w:rsid w:val="00B134A0"/>
    <w:rsid w:val="00B139FA"/>
    <w:rsid w:val="00B13F3A"/>
    <w:rsid w:val="00B148BE"/>
    <w:rsid w:val="00B14EAA"/>
    <w:rsid w:val="00B152CA"/>
    <w:rsid w:val="00B16377"/>
    <w:rsid w:val="00B16922"/>
    <w:rsid w:val="00B16D31"/>
    <w:rsid w:val="00B171A4"/>
    <w:rsid w:val="00B176D2"/>
    <w:rsid w:val="00B1779F"/>
    <w:rsid w:val="00B17E71"/>
    <w:rsid w:val="00B205E9"/>
    <w:rsid w:val="00B20DB8"/>
    <w:rsid w:val="00B2126A"/>
    <w:rsid w:val="00B21A7D"/>
    <w:rsid w:val="00B21E79"/>
    <w:rsid w:val="00B22219"/>
    <w:rsid w:val="00B22D95"/>
    <w:rsid w:val="00B22FD9"/>
    <w:rsid w:val="00B23BFD"/>
    <w:rsid w:val="00B23D20"/>
    <w:rsid w:val="00B24207"/>
    <w:rsid w:val="00B24E70"/>
    <w:rsid w:val="00B25482"/>
    <w:rsid w:val="00B25938"/>
    <w:rsid w:val="00B25A16"/>
    <w:rsid w:val="00B25C1D"/>
    <w:rsid w:val="00B2606C"/>
    <w:rsid w:val="00B2756B"/>
    <w:rsid w:val="00B27BF9"/>
    <w:rsid w:val="00B301C8"/>
    <w:rsid w:val="00B305E2"/>
    <w:rsid w:val="00B30B2B"/>
    <w:rsid w:val="00B30C5C"/>
    <w:rsid w:val="00B31B6C"/>
    <w:rsid w:val="00B31E15"/>
    <w:rsid w:val="00B31F9F"/>
    <w:rsid w:val="00B32959"/>
    <w:rsid w:val="00B336AC"/>
    <w:rsid w:val="00B336D3"/>
    <w:rsid w:val="00B33918"/>
    <w:rsid w:val="00B342AA"/>
    <w:rsid w:val="00B3587C"/>
    <w:rsid w:val="00B358B9"/>
    <w:rsid w:val="00B35DEC"/>
    <w:rsid w:val="00B35FD6"/>
    <w:rsid w:val="00B36924"/>
    <w:rsid w:val="00B37BA5"/>
    <w:rsid w:val="00B40004"/>
    <w:rsid w:val="00B40FD4"/>
    <w:rsid w:val="00B4143B"/>
    <w:rsid w:val="00B41955"/>
    <w:rsid w:val="00B41C98"/>
    <w:rsid w:val="00B432F9"/>
    <w:rsid w:val="00B435C7"/>
    <w:rsid w:val="00B44668"/>
    <w:rsid w:val="00B44D11"/>
    <w:rsid w:val="00B44E30"/>
    <w:rsid w:val="00B45073"/>
    <w:rsid w:val="00B450A8"/>
    <w:rsid w:val="00B46445"/>
    <w:rsid w:val="00B4664A"/>
    <w:rsid w:val="00B46FB9"/>
    <w:rsid w:val="00B47622"/>
    <w:rsid w:val="00B47DCC"/>
    <w:rsid w:val="00B50441"/>
    <w:rsid w:val="00B50D3A"/>
    <w:rsid w:val="00B50F1E"/>
    <w:rsid w:val="00B51612"/>
    <w:rsid w:val="00B5235F"/>
    <w:rsid w:val="00B528E2"/>
    <w:rsid w:val="00B52A0F"/>
    <w:rsid w:val="00B52AA6"/>
    <w:rsid w:val="00B52D1E"/>
    <w:rsid w:val="00B5336A"/>
    <w:rsid w:val="00B53533"/>
    <w:rsid w:val="00B5380B"/>
    <w:rsid w:val="00B540C9"/>
    <w:rsid w:val="00B54391"/>
    <w:rsid w:val="00B544AA"/>
    <w:rsid w:val="00B54B25"/>
    <w:rsid w:val="00B54B63"/>
    <w:rsid w:val="00B556FB"/>
    <w:rsid w:val="00B55D7C"/>
    <w:rsid w:val="00B55DAF"/>
    <w:rsid w:val="00B56435"/>
    <w:rsid w:val="00B570AC"/>
    <w:rsid w:val="00B573F7"/>
    <w:rsid w:val="00B57E15"/>
    <w:rsid w:val="00B6000B"/>
    <w:rsid w:val="00B6026F"/>
    <w:rsid w:val="00B60314"/>
    <w:rsid w:val="00B608F4"/>
    <w:rsid w:val="00B6129E"/>
    <w:rsid w:val="00B618BC"/>
    <w:rsid w:val="00B61DD5"/>
    <w:rsid w:val="00B62A3A"/>
    <w:rsid w:val="00B62BEF"/>
    <w:rsid w:val="00B62DDF"/>
    <w:rsid w:val="00B631ED"/>
    <w:rsid w:val="00B63650"/>
    <w:rsid w:val="00B63689"/>
    <w:rsid w:val="00B64489"/>
    <w:rsid w:val="00B6474C"/>
    <w:rsid w:val="00B64833"/>
    <w:rsid w:val="00B6484C"/>
    <w:rsid w:val="00B64D60"/>
    <w:rsid w:val="00B64DDE"/>
    <w:rsid w:val="00B64F2E"/>
    <w:rsid w:val="00B654F8"/>
    <w:rsid w:val="00B658FC"/>
    <w:rsid w:val="00B66493"/>
    <w:rsid w:val="00B6712B"/>
    <w:rsid w:val="00B67419"/>
    <w:rsid w:val="00B67888"/>
    <w:rsid w:val="00B67AE2"/>
    <w:rsid w:val="00B67BC7"/>
    <w:rsid w:val="00B703DF"/>
    <w:rsid w:val="00B70424"/>
    <w:rsid w:val="00B70BC7"/>
    <w:rsid w:val="00B70F87"/>
    <w:rsid w:val="00B71112"/>
    <w:rsid w:val="00B71A81"/>
    <w:rsid w:val="00B722E3"/>
    <w:rsid w:val="00B73913"/>
    <w:rsid w:val="00B73AE9"/>
    <w:rsid w:val="00B73C0E"/>
    <w:rsid w:val="00B73CD0"/>
    <w:rsid w:val="00B741EC"/>
    <w:rsid w:val="00B741F6"/>
    <w:rsid w:val="00B742BD"/>
    <w:rsid w:val="00B745B2"/>
    <w:rsid w:val="00B7481D"/>
    <w:rsid w:val="00B7527E"/>
    <w:rsid w:val="00B75B6E"/>
    <w:rsid w:val="00B75F50"/>
    <w:rsid w:val="00B76566"/>
    <w:rsid w:val="00B76E55"/>
    <w:rsid w:val="00B771CF"/>
    <w:rsid w:val="00B775AE"/>
    <w:rsid w:val="00B80BAF"/>
    <w:rsid w:val="00B81603"/>
    <w:rsid w:val="00B81637"/>
    <w:rsid w:val="00B8196C"/>
    <w:rsid w:val="00B838B2"/>
    <w:rsid w:val="00B84994"/>
    <w:rsid w:val="00B8590A"/>
    <w:rsid w:val="00B86E50"/>
    <w:rsid w:val="00B87705"/>
    <w:rsid w:val="00B87887"/>
    <w:rsid w:val="00B87BE6"/>
    <w:rsid w:val="00B90481"/>
    <w:rsid w:val="00B91283"/>
    <w:rsid w:val="00B91AC5"/>
    <w:rsid w:val="00B91F4C"/>
    <w:rsid w:val="00B926B5"/>
    <w:rsid w:val="00B92E09"/>
    <w:rsid w:val="00B92E43"/>
    <w:rsid w:val="00B92F33"/>
    <w:rsid w:val="00B92F90"/>
    <w:rsid w:val="00B93146"/>
    <w:rsid w:val="00B932A1"/>
    <w:rsid w:val="00B932A7"/>
    <w:rsid w:val="00B934EE"/>
    <w:rsid w:val="00B93E46"/>
    <w:rsid w:val="00B9446E"/>
    <w:rsid w:val="00B94B48"/>
    <w:rsid w:val="00B94D08"/>
    <w:rsid w:val="00B96A57"/>
    <w:rsid w:val="00B97135"/>
    <w:rsid w:val="00B97B24"/>
    <w:rsid w:val="00B97ECB"/>
    <w:rsid w:val="00BA0045"/>
    <w:rsid w:val="00BA0BCB"/>
    <w:rsid w:val="00BA0F7F"/>
    <w:rsid w:val="00BA1B0A"/>
    <w:rsid w:val="00BA1C1B"/>
    <w:rsid w:val="00BA1D52"/>
    <w:rsid w:val="00BA20B3"/>
    <w:rsid w:val="00BA224E"/>
    <w:rsid w:val="00BA22F8"/>
    <w:rsid w:val="00BA3807"/>
    <w:rsid w:val="00BA3E80"/>
    <w:rsid w:val="00BA42C1"/>
    <w:rsid w:val="00BA4C14"/>
    <w:rsid w:val="00BA58AA"/>
    <w:rsid w:val="00BA69D7"/>
    <w:rsid w:val="00BB04CB"/>
    <w:rsid w:val="00BB052D"/>
    <w:rsid w:val="00BB0A22"/>
    <w:rsid w:val="00BB0ACB"/>
    <w:rsid w:val="00BB15E0"/>
    <w:rsid w:val="00BB1654"/>
    <w:rsid w:val="00BB1B8F"/>
    <w:rsid w:val="00BB272F"/>
    <w:rsid w:val="00BB2AB5"/>
    <w:rsid w:val="00BB2B84"/>
    <w:rsid w:val="00BB2EEE"/>
    <w:rsid w:val="00BB34FF"/>
    <w:rsid w:val="00BB372E"/>
    <w:rsid w:val="00BB3EB1"/>
    <w:rsid w:val="00BB41EC"/>
    <w:rsid w:val="00BB4255"/>
    <w:rsid w:val="00BB43B7"/>
    <w:rsid w:val="00BB4BFA"/>
    <w:rsid w:val="00BB4F42"/>
    <w:rsid w:val="00BB5797"/>
    <w:rsid w:val="00BB5F3A"/>
    <w:rsid w:val="00BB68EB"/>
    <w:rsid w:val="00BB6FB2"/>
    <w:rsid w:val="00BB7E71"/>
    <w:rsid w:val="00BB7E92"/>
    <w:rsid w:val="00BC0DC9"/>
    <w:rsid w:val="00BC0F52"/>
    <w:rsid w:val="00BC12BD"/>
    <w:rsid w:val="00BC1655"/>
    <w:rsid w:val="00BC196E"/>
    <w:rsid w:val="00BC1B1C"/>
    <w:rsid w:val="00BC1CD7"/>
    <w:rsid w:val="00BC223E"/>
    <w:rsid w:val="00BC273D"/>
    <w:rsid w:val="00BC27E6"/>
    <w:rsid w:val="00BC2B31"/>
    <w:rsid w:val="00BC2D80"/>
    <w:rsid w:val="00BC3154"/>
    <w:rsid w:val="00BC38BF"/>
    <w:rsid w:val="00BC515D"/>
    <w:rsid w:val="00BC5FC1"/>
    <w:rsid w:val="00BC5FEE"/>
    <w:rsid w:val="00BC66E1"/>
    <w:rsid w:val="00BC6916"/>
    <w:rsid w:val="00BC7336"/>
    <w:rsid w:val="00BD062E"/>
    <w:rsid w:val="00BD064B"/>
    <w:rsid w:val="00BD0C1D"/>
    <w:rsid w:val="00BD1159"/>
    <w:rsid w:val="00BD1F11"/>
    <w:rsid w:val="00BD2E26"/>
    <w:rsid w:val="00BD2E65"/>
    <w:rsid w:val="00BD32F5"/>
    <w:rsid w:val="00BD35FA"/>
    <w:rsid w:val="00BD36CF"/>
    <w:rsid w:val="00BD399B"/>
    <w:rsid w:val="00BD4229"/>
    <w:rsid w:val="00BD5703"/>
    <w:rsid w:val="00BD59F8"/>
    <w:rsid w:val="00BD5C4C"/>
    <w:rsid w:val="00BD5D1A"/>
    <w:rsid w:val="00BD6446"/>
    <w:rsid w:val="00BD65B9"/>
    <w:rsid w:val="00BD6915"/>
    <w:rsid w:val="00BD6BC9"/>
    <w:rsid w:val="00BD7059"/>
    <w:rsid w:val="00BD70E4"/>
    <w:rsid w:val="00BD7341"/>
    <w:rsid w:val="00BD7504"/>
    <w:rsid w:val="00BD754D"/>
    <w:rsid w:val="00BD7D91"/>
    <w:rsid w:val="00BD7E84"/>
    <w:rsid w:val="00BD7FC6"/>
    <w:rsid w:val="00BE03B7"/>
    <w:rsid w:val="00BE0ED4"/>
    <w:rsid w:val="00BE1469"/>
    <w:rsid w:val="00BE163B"/>
    <w:rsid w:val="00BE1DD8"/>
    <w:rsid w:val="00BE230D"/>
    <w:rsid w:val="00BE256A"/>
    <w:rsid w:val="00BE3054"/>
    <w:rsid w:val="00BE3458"/>
    <w:rsid w:val="00BE36C6"/>
    <w:rsid w:val="00BE3A4B"/>
    <w:rsid w:val="00BE3BF1"/>
    <w:rsid w:val="00BE4307"/>
    <w:rsid w:val="00BE4835"/>
    <w:rsid w:val="00BE4AFB"/>
    <w:rsid w:val="00BE5293"/>
    <w:rsid w:val="00BE5C99"/>
    <w:rsid w:val="00BE6526"/>
    <w:rsid w:val="00BE75A5"/>
    <w:rsid w:val="00BE793E"/>
    <w:rsid w:val="00BE7C0E"/>
    <w:rsid w:val="00BE7CD7"/>
    <w:rsid w:val="00BE7FD6"/>
    <w:rsid w:val="00BF016B"/>
    <w:rsid w:val="00BF0406"/>
    <w:rsid w:val="00BF0650"/>
    <w:rsid w:val="00BF12CD"/>
    <w:rsid w:val="00BF1508"/>
    <w:rsid w:val="00BF18D3"/>
    <w:rsid w:val="00BF1A85"/>
    <w:rsid w:val="00BF1AC2"/>
    <w:rsid w:val="00BF1AC7"/>
    <w:rsid w:val="00BF1D83"/>
    <w:rsid w:val="00BF217C"/>
    <w:rsid w:val="00BF21AF"/>
    <w:rsid w:val="00BF2969"/>
    <w:rsid w:val="00BF2D6C"/>
    <w:rsid w:val="00BF2F0D"/>
    <w:rsid w:val="00BF3490"/>
    <w:rsid w:val="00BF37C2"/>
    <w:rsid w:val="00BF3A3C"/>
    <w:rsid w:val="00BF3D34"/>
    <w:rsid w:val="00BF4283"/>
    <w:rsid w:val="00BF42C8"/>
    <w:rsid w:val="00BF4988"/>
    <w:rsid w:val="00BF4EB5"/>
    <w:rsid w:val="00BF515D"/>
    <w:rsid w:val="00BF5438"/>
    <w:rsid w:val="00BF56A7"/>
    <w:rsid w:val="00BF576B"/>
    <w:rsid w:val="00BF617A"/>
    <w:rsid w:val="00BF6B84"/>
    <w:rsid w:val="00BF6C9C"/>
    <w:rsid w:val="00BF6E62"/>
    <w:rsid w:val="00BF71F7"/>
    <w:rsid w:val="00BF722E"/>
    <w:rsid w:val="00BF72CC"/>
    <w:rsid w:val="00BF7398"/>
    <w:rsid w:val="00BF74B4"/>
    <w:rsid w:val="00BF7A78"/>
    <w:rsid w:val="00C0088C"/>
    <w:rsid w:val="00C00A21"/>
    <w:rsid w:val="00C00B6C"/>
    <w:rsid w:val="00C01B0B"/>
    <w:rsid w:val="00C01D47"/>
    <w:rsid w:val="00C035E0"/>
    <w:rsid w:val="00C03F53"/>
    <w:rsid w:val="00C04B63"/>
    <w:rsid w:val="00C04F28"/>
    <w:rsid w:val="00C050EE"/>
    <w:rsid w:val="00C052D2"/>
    <w:rsid w:val="00C06526"/>
    <w:rsid w:val="00C0669B"/>
    <w:rsid w:val="00C06A4B"/>
    <w:rsid w:val="00C11955"/>
    <w:rsid w:val="00C12178"/>
    <w:rsid w:val="00C12270"/>
    <w:rsid w:val="00C12317"/>
    <w:rsid w:val="00C124B7"/>
    <w:rsid w:val="00C128F9"/>
    <w:rsid w:val="00C13056"/>
    <w:rsid w:val="00C13310"/>
    <w:rsid w:val="00C13B9C"/>
    <w:rsid w:val="00C13EBE"/>
    <w:rsid w:val="00C145A0"/>
    <w:rsid w:val="00C14679"/>
    <w:rsid w:val="00C15048"/>
    <w:rsid w:val="00C15112"/>
    <w:rsid w:val="00C1523D"/>
    <w:rsid w:val="00C1544F"/>
    <w:rsid w:val="00C15871"/>
    <w:rsid w:val="00C15A5E"/>
    <w:rsid w:val="00C15CB1"/>
    <w:rsid w:val="00C16071"/>
    <w:rsid w:val="00C1673C"/>
    <w:rsid w:val="00C17BF2"/>
    <w:rsid w:val="00C17E65"/>
    <w:rsid w:val="00C2018C"/>
    <w:rsid w:val="00C2034A"/>
    <w:rsid w:val="00C20D7F"/>
    <w:rsid w:val="00C21328"/>
    <w:rsid w:val="00C21488"/>
    <w:rsid w:val="00C21648"/>
    <w:rsid w:val="00C21E33"/>
    <w:rsid w:val="00C22251"/>
    <w:rsid w:val="00C2276B"/>
    <w:rsid w:val="00C22F89"/>
    <w:rsid w:val="00C23334"/>
    <w:rsid w:val="00C2349E"/>
    <w:rsid w:val="00C23AEB"/>
    <w:rsid w:val="00C23CE7"/>
    <w:rsid w:val="00C23F27"/>
    <w:rsid w:val="00C2427E"/>
    <w:rsid w:val="00C243C4"/>
    <w:rsid w:val="00C24BCD"/>
    <w:rsid w:val="00C24D28"/>
    <w:rsid w:val="00C25A33"/>
    <w:rsid w:val="00C25EDB"/>
    <w:rsid w:val="00C2618F"/>
    <w:rsid w:val="00C26252"/>
    <w:rsid w:val="00C262EF"/>
    <w:rsid w:val="00C2640A"/>
    <w:rsid w:val="00C267EE"/>
    <w:rsid w:val="00C26FF2"/>
    <w:rsid w:val="00C279A1"/>
    <w:rsid w:val="00C30905"/>
    <w:rsid w:val="00C30B7E"/>
    <w:rsid w:val="00C3136F"/>
    <w:rsid w:val="00C313C0"/>
    <w:rsid w:val="00C31A28"/>
    <w:rsid w:val="00C31CA9"/>
    <w:rsid w:val="00C32CB2"/>
    <w:rsid w:val="00C3344B"/>
    <w:rsid w:val="00C33680"/>
    <w:rsid w:val="00C33A5F"/>
    <w:rsid w:val="00C33AD0"/>
    <w:rsid w:val="00C33BB5"/>
    <w:rsid w:val="00C342EE"/>
    <w:rsid w:val="00C346D7"/>
    <w:rsid w:val="00C3498A"/>
    <w:rsid w:val="00C357EF"/>
    <w:rsid w:val="00C359F1"/>
    <w:rsid w:val="00C35F49"/>
    <w:rsid w:val="00C36238"/>
    <w:rsid w:val="00C36764"/>
    <w:rsid w:val="00C36BFE"/>
    <w:rsid w:val="00C3705C"/>
    <w:rsid w:val="00C37747"/>
    <w:rsid w:val="00C414AB"/>
    <w:rsid w:val="00C4176B"/>
    <w:rsid w:val="00C41FF9"/>
    <w:rsid w:val="00C4260A"/>
    <w:rsid w:val="00C4282E"/>
    <w:rsid w:val="00C42B1F"/>
    <w:rsid w:val="00C430BC"/>
    <w:rsid w:val="00C433B4"/>
    <w:rsid w:val="00C439DD"/>
    <w:rsid w:val="00C4422C"/>
    <w:rsid w:val="00C44288"/>
    <w:rsid w:val="00C456CF"/>
    <w:rsid w:val="00C46441"/>
    <w:rsid w:val="00C464A1"/>
    <w:rsid w:val="00C46603"/>
    <w:rsid w:val="00C4680F"/>
    <w:rsid w:val="00C46C28"/>
    <w:rsid w:val="00C4737F"/>
    <w:rsid w:val="00C4750A"/>
    <w:rsid w:val="00C4780A"/>
    <w:rsid w:val="00C47B22"/>
    <w:rsid w:val="00C47CC6"/>
    <w:rsid w:val="00C47EB9"/>
    <w:rsid w:val="00C518C0"/>
    <w:rsid w:val="00C51BB6"/>
    <w:rsid w:val="00C53137"/>
    <w:rsid w:val="00C53704"/>
    <w:rsid w:val="00C53818"/>
    <w:rsid w:val="00C53C05"/>
    <w:rsid w:val="00C541F6"/>
    <w:rsid w:val="00C54ECD"/>
    <w:rsid w:val="00C55041"/>
    <w:rsid w:val="00C5524D"/>
    <w:rsid w:val="00C5629E"/>
    <w:rsid w:val="00C56685"/>
    <w:rsid w:val="00C57493"/>
    <w:rsid w:val="00C57883"/>
    <w:rsid w:val="00C57DD8"/>
    <w:rsid w:val="00C601E1"/>
    <w:rsid w:val="00C60CB7"/>
    <w:rsid w:val="00C61239"/>
    <w:rsid w:val="00C61920"/>
    <w:rsid w:val="00C61AD0"/>
    <w:rsid w:val="00C61D2B"/>
    <w:rsid w:val="00C61E8C"/>
    <w:rsid w:val="00C62098"/>
    <w:rsid w:val="00C62C7A"/>
    <w:rsid w:val="00C634E7"/>
    <w:rsid w:val="00C63901"/>
    <w:rsid w:val="00C6399B"/>
    <w:rsid w:val="00C639BF"/>
    <w:rsid w:val="00C63CCF"/>
    <w:rsid w:val="00C63F34"/>
    <w:rsid w:val="00C64F50"/>
    <w:rsid w:val="00C64FEC"/>
    <w:rsid w:val="00C6540A"/>
    <w:rsid w:val="00C65C50"/>
    <w:rsid w:val="00C65CCA"/>
    <w:rsid w:val="00C669A0"/>
    <w:rsid w:val="00C67353"/>
    <w:rsid w:val="00C67509"/>
    <w:rsid w:val="00C7031B"/>
    <w:rsid w:val="00C70488"/>
    <w:rsid w:val="00C707E0"/>
    <w:rsid w:val="00C7089B"/>
    <w:rsid w:val="00C709AA"/>
    <w:rsid w:val="00C70C97"/>
    <w:rsid w:val="00C7105B"/>
    <w:rsid w:val="00C71B0C"/>
    <w:rsid w:val="00C71C42"/>
    <w:rsid w:val="00C72D17"/>
    <w:rsid w:val="00C7300E"/>
    <w:rsid w:val="00C7316A"/>
    <w:rsid w:val="00C7330D"/>
    <w:rsid w:val="00C737CF"/>
    <w:rsid w:val="00C7492B"/>
    <w:rsid w:val="00C75403"/>
    <w:rsid w:val="00C75B0E"/>
    <w:rsid w:val="00C76858"/>
    <w:rsid w:val="00C76EC9"/>
    <w:rsid w:val="00C77997"/>
    <w:rsid w:val="00C77D71"/>
    <w:rsid w:val="00C801DA"/>
    <w:rsid w:val="00C80D66"/>
    <w:rsid w:val="00C80EBF"/>
    <w:rsid w:val="00C80FAE"/>
    <w:rsid w:val="00C81156"/>
    <w:rsid w:val="00C81750"/>
    <w:rsid w:val="00C82470"/>
    <w:rsid w:val="00C82579"/>
    <w:rsid w:val="00C82E96"/>
    <w:rsid w:val="00C83C9A"/>
    <w:rsid w:val="00C847D5"/>
    <w:rsid w:val="00C8489B"/>
    <w:rsid w:val="00C84D7D"/>
    <w:rsid w:val="00C8503F"/>
    <w:rsid w:val="00C8792F"/>
    <w:rsid w:val="00C87A1E"/>
    <w:rsid w:val="00C9025B"/>
    <w:rsid w:val="00C90A11"/>
    <w:rsid w:val="00C90B55"/>
    <w:rsid w:val="00C90E04"/>
    <w:rsid w:val="00C91297"/>
    <w:rsid w:val="00C9151F"/>
    <w:rsid w:val="00C916B6"/>
    <w:rsid w:val="00C919BE"/>
    <w:rsid w:val="00C91E19"/>
    <w:rsid w:val="00C91FB5"/>
    <w:rsid w:val="00C92460"/>
    <w:rsid w:val="00C924A7"/>
    <w:rsid w:val="00C9274A"/>
    <w:rsid w:val="00C927E9"/>
    <w:rsid w:val="00C929D4"/>
    <w:rsid w:val="00C9416F"/>
    <w:rsid w:val="00C9422A"/>
    <w:rsid w:val="00C94F86"/>
    <w:rsid w:val="00C95198"/>
    <w:rsid w:val="00C95631"/>
    <w:rsid w:val="00C9578F"/>
    <w:rsid w:val="00C95DF9"/>
    <w:rsid w:val="00C960F7"/>
    <w:rsid w:val="00C96F57"/>
    <w:rsid w:val="00C97193"/>
    <w:rsid w:val="00C976A6"/>
    <w:rsid w:val="00C97818"/>
    <w:rsid w:val="00C97C07"/>
    <w:rsid w:val="00CA00D5"/>
    <w:rsid w:val="00CA047E"/>
    <w:rsid w:val="00CA0A7D"/>
    <w:rsid w:val="00CA0E9B"/>
    <w:rsid w:val="00CA1183"/>
    <w:rsid w:val="00CA1D90"/>
    <w:rsid w:val="00CA242F"/>
    <w:rsid w:val="00CA2BEF"/>
    <w:rsid w:val="00CA39EE"/>
    <w:rsid w:val="00CA3D73"/>
    <w:rsid w:val="00CA4584"/>
    <w:rsid w:val="00CA4D97"/>
    <w:rsid w:val="00CA521A"/>
    <w:rsid w:val="00CA557B"/>
    <w:rsid w:val="00CA5837"/>
    <w:rsid w:val="00CA5DD3"/>
    <w:rsid w:val="00CA6003"/>
    <w:rsid w:val="00CA68AA"/>
    <w:rsid w:val="00CA6E55"/>
    <w:rsid w:val="00CA72B1"/>
    <w:rsid w:val="00CA754F"/>
    <w:rsid w:val="00CA7E02"/>
    <w:rsid w:val="00CB0203"/>
    <w:rsid w:val="00CB0B2C"/>
    <w:rsid w:val="00CB0BC7"/>
    <w:rsid w:val="00CB212C"/>
    <w:rsid w:val="00CB2139"/>
    <w:rsid w:val="00CB2A08"/>
    <w:rsid w:val="00CB2BEC"/>
    <w:rsid w:val="00CB31BE"/>
    <w:rsid w:val="00CB3472"/>
    <w:rsid w:val="00CB36DA"/>
    <w:rsid w:val="00CB3A54"/>
    <w:rsid w:val="00CB3EB1"/>
    <w:rsid w:val="00CB44C7"/>
    <w:rsid w:val="00CB45CF"/>
    <w:rsid w:val="00CB52A8"/>
    <w:rsid w:val="00CB65F1"/>
    <w:rsid w:val="00CB6DD1"/>
    <w:rsid w:val="00CB739B"/>
    <w:rsid w:val="00CB7561"/>
    <w:rsid w:val="00CB7A17"/>
    <w:rsid w:val="00CB7AA6"/>
    <w:rsid w:val="00CB7BA7"/>
    <w:rsid w:val="00CC0439"/>
    <w:rsid w:val="00CC0B78"/>
    <w:rsid w:val="00CC0F2B"/>
    <w:rsid w:val="00CC11BA"/>
    <w:rsid w:val="00CC19ED"/>
    <w:rsid w:val="00CC2299"/>
    <w:rsid w:val="00CC296C"/>
    <w:rsid w:val="00CC2CF4"/>
    <w:rsid w:val="00CC2FD0"/>
    <w:rsid w:val="00CC3554"/>
    <w:rsid w:val="00CC37D2"/>
    <w:rsid w:val="00CC3AEE"/>
    <w:rsid w:val="00CC3B10"/>
    <w:rsid w:val="00CC3CA1"/>
    <w:rsid w:val="00CC3E10"/>
    <w:rsid w:val="00CC50E7"/>
    <w:rsid w:val="00CC5124"/>
    <w:rsid w:val="00CC5EBE"/>
    <w:rsid w:val="00CC5F47"/>
    <w:rsid w:val="00CC60A1"/>
    <w:rsid w:val="00CC6322"/>
    <w:rsid w:val="00CC669B"/>
    <w:rsid w:val="00CC7892"/>
    <w:rsid w:val="00CD0839"/>
    <w:rsid w:val="00CD0BB2"/>
    <w:rsid w:val="00CD1CBD"/>
    <w:rsid w:val="00CD1CCE"/>
    <w:rsid w:val="00CD23CA"/>
    <w:rsid w:val="00CD292D"/>
    <w:rsid w:val="00CD2D5F"/>
    <w:rsid w:val="00CD2EF4"/>
    <w:rsid w:val="00CD326C"/>
    <w:rsid w:val="00CD444B"/>
    <w:rsid w:val="00CD483C"/>
    <w:rsid w:val="00CD4B08"/>
    <w:rsid w:val="00CD4E38"/>
    <w:rsid w:val="00CD55E4"/>
    <w:rsid w:val="00CD6450"/>
    <w:rsid w:val="00CD6B28"/>
    <w:rsid w:val="00CD6E48"/>
    <w:rsid w:val="00CD7485"/>
    <w:rsid w:val="00CD759A"/>
    <w:rsid w:val="00CD7A6C"/>
    <w:rsid w:val="00CD7AF7"/>
    <w:rsid w:val="00CD7DD0"/>
    <w:rsid w:val="00CE0236"/>
    <w:rsid w:val="00CE19E3"/>
    <w:rsid w:val="00CE2205"/>
    <w:rsid w:val="00CE296B"/>
    <w:rsid w:val="00CE2A30"/>
    <w:rsid w:val="00CE355A"/>
    <w:rsid w:val="00CE3902"/>
    <w:rsid w:val="00CE3952"/>
    <w:rsid w:val="00CE3A9C"/>
    <w:rsid w:val="00CE408A"/>
    <w:rsid w:val="00CE4098"/>
    <w:rsid w:val="00CE441F"/>
    <w:rsid w:val="00CE5168"/>
    <w:rsid w:val="00CE576D"/>
    <w:rsid w:val="00CE6016"/>
    <w:rsid w:val="00CE70C0"/>
    <w:rsid w:val="00CE7425"/>
    <w:rsid w:val="00CE7690"/>
    <w:rsid w:val="00CE7ACB"/>
    <w:rsid w:val="00CE7C0B"/>
    <w:rsid w:val="00CF0EAC"/>
    <w:rsid w:val="00CF1369"/>
    <w:rsid w:val="00CF1673"/>
    <w:rsid w:val="00CF1E25"/>
    <w:rsid w:val="00CF1F5A"/>
    <w:rsid w:val="00CF2B96"/>
    <w:rsid w:val="00CF2CD6"/>
    <w:rsid w:val="00CF300F"/>
    <w:rsid w:val="00CF33A6"/>
    <w:rsid w:val="00CF3631"/>
    <w:rsid w:val="00CF5394"/>
    <w:rsid w:val="00CF5418"/>
    <w:rsid w:val="00CF560D"/>
    <w:rsid w:val="00CF60CD"/>
    <w:rsid w:val="00CF6134"/>
    <w:rsid w:val="00CF672A"/>
    <w:rsid w:val="00CF6DAE"/>
    <w:rsid w:val="00CF6E90"/>
    <w:rsid w:val="00CF7405"/>
    <w:rsid w:val="00CF7E2C"/>
    <w:rsid w:val="00D00220"/>
    <w:rsid w:val="00D00A85"/>
    <w:rsid w:val="00D01E4D"/>
    <w:rsid w:val="00D02C17"/>
    <w:rsid w:val="00D02EEA"/>
    <w:rsid w:val="00D03D31"/>
    <w:rsid w:val="00D03D54"/>
    <w:rsid w:val="00D040B9"/>
    <w:rsid w:val="00D04330"/>
    <w:rsid w:val="00D04396"/>
    <w:rsid w:val="00D052C5"/>
    <w:rsid w:val="00D052ED"/>
    <w:rsid w:val="00D054DE"/>
    <w:rsid w:val="00D05E96"/>
    <w:rsid w:val="00D061CF"/>
    <w:rsid w:val="00D068CC"/>
    <w:rsid w:val="00D06992"/>
    <w:rsid w:val="00D06BDB"/>
    <w:rsid w:val="00D06DD3"/>
    <w:rsid w:val="00D06F99"/>
    <w:rsid w:val="00D06FE4"/>
    <w:rsid w:val="00D07880"/>
    <w:rsid w:val="00D10B54"/>
    <w:rsid w:val="00D111A5"/>
    <w:rsid w:val="00D11ACD"/>
    <w:rsid w:val="00D11FD0"/>
    <w:rsid w:val="00D13129"/>
    <w:rsid w:val="00D13980"/>
    <w:rsid w:val="00D13C14"/>
    <w:rsid w:val="00D140B2"/>
    <w:rsid w:val="00D1421B"/>
    <w:rsid w:val="00D1435D"/>
    <w:rsid w:val="00D14F07"/>
    <w:rsid w:val="00D14FDF"/>
    <w:rsid w:val="00D1531A"/>
    <w:rsid w:val="00D15667"/>
    <w:rsid w:val="00D16204"/>
    <w:rsid w:val="00D1645F"/>
    <w:rsid w:val="00D16ADD"/>
    <w:rsid w:val="00D16E10"/>
    <w:rsid w:val="00D16EB3"/>
    <w:rsid w:val="00D172FB"/>
    <w:rsid w:val="00D17EAF"/>
    <w:rsid w:val="00D20196"/>
    <w:rsid w:val="00D20AE2"/>
    <w:rsid w:val="00D210D4"/>
    <w:rsid w:val="00D21155"/>
    <w:rsid w:val="00D21322"/>
    <w:rsid w:val="00D21A7E"/>
    <w:rsid w:val="00D21E19"/>
    <w:rsid w:val="00D23253"/>
    <w:rsid w:val="00D2333F"/>
    <w:rsid w:val="00D23759"/>
    <w:rsid w:val="00D25338"/>
    <w:rsid w:val="00D26AEE"/>
    <w:rsid w:val="00D2730C"/>
    <w:rsid w:val="00D27B9C"/>
    <w:rsid w:val="00D27D0E"/>
    <w:rsid w:val="00D3038B"/>
    <w:rsid w:val="00D3085B"/>
    <w:rsid w:val="00D3100C"/>
    <w:rsid w:val="00D31AF8"/>
    <w:rsid w:val="00D31B0A"/>
    <w:rsid w:val="00D31BCF"/>
    <w:rsid w:val="00D31E2F"/>
    <w:rsid w:val="00D321CE"/>
    <w:rsid w:val="00D3272B"/>
    <w:rsid w:val="00D32BF6"/>
    <w:rsid w:val="00D33F2B"/>
    <w:rsid w:val="00D34696"/>
    <w:rsid w:val="00D350C1"/>
    <w:rsid w:val="00D35A1F"/>
    <w:rsid w:val="00D36A55"/>
    <w:rsid w:val="00D36D27"/>
    <w:rsid w:val="00D3752F"/>
    <w:rsid w:val="00D37911"/>
    <w:rsid w:val="00D37BE5"/>
    <w:rsid w:val="00D4034C"/>
    <w:rsid w:val="00D422B8"/>
    <w:rsid w:val="00D423B4"/>
    <w:rsid w:val="00D42B40"/>
    <w:rsid w:val="00D42E60"/>
    <w:rsid w:val="00D42FF3"/>
    <w:rsid w:val="00D43346"/>
    <w:rsid w:val="00D435B1"/>
    <w:rsid w:val="00D43747"/>
    <w:rsid w:val="00D43F87"/>
    <w:rsid w:val="00D44AC8"/>
    <w:rsid w:val="00D44D08"/>
    <w:rsid w:val="00D456CB"/>
    <w:rsid w:val="00D45809"/>
    <w:rsid w:val="00D4596F"/>
    <w:rsid w:val="00D462E0"/>
    <w:rsid w:val="00D4672B"/>
    <w:rsid w:val="00D473F7"/>
    <w:rsid w:val="00D47652"/>
    <w:rsid w:val="00D47BF4"/>
    <w:rsid w:val="00D506F1"/>
    <w:rsid w:val="00D508C5"/>
    <w:rsid w:val="00D51119"/>
    <w:rsid w:val="00D514D2"/>
    <w:rsid w:val="00D5176B"/>
    <w:rsid w:val="00D51978"/>
    <w:rsid w:val="00D51E3E"/>
    <w:rsid w:val="00D52115"/>
    <w:rsid w:val="00D524C5"/>
    <w:rsid w:val="00D5266C"/>
    <w:rsid w:val="00D528CA"/>
    <w:rsid w:val="00D529C2"/>
    <w:rsid w:val="00D5321D"/>
    <w:rsid w:val="00D53670"/>
    <w:rsid w:val="00D53C3F"/>
    <w:rsid w:val="00D53E6D"/>
    <w:rsid w:val="00D541A0"/>
    <w:rsid w:val="00D54207"/>
    <w:rsid w:val="00D5530F"/>
    <w:rsid w:val="00D56043"/>
    <w:rsid w:val="00D57A30"/>
    <w:rsid w:val="00D57B69"/>
    <w:rsid w:val="00D60650"/>
    <w:rsid w:val="00D6084D"/>
    <w:rsid w:val="00D615CE"/>
    <w:rsid w:val="00D61C34"/>
    <w:rsid w:val="00D626A6"/>
    <w:rsid w:val="00D62BBB"/>
    <w:rsid w:val="00D644C4"/>
    <w:rsid w:val="00D6490B"/>
    <w:rsid w:val="00D64B35"/>
    <w:rsid w:val="00D64F6F"/>
    <w:rsid w:val="00D651F2"/>
    <w:rsid w:val="00D662B1"/>
    <w:rsid w:val="00D66E40"/>
    <w:rsid w:val="00D66E60"/>
    <w:rsid w:val="00D67384"/>
    <w:rsid w:val="00D67A1E"/>
    <w:rsid w:val="00D67AEB"/>
    <w:rsid w:val="00D704D5"/>
    <w:rsid w:val="00D70DFA"/>
    <w:rsid w:val="00D7112A"/>
    <w:rsid w:val="00D73B66"/>
    <w:rsid w:val="00D73FC0"/>
    <w:rsid w:val="00D7413F"/>
    <w:rsid w:val="00D752AC"/>
    <w:rsid w:val="00D75EBD"/>
    <w:rsid w:val="00D764D6"/>
    <w:rsid w:val="00D765AB"/>
    <w:rsid w:val="00D76997"/>
    <w:rsid w:val="00D76C8E"/>
    <w:rsid w:val="00D76F40"/>
    <w:rsid w:val="00D8029C"/>
    <w:rsid w:val="00D80357"/>
    <w:rsid w:val="00D80480"/>
    <w:rsid w:val="00D80D8C"/>
    <w:rsid w:val="00D81052"/>
    <w:rsid w:val="00D81770"/>
    <w:rsid w:val="00D81CBC"/>
    <w:rsid w:val="00D82091"/>
    <w:rsid w:val="00D8219C"/>
    <w:rsid w:val="00D82BBC"/>
    <w:rsid w:val="00D82D82"/>
    <w:rsid w:val="00D83387"/>
    <w:rsid w:val="00D83851"/>
    <w:rsid w:val="00D8426A"/>
    <w:rsid w:val="00D84B86"/>
    <w:rsid w:val="00D85129"/>
    <w:rsid w:val="00D85806"/>
    <w:rsid w:val="00D85D64"/>
    <w:rsid w:val="00D86147"/>
    <w:rsid w:val="00D86500"/>
    <w:rsid w:val="00D86FEE"/>
    <w:rsid w:val="00D87148"/>
    <w:rsid w:val="00D871CE"/>
    <w:rsid w:val="00D875D7"/>
    <w:rsid w:val="00D8766B"/>
    <w:rsid w:val="00D8769C"/>
    <w:rsid w:val="00D87CEF"/>
    <w:rsid w:val="00D9044C"/>
    <w:rsid w:val="00D9087C"/>
    <w:rsid w:val="00D9091B"/>
    <w:rsid w:val="00D91225"/>
    <w:rsid w:val="00D915D4"/>
    <w:rsid w:val="00D9192F"/>
    <w:rsid w:val="00D923A4"/>
    <w:rsid w:val="00D926D7"/>
    <w:rsid w:val="00D92E7A"/>
    <w:rsid w:val="00D93349"/>
    <w:rsid w:val="00D93CBB"/>
    <w:rsid w:val="00D94015"/>
    <w:rsid w:val="00D95B94"/>
    <w:rsid w:val="00D96130"/>
    <w:rsid w:val="00D96141"/>
    <w:rsid w:val="00D964FF"/>
    <w:rsid w:val="00D96E79"/>
    <w:rsid w:val="00D974AE"/>
    <w:rsid w:val="00D97557"/>
    <w:rsid w:val="00D97D2B"/>
    <w:rsid w:val="00DA0B7F"/>
    <w:rsid w:val="00DA0E01"/>
    <w:rsid w:val="00DA13C0"/>
    <w:rsid w:val="00DA173D"/>
    <w:rsid w:val="00DA1C3D"/>
    <w:rsid w:val="00DA230C"/>
    <w:rsid w:val="00DA2BD3"/>
    <w:rsid w:val="00DA2ECD"/>
    <w:rsid w:val="00DA3095"/>
    <w:rsid w:val="00DA34C3"/>
    <w:rsid w:val="00DA37C2"/>
    <w:rsid w:val="00DA3AD4"/>
    <w:rsid w:val="00DA4738"/>
    <w:rsid w:val="00DA5A1A"/>
    <w:rsid w:val="00DA600F"/>
    <w:rsid w:val="00DA62C5"/>
    <w:rsid w:val="00DA6DD5"/>
    <w:rsid w:val="00DA75B8"/>
    <w:rsid w:val="00DA7684"/>
    <w:rsid w:val="00DA7C58"/>
    <w:rsid w:val="00DB0AD0"/>
    <w:rsid w:val="00DB0E1F"/>
    <w:rsid w:val="00DB1011"/>
    <w:rsid w:val="00DB1239"/>
    <w:rsid w:val="00DB1803"/>
    <w:rsid w:val="00DB1AC8"/>
    <w:rsid w:val="00DB224C"/>
    <w:rsid w:val="00DB24BF"/>
    <w:rsid w:val="00DB24CD"/>
    <w:rsid w:val="00DB24EA"/>
    <w:rsid w:val="00DB29B1"/>
    <w:rsid w:val="00DB2B39"/>
    <w:rsid w:val="00DB2B3E"/>
    <w:rsid w:val="00DB2F75"/>
    <w:rsid w:val="00DB31AF"/>
    <w:rsid w:val="00DB35D4"/>
    <w:rsid w:val="00DB4E3A"/>
    <w:rsid w:val="00DB658E"/>
    <w:rsid w:val="00DB6611"/>
    <w:rsid w:val="00DB6B03"/>
    <w:rsid w:val="00DB6C9D"/>
    <w:rsid w:val="00DB79F4"/>
    <w:rsid w:val="00DC05B0"/>
    <w:rsid w:val="00DC09B6"/>
    <w:rsid w:val="00DC156E"/>
    <w:rsid w:val="00DC156F"/>
    <w:rsid w:val="00DC1E43"/>
    <w:rsid w:val="00DC1EA0"/>
    <w:rsid w:val="00DC246F"/>
    <w:rsid w:val="00DC2708"/>
    <w:rsid w:val="00DC28C5"/>
    <w:rsid w:val="00DC29E5"/>
    <w:rsid w:val="00DC31CB"/>
    <w:rsid w:val="00DC50C5"/>
    <w:rsid w:val="00DC5A58"/>
    <w:rsid w:val="00DC5FA4"/>
    <w:rsid w:val="00DC61BD"/>
    <w:rsid w:val="00DC626E"/>
    <w:rsid w:val="00DC6768"/>
    <w:rsid w:val="00DC6895"/>
    <w:rsid w:val="00DC699C"/>
    <w:rsid w:val="00DC73D5"/>
    <w:rsid w:val="00DC7404"/>
    <w:rsid w:val="00DC783E"/>
    <w:rsid w:val="00DC7D55"/>
    <w:rsid w:val="00DD00C6"/>
    <w:rsid w:val="00DD0408"/>
    <w:rsid w:val="00DD09CE"/>
    <w:rsid w:val="00DD0A01"/>
    <w:rsid w:val="00DD0A05"/>
    <w:rsid w:val="00DD1440"/>
    <w:rsid w:val="00DD1590"/>
    <w:rsid w:val="00DD18EE"/>
    <w:rsid w:val="00DD1936"/>
    <w:rsid w:val="00DD2465"/>
    <w:rsid w:val="00DD295E"/>
    <w:rsid w:val="00DD2D01"/>
    <w:rsid w:val="00DD3F96"/>
    <w:rsid w:val="00DD422B"/>
    <w:rsid w:val="00DD4718"/>
    <w:rsid w:val="00DD4FA5"/>
    <w:rsid w:val="00DD5353"/>
    <w:rsid w:val="00DD5471"/>
    <w:rsid w:val="00DD5AAD"/>
    <w:rsid w:val="00DD5B19"/>
    <w:rsid w:val="00DD5CFE"/>
    <w:rsid w:val="00DD5E05"/>
    <w:rsid w:val="00DD6220"/>
    <w:rsid w:val="00DD6F2C"/>
    <w:rsid w:val="00DD6F3A"/>
    <w:rsid w:val="00DD745E"/>
    <w:rsid w:val="00DD7800"/>
    <w:rsid w:val="00DE0A15"/>
    <w:rsid w:val="00DE0E9D"/>
    <w:rsid w:val="00DE14C1"/>
    <w:rsid w:val="00DE15A7"/>
    <w:rsid w:val="00DE25EB"/>
    <w:rsid w:val="00DE2B28"/>
    <w:rsid w:val="00DE2DC4"/>
    <w:rsid w:val="00DE34C3"/>
    <w:rsid w:val="00DE4BFE"/>
    <w:rsid w:val="00DE5795"/>
    <w:rsid w:val="00DE5993"/>
    <w:rsid w:val="00DE5A4E"/>
    <w:rsid w:val="00DE608C"/>
    <w:rsid w:val="00DE64AC"/>
    <w:rsid w:val="00DE6793"/>
    <w:rsid w:val="00DE6B49"/>
    <w:rsid w:val="00DE6C41"/>
    <w:rsid w:val="00DE703B"/>
    <w:rsid w:val="00DE7148"/>
    <w:rsid w:val="00DE764F"/>
    <w:rsid w:val="00DE7A19"/>
    <w:rsid w:val="00DE7C26"/>
    <w:rsid w:val="00DF0F38"/>
    <w:rsid w:val="00DF2452"/>
    <w:rsid w:val="00DF2860"/>
    <w:rsid w:val="00DF3F5A"/>
    <w:rsid w:val="00DF4BE2"/>
    <w:rsid w:val="00DF50FE"/>
    <w:rsid w:val="00DF5721"/>
    <w:rsid w:val="00DF5AE7"/>
    <w:rsid w:val="00DF5CDC"/>
    <w:rsid w:val="00DF5D02"/>
    <w:rsid w:val="00DF6E7E"/>
    <w:rsid w:val="00DF7315"/>
    <w:rsid w:val="00DF74A4"/>
    <w:rsid w:val="00E00E14"/>
    <w:rsid w:val="00E01002"/>
    <w:rsid w:val="00E012F5"/>
    <w:rsid w:val="00E01368"/>
    <w:rsid w:val="00E01BEB"/>
    <w:rsid w:val="00E01E62"/>
    <w:rsid w:val="00E024CB"/>
    <w:rsid w:val="00E03ACD"/>
    <w:rsid w:val="00E03CE4"/>
    <w:rsid w:val="00E045BD"/>
    <w:rsid w:val="00E0479F"/>
    <w:rsid w:val="00E04DC9"/>
    <w:rsid w:val="00E05E9E"/>
    <w:rsid w:val="00E05EB7"/>
    <w:rsid w:val="00E06EDB"/>
    <w:rsid w:val="00E07252"/>
    <w:rsid w:val="00E0767E"/>
    <w:rsid w:val="00E079C6"/>
    <w:rsid w:val="00E07CAE"/>
    <w:rsid w:val="00E07E03"/>
    <w:rsid w:val="00E102D4"/>
    <w:rsid w:val="00E1055C"/>
    <w:rsid w:val="00E105B8"/>
    <w:rsid w:val="00E11511"/>
    <w:rsid w:val="00E11B3D"/>
    <w:rsid w:val="00E12043"/>
    <w:rsid w:val="00E12071"/>
    <w:rsid w:val="00E123A9"/>
    <w:rsid w:val="00E12732"/>
    <w:rsid w:val="00E12F44"/>
    <w:rsid w:val="00E132C3"/>
    <w:rsid w:val="00E146D5"/>
    <w:rsid w:val="00E14E7C"/>
    <w:rsid w:val="00E1540C"/>
    <w:rsid w:val="00E15E0D"/>
    <w:rsid w:val="00E1634D"/>
    <w:rsid w:val="00E163CD"/>
    <w:rsid w:val="00E176D7"/>
    <w:rsid w:val="00E17A96"/>
    <w:rsid w:val="00E202B6"/>
    <w:rsid w:val="00E20318"/>
    <w:rsid w:val="00E20446"/>
    <w:rsid w:val="00E206B2"/>
    <w:rsid w:val="00E20DD6"/>
    <w:rsid w:val="00E219E3"/>
    <w:rsid w:val="00E231C5"/>
    <w:rsid w:val="00E23F83"/>
    <w:rsid w:val="00E23FD6"/>
    <w:rsid w:val="00E249E6"/>
    <w:rsid w:val="00E25257"/>
    <w:rsid w:val="00E264DF"/>
    <w:rsid w:val="00E2736E"/>
    <w:rsid w:val="00E27709"/>
    <w:rsid w:val="00E27E29"/>
    <w:rsid w:val="00E300AE"/>
    <w:rsid w:val="00E306CD"/>
    <w:rsid w:val="00E30841"/>
    <w:rsid w:val="00E30D65"/>
    <w:rsid w:val="00E30F41"/>
    <w:rsid w:val="00E31F4E"/>
    <w:rsid w:val="00E32E64"/>
    <w:rsid w:val="00E33181"/>
    <w:rsid w:val="00E333F0"/>
    <w:rsid w:val="00E33447"/>
    <w:rsid w:val="00E33668"/>
    <w:rsid w:val="00E339A8"/>
    <w:rsid w:val="00E340CB"/>
    <w:rsid w:val="00E34580"/>
    <w:rsid w:val="00E34630"/>
    <w:rsid w:val="00E3484D"/>
    <w:rsid w:val="00E35400"/>
    <w:rsid w:val="00E3540F"/>
    <w:rsid w:val="00E356B2"/>
    <w:rsid w:val="00E35804"/>
    <w:rsid w:val="00E3676E"/>
    <w:rsid w:val="00E36911"/>
    <w:rsid w:val="00E36AD5"/>
    <w:rsid w:val="00E37392"/>
    <w:rsid w:val="00E3775A"/>
    <w:rsid w:val="00E37AB1"/>
    <w:rsid w:val="00E37AEE"/>
    <w:rsid w:val="00E37B9F"/>
    <w:rsid w:val="00E37C6D"/>
    <w:rsid w:val="00E401AE"/>
    <w:rsid w:val="00E40CFA"/>
    <w:rsid w:val="00E41326"/>
    <w:rsid w:val="00E41925"/>
    <w:rsid w:val="00E41D1F"/>
    <w:rsid w:val="00E4208D"/>
    <w:rsid w:val="00E420E0"/>
    <w:rsid w:val="00E424D0"/>
    <w:rsid w:val="00E424E0"/>
    <w:rsid w:val="00E425B8"/>
    <w:rsid w:val="00E43425"/>
    <w:rsid w:val="00E43733"/>
    <w:rsid w:val="00E43994"/>
    <w:rsid w:val="00E44134"/>
    <w:rsid w:val="00E4417D"/>
    <w:rsid w:val="00E44852"/>
    <w:rsid w:val="00E44A75"/>
    <w:rsid w:val="00E44D6C"/>
    <w:rsid w:val="00E4514E"/>
    <w:rsid w:val="00E46608"/>
    <w:rsid w:val="00E46712"/>
    <w:rsid w:val="00E46BEE"/>
    <w:rsid w:val="00E47AB1"/>
    <w:rsid w:val="00E504D7"/>
    <w:rsid w:val="00E5062F"/>
    <w:rsid w:val="00E51038"/>
    <w:rsid w:val="00E51087"/>
    <w:rsid w:val="00E52014"/>
    <w:rsid w:val="00E5245F"/>
    <w:rsid w:val="00E52DE3"/>
    <w:rsid w:val="00E53779"/>
    <w:rsid w:val="00E53965"/>
    <w:rsid w:val="00E53E7D"/>
    <w:rsid w:val="00E53EE9"/>
    <w:rsid w:val="00E54041"/>
    <w:rsid w:val="00E54872"/>
    <w:rsid w:val="00E55AFA"/>
    <w:rsid w:val="00E55DB9"/>
    <w:rsid w:val="00E55F25"/>
    <w:rsid w:val="00E5708C"/>
    <w:rsid w:val="00E60815"/>
    <w:rsid w:val="00E608C2"/>
    <w:rsid w:val="00E60C1E"/>
    <w:rsid w:val="00E60F72"/>
    <w:rsid w:val="00E61511"/>
    <w:rsid w:val="00E6182F"/>
    <w:rsid w:val="00E61997"/>
    <w:rsid w:val="00E62479"/>
    <w:rsid w:val="00E6276D"/>
    <w:rsid w:val="00E62F58"/>
    <w:rsid w:val="00E63E36"/>
    <w:rsid w:val="00E6406F"/>
    <w:rsid w:val="00E64ED2"/>
    <w:rsid w:val="00E6522B"/>
    <w:rsid w:val="00E654C0"/>
    <w:rsid w:val="00E6660B"/>
    <w:rsid w:val="00E67258"/>
    <w:rsid w:val="00E67C89"/>
    <w:rsid w:val="00E67FC3"/>
    <w:rsid w:val="00E700E0"/>
    <w:rsid w:val="00E7074D"/>
    <w:rsid w:val="00E7223C"/>
    <w:rsid w:val="00E734A4"/>
    <w:rsid w:val="00E73CDE"/>
    <w:rsid w:val="00E7405B"/>
    <w:rsid w:val="00E751FD"/>
    <w:rsid w:val="00E75265"/>
    <w:rsid w:val="00E7572B"/>
    <w:rsid w:val="00E76457"/>
    <w:rsid w:val="00E766BA"/>
    <w:rsid w:val="00E769AB"/>
    <w:rsid w:val="00E76EA3"/>
    <w:rsid w:val="00E772D1"/>
    <w:rsid w:val="00E80166"/>
    <w:rsid w:val="00E815E4"/>
    <w:rsid w:val="00E81713"/>
    <w:rsid w:val="00E81FB3"/>
    <w:rsid w:val="00E82ECF"/>
    <w:rsid w:val="00E837DB"/>
    <w:rsid w:val="00E83DE2"/>
    <w:rsid w:val="00E83F90"/>
    <w:rsid w:val="00E840F9"/>
    <w:rsid w:val="00E84811"/>
    <w:rsid w:val="00E848ED"/>
    <w:rsid w:val="00E85593"/>
    <w:rsid w:val="00E856BE"/>
    <w:rsid w:val="00E85975"/>
    <w:rsid w:val="00E85DAF"/>
    <w:rsid w:val="00E86366"/>
    <w:rsid w:val="00E8681F"/>
    <w:rsid w:val="00E87053"/>
    <w:rsid w:val="00E9018D"/>
    <w:rsid w:val="00E9028A"/>
    <w:rsid w:val="00E907FB"/>
    <w:rsid w:val="00E90BDE"/>
    <w:rsid w:val="00E91868"/>
    <w:rsid w:val="00E91BE1"/>
    <w:rsid w:val="00E91F6F"/>
    <w:rsid w:val="00E9256B"/>
    <w:rsid w:val="00E92D1C"/>
    <w:rsid w:val="00E933B9"/>
    <w:rsid w:val="00E93B14"/>
    <w:rsid w:val="00E94444"/>
    <w:rsid w:val="00E96181"/>
    <w:rsid w:val="00E9633C"/>
    <w:rsid w:val="00E97828"/>
    <w:rsid w:val="00E978BE"/>
    <w:rsid w:val="00E97AC2"/>
    <w:rsid w:val="00E97D4B"/>
    <w:rsid w:val="00E97E7E"/>
    <w:rsid w:val="00EA0F6D"/>
    <w:rsid w:val="00EA0F78"/>
    <w:rsid w:val="00EA2021"/>
    <w:rsid w:val="00EA3F77"/>
    <w:rsid w:val="00EA440D"/>
    <w:rsid w:val="00EA47AF"/>
    <w:rsid w:val="00EA4C4B"/>
    <w:rsid w:val="00EA5A4E"/>
    <w:rsid w:val="00EA5A6B"/>
    <w:rsid w:val="00EA5E25"/>
    <w:rsid w:val="00EA5F1F"/>
    <w:rsid w:val="00EA7148"/>
    <w:rsid w:val="00EA723D"/>
    <w:rsid w:val="00EA729C"/>
    <w:rsid w:val="00EA7486"/>
    <w:rsid w:val="00EB13A5"/>
    <w:rsid w:val="00EB142E"/>
    <w:rsid w:val="00EB14EB"/>
    <w:rsid w:val="00EB2224"/>
    <w:rsid w:val="00EB232F"/>
    <w:rsid w:val="00EB2E8C"/>
    <w:rsid w:val="00EB318A"/>
    <w:rsid w:val="00EB32A9"/>
    <w:rsid w:val="00EB3CEC"/>
    <w:rsid w:val="00EB3D58"/>
    <w:rsid w:val="00EB493B"/>
    <w:rsid w:val="00EB64BC"/>
    <w:rsid w:val="00EB6784"/>
    <w:rsid w:val="00EB6AF9"/>
    <w:rsid w:val="00EB7B87"/>
    <w:rsid w:val="00EC0970"/>
    <w:rsid w:val="00EC11FD"/>
    <w:rsid w:val="00EC131C"/>
    <w:rsid w:val="00EC288F"/>
    <w:rsid w:val="00EC295A"/>
    <w:rsid w:val="00EC2CAC"/>
    <w:rsid w:val="00EC2E8A"/>
    <w:rsid w:val="00EC38DE"/>
    <w:rsid w:val="00EC4D3A"/>
    <w:rsid w:val="00EC4E2B"/>
    <w:rsid w:val="00EC52B2"/>
    <w:rsid w:val="00EC5C99"/>
    <w:rsid w:val="00EC5E91"/>
    <w:rsid w:val="00EC662C"/>
    <w:rsid w:val="00EC6AAD"/>
    <w:rsid w:val="00EC73EE"/>
    <w:rsid w:val="00EC756F"/>
    <w:rsid w:val="00ED0207"/>
    <w:rsid w:val="00ED0593"/>
    <w:rsid w:val="00ED1141"/>
    <w:rsid w:val="00ED14A1"/>
    <w:rsid w:val="00ED1B6F"/>
    <w:rsid w:val="00ED1CFA"/>
    <w:rsid w:val="00ED1E59"/>
    <w:rsid w:val="00ED1ECD"/>
    <w:rsid w:val="00ED29C6"/>
    <w:rsid w:val="00ED2AA6"/>
    <w:rsid w:val="00ED2C28"/>
    <w:rsid w:val="00ED30AC"/>
    <w:rsid w:val="00ED392D"/>
    <w:rsid w:val="00ED3BD8"/>
    <w:rsid w:val="00ED4B99"/>
    <w:rsid w:val="00ED4C76"/>
    <w:rsid w:val="00ED4E7F"/>
    <w:rsid w:val="00ED58AA"/>
    <w:rsid w:val="00ED6987"/>
    <w:rsid w:val="00ED6B76"/>
    <w:rsid w:val="00ED6EC5"/>
    <w:rsid w:val="00ED73F5"/>
    <w:rsid w:val="00ED7EB3"/>
    <w:rsid w:val="00EE07AD"/>
    <w:rsid w:val="00EE11C5"/>
    <w:rsid w:val="00EE1255"/>
    <w:rsid w:val="00EE150A"/>
    <w:rsid w:val="00EE1544"/>
    <w:rsid w:val="00EE17F1"/>
    <w:rsid w:val="00EE1A11"/>
    <w:rsid w:val="00EE1B28"/>
    <w:rsid w:val="00EE2108"/>
    <w:rsid w:val="00EE2B0E"/>
    <w:rsid w:val="00EE3D00"/>
    <w:rsid w:val="00EE4259"/>
    <w:rsid w:val="00EE43EF"/>
    <w:rsid w:val="00EE4714"/>
    <w:rsid w:val="00EE47F2"/>
    <w:rsid w:val="00EE4857"/>
    <w:rsid w:val="00EE4A8E"/>
    <w:rsid w:val="00EE4D2A"/>
    <w:rsid w:val="00EE5473"/>
    <w:rsid w:val="00EE5CEB"/>
    <w:rsid w:val="00EE6194"/>
    <w:rsid w:val="00EE62AE"/>
    <w:rsid w:val="00EE6F24"/>
    <w:rsid w:val="00EE7087"/>
    <w:rsid w:val="00EE720A"/>
    <w:rsid w:val="00EE7975"/>
    <w:rsid w:val="00EE7FDE"/>
    <w:rsid w:val="00EF096F"/>
    <w:rsid w:val="00EF160F"/>
    <w:rsid w:val="00EF1A8A"/>
    <w:rsid w:val="00EF1BC4"/>
    <w:rsid w:val="00EF1F5A"/>
    <w:rsid w:val="00EF2116"/>
    <w:rsid w:val="00EF2289"/>
    <w:rsid w:val="00EF3886"/>
    <w:rsid w:val="00EF394B"/>
    <w:rsid w:val="00EF443E"/>
    <w:rsid w:val="00EF45AF"/>
    <w:rsid w:val="00EF4912"/>
    <w:rsid w:val="00EF4AAB"/>
    <w:rsid w:val="00EF4E41"/>
    <w:rsid w:val="00EF550C"/>
    <w:rsid w:val="00EF5D9B"/>
    <w:rsid w:val="00EF64A7"/>
    <w:rsid w:val="00EF6A11"/>
    <w:rsid w:val="00EF6D71"/>
    <w:rsid w:val="00EF732B"/>
    <w:rsid w:val="00EF7716"/>
    <w:rsid w:val="00EF7939"/>
    <w:rsid w:val="00F00F8B"/>
    <w:rsid w:val="00F00FD3"/>
    <w:rsid w:val="00F017C5"/>
    <w:rsid w:val="00F01DB1"/>
    <w:rsid w:val="00F027CF"/>
    <w:rsid w:val="00F02CF3"/>
    <w:rsid w:val="00F02F1D"/>
    <w:rsid w:val="00F03B35"/>
    <w:rsid w:val="00F046C3"/>
    <w:rsid w:val="00F04788"/>
    <w:rsid w:val="00F058AF"/>
    <w:rsid w:val="00F05F72"/>
    <w:rsid w:val="00F0712F"/>
    <w:rsid w:val="00F07165"/>
    <w:rsid w:val="00F0780D"/>
    <w:rsid w:val="00F11654"/>
    <w:rsid w:val="00F11EB1"/>
    <w:rsid w:val="00F126F8"/>
    <w:rsid w:val="00F13421"/>
    <w:rsid w:val="00F136C2"/>
    <w:rsid w:val="00F13DD6"/>
    <w:rsid w:val="00F14918"/>
    <w:rsid w:val="00F149AB"/>
    <w:rsid w:val="00F14DD4"/>
    <w:rsid w:val="00F15173"/>
    <w:rsid w:val="00F15541"/>
    <w:rsid w:val="00F16043"/>
    <w:rsid w:val="00F17027"/>
    <w:rsid w:val="00F17C6D"/>
    <w:rsid w:val="00F2056C"/>
    <w:rsid w:val="00F208C0"/>
    <w:rsid w:val="00F20A40"/>
    <w:rsid w:val="00F211AB"/>
    <w:rsid w:val="00F2133B"/>
    <w:rsid w:val="00F215B4"/>
    <w:rsid w:val="00F21DD2"/>
    <w:rsid w:val="00F21E60"/>
    <w:rsid w:val="00F21F88"/>
    <w:rsid w:val="00F2216C"/>
    <w:rsid w:val="00F223CB"/>
    <w:rsid w:val="00F231E4"/>
    <w:rsid w:val="00F233E7"/>
    <w:rsid w:val="00F23E4C"/>
    <w:rsid w:val="00F24185"/>
    <w:rsid w:val="00F255F9"/>
    <w:rsid w:val="00F26227"/>
    <w:rsid w:val="00F26AC3"/>
    <w:rsid w:val="00F26FE5"/>
    <w:rsid w:val="00F27856"/>
    <w:rsid w:val="00F279DC"/>
    <w:rsid w:val="00F27E00"/>
    <w:rsid w:val="00F3021D"/>
    <w:rsid w:val="00F31D1A"/>
    <w:rsid w:val="00F3235D"/>
    <w:rsid w:val="00F323C0"/>
    <w:rsid w:val="00F3325E"/>
    <w:rsid w:val="00F33B06"/>
    <w:rsid w:val="00F33C91"/>
    <w:rsid w:val="00F33D79"/>
    <w:rsid w:val="00F33DAC"/>
    <w:rsid w:val="00F33FC6"/>
    <w:rsid w:val="00F33FE2"/>
    <w:rsid w:val="00F34322"/>
    <w:rsid w:val="00F344C6"/>
    <w:rsid w:val="00F34509"/>
    <w:rsid w:val="00F35433"/>
    <w:rsid w:val="00F35754"/>
    <w:rsid w:val="00F35DDC"/>
    <w:rsid w:val="00F3610B"/>
    <w:rsid w:val="00F36438"/>
    <w:rsid w:val="00F368A8"/>
    <w:rsid w:val="00F36F51"/>
    <w:rsid w:val="00F37B40"/>
    <w:rsid w:val="00F37EE7"/>
    <w:rsid w:val="00F401F0"/>
    <w:rsid w:val="00F40968"/>
    <w:rsid w:val="00F410C6"/>
    <w:rsid w:val="00F41430"/>
    <w:rsid w:val="00F4148E"/>
    <w:rsid w:val="00F41C2E"/>
    <w:rsid w:val="00F41C98"/>
    <w:rsid w:val="00F41DC7"/>
    <w:rsid w:val="00F42602"/>
    <w:rsid w:val="00F43156"/>
    <w:rsid w:val="00F431DB"/>
    <w:rsid w:val="00F436BE"/>
    <w:rsid w:val="00F4371F"/>
    <w:rsid w:val="00F43F21"/>
    <w:rsid w:val="00F44387"/>
    <w:rsid w:val="00F445FC"/>
    <w:rsid w:val="00F44994"/>
    <w:rsid w:val="00F45019"/>
    <w:rsid w:val="00F45597"/>
    <w:rsid w:val="00F463C5"/>
    <w:rsid w:val="00F4649A"/>
    <w:rsid w:val="00F46CB7"/>
    <w:rsid w:val="00F479AF"/>
    <w:rsid w:val="00F47B25"/>
    <w:rsid w:val="00F50007"/>
    <w:rsid w:val="00F50260"/>
    <w:rsid w:val="00F51376"/>
    <w:rsid w:val="00F5165C"/>
    <w:rsid w:val="00F51ADA"/>
    <w:rsid w:val="00F520C1"/>
    <w:rsid w:val="00F5218E"/>
    <w:rsid w:val="00F52DA6"/>
    <w:rsid w:val="00F53E35"/>
    <w:rsid w:val="00F54519"/>
    <w:rsid w:val="00F5561A"/>
    <w:rsid w:val="00F55911"/>
    <w:rsid w:val="00F55E8E"/>
    <w:rsid w:val="00F5616A"/>
    <w:rsid w:val="00F567C4"/>
    <w:rsid w:val="00F568A8"/>
    <w:rsid w:val="00F569BA"/>
    <w:rsid w:val="00F57002"/>
    <w:rsid w:val="00F57360"/>
    <w:rsid w:val="00F57689"/>
    <w:rsid w:val="00F57B20"/>
    <w:rsid w:val="00F57B96"/>
    <w:rsid w:val="00F57F4A"/>
    <w:rsid w:val="00F60069"/>
    <w:rsid w:val="00F601F4"/>
    <w:rsid w:val="00F60737"/>
    <w:rsid w:val="00F60D09"/>
    <w:rsid w:val="00F60D51"/>
    <w:rsid w:val="00F610BC"/>
    <w:rsid w:val="00F620FB"/>
    <w:rsid w:val="00F6224C"/>
    <w:rsid w:val="00F62411"/>
    <w:rsid w:val="00F6385F"/>
    <w:rsid w:val="00F63888"/>
    <w:rsid w:val="00F63897"/>
    <w:rsid w:val="00F63904"/>
    <w:rsid w:val="00F63DFC"/>
    <w:rsid w:val="00F64A8A"/>
    <w:rsid w:val="00F64F35"/>
    <w:rsid w:val="00F66905"/>
    <w:rsid w:val="00F679CC"/>
    <w:rsid w:val="00F67BB9"/>
    <w:rsid w:val="00F707F0"/>
    <w:rsid w:val="00F7087E"/>
    <w:rsid w:val="00F70B28"/>
    <w:rsid w:val="00F710A5"/>
    <w:rsid w:val="00F71359"/>
    <w:rsid w:val="00F715C1"/>
    <w:rsid w:val="00F71759"/>
    <w:rsid w:val="00F71929"/>
    <w:rsid w:val="00F71BF1"/>
    <w:rsid w:val="00F7247B"/>
    <w:rsid w:val="00F727C9"/>
    <w:rsid w:val="00F72C20"/>
    <w:rsid w:val="00F72EF7"/>
    <w:rsid w:val="00F73354"/>
    <w:rsid w:val="00F73E08"/>
    <w:rsid w:val="00F73F32"/>
    <w:rsid w:val="00F741F7"/>
    <w:rsid w:val="00F74767"/>
    <w:rsid w:val="00F74B36"/>
    <w:rsid w:val="00F75B47"/>
    <w:rsid w:val="00F76A6C"/>
    <w:rsid w:val="00F76A9A"/>
    <w:rsid w:val="00F7730B"/>
    <w:rsid w:val="00F77A0F"/>
    <w:rsid w:val="00F800EB"/>
    <w:rsid w:val="00F80FD0"/>
    <w:rsid w:val="00F8105C"/>
    <w:rsid w:val="00F81297"/>
    <w:rsid w:val="00F81897"/>
    <w:rsid w:val="00F82B2C"/>
    <w:rsid w:val="00F82BAC"/>
    <w:rsid w:val="00F8388F"/>
    <w:rsid w:val="00F83DE3"/>
    <w:rsid w:val="00F8493E"/>
    <w:rsid w:val="00F8519E"/>
    <w:rsid w:val="00F85842"/>
    <w:rsid w:val="00F86023"/>
    <w:rsid w:val="00F86080"/>
    <w:rsid w:val="00F86B01"/>
    <w:rsid w:val="00F86C17"/>
    <w:rsid w:val="00F87028"/>
    <w:rsid w:val="00F87098"/>
    <w:rsid w:val="00F8768B"/>
    <w:rsid w:val="00F87C9D"/>
    <w:rsid w:val="00F90258"/>
    <w:rsid w:val="00F906E3"/>
    <w:rsid w:val="00F91B28"/>
    <w:rsid w:val="00F91C11"/>
    <w:rsid w:val="00F91C92"/>
    <w:rsid w:val="00F92AD0"/>
    <w:rsid w:val="00F933D4"/>
    <w:rsid w:val="00F93750"/>
    <w:rsid w:val="00F937E5"/>
    <w:rsid w:val="00F94A31"/>
    <w:rsid w:val="00F9513A"/>
    <w:rsid w:val="00F965C8"/>
    <w:rsid w:val="00F9667F"/>
    <w:rsid w:val="00F96ACE"/>
    <w:rsid w:val="00F96E71"/>
    <w:rsid w:val="00F9730C"/>
    <w:rsid w:val="00FA02F1"/>
    <w:rsid w:val="00FA09BD"/>
    <w:rsid w:val="00FA1389"/>
    <w:rsid w:val="00FA1676"/>
    <w:rsid w:val="00FA1857"/>
    <w:rsid w:val="00FA2124"/>
    <w:rsid w:val="00FA2539"/>
    <w:rsid w:val="00FA29B9"/>
    <w:rsid w:val="00FA2CE6"/>
    <w:rsid w:val="00FA3873"/>
    <w:rsid w:val="00FA3B13"/>
    <w:rsid w:val="00FA3DE2"/>
    <w:rsid w:val="00FA4329"/>
    <w:rsid w:val="00FA4C33"/>
    <w:rsid w:val="00FA586F"/>
    <w:rsid w:val="00FA676E"/>
    <w:rsid w:val="00FA6A30"/>
    <w:rsid w:val="00FA6D96"/>
    <w:rsid w:val="00FA6DB6"/>
    <w:rsid w:val="00FA6E37"/>
    <w:rsid w:val="00FA72C5"/>
    <w:rsid w:val="00FA77B8"/>
    <w:rsid w:val="00FA7BC4"/>
    <w:rsid w:val="00FB03A3"/>
    <w:rsid w:val="00FB0688"/>
    <w:rsid w:val="00FB09CD"/>
    <w:rsid w:val="00FB1149"/>
    <w:rsid w:val="00FB13EB"/>
    <w:rsid w:val="00FB17B9"/>
    <w:rsid w:val="00FB224B"/>
    <w:rsid w:val="00FB26B8"/>
    <w:rsid w:val="00FB2AA2"/>
    <w:rsid w:val="00FB2CA5"/>
    <w:rsid w:val="00FB3086"/>
    <w:rsid w:val="00FB33F9"/>
    <w:rsid w:val="00FB38E0"/>
    <w:rsid w:val="00FB3F01"/>
    <w:rsid w:val="00FB4391"/>
    <w:rsid w:val="00FB475B"/>
    <w:rsid w:val="00FB4E49"/>
    <w:rsid w:val="00FB5D45"/>
    <w:rsid w:val="00FB5E98"/>
    <w:rsid w:val="00FB6A24"/>
    <w:rsid w:val="00FB7014"/>
    <w:rsid w:val="00FB7277"/>
    <w:rsid w:val="00FB7CFE"/>
    <w:rsid w:val="00FB7EB4"/>
    <w:rsid w:val="00FC01CF"/>
    <w:rsid w:val="00FC0E9C"/>
    <w:rsid w:val="00FC1258"/>
    <w:rsid w:val="00FC14C5"/>
    <w:rsid w:val="00FC1B0C"/>
    <w:rsid w:val="00FC1E46"/>
    <w:rsid w:val="00FC2185"/>
    <w:rsid w:val="00FC2851"/>
    <w:rsid w:val="00FC293A"/>
    <w:rsid w:val="00FC2A10"/>
    <w:rsid w:val="00FC354D"/>
    <w:rsid w:val="00FC3738"/>
    <w:rsid w:val="00FC3968"/>
    <w:rsid w:val="00FC39F9"/>
    <w:rsid w:val="00FC40DC"/>
    <w:rsid w:val="00FC5E9C"/>
    <w:rsid w:val="00FC611A"/>
    <w:rsid w:val="00FC68A3"/>
    <w:rsid w:val="00FC7F11"/>
    <w:rsid w:val="00FD00AF"/>
    <w:rsid w:val="00FD09DD"/>
    <w:rsid w:val="00FD1E4F"/>
    <w:rsid w:val="00FD20D3"/>
    <w:rsid w:val="00FD2DDD"/>
    <w:rsid w:val="00FD332F"/>
    <w:rsid w:val="00FD3CCC"/>
    <w:rsid w:val="00FD4EE4"/>
    <w:rsid w:val="00FD4F51"/>
    <w:rsid w:val="00FD500C"/>
    <w:rsid w:val="00FD5197"/>
    <w:rsid w:val="00FD5AC3"/>
    <w:rsid w:val="00FD5FF4"/>
    <w:rsid w:val="00FD6EAD"/>
    <w:rsid w:val="00FE0BE5"/>
    <w:rsid w:val="00FE1939"/>
    <w:rsid w:val="00FE1943"/>
    <w:rsid w:val="00FE1BAF"/>
    <w:rsid w:val="00FE1CFE"/>
    <w:rsid w:val="00FE1E63"/>
    <w:rsid w:val="00FE1EB4"/>
    <w:rsid w:val="00FE2C9C"/>
    <w:rsid w:val="00FE31F2"/>
    <w:rsid w:val="00FE353E"/>
    <w:rsid w:val="00FE35BF"/>
    <w:rsid w:val="00FE3C12"/>
    <w:rsid w:val="00FE4348"/>
    <w:rsid w:val="00FE4717"/>
    <w:rsid w:val="00FE4D0C"/>
    <w:rsid w:val="00FE4F5F"/>
    <w:rsid w:val="00FE5B35"/>
    <w:rsid w:val="00FE5BE0"/>
    <w:rsid w:val="00FE609A"/>
    <w:rsid w:val="00FE6A3E"/>
    <w:rsid w:val="00FE758F"/>
    <w:rsid w:val="00FE7765"/>
    <w:rsid w:val="00FE7F23"/>
    <w:rsid w:val="00FF0202"/>
    <w:rsid w:val="00FF1BFE"/>
    <w:rsid w:val="00FF1E39"/>
    <w:rsid w:val="00FF206B"/>
    <w:rsid w:val="00FF26EE"/>
    <w:rsid w:val="00FF2CAF"/>
    <w:rsid w:val="00FF3B2E"/>
    <w:rsid w:val="00FF409A"/>
    <w:rsid w:val="00FF4407"/>
    <w:rsid w:val="00FF449A"/>
    <w:rsid w:val="00FF45E0"/>
    <w:rsid w:val="00FF4F9D"/>
    <w:rsid w:val="00FF54C4"/>
    <w:rsid w:val="00FF5B33"/>
    <w:rsid w:val="00FF5D16"/>
    <w:rsid w:val="00FF65FD"/>
    <w:rsid w:val="00FF68EB"/>
    <w:rsid w:val="00FF6D7C"/>
    <w:rsid w:val="00FF7274"/>
    <w:rsid w:val="0AB22FC1"/>
    <w:rsid w:val="0F46E397"/>
    <w:rsid w:val="2BC286AC"/>
    <w:rsid w:val="2CF71098"/>
    <w:rsid w:val="2EBF02FB"/>
    <w:rsid w:val="39A8AF3C"/>
    <w:rsid w:val="55487442"/>
    <w:rsid w:val="5785F1E4"/>
    <w:rsid w:val="5E30DA01"/>
    <w:rsid w:val="727AB0A7"/>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FFC1C0"/>
  <w15:docId w15:val="{1CBCDA13-EA5A-4AF3-89DC-5D36F463D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sz w:val="18"/>
        <w:szCs w:val="18"/>
        <w:lang w:val="da-DK" w:eastAsia="en-US" w:bidi="ar-SA"/>
      </w:rPr>
    </w:rPrDefault>
    <w:pPrDefault>
      <w:pPr>
        <w:spacing w:line="26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3" w:qFormat="1"/>
    <w:lsdException w:name="heading 4" w:uiPriority="3" w:qFormat="1"/>
    <w:lsdException w:name="heading 5" w:uiPriority="3" w:qFormat="1"/>
    <w:lsdException w:name="heading 6" w:uiPriority="4" w:qFormat="1"/>
    <w:lsdException w:name="heading 7" w:semiHidden="1" w:uiPriority="4" w:unhideWhenUsed="1" w:qFormat="1"/>
    <w:lsdException w:name="heading 8" w:semiHidden="1" w:uiPriority="4" w:unhideWhenUsed="1"/>
    <w:lsdException w:name="heading 9" w:semiHidden="1" w:uiPriority="4"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iPriority="39" w:unhideWhenUsed="1"/>
    <w:lsdException w:name="toc 8" w:semiHidden="1" w:uiPriority="39" w:unhideWhenUsed="1"/>
    <w:lsdException w:name="toc 9" w:semiHidden="1" w:unhideWhenUsed="1"/>
    <w:lsdException w:name="Normal Indent" w:semiHidden="1" w:uiPriority="0" w:unhideWhenUsed="1"/>
    <w:lsdException w:name="footnote text" w:semiHidden="1" w:unhideWhenUsed="1"/>
    <w:lsdException w:name="annotation text" w:semiHidden="1"/>
    <w:lsdException w:name="header" w:semiHidden="1" w:unhideWhenUsed="1"/>
    <w:lsdException w:name="footer" w:semiHidden="1" w:unhideWhenUsed="1"/>
    <w:lsdException w:name="index heading" w:semiHidden="1"/>
    <w:lsdException w:name="caption" w:semiHidden="1" w:uiPriority="0" w:unhideWhenUsed="1" w:qFormat="1"/>
    <w:lsdException w:name="table of figures" w:semiHidden="1" w:unhideWhenUsed="1"/>
    <w:lsdException w:name="envelope address" w:semiHidden="1"/>
    <w:lsdException w:name="envelope return" w:semiHidden="1"/>
    <w:lsdException w:name="footnote reference" w:semiHidden="1" w:uiPriority="21"/>
    <w:lsdException w:name="annotation reference" w:semiHidden="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iPriority="9" w:unhideWhenUsed="1"/>
    <w:lsdException w:name="macro" w:semiHidden="1"/>
    <w:lsdException w:name="toa heading" w:semiHidden="1" w:unhideWhenUsed="1"/>
    <w:lsdException w:name="List" w:semiHidden="1"/>
    <w:lsdException w:name="List Bullet" w:semiHidden="1" w:unhideWhenUsed="1" w:qFormat="1"/>
    <w:lsdException w:name="List Number" w:qFormat="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unhideWhenUsed="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8"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lsdException w:name="FollowedHyperlink" w:semiHidden="1"/>
    <w:lsdException w:name="Strong" w:uiPriority="22" w:qFormat="1"/>
    <w:lsdException w:name="Emphasis" w:semiHidden="1" w:uiPriority="19"/>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5D8"/>
    <w:rPr>
      <w:lang w:val="en-US"/>
    </w:rPr>
  </w:style>
  <w:style w:type="paragraph" w:styleId="Heading1">
    <w:name w:val="heading 1"/>
    <w:aliases w:val="H1"/>
    <w:basedOn w:val="Normal"/>
    <w:next w:val="Normal"/>
    <w:link w:val="Heading1Char"/>
    <w:uiPriority w:val="9"/>
    <w:qFormat/>
    <w:rsid w:val="00B10C6D"/>
    <w:pPr>
      <w:keepNext/>
      <w:keepLines/>
      <w:suppressAutoHyphens/>
      <w:spacing w:before="280" w:after="280" w:line="360" w:lineRule="atLeast"/>
      <w:contextualSpacing/>
      <w:outlineLvl w:val="0"/>
    </w:pPr>
    <w:rPr>
      <w:rFonts w:eastAsiaTheme="majorEastAsia" w:cstheme="majorBidi"/>
      <w:b/>
      <w:bCs/>
      <w:color w:val="009DF0" w:themeColor="text2"/>
      <w:sz w:val="28"/>
      <w:szCs w:val="28"/>
    </w:rPr>
  </w:style>
  <w:style w:type="paragraph" w:styleId="Heading2">
    <w:name w:val="heading 2"/>
    <w:basedOn w:val="Normal"/>
    <w:next w:val="Normal"/>
    <w:link w:val="Heading2Char"/>
    <w:uiPriority w:val="9"/>
    <w:qFormat/>
    <w:rsid w:val="00B10C6D"/>
    <w:pPr>
      <w:keepNext/>
      <w:keepLines/>
      <w:suppressAutoHyphens/>
      <w:spacing w:after="120" w:line="360" w:lineRule="auto"/>
      <w:contextualSpacing/>
      <w:outlineLvl w:val="1"/>
    </w:pPr>
    <w:rPr>
      <w:rFonts w:eastAsiaTheme="majorEastAsia" w:cstheme="majorBidi"/>
      <w:b/>
      <w:bCs/>
      <w:color w:val="009DF0" w:themeColor="text2"/>
      <w:sz w:val="20"/>
      <w:szCs w:val="26"/>
    </w:rPr>
  </w:style>
  <w:style w:type="paragraph" w:styleId="Heading3">
    <w:name w:val="heading 3"/>
    <w:basedOn w:val="Normal"/>
    <w:next w:val="Normal"/>
    <w:link w:val="Heading3Char"/>
    <w:uiPriority w:val="3"/>
    <w:qFormat/>
    <w:rsid w:val="00B10C6D"/>
    <w:pPr>
      <w:keepNext/>
      <w:keepLines/>
      <w:numPr>
        <w:ilvl w:val="2"/>
        <w:numId w:val="2"/>
      </w:numPr>
      <w:spacing w:after="120" w:line="360" w:lineRule="auto"/>
      <w:contextualSpacing/>
      <w:outlineLvl w:val="2"/>
    </w:pPr>
    <w:rPr>
      <w:rFonts w:eastAsiaTheme="majorEastAsia" w:cstheme="majorBidi"/>
      <w:b/>
      <w:bCs/>
    </w:rPr>
  </w:style>
  <w:style w:type="paragraph" w:styleId="Heading4">
    <w:name w:val="heading 4"/>
    <w:basedOn w:val="Normal"/>
    <w:next w:val="Normal"/>
    <w:link w:val="Heading4Char"/>
    <w:uiPriority w:val="3"/>
    <w:qFormat/>
    <w:rsid w:val="00B10C6D"/>
    <w:pPr>
      <w:keepNext/>
      <w:keepLines/>
      <w:numPr>
        <w:ilvl w:val="3"/>
        <w:numId w:val="2"/>
      </w:numPr>
      <w:spacing w:before="260"/>
      <w:contextualSpacing/>
      <w:outlineLvl w:val="3"/>
    </w:pPr>
    <w:rPr>
      <w:rFonts w:eastAsiaTheme="majorEastAsia" w:cstheme="majorBidi"/>
      <w:bCs/>
      <w:iCs/>
    </w:rPr>
  </w:style>
  <w:style w:type="paragraph" w:styleId="Heading5">
    <w:name w:val="heading 5"/>
    <w:basedOn w:val="Normal"/>
    <w:next w:val="Normal"/>
    <w:link w:val="Heading5Char"/>
    <w:uiPriority w:val="3"/>
    <w:qFormat/>
    <w:rsid w:val="00920D86"/>
    <w:pPr>
      <w:keepNext/>
      <w:keepLines/>
      <w:numPr>
        <w:ilvl w:val="4"/>
        <w:numId w:val="2"/>
      </w:numPr>
      <w:spacing w:before="260"/>
      <w:contextualSpacing/>
      <w:outlineLvl w:val="4"/>
    </w:pPr>
    <w:rPr>
      <w:rFonts w:eastAsiaTheme="majorEastAsia" w:cstheme="majorBidi"/>
      <w:u w:val="single"/>
    </w:rPr>
  </w:style>
  <w:style w:type="paragraph" w:styleId="Heading6">
    <w:name w:val="heading 6"/>
    <w:basedOn w:val="Normal"/>
    <w:next w:val="Normal"/>
    <w:link w:val="Heading6Char"/>
    <w:uiPriority w:val="4"/>
    <w:semiHidden/>
    <w:qFormat/>
    <w:rsid w:val="00920D86"/>
    <w:pPr>
      <w:keepNext/>
      <w:keepLines/>
      <w:numPr>
        <w:ilvl w:val="5"/>
        <w:numId w:val="2"/>
      </w:numPr>
      <w:spacing w:before="260"/>
      <w:contextualSpacing/>
      <w:outlineLvl w:val="5"/>
    </w:pPr>
    <w:rPr>
      <w:rFonts w:eastAsiaTheme="majorEastAsia" w:cstheme="majorBidi"/>
      <w:b/>
      <w:iCs/>
    </w:rPr>
  </w:style>
  <w:style w:type="paragraph" w:styleId="Heading7">
    <w:name w:val="heading 7"/>
    <w:basedOn w:val="Normal"/>
    <w:next w:val="Normal"/>
    <w:link w:val="Heading7Char"/>
    <w:uiPriority w:val="4"/>
    <w:semiHidden/>
    <w:qFormat/>
    <w:rsid w:val="00920D86"/>
    <w:pPr>
      <w:keepNext/>
      <w:keepLines/>
      <w:numPr>
        <w:ilvl w:val="6"/>
        <w:numId w:val="2"/>
      </w:numPr>
      <w:spacing w:before="260"/>
      <w:contextualSpacing/>
      <w:outlineLvl w:val="6"/>
    </w:pPr>
    <w:rPr>
      <w:rFonts w:eastAsiaTheme="majorEastAsia" w:cstheme="majorBidi"/>
      <w:b/>
      <w:iCs/>
    </w:rPr>
  </w:style>
  <w:style w:type="paragraph" w:styleId="Heading8">
    <w:name w:val="heading 8"/>
    <w:basedOn w:val="Normal"/>
    <w:next w:val="Normal"/>
    <w:link w:val="Heading8Char"/>
    <w:uiPriority w:val="4"/>
    <w:semiHidden/>
    <w:rsid w:val="00920D86"/>
    <w:pPr>
      <w:keepNext/>
      <w:keepLines/>
      <w:numPr>
        <w:ilvl w:val="7"/>
        <w:numId w:val="2"/>
      </w:numPr>
      <w:spacing w:before="260"/>
      <w:contextualSpacing/>
      <w:outlineLvl w:val="7"/>
    </w:pPr>
    <w:rPr>
      <w:rFonts w:eastAsiaTheme="majorEastAsia" w:cstheme="majorBidi"/>
      <w:b/>
      <w:szCs w:val="20"/>
    </w:rPr>
  </w:style>
  <w:style w:type="paragraph" w:styleId="Heading9">
    <w:name w:val="heading 9"/>
    <w:basedOn w:val="Normal"/>
    <w:next w:val="Normal"/>
    <w:link w:val="Heading9Char"/>
    <w:uiPriority w:val="4"/>
    <w:semiHidden/>
    <w:rsid w:val="00920D86"/>
    <w:pPr>
      <w:keepNext/>
      <w:keepLines/>
      <w:numPr>
        <w:ilvl w:val="8"/>
        <w:numId w:val="2"/>
      </w:numPr>
      <w:spacing w:before="260"/>
      <w:contextualSpacing/>
      <w:outlineLvl w:val="8"/>
    </w:pPr>
    <w:rPr>
      <w:rFonts w:eastAsiaTheme="majorEastAsia" w:cstheme="majorBidi"/>
      <w:b/>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920D86"/>
    <w:pPr>
      <w:spacing w:line="160" w:lineRule="atLeast"/>
    </w:pPr>
    <w:rPr>
      <w:color w:val="D0CFC2"/>
    </w:rPr>
  </w:style>
  <w:style w:type="character" w:customStyle="1" w:styleId="HeaderChar">
    <w:name w:val="Header Char"/>
    <w:basedOn w:val="DefaultParagraphFont"/>
    <w:link w:val="Header"/>
    <w:uiPriority w:val="99"/>
    <w:rsid w:val="00920D86"/>
    <w:rPr>
      <w:color w:val="D0CFC2"/>
      <w:lang w:val="en-US"/>
    </w:rPr>
  </w:style>
  <w:style w:type="paragraph" w:styleId="Footer">
    <w:name w:val="footer"/>
    <w:basedOn w:val="Normal"/>
    <w:link w:val="FooterChar"/>
    <w:uiPriority w:val="99"/>
    <w:rsid w:val="00920D86"/>
    <w:pPr>
      <w:tabs>
        <w:tab w:val="center" w:pos="4819"/>
        <w:tab w:val="right" w:pos="9638"/>
      </w:tabs>
      <w:spacing w:line="200" w:lineRule="atLeast"/>
    </w:pPr>
    <w:rPr>
      <w:sz w:val="12"/>
    </w:rPr>
  </w:style>
  <w:style w:type="character" w:customStyle="1" w:styleId="FooterChar">
    <w:name w:val="Footer Char"/>
    <w:basedOn w:val="DefaultParagraphFont"/>
    <w:link w:val="Footer"/>
    <w:uiPriority w:val="99"/>
    <w:rsid w:val="00920D86"/>
    <w:rPr>
      <w:sz w:val="12"/>
      <w:lang w:val="en-US"/>
    </w:rPr>
  </w:style>
  <w:style w:type="character" w:customStyle="1" w:styleId="Heading1Char">
    <w:name w:val="Heading 1 Char"/>
    <w:aliases w:val="H1 Char"/>
    <w:basedOn w:val="DefaultParagraphFont"/>
    <w:link w:val="Heading1"/>
    <w:uiPriority w:val="9"/>
    <w:rsid w:val="00B10C6D"/>
    <w:rPr>
      <w:rFonts w:eastAsiaTheme="majorEastAsia" w:cstheme="majorBidi"/>
      <w:b/>
      <w:bCs/>
      <w:color w:val="009DF0" w:themeColor="text2"/>
      <w:sz w:val="28"/>
      <w:szCs w:val="28"/>
      <w:lang w:val="en-US"/>
    </w:rPr>
  </w:style>
  <w:style w:type="character" w:customStyle="1" w:styleId="Heading2Char">
    <w:name w:val="Heading 2 Char"/>
    <w:basedOn w:val="DefaultParagraphFont"/>
    <w:link w:val="Heading2"/>
    <w:uiPriority w:val="9"/>
    <w:rsid w:val="00B10C6D"/>
    <w:rPr>
      <w:rFonts w:eastAsiaTheme="majorEastAsia" w:cstheme="majorBidi"/>
      <w:b/>
      <w:bCs/>
      <w:color w:val="009DF0" w:themeColor="text2"/>
      <w:sz w:val="20"/>
      <w:szCs w:val="26"/>
      <w:lang w:val="en-US"/>
    </w:rPr>
  </w:style>
  <w:style w:type="character" w:customStyle="1" w:styleId="Heading3Char">
    <w:name w:val="Heading 3 Char"/>
    <w:basedOn w:val="DefaultParagraphFont"/>
    <w:link w:val="Heading3"/>
    <w:uiPriority w:val="3"/>
    <w:rsid w:val="00B10C6D"/>
    <w:rPr>
      <w:rFonts w:eastAsiaTheme="majorEastAsia" w:cstheme="majorBidi"/>
      <w:b/>
      <w:bCs/>
      <w:lang w:val="en-US"/>
    </w:rPr>
  </w:style>
  <w:style w:type="character" w:customStyle="1" w:styleId="Heading4Char">
    <w:name w:val="Heading 4 Char"/>
    <w:basedOn w:val="DefaultParagraphFont"/>
    <w:link w:val="Heading4"/>
    <w:uiPriority w:val="3"/>
    <w:rsid w:val="00B10C6D"/>
    <w:rPr>
      <w:rFonts w:eastAsiaTheme="majorEastAsia" w:cstheme="majorBidi"/>
      <w:bCs/>
      <w:iCs/>
      <w:lang w:val="en-US"/>
    </w:rPr>
  </w:style>
  <w:style w:type="character" w:customStyle="1" w:styleId="Heading5Char">
    <w:name w:val="Heading 5 Char"/>
    <w:basedOn w:val="DefaultParagraphFont"/>
    <w:link w:val="Heading5"/>
    <w:uiPriority w:val="3"/>
    <w:rsid w:val="00920D86"/>
    <w:rPr>
      <w:rFonts w:eastAsiaTheme="majorEastAsia" w:cstheme="majorBidi"/>
      <w:u w:val="single"/>
      <w:lang w:val="en-US"/>
    </w:rPr>
  </w:style>
  <w:style w:type="character" w:customStyle="1" w:styleId="Heading6Char">
    <w:name w:val="Heading 6 Char"/>
    <w:basedOn w:val="DefaultParagraphFont"/>
    <w:link w:val="Heading6"/>
    <w:uiPriority w:val="4"/>
    <w:semiHidden/>
    <w:rsid w:val="00920D86"/>
    <w:rPr>
      <w:rFonts w:eastAsiaTheme="majorEastAsia" w:cstheme="majorBidi"/>
      <w:b/>
      <w:iCs/>
      <w:lang w:val="en-US"/>
    </w:rPr>
  </w:style>
  <w:style w:type="character" w:customStyle="1" w:styleId="Heading7Char">
    <w:name w:val="Heading 7 Char"/>
    <w:basedOn w:val="DefaultParagraphFont"/>
    <w:link w:val="Heading7"/>
    <w:uiPriority w:val="4"/>
    <w:semiHidden/>
    <w:rsid w:val="00920D86"/>
    <w:rPr>
      <w:rFonts w:eastAsiaTheme="majorEastAsia" w:cstheme="majorBidi"/>
      <w:b/>
      <w:iCs/>
      <w:lang w:val="en-US"/>
    </w:rPr>
  </w:style>
  <w:style w:type="character" w:customStyle="1" w:styleId="Heading8Char">
    <w:name w:val="Heading 8 Char"/>
    <w:basedOn w:val="DefaultParagraphFont"/>
    <w:link w:val="Heading8"/>
    <w:uiPriority w:val="4"/>
    <w:semiHidden/>
    <w:rsid w:val="00920D86"/>
    <w:rPr>
      <w:rFonts w:eastAsiaTheme="majorEastAsia" w:cstheme="majorBidi"/>
      <w:b/>
      <w:szCs w:val="20"/>
      <w:lang w:val="en-US"/>
    </w:rPr>
  </w:style>
  <w:style w:type="character" w:customStyle="1" w:styleId="Heading9Char">
    <w:name w:val="Heading 9 Char"/>
    <w:basedOn w:val="DefaultParagraphFont"/>
    <w:link w:val="Heading9"/>
    <w:uiPriority w:val="4"/>
    <w:semiHidden/>
    <w:rsid w:val="00920D86"/>
    <w:rPr>
      <w:rFonts w:eastAsiaTheme="majorEastAsia" w:cstheme="majorBidi"/>
      <w:b/>
      <w:iCs/>
      <w:szCs w:val="20"/>
      <w:lang w:val="en-US"/>
    </w:rPr>
  </w:style>
  <w:style w:type="paragraph" w:styleId="Title">
    <w:name w:val="Title"/>
    <w:basedOn w:val="Normal"/>
    <w:next w:val="Normal"/>
    <w:link w:val="TitleChar"/>
    <w:uiPriority w:val="99"/>
    <w:semiHidden/>
    <w:rsid w:val="00920D86"/>
    <w:pPr>
      <w:spacing w:after="260" w:line="710" w:lineRule="exact"/>
      <w:contextualSpacing/>
    </w:pPr>
    <w:rPr>
      <w:rFonts w:eastAsiaTheme="majorEastAsia" w:cstheme="majorBidi"/>
      <w:b/>
      <w:caps/>
      <w:kern w:val="28"/>
      <w:sz w:val="64"/>
      <w:szCs w:val="52"/>
    </w:rPr>
  </w:style>
  <w:style w:type="character" w:customStyle="1" w:styleId="TitleChar">
    <w:name w:val="Title Char"/>
    <w:basedOn w:val="DefaultParagraphFont"/>
    <w:link w:val="Title"/>
    <w:uiPriority w:val="99"/>
    <w:semiHidden/>
    <w:rsid w:val="00920D86"/>
    <w:rPr>
      <w:rFonts w:eastAsiaTheme="majorEastAsia" w:cstheme="majorBidi"/>
      <w:b/>
      <w:caps/>
      <w:kern w:val="28"/>
      <w:sz w:val="64"/>
      <w:szCs w:val="52"/>
      <w:lang w:val="en-US"/>
    </w:rPr>
  </w:style>
  <w:style w:type="paragraph" w:styleId="Subtitle">
    <w:name w:val="Subtitle"/>
    <w:basedOn w:val="Normal"/>
    <w:next w:val="Normal"/>
    <w:link w:val="SubtitleChar"/>
    <w:uiPriority w:val="8"/>
    <w:semiHidden/>
    <w:qFormat/>
    <w:rsid w:val="00261211"/>
    <w:pPr>
      <w:numPr>
        <w:ilvl w:val="1"/>
      </w:numPr>
      <w:spacing w:line="288" w:lineRule="atLeast"/>
      <w:contextualSpacing/>
    </w:pPr>
    <w:rPr>
      <w:rFonts w:eastAsiaTheme="majorEastAsia" w:cstheme="majorBidi"/>
      <w:iCs/>
      <w:sz w:val="24"/>
      <w:szCs w:val="24"/>
    </w:rPr>
  </w:style>
  <w:style w:type="character" w:customStyle="1" w:styleId="SubtitleChar">
    <w:name w:val="Subtitle Char"/>
    <w:basedOn w:val="DefaultParagraphFont"/>
    <w:link w:val="Subtitle"/>
    <w:uiPriority w:val="8"/>
    <w:semiHidden/>
    <w:rsid w:val="00261211"/>
    <w:rPr>
      <w:rFonts w:eastAsiaTheme="majorEastAsia" w:cstheme="majorBidi"/>
      <w:iCs/>
      <w:sz w:val="24"/>
      <w:szCs w:val="24"/>
      <w:lang w:val="en-US"/>
    </w:rPr>
  </w:style>
  <w:style w:type="character" w:styleId="SubtleEmphasis">
    <w:name w:val="Subtle Emphasis"/>
    <w:basedOn w:val="DefaultParagraphFont"/>
    <w:uiPriority w:val="99"/>
    <w:semiHidden/>
    <w:qFormat/>
    <w:rsid w:val="00920D86"/>
    <w:rPr>
      <w:i/>
      <w:iCs/>
      <w:color w:val="808080" w:themeColor="text1" w:themeTint="7F"/>
      <w:lang w:val="en-US"/>
    </w:rPr>
  </w:style>
  <w:style w:type="character" w:styleId="IntenseEmphasis">
    <w:name w:val="Intense Emphasis"/>
    <w:basedOn w:val="DefaultParagraphFont"/>
    <w:uiPriority w:val="19"/>
    <w:semiHidden/>
    <w:rsid w:val="00920D86"/>
    <w:rPr>
      <w:b/>
      <w:bCs/>
      <w:i/>
      <w:iCs/>
      <w:color w:val="auto"/>
      <w:lang w:val="en-US"/>
    </w:rPr>
  </w:style>
  <w:style w:type="character" w:styleId="Strong">
    <w:name w:val="Strong"/>
    <w:basedOn w:val="DefaultParagraphFont"/>
    <w:uiPriority w:val="22"/>
    <w:qFormat/>
    <w:rsid w:val="00920D86"/>
    <w:rPr>
      <w:b/>
      <w:bCs/>
      <w:lang w:val="en-US"/>
    </w:rPr>
  </w:style>
  <w:style w:type="paragraph" w:styleId="IntenseQuote">
    <w:name w:val="Intense Quote"/>
    <w:basedOn w:val="Normal"/>
    <w:next w:val="Normal"/>
    <w:link w:val="IntenseQuoteChar"/>
    <w:uiPriority w:val="19"/>
    <w:semiHidden/>
    <w:rsid w:val="00920D86"/>
    <w:pPr>
      <w:spacing w:before="260" w:after="260"/>
      <w:ind w:left="851" w:right="851"/>
    </w:pPr>
    <w:rPr>
      <w:b/>
      <w:bCs/>
      <w:i/>
      <w:iCs/>
    </w:rPr>
  </w:style>
  <w:style w:type="character" w:customStyle="1" w:styleId="IntenseQuoteChar">
    <w:name w:val="Intense Quote Char"/>
    <w:basedOn w:val="DefaultParagraphFont"/>
    <w:link w:val="IntenseQuote"/>
    <w:uiPriority w:val="19"/>
    <w:semiHidden/>
    <w:rsid w:val="00920D86"/>
    <w:rPr>
      <w:b/>
      <w:bCs/>
      <w:i/>
      <w:iCs/>
      <w:lang w:val="en-US"/>
    </w:rPr>
  </w:style>
  <w:style w:type="character" w:styleId="SubtleReference">
    <w:name w:val="Subtle Reference"/>
    <w:basedOn w:val="DefaultParagraphFont"/>
    <w:uiPriority w:val="99"/>
    <w:semiHidden/>
    <w:qFormat/>
    <w:rsid w:val="00920D86"/>
    <w:rPr>
      <w:caps w:val="0"/>
      <w:smallCaps w:val="0"/>
      <w:color w:val="auto"/>
      <w:u w:val="single"/>
      <w:lang w:val="en-US"/>
    </w:rPr>
  </w:style>
  <w:style w:type="character" w:styleId="IntenseReference">
    <w:name w:val="Intense Reference"/>
    <w:basedOn w:val="DefaultParagraphFont"/>
    <w:uiPriority w:val="99"/>
    <w:semiHidden/>
    <w:qFormat/>
    <w:rsid w:val="00920D86"/>
    <w:rPr>
      <w:b/>
      <w:bCs/>
      <w:caps w:val="0"/>
      <w:smallCaps w:val="0"/>
      <w:color w:val="auto"/>
      <w:spacing w:val="5"/>
      <w:u w:val="single"/>
      <w:lang w:val="en-US"/>
    </w:rPr>
  </w:style>
  <w:style w:type="paragraph" w:styleId="Caption">
    <w:name w:val="caption"/>
    <w:basedOn w:val="Normal"/>
    <w:next w:val="Caption-Text"/>
    <w:link w:val="CaptionChar"/>
    <w:qFormat/>
    <w:rsid w:val="00920D86"/>
    <w:pPr>
      <w:spacing w:before="170" w:after="100" w:line="200" w:lineRule="atLeast"/>
    </w:pPr>
    <w:rPr>
      <w:b/>
      <w:bCs/>
      <w:color w:val="009DF0" w:themeColor="text2"/>
      <w:sz w:val="14"/>
    </w:rPr>
  </w:style>
  <w:style w:type="paragraph" w:styleId="TOC1">
    <w:name w:val="toc 1"/>
    <w:basedOn w:val="Normal"/>
    <w:next w:val="Normal"/>
    <w:uiPriority w:val="39"/>
    <w:rsid w:val="00920D86"/>
    <w:pPr>
      <w:tabs>
        <w:tab w:val="right" w:pos="6231"/>
      </w:tabs>
      <w:spacing w:before="260"/>
      <w:ind w:right="567"/>
    </w:pPr>
    <w:rPr>
      <w:rFonts w:eastAsia="Times New Roman" w:cs="Times New Roman"/>
      <w:color w:val="009DF0" w:themeColor="text2"/>
    </w:rPr>
  </w:style>
  <w:style w:type="paragraph" w:styleId="TOC2">
    <w:name w:val="toc 2"/>
    <w:basedOn w:val="Normal"/>
    <w:next w:val="Normal"/>
    <w:uiPriority w:val="39"/>
    <w:rsid w:val="00920D86"/>
    <w:pPr>
      <w:tabs>
        <w:tab w:val="left" w:pos="851"/>
        <w:tab w:val="right" w:pos="6231"/>
      </w:tabs>
      <w:ind w:right="567"/>
    </w:pPr>
    <w:rPr>
      <w:rFonts w:eastAsia="Times New Roman" w:cs="Times New Roman"/>
    </w:rPr>
  </w:style>
  <w:style w:type="paragraph" w:styleId="TOC3">
    <w:name w:val="toc 3"/>
    <w:basedOn w:val="Normal"/>
    <w:next w:val="Normal"/>
    <w:uiPriority w:val="39"/>
    <w:rsid w:val="00920D86"/>
    <w:pPr>
      <w:tabs>
        <w:tab w:val="left" w:pos="851"/>
        <w:tab w:val="right" w:pos="6231"/>
      </w:tabs>
      <w:ind w:left="851" w:right="567" w:hanging="851"/>
    </w:pPr>
    <w:rPr>
      <w:rFonts w:eastAsia="Times New Roman" w:cs="Times New Roman"/>
    </w:rPr>
  </w:style>
  <w:style w:type="paragraph" w:styleId="TOC4">
    <w:name w:val="toc 4"/>
    <w:basedOn w:val="Normal"/>
    <w:next w:val="Normal"/>
    <w:link w:val="TOC4Char"/>
    <w:uiPriority w:val="39"/>
    <w:semiHidden/>
    <w:rsid w:val="00920D86"/>
    <w:pPr>
      <w:tabs>
        <w:tab w:val="left" w:pos="1077"/>
        <w:tab w:val="right" w:pos="7229"/>
      </w:tabs>
      <w:ind w:left="510" w:right="2268" w:hanging="1077"/>
    </w:pPr>
    <w:rPr>
      <w:rFonts w:eastAsia="Times New Roman" w:cs="Times New Roman"/>
    </w:rPr>
  </w:style>
  <w:style w:type="paragraph" w:styleId="TOC5">
    <w:name w:val="toc 5"/>
    <w:basedOn w:val="Normal"/>
    <w:next w:val="Normal"/>
    <w:uiPriority w:val="39"/>
    <w:semiHidden/>
    <w:rsid w:val="00920D86"/>
    <w:pPr>
      <w:tabs>
        <w:tab w:val="left" w:pos="1077"/>
        <w:tab w:val="right" w:pos="7229"/>
      </w:tabs>
      <w:ind w:left="510" w:right="2268" w:hanging="1077"/>
    </w:pPr>
    <w:rPr>
      <w:rFonts w:eastAsia="Times New Roman" w:cs="Times New Roman"/>
    </w:rPr>
  </w:style>
  <w:style w:type="paragraph" w:styleId="TOC6">
    <w:name w:val="toc 6"/>
    <w:basedOn w:val="Normal"/>
    <w:next w:val="Normal"/>
    <w:uiPriority w:val="39"/>
    <w:semiHidden/>
    <w:rsid w:val="00920D86"/>
    <w:pPr>
      <w:tabs>
        <w:tab w:val="right" w:pos="7229"/>
      </w:tabs>
      <w:ind w:left="-567" w:right="2268"/>
    </w:pPr>
    <w:rPr>
      <w:rFonts w:eastAsia="Times New Roman" w:cs="Times New Roman"/>
    </w:rPr>
  </w:style>
  <w:style w:type="paragraph" w:styleId="TOC7">
    <w:name w:val="toc 7"/>
    <w:basedOn w:val="Normal"/>
    <w:next w:val="Normal"/>
    <w:uiPriority w:val="39"/>
    <w:semiHidden/>
    <w:rsid w:val="00920D86"/>
    <w:pPr>
      <w:spacing w:before="240"/>
      <w:ind w:left="-567" w:right="2268"/>
    </w:pPr>
    <w:rPr>
      <w:rFonts w:eastAsia="Times New Roman" w:cs="Times New Roman"/>
      <w:b/>
    </w:rPr>
  </w:style>
  <w:style w:type="paragraph" w:styleId="TOC8">
    <w:name w:val="toc 8"/>
    <w:basedOn w:val="Normal"/>
    <w:next w:val="Normal"/>
    <w:uiPriority w:val="39"/>
    <w:semiHidden/>
    <w:rsid w:val="00920D86"/>
    <w:pPr>
      <w:ind w:left="-567" w:right="2268"/>
    </w:pPr>
    <w:rPr>
      <w:rFonts w:eastAsia="Times New Roman" w:cs="Times New Roman"/>
    </w:rPr>
  </w:style>
  <w:style w:type="paragraph" w:styleId="TOC9">
    <w:name w:val="toc 9"/>
    <w:basedOn w:val="Normal"/>
    <w:next w:val="Normal"/>
    <w:uiPriority w:val="39"/>
    <w:semiHidden/>
    <w:rsid w:val="00920D86"/>
    <w:pPr>
      <w:ind w:left="-567" w:right="2268"/>
    </w:pPr>
    <w:rPr>
      <w:rFonts w:eastAsia="Times New Roman" w:cs="Times New Roman"/>
    </w:rPr>
  </w:style>
  <w:style w:type="paragraph" w:styleId="TOCHeading">
    <w:name w:val="TOC Heading"/>
    <w:basedOn w:val="Normal"/>
    <w:next w:val="Normal"/>
    <w:uiPriority w:val="39"/>
    <w:rsid w:val="00920D86"/>
    <w:rPr>
      <w:color w:val="009DF0" w:themeColor="text2"/>
      <w:sz w:val="24"/>
    </w:rPr>
  </w:style>
  <w:style w:type="paragraph" w:styleId="BlockText">
    <w:name w:val="Block Text"/>
    <w:basedOn w:val="Normal"/>
    <w:uiPriority w:val="99"/>
    <w:semiHidden/>
    <w:rsid w:val="00920D86"/>
    <w:pPr>
      <w:pBdr>
        <w:top w:val="single" w:sz="2" w:space="10" w:color="7F7F7F" w:themeColor="text1" w:themeTint="80"/>
        <w:left w:val="single" w:sz="2" w:space="10" w:color="7F7F7F" w:themeColor="text1" w:themeTint="80"/>
        <w:bottom w:val="single" w:sz="2" w:space="10" w:color="7F7F7F" w:themeColor="text1" w:themeTint="80"/>
        <w:right w:val="single" w:sz="2" w:space="10" w:color="7F7F7F" w:themeColor="text1" w:themeTint="80"/>
      </w:pBdr>
      <w:ind w:left="1151" w:right="1151"/>
    </w:pPr>
    <w:rPr>
      <w:rFonts w:eastAsiaTheme="minorEastAsia"/>
      <w:i/>
      <w:iCs/>
    </w:rPr>
  </w:style>
  <w:style w:type="paragraph" w:styleId="EndnoteText">
    <w:name w:val="endnote text"/>
    <w:basedOn w:val="Normal"/>
    <w:link w:val="EndnoteTextChar"/>
    <w:uiPriority w:val="21"/>
    <w:semiHidden/>
    <w:rsid w:val="00920D86"/>
    <w:pPr>
      <w:spacing w:line="200" w:lineRule="atLeast"/>
      <w:ind w:left="85" w:hanging="85"/>
    </w:pPr>
    <w:rPr>
      <w:color w:val="273943" w:themeColor="background2"/>
      <w:sz w:val="12"/>
      <w:szCs w:val="20"/>
    </w:rPr>
  </w:style>
  <w:style w:type="character" w:customStyle="1" w:styleId="EndnoteTextChar">
    <w:name w:val="Endnote Text Char"/>
    <w:basedOn w:val="DefaultParagraphFont"/>
    <w:link w:val="EndnoteText"/>
    <w:uiPriority w:val="21"/>
    <w:semiHidden/>
    <w:rsid w:val="00920D86"/>
    <w:rPr>
      <w:color w:val="273943" w:themeColor="background2"/>
      <w:sz w:val="12"/>
      <w:szCs w:val="20"/>
      <w:lang w:val="en-US"/>
    </w:rPr>
  </w:style>
  <w:style w:type="character" w:styleId="EndnoteReference">
    <w:name w:val="endnote reference"/>
    <w:basedOn w:val="DefaultParagraphFont"/>
    <w:uiPriority w:val="21"/>
    <w:semiHidden/>
    <w:rsid w:val="00920D86"/>
    <w:rPr>
      <w:vertAlign w:val="superscript"/>
      <w:lang w:val="en-US"/>
    </w:rPr>
  </w:style>
  <w:style w:type="paragraph" w:styleId="FootnoteText">
    <w:name w:val="footnote text"/>
    <w:basedOn w:val="Normal"/>
    <w:link w:val="FootnoteTextChar"/>
    <w:uiPriority w:val="21"/>
    <w:semiHidden/>
    <w:rsid w:val="00920D86"/>
    <w:pPr>
      <w:spacing w:line="200" w:lineRule="atLeast"/>
      <w:ind w:left="85" w:hanging="85"/>
    </w:pPr>
    <w:rPr>
      <w:color w:val="797766"/>
      <w:sz w:val="12"/>
      <w:szCs w:val="20"/>
    </w:rPr>
  </w:style>
  <w:style w:type="character" w:customStyle="1" w:styleId="FootnoteTextChar">
    <w:name w:val="Footnote Text Char"/>
    <w:basedOn w:val="DefaultParagraphFont"/>
    <w:link w:val="FootnoteText"/>
    <w:uiPriority w:val="21"/>
    <w:semiHidden/>
    <w:rsid w:val="00920D86"/>
    <w:rPr>
      <w:color w:val="797766"/>
      <w:sz w:val="12"/>
      <w:szCs w:val="20"/>
      <w:lang w:val="en-US"/>
    </w:rPr>
  </w:style>
  <w:style w:type="paragraph" w:styleId="ListBullet">
    <w:name w:val="List Bullet"/>
    <w:basedOn w:val="Normal"/>
    <w:uiPriority w:val="4"/>
    <w:qFormat/>
    <w:rsid w:val="00920D86"/>
    <w:pPr>
      <w:numPr>
        <w:numId w:val="3"/>
      </w:numPr>
      <w:contextualSpacing/>
    </w:pPr>
  </w:style>
  <w:style w:type="paragraph" w:styleId="ListNumber">
    <w:name w:val="List Number"/>
    <w:basedOn w:val="Normal"/>
    <w:uiPriority w:val="4"/>
    <w:qFormat/>
    <w:rsid w:val="00920D86"/>
    <w:pPr>
      <w:numPr>
        <w:numId w:val="8"/>
      </w:numPr>
      <w:contextualSpacing/>
    </w:pPr>
  </w:style>
  <w:style w:type="character" w:styleId="PageNumber">
    <w:name w:val="page number"/>
    <w:basedOn w:val="DefaultParagraphFont"/>
    <w:uiPriority w:val="21"/>
    <w:semiHidden/>
    <w:rsid w:val="00920D86"/>
    <w:rPr>
      <w:lang w:val="en-US"/>
    </w:rPr>
  </w:style>
  <w:style w:type="paragraph" w:customStyle="1" w:styleId="Template">
    <w:name w:val="Template"/>
    <w:uiPriority w:val="8"/>
    <w:semiHidden/>
    <w:rsid w:val="00920D86"/>
    <w:pPr>
      <w:spacing w:line="200" w:lineRule="atLeast"/>
    </w:pPr>
    <w:rPr>
      <w:noProof/>
      <w:sz w:val="14"/>
      <w:lang w:val="en-US"/>
    </w:rPr>
  </w:style>
  <w:style w:type="paragraph" w:customStyle="1" w:styleId="Template-Address">
    <w:name w:val="Template - Address"/>
    <w:basedOn w:val="Template"/>
    <w:uiPriority w:val="8"/>
    <w:semiHidden/>
    <w:rsid w:val="00920D86"/>
    <w:pPr>
      <w:tabs>
        <w:tab w:val="left" w:pos="567"/>
      </w:tabs>
      <w:suppressAutoHyphens/>
    </w:pPr>
  </w:style>
  <w:style w:type="paragraph" w:customStyle="1" w:styleId="Template-Companyname">
    <w:name w:val="Template - Company name"/>
    <w:basedOn w:val="Template-Address"/>
    <w:next w:val="Template-Address"/>
    <w:uiPriority w:val="8"/>
    <w:semiHidden/>
    <w:rsid w:val="00920D86"/>
  </w:style>
  <w:style w:type="paragraph" w:styleId="TOAHeading">
    <w:name w:val="toa heading"/>
    <w:basedOn w:val="Normal"/>
    <w:next w:val="Normal"/>
    <w:uiPriority w:val="39"/>
    <w:semiHidden/>
    <w:rsid w:val="00920D86"/>
    <w:pPr>
      <w:spacing w:after="520" w:line="360" w:lineRule="atLeast"/>
    </w:pPr>
    <w:rPr>
      <w:rFonts w:eastAsiaTheme="majorEastAsia" w:cstheme="majorBidi"/>
      <w:b/>
      <w:bCs/>
      <w:sz w:val="28"/>
      <w:szCs w:val="24"/>
    </w:rPr>
  </w:style>
  <w:style w:type="paragraph" w:styleId="TableofFigures">
    <w:name w:val="table of figures"/>
    <w:basedOn w:val="Normal"/>
    <w:next w:val="Normal"/>
    <w:uiPriority w:val="10"/>
    <w:semiHidden/>
    <w:rsid w:val="00920D86"/>
    <w:pPr>
      <w:tabs>
        <w:tab w:val="right" w:pos="7229"/>
      </w:tabs>
      <w:ind w:right="2268"/>
    </w:pPr>
  </w:style>
  <w:style w:type="paragraph" w:styleId="Signature">
    <w:name w:val="Signature"/>
    <w:basedOn w:val="Normal"/>
    <w:link w:val="SignatureChar"/>
    <w:uiPriority w:val="99"/>
    <w:semiHidden/>
    <w:rsid w:val="00920D86"/>
    <w:pPr>
      <w:spacing w:line="240" w:lineRule="auto"/>
      <w:ind w:left="4252"/>
    </w:pPr>
  </w:style>
  <w:style w:type="character" w:customStyle="1" w:styleId="SignatureChar">
    <w:name w:val="Signature Char"/>
    <w:basedOn w:val="DefaultParagraphFont"/>
    <w:link w:val="Signature"/>
    <w:uiPriority w:val="99"/>
    <w:semiHidden/>
    <w:rsid w:val="00920D86"/>
    <w:rPr>
      <w:lang w:val="en-US"/>
    </w:rPr>
  </w:style>
  <w:style w:type="character" w:styleId="PlaceholderText">
    <w:name w:val="Placeholder Text"/>
    <w:basedOn w:val="DefaultParagraphFont"/>
    <w:uiPriority w:val="99"/>
    <w:semiHidden/>
    <w:rsid w:val="00920D86"/>
    <w:rPr>
      <w:color w:val="auto"/>
      <w:lang w:val="en-US"/>
    </w:rPr>
  </w:style>
  <w:style w:type="paragraph" w:customStyle="1" w:styleId="Table">
    <w:name w:val="Table"/>
    <w:uiPriority w:val="6"/>
    <w:semiHidden/>
    <w:rsid w:val="00920D86"/>
    <w:pPr>
      <w:spacing w:before="40" w:after="40" w:line="200" w:lineRule="atLeast"/>
      <w:ind w:left="57" w:right="113"/>
    </w:pPr>
    <w:rPr>
      <w:sz w:val="14"/>
      <w:lang w:val="en-US"/>
    </w:rPr>
  </w:style>
  <w:style w:type="paragraph" w:customStyle="1" w:styleId="Table-Text">
    <w:name w:val="Table - Text"/>
    <w:basedOn w:val="Table"/>
    <w:uiPriority w:val="6"/>
    <w:rsid w:val="00920D86"/>
  </w:style>
  <w:style w:type="paragraph" w:customStyle="1" w:styleId="Table-TextTotal">
    <w:name w:val="Table - Text Total"/>
    <w:basedOn w:val="Table-Text"/>
    <w:uiPriority w:val="6"/>
    <w:rsid w:val="00920D86"/>
    <w:rPr>
      <w:b/>
    </w:rPr>
  </w:style>
  <w:style w:type="paragraph" w:customStyle="1" w:styleId="Table-Number">
    <w:name w:val="Table - Number"/>
    <w:basedOn w:val="Table"/>
    <w:uiPriority w:val="6"/>
    <w:rsid w:val="00920D86"/>
    <w:pPr>
      <w:jc w:val="right"/>
    </w:pPr>
  </w:style>
  <w:style w:type="paragraph" w:customStyle="1" w:styleId="Table-NumberTotal">
    <w:name w:val="Table - Number Total"/>
    <w:basedOn w:val="Table-Number"/>
    <w:uiPriority w:val="6"/>
    <w:rsid w:val="00920D86"/>
    <w:rPr>
      <w:b/>
    </w:rPr>
  </w:style>
  <w:style w:type="paragraph" w:styleId="Quote">
    <w:name w:val="Quote"/>
    <w:basedOn w:val="Normal"/>
    <w:next w:val="Normal"/>
    <w:link w:val="QuoteChar"/>
    <w:uiPriority w:val="19"/>
    <w:semiHidden/>
    <w:rsid w:val="00920D86"/>
    <w:pPr>
      <w:spacing w:before="260" w:after="260"/>
      <w:ind w:left="567" w:right="567"/>
    </w:pPr>
    <w:rPr>
      <w:b/>
      <w:iCs/>
      <w:color w:val="000000" w:themeColor="text1"/>
      <w:sz w:val="20"/>
    </w:rPr>
  </w:style>
  <w:style w:type="character" w:customStyle="1" w:styleId="QuoteChar">
    <w:name w:val="Quote Char"/>
    <w:basedOn w:val="DefaultParagraphFont"/>
    <w:link w:val="Quote"/>
    <w:uiPriority w:val="19"/>
    <w:semiHidden/>
    <w:rsid w:val="00920D86"/>
    <w:rPr>
      <w:b/>
      <w:iCs/>
      <w:color w:val="000000" w:themeColor="text1"/>
      <w:sz w:val="20"/>
      <w:lang w:val="en-US"/>
    </w:rPr>
  </w:style>
  <w:style w:type="character" w:styleId="BookTitle">
    <w:name w:val="Book Title"/>
    <w:basedOn w:val="DefaultParagraphFont"/>
    <w:uiPriority w:val="99"/>
    <w:semiHidden/>
    <w:qFormat/>
    <w:rsid w:val="00920D86"/>
    <w:rPr>
      <w:b/>
      <w:bCs/>
      <w:caps w:val="0"/>
      <w:smallCaps w:val="0"/>
      <w:spacing w:val="5"/>
      <w:lang w:val="en-US"/>
    </w:rPr>
  </w:style>
  <w:style w:type="paragraph" w:styleId="TableofAuthorities">
    <w:name w:val="table of authorities"/>
    <w:basedOn w:val="Normal"/>
    <w:next w:val="Normal"/>
    <w:uiPriority w:val="10"/>
    <w:semiHidden/>
    <w:rsid w:val="00920D86"/>
    <w:pPr>
      <w:ind w:right="567"/>
    </w:pPr>
  </w:style>
  <w:style w:type="paragraph" w:styleId="NormalIndent">
    <w:name w:val="Normal Indent"/>
    <w:basedOn w:val="Normal"/>
    <w:uiPriority w:val="99"/>
    <w:semiHidden/>
    <w:rsid w:val="00920D86"/>
    <w:pPr>
      <w:ind w:left="1134"/>
    </w:pPr>
  </w:style>
  <w:style w:type="table" w:styleId="TableGrid">
    <w:name w:val="Table Grid"/>
    <w:basedOn w:val="TableNormal"/>
    <w:rsid w:val="00920D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Heading">
    <w:name w:val="Document Heading"/>
    <w:basedOn w:val="Normal"/>
    <w:uiPriority w:val="8"/>
    <w:semiHidden/>
    <w:rsid w:val="00920D86"/>
    <w:pPr>
      <w:spacing w:after="260"/>
      <w:contextualSpacing/>
    </w:pPr>
    <w:rPr>
      <w:b/>
      <w:caps/>
    </w:rPr>
  </w:style>
  <w:style w:type="paragraph" w:customStyle="1" w:styleId="DocumentName">
    <w:name w:val="Document Name"/>
    <w:basedOn w:val="Normal"/>
    <w:next w:val="Normal"/>
    <w:uiPriority w:val="8"/>
    <w:semiHidden/>
    <w:rsid w:val="00920D86"/>
    <w:pPr>
      <w:spacing w:after="160" w:line="440" w:lineRule="exact"/>
    </w:pPr>
    <w:rPr>
      <w:caps/>
      <w:sz w:val="44"/>
    </w:rPr>
  </w:style>
  <w:style w:type="paragraph" w:customStyle="1" w:styleId="Template-Date">
    <w:name w:val="Template - Date"/>
    <w:basedOn w:val="Template"/>
    <w:uiPriority w:val="8"/>
    <w:semiHidden/>
    <w:rsid w:val="00920D86"/>
  </w:style>
  <w:style w:type="table" w:customStyle="1" w:styleId="Blank">
    <w:name w:val="Blank"/>
    <w:basedOn w:val="TableNormal"/>
    <w:uiPriority w:val="99"/>
    <w:rsid w:val="00920D86"/>
    <w:pPr>
      <w:spacing w:line="240" w:lineRule="atLeast"/>
    </w:pPr>
    <w:tblPr>
      <w:tblCellMar>
        <w:left w:w="0" w:type="dxa"/>
        <w:right w:w="0" w:type="dxa"/>
      </w:tblCellMar>
    </w:tblPr>
  </w:style>
  <w:style w:type="paragraph" w:styleId="NoSpacing">
    <w:name w:val="No Spacing"/>
    <w:uiPriority w:val="99"/>
    <w:semiHidden/>
    <w:rsid w:val="00920D86"/>
    <w:pPr>
      <w:spacing w:line="240" w:lineRule="atLeast"/>
    </w:pPr>
    <w:rPr>
      <w:lang w:val="en-US"/>
    </w:rPr>
  </w:style>
  <w:style w:type="paragraph" w:customStyle="1" w:styleId="RecipientAddress">
    <w:name w:val="Recipient Address"/>
    <w:basedOn w:val="Normal"/>
    <w:uiPriority w:val="8"/>
    <w:semiHidden/>
    <w:rsid w:val="00920D86"/>
  </w:style>
  <w:style w:type="paragraph" w:customStyle="1" w:styleId="Table-Heading">
    <w:name w:val="Table - Heading"/>
    <w:basedOn w:val="Table"/>
    <w:uiPriority w:val="6"/>
    <w:rsid w:val="00920D86"/>
    <w:rPr>
      <w:b/>
    </w:rPr>
  </w:style>
  <w:style w:type="paragraph" w:customStyle="1" w:styleId="Table-HeadingRight">
    <w:name w:val="Table - Heading Right"/>
    <w:basedOn w:val="Table-Heading"/>
    <w:uiPriority w:val="6"/>
    <w:rsid w:val="00920D86"/>
    <w:pPr>
      <w:jc w:val="right"/>
    </w:pPr>
  </w:style>
  <w:style w:type="paragraph" w:customStyle="1" w:styleId="SenderName">
    <w:name w:val="Sender Name"/>
    <w:basedOn w:val="Normal"/>
    <w:uiPriority w:val="7"/>
    <w:semiHidden/>
    <w:rsid w:val="00920D86"/>
    <w:rPr>
      <w:rFonts w:eastAsia="Times New Roman" w:cs="Times New Roman"/>
      <w:b/>
    </w:rPr>
  </w:style>
  <w:style w:type="paragraph" w:customStyle="1" w:styleId="Senderinformation">
    <w:name w:val="Sender information"/>
    <w:basedOn w:val="Normal"/>
    <w:uiPriority w:val="7"/>
    <w:semiHidden/>
    <w:rsid w:val="00920D86"/>
    <w:pPr>
      <w:tabs>
        <w:tab w:val="left" w:pos="198"/>
        <w:tab w:val="left" w:pos="851"/>
      </w:tabs>
      <w:spacing w:line="200" w:lineRule="atLeast"/>
    </w:pPr>
    <w:rPr>
      <w:rFonts w:eastAsia="Times New Roman" w:cs="Times New Roman"/>
      <w:sz w:val="14"/>
    </w:rPr>
  </w:style>
  <w:style w:type="paragraph" w:styleId="BalloonText">
    <w:name w:val="Balloon Text"/>
    <w:basedOn w:val="Normal"/>
    <w:link w:val="BalloonTextChar"/>
    <w:uiPriority w:val="99"/>
    <w:semiHidden/>
    <w:rsid w:val="00920D86"/>
    <w:pPr>
      <w:spacing w:line="240" w:lineRule="auto"/>
    </w:pPr>
    <w:rPr>
      <w:rFonts w:ascii="Segoe UI" w:hAnsi="Segoe UI" w:cs="Segoe UI"/>
    </w:rPr>
  </w:style>
  <w:style w:type="character" w:customStyle="1" w:styleId="BalloonTextChar">
    <w:name w:val="Balloon Text Char"/>
    <w:basedOn w:val="DefaultParagraphFont"/>
    <w:link w:val="BalloonText"/>
    <w:uiPriority w:val="99"/>
    <w:semiHidden/>
    <w:rsid w:val="00920D86"/>
    <w:rPr>
      <w:rFonts w:ascii="Segoe UI" w:hAnsi="Segoe UI" w:cs="Segoe UI"/>
      <w:lang w:val="en-US"/>
    </w:rPr>
  </w:style>
  <w:style w:type="paragraph" w:styleId="Bibliography">
    <w:name w:val="Bibliography"/>
    <w:basedOn w:val="Normal"/>
    <w:next w:val="Normal"/>
    <w:uiPriority w:val="99"/>
    <w:semiHidden/>
    <w:rsid w:val="00920D86"/>
  </w:style>
  <w:style w:type="paragraph" w:styleId="BodyText">
    <w:name w:val="Body Text"/>
    <w:basedOn w:val="Normal"/>
    <w:link w:val="BodyTextChar"/>
    <w:uiPriority w:val="99"/>
    <w:semiHidden/>
    <w:rsid w:val="00920D86"/>
    <w:pPr>
      <w:spacing w:after="120"/>
    </w:pPr>
  </w:style>
  <w:style w:type="character" w:customStyle="1" w:styleId="BodyTextChar">
    <w:name w:val="Body Text Char"/>
    <w:basedOn w:val="DefaultParagraphFont"/>
    <w:link w:val="BodyText"/>
    <w:uiPriority w:val="99"/>
    <w:semiHidden/>
    <w:rsid w:val="00920D86"/>
    <w:rPr>
      <w:lang w:val="en-US"/>
    </w:rPr>
  </w:style>
  <w:style w:type="paragraph" w:styleId="BodyText2">
    <w:name w:val="Body Text 2"/>
    <w:basedOn w:val="Normal"/>
    <w:link w:val="BodyText2Char"/>
    <w:uiPriority w:val="99"/>
    <w:semiHidden/>
    <w:rsid w:val="00920D86"/>
    <w:pPr>
      <w:spacing w:after="120" w:line="480" w:lineRule="auto"/>
    </w:pPr>
  </w:style>
  <w:style w:type="character" w:customStyle="1" w:styleId="BodyText2Char">
    <w:name w:val="Body Text 2 Char"/>
    <w:basedOn w:val="DefaultParagraphFont"/>
    <w:link w:val="BodyText2"/>
    <w:uiPriority w:val="99"/>
    <w:semiHidden/>
    <w:rsid w:val="00920D86"/>
    <w:rPr>
      <w:lang w:val="en-US"/>
    </w:rPr>
  </w:style>
  <w:style w:type="paragraph" w:styleId="BodyText3">
    <w:name w:val="Body Text 3"/>
    <w:basedOn w:val="Normal"/>
    <w:link w:val="BodyText3Char"/>
    <w:uiPriority w:val="99"/>
    <w:semiHidden/>
    <w:rsid w:val="00920D86"/>
    <w:pPr>
      <w:spacing w:after="120"/>
    </w:pPr>
    <w:rPr>
      <w:sz w:val="16"/>
      <w:szCs w:val="16"/>
    </w:rPr>
  </w:style>
  <w:style w:type="character" w:customStyle="1" w:styleId="BodyText3Char">
    <w:name w:val="Body Text 3 Char"/>
    <w:basedOn w:val="DefaultParagraphFont"/>
    <w:link w:val="BodyText3"/>
    <w:uiPriority w:val="99"/>
    <w:semiHidden/>
    <w:rsid w:val="00920D86"/>
    <w:rPr>
      <w:sz w:val="16"/>
      <w:szCs w:val="16"/>
      <w:lang w:val="en-US"/>
    </w:rPr>
  </w:style>
  <w:style w:type="paragraph" w:styleId="BodyTextFirstIndent">
    <w:name w:val="Body Text First Indent"/>
    <w:basedOn w:val="BodyText"/>
    <w:link w:val="BodyTextFirstIndentChar"/>
    <w:uiPriority w:val="99"/>
    <w:semiHidden/>
    <w:rsid w:val="00920D86"/>
    <w:pPr>
      <w:spacing w:after="0"/>
      <w:ind w:firstLine="360"/>
    </w:pPr>
  </w:style>
  <w:style w:type="character" w:customStyle="1" w:styleId="BodyTextFirstIndentChar">
    <w:name w:val="Body Text First Indent Char"/>
    <w:basedOn w:val="BodyTextChar"/>
    <w:link w:val="BodyTextFirstIndent"/>
    <w:uiPriority w:val="99"/>
    <w:semiHidden/>
    <w:rsid w:val="00920D86"/>
    <w:rPr>
      <w:lang w:val="en-US"/>
    </w:rPr>
  </w:style>
  <w:style w:type="paragraph" w:styleId="BodyTextIndent">
    <w:name w:val="Body Text Indent"/>
    <w:basedOn w:val="Normal"/>
    <w:link w:val="BodyTextIndentChar"/>
    <w:uiPriority w:val="99"/>
    <w:semiHidden/>
    <w:rsid w:val="00920D86"/>
    <w:pPr>
      <w:spacing w:after="120"/>
      <w:ind w:left="283"/>
    </w:pPr>
  </w:style>
  <w:style w:type="character" w:customStyle="1" w:styleId="BodyTextIndentChar">
    <w:name w:val="Body Text Indent Char"/>
    <w:basedOn w:val="DefaultParagraphFont"/>
    <w:link w:val="BodyTextIndent"/>
    <w:uiPriority w:val="99"/>
    <w:semiHidden/>
    <w:rsid w:val="00920D86"/>
    <w:rPr>
      <w:lang w:val="en-US"/>
    </w:rPr>
  </w:style>
  <w:style w:type="paragraph" w:styleId="BodyTextFirstIndent2">
    <w:name w:val="Body Text First Indent 2"/>
    <w:basedOn w:val="BodyTextIndent"/>
    <w:link w:val="BodyTextFirstIndent2Char"/>
    <w:uiPriority w:val="99"/>
    <w:semiHidden/>
    <w:rsid w:val="00920D86"/>
    <w:pPr>
      <w:spacing w:after="0"/>
      <w:ind w:left="360" w:firstLine="360"/>
    </w:pPr>
  </w:style>
  <w:style w:type="character" w:customStyle="1" w:styleId="BodyTextFirstIndent2Char">
    <w:name w:val="Body Text First Indent 2 Char"/>
    <w:basedOn w:val="BodyTextIndentChar"/>
    <w:link w:val="BodyTextFirstIndent2"/>
    <w:uiPriority w:val="99"/>
    <w:semiHidden/>
    <w:rsid w:val="00920D86"/>
    <w:rPr>
      <w:lang w:val="en-US"/>
    </w:rPr>
  </w:style>
  <w:style w:type="paragraph" w:styleId="BodyTextIndent2">
    <w:name w:val="Body Text Indent 2"/>
    <w:basedOn w:val="Normal"/>
    <w:link w:val="BodyTextIndent2Char"/>
    <w:uiPriority w:val="99"/>
    <w:semiHidden/>
    <w:rsid w:val="00920D86"/>
    <w:pPr>
      <w:spacing w:after="120" w:line="480" w:lineRule="auto"/>
      <w:ind w:left="283"/>
    </w:pPr>
  </w:style>
  <w:style w:type="character" w:customStyle="1" w:styleId="BodyTextIndent2Char">
    <w:name w:val="Body Text Indent 2 Char"/>
    <w:basedOn w:val="DefaultParagraphFont"/>
    <w:link w:val="BodyTextIndent2"/>
    <w:uiPriority w:val="99"/>
    <w:semiHidden/>
    <w:rsid w:val="00920D86"/>
    <w:rPr>
      <w:lang w:val="en-US"/>
    </w:rPr>
  </w:style>
  <w:style w:type="paragraph" w:styleId="BodyTextIndent3">
    <w:name w:val="Body Text Indent 3"/>
    <w:basedOn w:val="Normal"/>
    <w:link w:val="BodyTextIndent3Char"/>
    <w:uiPriority w:val="99"/>
    <w:semiHidden/>
    <w:rsid w:val="00920D86"/>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920D86"/>
    <w:rPr>
      <w:sz w:val="16"/>
      <w:szCs w:val="16"/>
      <w:lang w:val="en-US"/>
    </w:rPr>
  </w:style>
  <w:style w:type="paragraph" w:styleId="Closing">
    <w:name w:val="Closing"/>
    <w:basedOn w:val="Normal"/>
    <w:link w:val="ClosingChar"/>
    <w:uiPriority w:val="99"/>
    <w:semiHidden/>
    <w:rsid w:val="00920D86"/>
    <w:pPr>
      <w:spacing w:line="240" w:lineRule="auto"/>
      <w:ind w:left="4252"/>
    </w:pPr>
  </w:style>
  <w:style w:type="character" w:customStyle="1" w:styleId="ClosingChar">
    <w:name w:val="Closing Char"/>
    <w:basedOn w:val="DefaultParagraphFont"/>
    <w:link w:val="Closing"/>
    <w:uiPriority w:val="99"/>
    <w:semiHidden/>
    <w:rsid w:val="00920D86"/>
    <w:rPr>
      <w:lang w:val="en-US"/>
    </w:rPr>
  </w:style>
  <w:style w:type="table" w:styleId="ColorfulGrid">
    <w:name w:val="Colorful Grid"/>
    <w:basedOn w:val="TableNormal"/>
    <w:uiPriority w:val="73"/>
    <w:semiHidden/>
    <w:unhideWhenUsed/>
    <w:rsid w:val="00920D8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920D8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B3D2FB" w:themeFill="accent1" w:themeFillTint="33"/>
    </w:tcPr>
    <w:tblStylePr w:type="firstRow">
      <w:rPr>
        <w:b/>
        <w:bCs/>
      </w:rPr>
      <w:tblPr/>
      <w:tcPr>
        <w:shd w:val="clear" w:color="auto" w:fill="67A5F8" w:themeFill="accent1" w:themeFillTint="66"/>
      </w:tcPr>
    </w:tblStylePr>
    <w:tblStylePr w:type="lastRow">
      <w:rPr>
        <w:b/>
        <w:bCs/>
        <w:color w:val="000000" w:themeColor="text1"/>
      </w:rPr>
      <w:tblPr/>
      <w:tcPr>
        <w:shd w:val="clear" w:color="auto" w:fill="67A5F8" w:themeFill="accent1" w:themeFillTint="66"/>
      </w:tcPr>
    </w:tblStylePr>
    <w:tblStylePr w:type="firstCol">
      <w:rPr>
        <w:color w:val="FFFFFF" w:themeColor="background1"/>
      </w:rPr>
      <w:tblPr/>
      <w:tcPr>
        <w:shd w:val="clear" w:color="auto" w:fill="032552" w:themeFill="accent1" w:themeFillShade="BF"/>
      </w:tcPr>
    </w:tblStylePr>
    <w:tblStylePr w:type="lastCol">
      <w:rPr>
        <w:color w:val="FFFFFF" w:themeColor="background1"/>
      </w:rPr>
      <w:tblPr/>
      <w:tcPr>
        <w:shd w:val="clear" w:color="auto" w:fill="032552" w:themeFill="accent1" w:themeFillShade="BF"/>
      </w:tcPr>
    </w:tblStylePr>
    <w:tblStylePr w:type="band1Vert">
      <w:tblPr/>
      <w:tcPr>
        <w:shd w:val="clear" w:color="auto" w:fill="428FF6" w:themeFill="accent1" w:themeFillTint="7F"/>
      </w:tcPr>
    </w:tblStylePr>
    <w:tblStylePr w:type="band1Horz">
      <w:tblPr/>
      <w:tcPr>
        <w:shd w:val="clear" w:color="auto" w:fill="428FF6" w:themeFill="accent1" w:themeFillTint="7F"/>
      </w:tcPr>
    </w:tblStylePr>
  </w:style>
  <w:style w:type="table" w:styleId="ColorfulGrid-Accent2">
    <w:name w:val="Colorful Grid Accent 2"/>
    <w:basedOn w:val="TableNormal"/>
    <w:uiPriority w:val="73"/>
    <w:semiHidden/>
    <w:unhideWhenUsed/>
    <w:rsid w:val="00920D8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BBF1DD" w:themeFill="accent2" w:themeFillTint="33"/>
    </w:tcPr>
    <w:tblStylePr w:type="firstRow">
      <w:rPr>
        <w:b/>
        <w:bCs/>
      </w:rPr>
      <w:tblPr/>
      <w:tcPr>
        <w:shd w:val="clear" w:color="auto" w:fill="78E4BD" w:themeFill="accent2" w:themeFillTint="66"/>
      </w:tcPr>
    </w:tblStylePr>
    <w:tblStylePr w:type="lastRow">
      <w:rPr>
        <w:b/>
        <w:bCs/>
        <w:color w:val="000000" w:themeColor="text1"/>
      </w:rPr>
      <w:tblPr/>
      <w:tcPr>
        <w:shd w:val="clear" w:color="auto" w:fill="78E4BD" w:themeFill="accent2" w:themeFillTint="66"/>
      </w:tcPr>
    </w:tblStylePr>
    <w:tblStylePr w:type="firstCol">
      <w:rPr>
        <w:color w:val="FFFFFF" w:themeColor="background1"/>
      </w:rPr>
      <w:tblPr/>
      <w:tcPr>
        <w:shd w:val="clear" w:color="auto" w:fill="0D432F" w:themeFill="accent2" w:themeFillShade="BF"/>
      </w:tcPr>
    </w:tblStylePr>
    <w:tblStylePr w:type="lastCol">
      <w:rPr>
        <w:color w:val="FFFFFF" w:themeColor="background1"/>
      </w:rPr>
      <w:tblPr/>
      <w:tcPr>
        <w:shd w:val="clear" w:color="auto" w:fill="0D432F" w:themeFill="accent2" w:themeFillShade="BF"/>
      </w:tcPr>
    </w:tblStylePr>
    <w:tblStylePr w:type="band1Vert">
      <w:tblPr/>
      <w:tcPr>
        <w:shd w:val="clear" w:color="auto" w:fill="58DDAC" w:themeFill="accent2" w:themeFillTint="7F"/>
      </w:tcPr>
    </w:tblStylePr>
    <w:tblStylePr w:type="band1Horz">
      <w:tblPr/>
      <w:tcPr>
        <w:shd w:val="clear" w:color="auto" w:fill="58DDAC" w:themeFill="accent2" w:themeFillTint="7F"/>
      </w:tcPr>
    </w:tblStylePr>
  </w:style>
  <w:style w:type="table" w:styleId="ColorfulGrid-Accent3">
    <w:name w:val="Colorful Grid Accent 3"/>
    <w:basedOn w:val="TableNormal"/>
    <w:uiPriority w:val="73"/>
    <w:semiHidden/>
    <w:unhideWhenUsed/>
    <w:rsid w:val="00920D8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EF5E9" w:themeFill="accent3" w:themeFillTint="33"/>
    </w:tcPr>
    <w:tblStylePr w:type="firstRow">
      <w:rPr>
        <w:b/>
        <w:bCs/>
      </w:rPr>
      <w:tblPr/>
      <w:tcPr>
        <w:shd w:val="clear" w:color="auto" w:fill="DEECD4" w:themeFill="accent3" w:themeFillTint="66"/>
      </w:tcPr>
    </w:tblStylePr>
    <w:tblStylePr w:type="lastRow">
      <w:rPr>
        <w:b/>
        <w:bCs/>
        <w:color w:val="000000" w:themeColor="text1"/>
      </w:rPr>
      <w:tblPr/>
      <w:tcPr>
        <w:shd w:val="clear" w:color="auto" w:fill="DEECD4" w:themeFill="accent3" w:themeFillTint="66"/>
      </w:tcPr>
    </w:tblStylePr>
    <w:tblStylePr w:type="firstCol">
      <w:rPr>
        <w:color w:val="FFFFFF" w:themeColor="background1"/>
      </w:rPr>
      <w:tblPr/>
      <w:tcPr>
        <w:shd w:val="clear" w:color="auto" w:fill="7CB456" w:themeFill="accent3" w:themeFillShade="BF"/>
      </w:tcPr>
    </w:tblStylePr>
    <w:tblStylePr w:type="lastCol">
      <w:rPr>
        <w:color w:val="FFFFFF" w:themeColor="background1"/>
      </w:rPr>
      <w:tblPr/>
      <w:tcPr>
        <w:shd w:val="clear" w:color="auto" w:fill="7CB456" w:themeFill="accent3" w:themeFillShade="BF"/>
      </w:tcPr>
    </w:tblStylePr>
    <w:tblStylePr w:type="band1Vert">
      <w:tblPr/>
      <w:tcPr>
        <w:shd w:val="clear" w:color="auto" w:fill="D5E7CA" w:themeFill="accent3" w:themeFillTint="7F"/>
      </w:tcPr>
    </w:tblStylePr>
    <w:tblStylePr w:type="band1Horz">
      <w:tblPr/>
      <w:tcPr>
        <w:shd w:val="clear" w:color="auto" w:fill="D5E7CA" w:themeFill="accent3" w:themeFillTint="7F"/>
      </w:tcPr>
    </w:tblStylePr>
  </w:style>
  <w:style w:type="table" w:styleId="ColorfulGrid-Accent4">
    <w:name w:val="Colorful Grid Accent 4"/>
    <w:basedOn w:val="TableNormal"/>
    <w:uiPriority w:val="73"/>
    <w:semiHidden/>
    <w:unhideWhenUsed/>
    <w:rsid w:val="00920D8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9CADC" w:themeFill="accent4" w:themeFillTint="33"/>
    </w:tcPr>
    <w:tblStylePr w:type="firstRow">
      <w:rPr>
        <w:b/>
        <w:bCs/>
      </w:rPr>
      <w:tblPr/>
      <w:tcPr>
        <w:shd w:val="clear" w:color="auto" w:fill="D396BA" w:themeFill="accent4" w:themeFillTint="66"/>
      </w:tcPr>
    </w:tblStylePr>
    <w:tblStylePr w:type="lastRow">
      <w:rPr>
        <w:b/>
        <w:bCs/>
        <w:color w:val="000000" w:themeColor="text1"/>
      </w:rPr>
      <w:tblPr/>
      <w:tcPr>
        <w:shd w:val="clear" w:color="auto" w:fill="D396BA" w:themeFill="accent4" w:themeFillTint="66"/>
      </w:tcPr>
    </w:tblStylePr>
    <w:tblStylePr w:type="firstCol">
      <w:rPr>
        <w:color w:val="FFFFFF" w:themeColor="background1"/>
      </w:rPr>
      <w:tblPr/>
      <w:tcPr>
        <w:shd w:val="clear" w:color="auto" w:fill="491E38" w:themeFill="accent4" w:themeFillShade="BF"/>
      </w:tcPr>
    </w:tblStylePr>
    <w:tblStylePr w:type="lastCol">
      <w:rPr>
        <w:color w:val="FFFFFF" w:themeColor="background1"/>
      </w:rPr>
      <w:tblPr/>
      <w:tcPr>
        <w:shd w:val="clear" w:color="auto" w:fill="491E38" w:themeFill="accent4" w:themeFillShade="BF"/>
      </w:tcPr>
    </w:tblStylePr>
    <w:tblStylePr w:type="band1Vert">
      <w:tblPr/>
      <w:tcPr>
        <w:shd w:val="clear" w:color="auto" w:fill="C87CA9" w:themeFill="accent4" w:themeFillTint="7F"/>
      </w:tcPr>
    </w:tblStylePr>
    <w:tblStylePr w:type="band1Horz">
      <w:tblPr/>
      <w:tcPr>
        <w:shd w:val="clear" w:color="auto" w:fill="C87CA9" w:themeFill="accent4" w:themeFillTint="7F"/>
      </w:tcPr>
    </w:tblStylePr>
  </w:style>
  <w:style w:type="table" w:styleId="ColorfulGrid-Accent5">
    <w:name w:val="Colorful Grid Accent 5"/>
    <w:basedOn w:val="TableNormal"/>
    <w:uiPriority w:val="73"/>
    <w:semiHidden/>
    <w:unhideWhenUsed/>
    <w:rsid w:val="00920D8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7DD" w:themeFill="accent5" w:themeFillTint="33"/>
    </w:tcPr>
    <w:tblStylePr w:type="firstRow">
      <w:rPr>
        <w:b/>
        <w:bCs/>
      </w:rPr>
      <w:tblPr/>
      <w:tcPr>
        <w:shd w:val="clear" w:color="auto" w:fill="FFCFBB" w:themeFill="accent5" w:themeFillTint="66"/>
      </w:tcPr>
    </w:tblStylePr>
    <w:tblStylePr w:type="lastRow">
      <w:rPr>
        <w:b/>
        <w:bCs/>
        <w:color w:val="000000" w:themeColor="text1"/>
      </w:rPr>
      <w:tblPr/>
      <w:tcPr>
        <w:shd w:val="clear" w:color="auto" w:fill="FFCFBB" w:themeFill="accent5" w:themeFillTint="66"/>
      </w:tcPr>
    </w:tblStylePr>
    <w:tblStylePr w:type="firstCol">
      <w:rPr>
        <w:color w:val="FFFFFF" w:themeColor="background1"/>
      </w:rPr>
      <w:tblPr/>
      <w:tcPr>
        <w:shd w:val="clear" w:color="auto" w:fill="FE4B00" w:themeFill="accent5" w:themeFillShade="BF"/>
      </w:tcPr>
    </w:tblStylePr>
    <w:tblStylePr w:type="lastCol">
      <w:rPr>
        <w:color w:val="FFFFFF" w:themeColor="background1"/>
      </w:rPr>
      <w:tblPr/>
      <w:tcPr>
        <w:shd w:val="clear" w:color="auto" w:fill="FE4B00" w:themeFill="accent5" w:themeFillShade="BF"/>
      </w:tcPr>
    </w:tblStylePr>
    <w:tblStylePr w:type="band1Vert">
      <w:tblPr/>
      <w:tcPr>
        <w:shd w:val="clear" w:color="auto" w:fill="FFC3AA" w:themeFill="accent5" w:themeFillTint="7F"/>
      </w:tcPr>
    </w:tblStylePr>
    <w:tblStylePr w:type="band1Horz">
      <w:tblPr/>
      <w:tcPr>
        <w:shd w:val="clear" w:color="auto" w:fill="FFC3AA" w:themeFill="accent5" w:themeFillTint="7F"/>
      </w:tcPr>
    </w:tblStylePr>
  </w:style>
  <w:style w:type="table" w:styleId="ColorfulGrid-Accent6">
    <w:name w:val="Colorful Grid Accent 6"/>
    <w:basedOn w:val="TableNormal"/>
    <w:uiPriority w:val="73"/>
    <w:semiHidden/>
    <w:unhideWhenUsed/>
    <w:rsid w:val="00920D8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F8F7" w:themeFill="accent6" w:themeFillTint="33"/>
    </w:tcPr>
    <w:tblStylePr w:type="firstRow">
      <w:rPr>
        <w:b/>
        <w:bCs/>
      </w:rPr>
      <w:tblPr/>
      <w:tcPr>
        <w:shd w:val="clear" w:color="auto" w:fill="F3F2EF" w:themeFill="accent6" w:themeFillTint="66"/>
      </w:tcPr>
    </w:tblStylePr>
    <w:tblStylePr w:type="lastRow">
      <w:rPr>
        <w:b/>
        <w:bCs/>
        <w:color w:val="000000" w:themeColor="text1"/>
      </w:rPr>
      <w:tblPr/>
      <w:tcPr>
        <w:shd w:val="clear" w:color="auto" w:fill="F3F2EF" w:themeFill="accent6" w:themeFillTint="66"/>
      </w:tcPr>
    </w:tblStylePr>
    <w:tblStylePr w:type="firstCol">
      <w:rPr>
        <w:color w:val="FFFFFF" w:themeColor="background1"/>
      </w:rPr>
      <w:tblPr/>
      <w:tcPr>
        <w:shd w:val="clear" w:color="auto" w:fill="B4AF97" w:themeFill="accent6" w:themeFillShade="BF"/>
      </w:tcPr>
    </w:tblStylePr>
    <w:tblStylePr w:type="lastCol">
      <w:rPr>
        <w:color w:val="FFFFFF" w:themeColor="background1"/>
      </w:rPr>
      <w:tblPr/>
      <w:tcPr>
        <w:shd w:val="clear" w:color="auto" w:fill="B4AF97" w:themeFill="accent6" w:themeFillShade="BF"/>
      </w:tcPr>
    </w:tblStylePr>
    <w:tblStylePr w:type="band1Vert">
      <w:tblPr/>
      <w:tcPr>
        <w:shd w:val="clear" w:color="auto" w:fill="F1EFEB" w:themeFill="accent6" w:themeFillTint="7F"/>
      </w:tcPr>
    </w:tblStylePr>
    <w:tblStylePr w:type="band1Horz">
      <w:tblPr/>
      <w:tcPr>
        <w:shd w:val="clear" w:color="auto" w:fill="F1EFEB" w:themeFill="accent6" w:themeFillTint="7F"/>
      </w:tcPr>
    </w:tblStylePr>
  </w:style>
  <w:style w:type="table" w:styleId="ColorfulList">
    <w:name w:val="Colorful List"/>
    <w:basedOn w:val="TableNormal"/>
    <w:uiPriority w:val="72"/>
    <w:semiHidden/>
    <w:unhideWhenUsed/>
    <w:rsid w:val="00920D86"/>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E4732" w:themeFill="accent2" w:themeFillShade="CC"/>
      </w:tcPr>
    </w:tblStylePr>
    <w:tblStylePr w:type="lastRow">
      <w:rPr>
        <w:b/>
        <w:bCs/>
        <w:color w:val="0E473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920D86"/>
    <w:pPr>
      <w:spacing w:line="240" w:lineRule="auto"/>
    </w:pPr>
    <w:rPr>
      <w:color w:val="000000" w:themeColor="text1"/>
    </w:rPr>
    <w:tblPr>
      <w:tblStyleRowBandSize w:val="1"/>
      <w:tblStyleColBandSize w:val="1"/>
    </w:tblPr>
    <w:tcPr>
      <w:shd w:val="clear" w:color="auto" w:fill="D9E8FD" w:themeFill="accent1" w:themeFillTint="19"/>
    </w:tcPr>
    <w:tblStylePr w:type="firstRow">
      <w:rPr>
        <w:b/>
        <w:bCs/>
        <w:color w:val="FFFFFF" w:themeColor="background1"/>
      </w:rPr>
      <w:tblPr/>
      <w:tcPr>
        <w:tcBorders>
          <w:bottom w:val="single" w:sz="12" w:space="0" w:color="FFFFFF" w:themeColor="background1"/>
        </w:tcBorders>
        <w:shd w:val="clear" w:color="auto" w:fill="0E4732" w:themeFill="accent2" w:themeFillShade="CC"/>
      </w:tcPr>
    </w:tblStylePr>
    <w:tblStylePr w:type="lastRow">
      <w:rPr>
        <w:b/>
        <w:bCs/>
        <w:color w:val="0E473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1C7FA" w:themeFill="accent1" w:themeFillTint="3F"/>
      </w:tcPr>
    </w:tblStylePr>
    <w:tblStylePr w:type="band1Horz">
      <w:tblPr/>
      <w:tcPr>
        <w:shd w:val="clear" w:color="auto" w:fill="B3D2FB" w:themeFill="accent1" w:themeFillTint="33"/>
      </w:tcPr>
    </w:tblStylePr>
  </w:style>
  <w:style w:type="table" w:styleId="ColorfulList-Accent2">
    <w:name w:val="Colorful List Accent 2"/>
    <w:basedOn w:val="TableNormal"/>
    <w:uiPriority w:val="72"/>
    <w:semiHidden/>
    <w:unhideWhenUsed/>
    <w:rsid w:val="00920D86"/>
    <w:pPr>
      <w:spacing w:line="240" w:lineRule="auto"/>
    </w:pPr>
    <w:rPr>
      <w:color w:val="000000" w:themeColor="text1"/>
    </w:rPr>
    <w:tblPr>
      <w:tblStyleRowBandSize w:val="1"/>
      <w:tblStyleColBandSize w:val="1"/>
    </w:tblPr>
    <w:tcPr>
      <w:shd w:val="clear" w:color="auto" w:fill="DDF8EE" w:themeFill="accent2" w:themeFillTint="19"/>
    </w:tcPr>
    <w:tblStylePr w:type="firstRow">
      <w:rPr>
        <w:b/>
        <w:bCs/>
        <w:color w:val="FFFFFF" w:themeColor="background1"/>
      </w:rPr>
      <w:tblPr/>
      <w:tcPr>
        <w:tcBorders>
          <w:bottom w:val="single" w:sz="12" w:space="0" w:color="FFFFFF" w:themeColor="background1"/>
        </w:tcBorders>
        <w:shd w:val="clear" w:color="auto" w:fill="0E4732" w:themeFill="accent2" w:themeFillShade="CC"/>
      </w:tcPr>
    </w:tblStylePr>
    <w:tblStylePr w:type="lastRow">
      <w:rPr>
        <w:b/>
        <w:bCs/>
        <w:color w:val="0E473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CEED6" w:themeFill="accent2" w:themeFillTint="3F"/>
      </w:tcPr>
    </w:tblStylePr>
    <w:tblStylePr w:type="band1Horz">
      <w:tblPr/>
      <w:tcPr>
        <w:shd w:val="clear" w:color="auto" w:fill="BBF1DD" w:themeFill="accent2" w:themeFillTint="33"/>
      </w:tcPr>
    </w:tblStylePr>
  </w:style>
  <w:style w:type="table" w:styleId="ColorfulList-Accent3">
    <w:name w:val="Colorful List Accent 3"/>
    <w:basedOn w:val="TableNormal"/>
    <w:uiPriority w:val="72"/>
    <w:semiHidden/>
    <w:unhideWhenUsed/>
    <w:rsid w:val="00920D86"/>
    <w:pPr>
      <w:spacing w:line="240" w:lineRule="auto"/>
    </w:pPr>
    <w:rPr>
      <w:color w:val="000000" w:themeColor="text1"/>
    </w:rPr>
    <w:tblPr>
      <w:tblStyleRowBandSize w:val="1"/>
      <w:tblStyleColBandSize w:val="1"/>
    </w:tblPr>
    <w:tcPr>
      <w:shd w:val="clear" w:color="auto" w:fill="F6FAF4" w:themeFill="accent3" w:themeFillTint="19"/>
    </w:tcPr>
    <w:tblStylePr w:type="firstRow">
      <w:rPr>
        <w:b/>
        <w:bCs/>
        <w:color w:val="FFFFFF" w:themeColor="background1"/>
      </w:rPr>
      <w:tblPr/>
      <w:tcPr>
        <w:tcBorders>
          <w:bottom w:val="single" w:sz="12" w:space="0" w:color="FFFFFF" w:themeColor="background1"/>
        </w:tcBorders>
        <w:shd w:val="clear" w:color="auto" w:fill="4E203B" w:themeFill="accent4" w:themeFillShade="CC"/>
      </w:tcPr>
    </w:tblStylePr>
    <w:tblStylePr w:type="lastRow">
      <w:rPr>
        <w:b/>
        <w:bCs/>
        <w:color w:val="4E203B"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AF3E4" w:themeFill="accent3" w:themeFillTint="3F"/>
      </w:tcPr>
    </w:tblStylePr>
    <w:tblStylePr w:type="band1Horz">
      <w:tblPr/>
      <w:tcPr>
        <w:shd w:val="clear" w:color="auto" w:fill="EEF5E9" w:themeFill="accent3" w:themeFillTint="33"/>
      </w:tcPr>
    </w:tblStylePr>
  </w:style>
  <w:style w:type="table" w:styleId="ColorfulList-Accent4">
    <w:name w:val="Colorful List Accent 4"/>
    <w:basedOn w:val="TableNormal"/>
    <w:uiPriority w:val="72"/>
    <w:semiHidden/>
    <w:unhideWhenUsed/>
    <w:rsid w:val="00920D86"/>
    <w:pPr>
      <w:spacing w:line="240" w:lineRule="auto"/>
    </w:pPr>
    <w:rPr>
      <w:color w:val="000000" w:themeColor="text1"/>
    </w:rPr>
    <w:tblPr>
      <w:tblStyleRowBandSize w:val="1"/>
      <w:tblStyleColBandSize w:val="1"/>
    </w:tblPr>
    <w:tcPr>
      <w:shd w:val="clear" w:color="auto" w:fill="F4E5EE" w:themeFill="accent4" w:themeFillTint="19"/>
    </w:tcPr>
    <w:tblStylePr w:type="firstRow">
      <w:rPr>
        <w:b/>
        <w:bCs/>
        <w:color w:val="FFFFFF" w:themeColor="background1"/>
      </w:rPr>
      <w:tblPr/>
      <w:tcPr>
        <w:tcBorders>
          <w:bottom w:val="single" w:sz="12" w:space="0" w:color="FFFFFF" w:themeColor="background1"/>
        </w:tcBorders>
        <w:shd w:val="clear" w:color="auto" w:fill="86BA63" w:themeFill="accent3" w:themeFillShade="CC"/>
      </w:tcPr>
    </w:tblStylePr>
    <w:tblStylePr w:type="lastRow">
      <w:rPr>
        <w:b/>
        <w:bCs/>
        <w:color w:val="86BA63"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BED4" w:themeFill="accent4" w:themeFillTint="3F"/>
      </w:tcPr>
    </w:tblStylePr>
    <w:tblStylePr w:type="band1Horz">
      <w:tblPr/>
      <w:tcPr>
        <w:shd w:val="clear" w:color="auto" w:fill="E9CADC" w:themeFill="accent4" w:themeFillTint="33"/>
      </w:tcPr>
    </w:tblStylePr>
  </w:style>
  <w:style w:type="table" w:styleId="ColorfulList-Accent5">
    <w:name w:val="Colorful List Accent 5"/>
    <w:basedOn w:val="TableNormal"/>
    <w:uiPriority w:val="72"/>
    <w:semiHidden/>
    <w:unhideWhenUsed/>
    <w:rsid w:val="00920D86"/>
    <w:pPr>
      <w:spacing w:line="240" w:lineRule="auto"/>
    </w:pPr>
    <w:rPr>
      <w:color w:val="000000" w:themeColor="text1"/>
    </w:rPr>
    <w:tblPr>
      <w:tblStyleRowBandSize w:val="1"/>
      <w:tblStyleColBandSize w:val="1"/>
    </w:tblPr>
    <w:tcPr>
      <w:shd w:val="clear" w:color="auto" w:fill="FFF3EE" w:themeFill="accent5" w:themeFillTint="19"/>
    </w:tcPr>
    <w:tblStylePr w:type="firstRow">
      <w:rPr>
        <w:b/>
        <w:bCs/>
        <w:color w:val="FFFFFF" w:themeColor="background1"/>
      </w:rPr>
      <w:tblPr/>
      <w:tcPr>
        <w:tcBorders>
          <w:bottom w:val="single" w:sz="12" w:space="0" w:color="FFFFFF" w:themeColor="background1"/>
        </w:tcBorders>
        <w:shd w:val="clear" w:color="auto" w:fill="BEB9A4" w:themeFill="accent6" w:themeFillShade="CC"/>
      </w:tcPr>
    </w:tblStylePr>
    <w:tblStylePr w:type="lastRow">
      <w:rPr>
        <w:b/>
        <w:bCs/>
        <w:color w:val="BEB9A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1D5" w:themeFill="accent5" w:themeFillTint="3F"/>
      </w:tcPr>
    </w:tblStylePr>
    <w:tblStylePr w:type="band1Horz">
      <w:tblPr/>
      <w:tcPr>
        <w:shd w:val="clear" w:color="auto" w:fill="FFE7DD" w:themeFill="accent5" w:themeFillTint="33"/>
      </w:tcPr>
    </w:tblStylePr>
  </w:style>
  <w:style w:type="table" w:styleId="ColorfulList-Accent6">
    <w:name w:val="Colorful List Accent 6"/>
    <w:basedOn w:val="TableNormal"/>
    <w:uiPriority w:val="72"/>
    <w:semiHidden/>
    <w:unhideWhenUsed/>
    <w:rsid w:val="00920D86"/>
    <w:pPr>
      <w:spacing w:line="240" w:lineRule="auto"/>
    </w:pPr>
    <w:rPr>
      <w:color w:val="000000" w:themeColor="text1"/>
    </w:rPr>
    <w:tblPr>
      <w:tblStyleRowBandSize w:val="1"/>
      <w:tblStyleColBandSize w:val="1"/>
    </w:tblPr>
    <w:tcPr>
      <w:shd w:val="clear" w:color="auto" w:fill="FCFCFB" w:themeFill="accent6" w:themeFillTint="19"/>
    </w:tcPr>
    <w:tblStylePr w:type="firstRow">
      <w:rPr>
        <w:b/>
        <w:bCs/>
        <w:color w:val="FFFFFF" w:themeColor="background1"/>
      </w:rPr>
      <w:tblPr/>
      <w:tcPr>
        <w:tcBorders>
          <w:bottom w:val="single" w:sz="12" w:space="0" w:color="FFFFFF" w:themeColor="background1"/>
        </w:tcBorders>
        <w:shd w:val="clear" w:color="auto" w:fill="FF5711" w:themeFill="accent5" w:themeFillShade="CC"/>
      </w:tcPr>
    </w:tblStylePr>
    <w:tblStylePr w:type="lastRow">
      <w:rPr>
        <w:b/>
        <w:bCs/>
        <w:color w:val="FF571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F7F5" w:themeFill="accent6" w:themeFillTint="3F"/>
      </w:tcPr>
    </w:tblStylePr>
    <w:tblStylePr w:type="band1Horz">
      <w:tblPr/>
      <w:tcPr>
        <w:shd w:val="clear" w:color="auto" w:fill="F9F8F7" w:themeFill="accent6" w:themeFillTint="33"/>
      </w:tcPr>
    </w:tblStylePr>
  </w:style>
  <w:style w:type="table" w:styleId="ColorfulShading">
    <w:name w:val="Colorful Shading"/>
    <w:basedOn w:val="TableNormal"/>
    <w:uiPriority w:val="71"/>
    <w:semiHidden/>
    <w:unhideWhenUsed/>
    <w:rsid w:val="00920D86"/>
    <w:pPr>
      <w:spacing w:line="240" w:lineRule="auto"/>
    </w:pPr>
    <w:rPr>
      <w:color w:val="000000" w:themeColor="text1"/>
    </w:rPr>
    <w:tblPr>
      <w:tblStyleRowBandSize w:val="1"/>
      <w:tblStyleColBandSize w:val="1"/>
      <w:tblBorders>
        <w:top w:val="single" w:sz="24" w:space="0" w:color="125A4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25A4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920D86"/>
    <w:pPr>
      <w:spacing w:line="240" w:lineRule="auto"/>
    </w:pPr>
    <w:rPr>
      <w:color w:val="000000" w:themeColor="text1"/>
    </w:rPr>
    <w:tblPr>
      <w:tblStyleRowBandSize w:val="1"/>
      <w:tblStyleColBandSize w:val="1"/>
      <w:tblBorders>
        <w:top w:val="single" w:sz="24" w:space="0" w:color="125A40" w:themeColor="accent2"/>
        <w:left w:val="single" w:sz="4" w:space="0" w:color="05326E" w:themeColor="accent1"/>
        <w:bottom w:val="single" w:sz="4" w:space="0" w:color="05326E" w:themeColor="accent1"/>
        <w:right w:val="single" w:sz="4" w:space="0" w:color="05326E" w:themeColor="accent1"/>
        <w:insideH w:val="single" w:sz="4" w:space="0" w:color="FFFFFF" w:themeColor="background1"/>
        <w:insideV w:val="single" w:sz="4" w:space="0" w:color="FFFFFF" w:themeColor="background1"/>
      </w:tblBorders>
    </w:tblPr>
    <w:tcPr>
      <w:shd w:val="clear" w:color="auto" w:fill="D9E8FD" w:themeFill="accent1" w:themeFillTint="19"/>
    </w:tcPr>
    <w:tblStylePr w:type="firstRow">
      <w:rPr>
        <w:b/>
        <w:bCs/>
      </w:rPr>
      <w:tblPr/>
      <w:tcPr>
        <w:tcBorders>
          <w:top w:val="nil"/>
          <w:left w:val="nil"/>
          <w:bottom w:val="single" w:sz="24" w:space="0" w:color="125A4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31D41" w:themeFill="accent1" w:themeFillShade="99"/>
      </w:tcPr>
    </w:tblStylePr>
    <w:tblStylePr w:type="firstCol">
      <w:rPr>
        <w:color w:val="FFFFFF" w:themeColor="background1"/>
      </w:rPr>
      <w:tblPr/>
      <w:tcPr>
        <w:tcBorders>
          <w:top w:val="nil"/>
          <w:left w:val="nil"/>
          <w:bottom w:val="nil"/>
          <w:right w:val="nil"/>
          <w:insideH w:val="single" w:sz="4" w:space="0" w:color="031D41" w:themeColor="accent1" w:themeShade="99"/>
          <w:insideV w:val="nil"/>
        </w:tcBorders>
        <w:shd w:val="clear" w:color="auto" w:fill="031D4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31D41" w:themeFill="accent1" w:themeFillShade="99"/>
      </w:tcPr>
    </w:tblStylePr>
    <w:tblStylePr w:type="band1Vert">
      <w:tblPr/>
      <w:tcPr>
        <w:shd w:val="clear" w:color="auto" w:fill="67A5F8" w:themeFill="accent1" w:themeFillTint="66"/>
      </w:tcPr>
    </w:tblStylePr>
    <w:tblStylePr w:type="band1Horz">
      <w:tblPr/>
      <w:tcPr>
        <w:shd w:val="clear" w:color="auto" w:fill="428FF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920D86"/>
    <w:pPr>
      <w:spacing w:line="240" w:lineRule="auto"/>
    </w:pPr>
    <w:rPr>
      <w:color w:val="000000" w:themeColor="text1"/>
    </w:rPr>
    <w:tblPr>
      <w:tblStyleRowBandSize w:val="1"/>
      <w:tblStyleColBandSize w:val="1"/>
      <w:tblBorders>
        <w:top w:val="single" w:sz="24" w:space="0" w:color="125A40" w:themeColor="accent2"/>
        <w:left w:val="single" w:sz="4" w:space="0" w:color="125A40" w:themeColor="accent2"/>
        <w:bottom w:val="single" w:sz="4" w:space="0" w:color="125A40" w:themeColor="accent2"/>
        <w:right w:val="single" w:sz="4" w:space="0" w:color="125A40" w:themeColor="accent2"/>
        <w:insideH w:val="single" w:sz="4" w:space="0" w:color="FFFFFF" w:themeColor="background1"/>
        <w:insideV w:val="single" w:sz="4" w:space="0" w:color="FFFFFF" w:themeColor="background1"/>
      </w:tblBorders>
    </w:tblPr>
    <w:tcPr>
      <w:shd w:val="clear" w:color="auto" w:fill="DDF8EE" w:themeFill="accent2" w:themeFillTint="19"/>
    </w:tcPr>
    <w:tblStylePr w:type="firstRow">
      <w:rPr>
        <w:b/>
        <w:bCs/>
      </w:rPr>
      <w:tblPr/>
      <w:tcPr>
        <w:tcBorders>
          <w:top w:val="nil"/>
          <w:left w:val="nil"/>
          <w:bottom w:val="single" w:sz="24" w:space="0" w:color="125A4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A3526" w:themeFill="accent2" w:themeFillShade="99"/>
      </w:tcPr>
    </w:tblStylePr>
    <w:tblStylePr w:type="firstCol">
      <w:rPr>
        <w:color w:val="FFFFFF" w:themeColor="background1"/>
      </w:rPr>
      <w:tblPr/>
      <w:tcPr>
        <w:tcBorders>
          <w:top w:val="nil"/>
          <w:left w:val="nil"/>
          <w:bottom w:val="nil"/>
          <w:right w:val="nil"/>
          <w:insideH w:val="single" w:sz="4" w:space="0" w:color="0A3526" w:themeColor="accent2" w:themeShade="99"/>
          <w:insideV w:val="nil"/>
        </w:tcBorders>
        <w:shd w:val="clear" w:color="auto" w:fill="0A3526"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A3526" w:themeFill="accent2" w:themeFillShade="99"/>
      </w:tcPr>
    </w:tblStylePr>
    <w:tblStylePr w:type="band1Vert">
      <w:tblPr/>
      <w:tcPr>
        <w:shd w:val="clear" w:color="auto" w:fill="78E4BD" w:themeFill="accent2" w:themeFillTint="66"/>
      </w:tcPr>
    </w:tblStylePr>
    <w:tblStylePr w:type="band1Horz">
      <w:tblPr/>
      <w:tcPr>
        <w:shd w:val="clear" w:color="auto" w:fill="58DDAC"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920D86"/>
    <w:pPr>
      <w:spacing w:line="240" w:lineRule="auto"/>
    </w:pPr>
    <w:rPr>
      <w:color w:val="000000" w:themeColor="text1"/>
    </w:rPr>
    <w:tblPr>
      <w:tblStyleRowBandSize w:val="1"/>
      <w:tblStyleColBandSize w:val="1"/>
      <w:tblBorders>
        <w:top w:val="single" w:sz="24" w:space="0" w:color="62294B" w:themeColor="accent4"/>
        <w:left w:val="single" w:sz="4" w:space="0" w:color="ADD095" w:themeColor="accent3"/>
        <w:bottom w:val="single" w:sz="4" w:space="0" w:color="ADD095" w:themeColor="accent3"/>
        <w:right w:val="single" w:sz="4" w:space="0" w:color="ADD095" w:themeColor="accent3"/>
        <w:insideH w:val="single" w:sz="4" w:space="0" w:color="FFFFFF" w:themeColor="background1"/>
        <w:insideV w:val="single" w:sz="4" w:space="0" w:color="FFFFFF" w:themeColor="background1"/>
      </w:tblBorders>
    </w:tblPr>
    <w:tcPr>
      <w:shd w:val="clear" w:color="auto" w:fill="F6FAF4" w:themeFill="accent3" w:themeFillTint="19"/>
    </w:tcPr>
    <w:tblStylePr w:type="firstRow">
      <w:rPr>
        <w:b/>
        <w:bCs/>
      </w:rPr>
      <w:tblPr/>
      <w:tcPr>
        <w:tcBorders>
          <w:top w:val="nil"/>
          <w:left w:val="nil"/>
          <w:bottom w:val="single" w:sz="24" w:space="0" w:color="62294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9441" w:themeFill="accent3" w:themeFillShade="99"/>
      </w:tcPr>
    </w:tblStylePr>
    <w:tblStylePr w:type="firstCol">
      <w:rPr>
        <w:color w:val="FFFFFF" w:themeColor="background1"/>
      </w:rPr>
      <w:tblPr/>
      <w:tcPr>
        <w:tcBorders>
          <w:top w:val="nil"/>
          <w:left w:val="nil"/>
          <w:bottom w:val="nil"/>
          <w:right w:val="nil"/>
          <w:insideH w:val="single" w:sz="4" w:space="0" w:color="639441" w:themeColor="accent3" w:themeShade="99"/>
          <w:insideV w:val="nil"/>
        </w:tcBorders>
        <w:shd w:val="clear" w:color="auto" w:fill="639441"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9441" w:themeFill="accent3" w:themeFillShade="99"/>
      </w:tcPr>
    </w:tblStylePr>
    <w:tblStylePr w:type="band1Vert">
      <w:tblPr/>
      <w:tcPr>
        <w:shd w:val="clear" w:color="auto" w:fill="DEECD4" w:themeFill="accent3" w:themeFillTint="66"/>
      </w:tcPr>
    </w:tblStylePr>
    <w:tblStylePr w:type="band1Horz">
      <w:tblPr/>
      <w:tcPr>
        <w:shd w:val="clear" w:color="auto" w:fill="D5E7CA" w:themeFill="accent3" w:themeFillTint="7F"/>
      </w:tcPr>
    </w:tblStylePr>
  </w:style>
  <w:style w:type="table" w:styleId="ColorfulShading-Accent4">
    <w:name w:val="Colorful Shading Accent 4"/>
    <w:basedOn w:val="TableNormal"/>
    <w:uiPriority w:val="71"/>
    <w:semiHidden/>
    <w:unhideWhenUsed/>
    <w:rsid w:val="00920D86"/>
    <w:pPr>
      <w:spacing w:line="240" w:lineRule="auto"/>
    </w:pPr>
    <w:rPr>
      <w:color w:val="000000" w:themeColor="text1"/>
    </w:rPr>
    <w:tblPr>
      <w:tblStyleRowBandSize w:val="1"/>
      <w:tblStyleColBandSize w:val="1"/>
      <w:tblBorders>
        <w:top w:val="single" w:sz="24" w:space="0" w:color="ADD095" w:themeColor="accent3"/>
        <w:left w:val="single" w:sz="4" w:space="0" w:color="62294B" w:themeColor="accent4"/>
        <w:bottom w:val="single" w:sz="4" w:space="0" w:color="62294B" w:themeColor="accent4"/>
        <w:right w:val="single" w:sz="4" w:space="0" w:color="62294B" w:themeColor="accent4"/>
        <w:insideH w:val="single" w:sz="4" w:space="0" w:color="FFFFFF" w:themeColor="background1"/>
        <w:insideV w:val="single" w:sz="4" w:space="0" w:color="FFFFFF" w:themeColor="background1"/>
      </w:tblBorders>
    </w:tblPr>
    <w:tcPr>
      <w:shd w:val="clear" w:color="auto" w:fill="F4E5EE" w:themeFill="accent4" w:themeFillTint="19"/>
    </w:tcPr>
    <w:tblStylePr w:type="firstRow">
      <w:rPr>
        <w:b/>
        <w:bCs/>
      </w:rPr>
      <w:tblPr/>
      <w:tcPr>
        <w:tcBorders>
          <w:top w:val="nil"/>
          <w:left w:val="nil"/>
          <w:bottom w:val="single" w:sz="24" w:space="0" w:color="ADD09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A182C" w:themeFill="accent4" w:themeFillShade="99"/>
      </w:tcPr>
    </w:tblStylePr>
    <w:tblStylePr w:type="firstCol">
      <w:rPr>
        <w:color w:val="FFFFFF" w:themeColor="background1"/>
      </w:rPr>
      <w:tblPr/>
      <w:tcPr>
        <w:tcBorders>
          <w:top w:val="nil"/>
          <w:left w:val="nil"/>
          <w:bottom w:val="nil"/>
          <w:right w:val="nil"/>
          <w:insideH w:val="single" w:sz="4" w:space="0" w:color="3A182C" w:themeColor="accent4" w:themeShade="99"/>
          <w:insideV w:val="nil"/>
        </w:tcBorders>
        <w:shd w:val="clear" w:color="auto" w:fill="3A182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A182C" w:themeFill="accent4" w:themeFillShade="99"/>
      </w:tcPr>
    </w:tblStylePr>
    <w:tblStylePr w:type="band1Vert">
      <w:tblPr/>
      <w:tcPr>
        <w:shd w:val="clear" w:color="auto" w:fill="D396BA" w:themeFill="accent4" w:themeFillTint="66"/>
      </w:tcPr>
    </w:tblStylePr>
    <w:tblStylePr w:type="band1Horz">
      <w:tblPr/>
      <w:tcPr>
        <w:shd w:val="clear" w:color="auto" w:fill="C87CA9"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920D86"/>
    <w:pPr>
      <w:spacing w:line="240" w:lineRule="auto"/>
    </w:pPr>
    <w:rPr>
      <w:color w:val="000000" w:themeColor="text1"/>
    </w:rPr>
    <w:tblPr>
      <w:tblStyleRowBandSize w:val="1"/>
      <w:tblStyleColBandSize w:val="1"/>
      <w:tblBorders>
        <w:top w:val="single" w:sz="24" w:space="0" w:color="E3E1D8" w:themeColor="accent6"/>
        <w:left w:val="single" w:sz="4" w:space="0" w:color="FF8855" w:themeColor="accent5"/>
        <w:bottom w:val="single" w:sz="4" w:space="0" w:color="FF8855" w:themeColor="accent5"/>
        <w:right w:val="single" w:sz="4" w:space="0" w:color="FF8855" w:themeColor="accent5"/>
        <w:insideH w:val="single" w:sz="4" w:space="0" w:color="FFFFFF" w:themeColor="background1"/>
        <w:insideV w:val="single" w:sz="4" w:space="0" w:color="FFFFFF" w:themeColor="background1"/>
      </w:tblBorders>
    </w:tblPr>
    <w:tcPr>
      <w:shd w:val="clear" w:color="auto" w:fill="FFF3EE" w:themeFill="accent5" w:themeFillTint="19"/>
    </w:tcPr>
    <w:tblStylePr w:type="firstRow">
      <w:rPr>
        <w:b/>
        <w:bCs/>
      </w:rPr>
      <w:tblPr/>
      <w:tcPr>
        <w:tcBorders>
          <w:top w:val="nil"/>
          <w:left w:val="nil"/>
          <w:bottom w:val="single" w:sz="24" w:space="0" w:color="E3E1D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CC3C00" w:themeFill="accent5" w:themeFillShade="99"/>
      </w:tcPr>
    </w:tblStylePr>
    <w:tblStylePr w:type="firstCol">
      <w:rPr>
        <w:color w:val="FFFFFF" w:themeColor="background1"/>
      </w:rPr>
      <w:tblPr/>
      <w:tcPr>
        <w:tcBorders>
          <w:top w:val="nil"/>
          <w:left w:val="nil"/>
          <w:bottom w:val="nil"/>
          <w:right w:val="nil"/>
          <w:insideH w:val="single" w:sz="4" w:space="0" w:color="CC3C00" w:themeColor="accent5" w:themeShade="99"/>
          <w:insideV w:val="nil"/>
        </w:tcBorders>
        <w:shd w:val="clear" w:color="auto" w:fill="CC3C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CC3C00" w:themeFill="accent5" w:themeFillShade="99"/>
      </w:tcPr>
    </w:tblStylePr>
    <w:tblStylePr w:type="band1Vert">
      <w:tblPr/>
      <w:tcPr>
        <w:shd w:val="clear" w:color="auto" w:fill="FFCFBB" w:themeFill="accent5" w:themeFillTint="66"/>
      </w:tcPr>
    </w:tblStylePr>
    <w:tblStylePr w:type="band1Horz">
      <w:tblPr/>
      <w:tcPr>
        <w:shd w:val="clear" w:color="auto" w:fill="FFC3A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920D86"/>
    <w:pPr>
      <w:spacing w:line="240" w:lineRule="auto"/>
    </w:pPr>
    <w:rPr>
      <w:color w:val="000000" w:themeColor="text1"/>
    </w:rPr>
    <w:tblPr>
      <w:tblStyleRowBandSize w:val="1"/>
      <w:tblStyleColBandSize w:val="1"/>
      <w:tblBorders>
        <w:top w:val="single" w:sz="24" w:space="0" w:color="FF8855" w:themeColor="accent5"/>
        <w:left w:val="single" w:sz="4" w:space="0" w:color="E3E1D8" w:themeColor="accent6"/>
        <w:bottom w:val="single" w:sz="4" w:space="0" w:color="E3E1D8" w:themeColor="accent6"/>
        <w:right w:val="single" w:sz="4" w:space="0" w:color="E3E1D8" w:themeColor="accent6"/>
        <w:insideH w:val="single" w:sz="4" w:space="0" w:color="FFFFFF" w:themeColor="background1"/>
        <w:insideV w:val="single" w:sz="4" w:space="0" w:color="FFFFFF" w:themeColor="background1"/>
      </w:tblBorders>
    </w:tblPr>
    <w:tcPr>
      <w:shd w:val="clear" w:color="auto" w:fill="FCFCFB" w:themeFill="accent6" w:themeFillTint="19"/>
    </w:tcPr>
    <w:tblStylePr w:type="firstRow">
      <w:rPr>
        <w:b/>
        <w:bCs/>
      </w:rPr>
      <w:tblPr/>
      <w:tcPr>
        <w:tcBorders>
          <w:top w:val="nil"/>
          <w:left w:val="nil"/>
          <w:bottom w:val="single" w:sz="24" w:space="0" w:color="FF885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9170" w:themeFill="accent6" w:themeFillShade="99"/>
      </w:tcPr>
    </w:tblStylePr>
    <w:tblStylePr w:type="firstCol">
      <w:rPr>
        <w:color w:val="FFFFFF" w:themeColor="background1"/>
      </w:rPr>
      <w:tblPr/>
      <w:tcPr>
        <w:tcBorders>
          <w:top w:val="nil"/>
          <w:left w:val="nil"/>
          <w:bottom w:val="nil"/>
          <w:right w:val="nil"/>
          <w:insideH w:val="single" w:sz="4" w:space="0" w:color="999170" w:themeColor="accent6" w:themeShade="99"/>
          <w:insideV w:val="nil"/>
        </w:tcBorders>
        <w:shd w:val="clear" w:color="auto" w:fill="99917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99170" w:themeFill="accent6" w:themeFillShade="99"/>
      </w:tcPr>
    </w:tblStylePr>
    <w:tblStylePr w:type="band1Vert">
      <w:tblPr/>
      <w:tcPr>
        <w:shd w:val="clear" w:color="auto" w:fill="F3F2EF" w:themeFill="accent6" w:themeFillTint="66"/>
      </w:tcPr>
    </w:tblStylePr>
    <w:tblStylePr w:type="band1Horz">
      <w:tblPr/>
      <w:tcPr>
        <w:shd w:val="clear" w:color="auto" w:fill="F1EFEB"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920D86"/>
    <w:rPr>
      <w:sz w:val="16"/>
      <w:szCs w:val="16"/>
      <w:lang w:val="en-US"/>
    </w:rPr>
  </w:style>
  <w:style w:type="paragraph" w:styleId="CommentText">
    <w:name w:val="annotation text"/>
    <w:basedOn w:val="Normal"/>
    <w:link w:val="CommentTextChar"/>
    <w:uiPriority w:val="99"/>
    <w:semiHidden/>
    <w:rsid w:val="00920D86"/>
    <w:pPr>
      <w:spacing w:line="240" w:lineRule="auto"/>
    </w:pPr>
    <w:rPr>
      <w:sz w:val="20"/>
      <w:szCs w:val="20"/>
    </w:rPr>
  </w:style>
  <w:style w:type="character" w:customStyle="1" w:styleId="CommentTextChar">
    <w:name w:val="Comment Text Char"/>
    <w:basedOn w:val="DefaultParagraphFont"/>
    <w:link w:val="CommentText"/>
    <w:uiPriority w:val="99"/>
    <w:semiHidden/>
    <w:rsid w:val="00920D86"/>
    <w:rPr>
      <w:sz w:val="20"/>
      <w:szCs w:val="20"/>
      <w:lang w:val="en-US"/>
    </w:rPr>
  </w:style>
  <w:style w:type="paragraph" w:styleId="CommentSubject">
    <w:name w:val="annotation subject"/>
    <w:basedOn w:val="CommentText"/>
    <w:next w:val="CommentText"/>
    <w:link w:val="CommentSubjectChar"/>
    <w:uiPriority w:val="99"/>
    <w:semiHidden/>
    <w:rsid w:val="00920D86"/>
    <w:rPr>
      <w:b/>
      <w:bCs/>
    </w:rPr>
  </w:style>
  <w:style w:type="character" w:customStyle="1" w:styleId="CommentSubjectChar">
    <w:name w:val="Comment Subject Char"/>
    <w:basedOn w:val="CommentTextChar"/>
    <w:link w:val="CommentSubject"/>
    <w:uiPriority w:val="99"/>
    <w:semiHidden/>
    <w:rsid w:val="00920D86"/>
    <w:rPr>
      <w:b/>
      <w:bCs/>
      <w:sz w:val="20"/>
      <w:szCs w:val="20"/>
      <w:lang w:val="en-US"/>
    </w:rPr>
  </w:style>
  <w:style w:type="table" w:styleId="DarkList">
    <w:name w:val="Dark List"/>
    <w:basedOn w:val="TableNormal"/>
    <w:uiPriority w:val="70"/>
    <w:semiHidden/>
    <w:unhideWhenUsed/>
    <w:rsid w:val="00920D86"/>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920D86"/>
    <w:pPr>
      <w:spacing w:line="240" w:lineRule="auto"/>
    </w:pPr>
    <w:rPr>
      <w:color w:val="FFFFFF" w:themeColor="background1"/>
    </w:rPr>
    <w:tblPr>
      <w:tblStyleRowBandSize w:val="1"/>
      <w:tblStyleColBandSize w:val="1"/>
    </w:tblPr>
    <w:tcPr>
      <w:shd w:val="clear" w:color="auto" w:fill="05326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21836"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3255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32552" w:themeFill="accent1" w:themeFillShade="BF"/>
      </w:tcPr>
    </w:tblStylePr>
    <w:tblStylePr w:type="band1Vert">
      <w:tblPr/>
      <w:tcPr>
        <w:tcBorders>
          <w:top w:val="nil"/>
          <w:left w:val="nil"/>
          <w:bottom w:val="nil"/>
          <w:right w:val="nil"/>
          <w:insideH w:val="nil"/>
          <w:insideV w:val="nil"/>
        </w:tcBorders>
        <w:shd w:val="clear" w:color="auto" w:fill="032552" w:themeFill="accent1" w:themeFillShade="BF"/>
      </w:tcPr>
    </w:tblStylePr>
    <w:tblStylePr w:type="band1Horz">
      <w:tblPr/>
      <w:tcPr>
        <w:tcBorders>
          <w:top w:val="nil"/>
          <w:left w:val="nil"/>
          <w:bottom w:val="nil"/>
          <w:right w:val="nil"/>
          <w:insideH w:val="nil"/>
          <w:insideV w:val="nil"/>
        </w:tcBorders>
        <w:shd w:val="clear" w:color="auto" w:fill="032552" w:themeFill="accent1" w:themeFillShade="BF"/>
      </w:tcPr>
    </w:tblStylePr>
  </w:style>
  <w:style w:type="table" w:styleId="DarkList-Accent2">
    <w:name w:val="Dark List Accent 2"/>
    <w:basedOn w:val="TableNormal"/>
    <w:uiPriority w:val="70"/>
    <w:semiHidden/>
    <w:unhideWhenUsed/>
    <w:rsid w:val="00920D86"/>
    <w:pPr>
      <w:spacing w:line="240" w:lineRule="auto"/>
    </w:pPr>
    <w:rPr>
      <w:color w:val="FFFFFF" w:themeColor="background1"/>
    </w:rPr>
    <w:tblPr>
      <w:tblStyleRowBandSize w:val="1"/>
      <w:tblStyleColBandSize w:val="1"/>
    </w:tblPr>
    <w:tcPr>
      <w:shd w:val="clear" w:color="auto" w:fill="125A4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92C1F"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D432F"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D432F" w:themeFill="accent2" w:themeFillShade="BF"/>
      </w:tcPr>
    </w:tblStylePr>
    <w:tblStylePr w:type="band1Vert">
      <w:tblPr/>
      <w:tcPr>
        <w:tcBorders>
          <w:top w:val="nil"/>
          <w:left w:val="nil"/>
          <w:bottom w:val="nil"/>
          <w:right w:val="nil"/>
          <w:insideH w:val="nil"/>
          <w:insideV w:val="nil"/>
        </w:tcBorders>
        <w:shd w:val="clear" w:color="auto" w:fill="0D432F" w:themeFill="accent2" w:themeFillShade="BF"/>
      </w:tcPr>
    </w:tblStylePr>
    <w:tblStylePr w:type="band1Horz">
      <w:tblPr/>
      <w:tcPr>
        <w:tcBorders>
          <w:top w:val="nil"/>
          <w:left w:val="nil"/>
          <w:bottom w:val="nil"/>
          <w:right w:val="nil"/>
          <w:insideH w:val="nil"/>
          <w:insideV w:val="nil"/>
        </w:tcBorders>
        <w:shd w:val="clear" w:color="auto" w:fill="0D432F" w:themeFill="accent2" w:themeFillShade="BF"/>
      </w:tcPr>
    </w:tblStylePr>
  </w:style>
  <w:style w:type="table" w:styleId="DarkList-Accent3">
    <w:name w:val="Dark List Accent 3"/>
    <w:basedOn w:val="TableNormal"/>
    <w:uiPriority w:val="70"/>
    <w:semiHidden/>
    <w:unhideWhenUsed/>
    <w:rsid w:val="00920D86"/>
    <w:pPr>
      <w:spacing w:line="240" w:lineRule="auto"/>
    </w:pPr>
    <w:rPr>
      <w:color w:val="FFFFFF" w:themeColor="background1"/>
    </w:rPr>
    <w:tblPr>
      <w:tblStyleRowBandSize w:val="1"/>
      <w:tblStyleColBandSize w:val="1"/>
    </w:tblPr>
    <w:tcPr>
      <w:shd w:val="clear" w:color="auto" w:fill="ADD09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7B3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CB456"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CB456" w:themeFill="accent3" w:themeFillShade="BF"/>
      </w:tcPr>
    </w:tblStylePr>
    <w:tblStylePr w:type="band1Vert">
      <w:tblPr/>
      <w:tcPr>
        <w:tcBorders>
          <w:top w:val="nil"/>
          <w:left w:val="nil"/>
          <w:bottom w:val="nil"/>
          <w:right w:val="nil"/>
          <w:insideH w:val="nil"/>
          <w:insideV w:val="nil"/>
        </w:tcBorders>
        <w:shd w:val="clear" w:color="auto" w:fill="7CB456" w:themeFill="accent3" w:themeFillShade="BF"/>
      </w:tcPr>
    </w:tblStylePr>
    <w:tblStylePr w:type="band1Horz">
      <w:tblPr/>
      <w:tcPr>
        <w:tcBorders>
          <w:top w:val="nil"/>
          <w:left w:val="nil"/>
          <w:bottom w:val="nil"/>
          <w:right w:val="nil"/>
          <w:insideH w:val="nil"/>
          <w:insideV w:val="nil"/>
        </w:tcBorders>
        <w:shd w:val="clear" w:color="auto" w:fill="7CB456" w:themeFill="accent3" w:themeFillShade="BF"/>
      </w:tcPr>
    </w:tblStylePr>
  </w:style>
  <w:style w:type="table" w:styleId="DarkList-Accent4">
    <w:name w:val="Dark List Accent 4"/>
    <w:basedOn w:val="TableNormal"/>
    <w:uiPriority w:val="70"/>
    <w:semiHidden/>
    <w:unhideWhenUsed/>
    <w:rsid w:val="00920D86"/>
    <w:pPr>
      <w:spacing w:line="240" w:lineRule="auto"/>
    </w:pPr>
    <w:rPr>
      <w:color w:val="FFFFFF" w:themeColor="background1"/>
    </w:rPr>
    <w:tblPr>
      <w:tblStyleRowBandSize w:val="1"/>
      <w:tblStyleColBandSize w:val="1"/>
    </w:tblPr>
    <w:tcPr>
      <w:shd w:val="clear" w:color="auto" w:fill="62294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0142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91E3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91E38" w:themeFill="accent4" w:themeFillShade="BF"/>
      </w:tcPr>
    </w:tblStylePr>
    <w:tblStylePr w:type="band1Vert">
      <w:tblPr/>
      <w:tcPr>
        <w:tcBorders>
          <w:top w:val="nil"/>
          <w:left w:val="nil"/>
          <w:bottom w:val="nil"/>
          <w:right w:val="nil"/>
          <w:insideH w:val="nil"/>
          <w:insideV w:val="nil"/>
        </w:tcBorders>
        <w:shd w:val="clear" w:color="auto" w:fill="491E38" w:themeFill="accent4" w:themeFillShade="BF"/>
      </w:tcPr>
    </w:tblStylePr>
    <w:tblStylePr w:type="band1Horz">
      <w:tblPr/>
      <w:tcPr>
        <w:tcBorders>
          <w:top w:val="nil"/>
          <w:left w:val="nil"/>
          <w:bottom w:val="nil"/>
          <w:right w:val="nil"/>
          <w:insideH w:val="nil"/>
          <w:insideV w:val="nil"/>
        </w:tcBorders>
        <w:shd w:val="clear" w:color="auto" w:fill="491E38" w:themeFill="accent4" w:themeFillShade="BF"/>
      </w:tcPr>
    </w:tblStylePr>
  </w:style>
  <w:style w:type="table" w:styleId="DarkList-Accent5">
    <w:name w:val="Dark List Accent 5"/>
    <w:basedOn w:val="TableNormal"/>
    <w:uiPriority w:val="70"/>
    <w:semiHidden/>
    <w:unhideWhenUsed/>
    <w:rsid w:val="00920D86"/>
    <w:pPr>
      <w:spacing w:line="240" w:lineRule="auto"/>
    </w:pPr>
    <w:rPr>
      <w:color w:val="FFFFFF" w:themeColor="background1"/>
    </w:rPr>
    <w:tblPr>
      <w:tblStyleRowBandSize w:val="1"/>
      <w:tblStyleColBandSize w:val="1"/>
    </w:tblPr>
    <w:tcPr>
      <w:shd w:val="clear" w:color="auto" w:fill="FF885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A932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E4B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E4B00" w:themeFill="accent5" w:themeFillShade="BF"/>
      </w:tcPr>
    </w:tblStylePr>
    <w:tblStylePr w:type="band1Vert">
      <w:tblPr/>
      <w:tcPr>
        <w:tcBorders>
          <w:top w:val="nil"/>
          <w:left w:val="nil"/>
          <w:bottom w:val="nil"/>
          <w:right w:val="nil"/>
          <w:insideH w:val="nil"/>
          <w:insideV w:val="nil"/>
        </w:tcBorders>
        <w:shd w:val="clear" w:color="auto" w:fill="FE4B00" w:themeFill="accent5" w:themeFillShade="BF"/>
      </w:tcPr>
    </w:tblStylePr>
    <w:tblStylePr w:type="band1Horz">
      <w:tblPr/>
      <w:tcPr>
        <w:tcBorders>
          <w:top w:val="nil"/>
          <w:left w:val="nil"/>
          <w:bottom w:val="nil"/>
          <w:right w:val="nil"/>
          <w:insideH w:val="nil"/>
          <w:insideV w:val="nil"/>
        </w:tcBorders>
        <w:shd w:val="clear" w:color="auto" w:fill="FE4B00" w:themeFill="accent5" w:themeFillShade="BF"/>
      </w:tcPr>
    </w:tblStylePr>
  </w:style>
  <w:style w:type="table" w:styleId="DarkList-Accent6">
    <w:name w:val="Dark List Accent 6"/>
    <w:basedOn w:val="TableNormal"/>
    <w:uiPriority w:val="70"/>
    <w:semiHidden/>
    <w:unhideWhenUsed/>
    <w:rsid w:val="00920D86"/>
    <w:pPr>
      <w:spacing w:line="240" w:lineRule="auto"/>
    </w:pPr>
    <w:rPr>
      <w:color w:val="FFFFFF" w:themeColor="background1"/>
    </w:rPr>
    <w:tblPr>
      <w:tblStyleRowBandSize w:val="1"/>
      <w:tblStyleColBandSize w:val="1"/>
    </w:tblPr>
    <w:tcPr>
      <w:shd w:val="clear" w:color="auto" w:fill="E3E1D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0795C"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B4AF97"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B4AF97" w:themeFill="accent6" w:themeFillShade="BF"/>
      </w:tcPr>
    </w:tblStylePr>
    <w:tblStylePr w:type="band1Vert">
      <w:tblPr/>
      <w:tcPr>
        <w:tcBorders>
          <w:top w:val="nil"/>
          <w:left w:val="nil"/>
          <w:bottom w:val="nil"/>
          <w:right w:val="nil"/>
          <w:insideH w:val="nil"/>
          <w:insideV w:val="nil"/>
        </w:tcBorders>
        <w:shd w:val="clear" w:color="auto" w:fill="B4AF97" w:themeFill="accent6" w:themeFillShade="BF"/>
      </w:tcPr>
    </w:tblStylePr>
    <w:tblStylePr w:type="band1Horz">
      <w:tblPr/>
      <w:tcPr>
        <w:tcBorders>
          <w:top w:val="nil"/>
          <w:left w:val="nil"/>
          <w:bottom w:val="nil"/>
          <w:right w:val="nil"/>
          <w:insideH w:val="nil"/>
          <w:insideV w:val="nil"/>
        </w:tcBorders>
        <w:shd w:val="clear" w:color="auto" w:fill="B4AF97" w:themeFill="accent6" w:themeFillShade="BF"/>
      </w:tcPr>
    </w:tblStylePr>
  </w:style>
  <w:style w:type="paragraph" w:styleId="Date">
    <w:name w:val="Date"/>
    <w:basedOn w:val="Normal"/>
    <w:next w:val="Normal"/>
    <w:link w:val="DateChar"/>
    <w:uiPriority w:val="99"/>
    <w:semiHidden/>
    <w:rsid w:val="00920D86"/>
  </w:style>
  <w:style w:type="character" w:customStyle="1" w:styleId="DateChar">
    <w:name w:val="Date Char"/>
    <w:basedOn w:val="DefaultParagraphFont"/>
    <w:link w:val="Date"/>
    <w:uiPriority w:val="99"/>
    <w:semiHidden/>
    <w:rsid w:val="00920D86"/>
    <w:rPr>
      <w:lang w:val="en-US"/>
    </w:rPr>
  </w:style>
  <w:style w:type="paragraph" w:styleId="DocumentMap">
    <w:name w:val="Document Map"/>
    <w:basedOn w:val="Normal"/>
    <w:link w:val="DocumentMapChar"/>
    <w:uiPriority w:val="99"/>
    <w:semiHidden/>
    <w:rsid w:val="00920D86"/>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920D86"/>
    <w:rPr>
      <w:rFonts w:ascii="Segoe UI" w:hAnsi="Segoe UI" w:cs="Segoe UI"/>
      <w:sz w:val="16"/>
      <w:szCs w:val="16"/>
      <w:lang w:val="en-US"/>
    </w:rPr>
  </w:style>
  <w:style w:type="paragraph" w:styleId="E-mailSignature">
    <w:name w:val="E-mail Signature"/>
    <w:basedOn w:val="Normal"/>
    <w:link w:val="E-mailSignatureChar"/>
    <w:uiPriority w:val="99"/>
    <w:semiHidden/>
    <w:rsid w:val="00920D86"/>
    <w:pPr>
      <w:spacing w:line="240" w:lineRule="auto"/>
    </w:pPr>
  </w:style>
  <w:style w:type="character" w:customStyle="1" w:styleId="E-mailSignatureChar">
    <w:name w:val="E-mail Signature Char"/>
    <w:basedOn w:val="DefaultParagraphFont"/>
    <w:link w:val="E-mailSignature"/>
    <w:uiPriority w:val="99"/>
    <w:semiHidden/>
    <w:rsid w:val="00920D86"/>
    <w:rPr>
      <w:lang w:val="en-US"/>
    </w:rPr>
  </w:style>
  <w:style w:type="character" w:styleId="Emphasis">
    <w:name w:val="Emphasis"/>
    <w:basedOn w:val="DefaultParagraphFont"/>
    <w:uiPriority w:val="19"/>
    <w:semiHidden/>
    <w:rsid w:val="00920D86"/>
    <w:rPr>
      <w:i/>
      <w:iCs/>
      <w:lang w:val="en-US"/>
    </w:rPr>
  </w:style>
  <w:style w:type="paragraph" w:styleId="EnvelopeAddress">
    <w:name w:val="envelope address"/>
    <w:basedOn w:val="Normal"/>
    <w:uiPriority w:val="99"/>
    <w:semiHidden/>
    <w:rsid w:val="00920D86"/>
    <w:pPr>
      <w:framePr w:w="7920" w:h="1980" w:hRule="exact" w:hSpace="141"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920D86"/>
    <w:pPr>
      <w:spacing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rsid w:val="00920D86"/>
    <w:rPr>
      <w:color w:val="CCEBFD" w:themeColor="followedHyperlink"/>
      <w:u w:val="single"/>
      <w:lang w:val="en-US"/>
    </w:rPr>
  </w:style>
  <w:style w:type="character" w:styleId="FootnoteReference">
    <w:name w:val="footnote reference"/>
    <w:basedOn w:val="DefaultParagraphFont"/>
    <w:uiPriority w:val="21"/>
    <w:semiHidden/>
    <w:rsid w:val="00920D86"/>
    <w:rPr>
      <w:vertAlign w:val="superscript"/>
      <w:lang w:val="en-US"/>
    </w:rPr>
  </w:style>
  <w:style w:type="table" w:styleId="GridTable1Light">
    <w:name w:val="Grid Table 1 Light"/>
    <w:basedOn w:val="TableNormal"/>
    <w:uiPriority w:val="46"/>
    <w:rsid w:val="00920D86"/>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20D86"/>
    <w:pPr>
      <w:spacing w:line="240" w:lineRule="auto"/>
    </w:pPr>
    <w:tblPr>
      <w:tblStyleRowBandSize w:val="1"/>
      <w:tblStyleColBandSize w:val="1"/>
      <w:tblBorders>
        <w:top w:val="single" w:sz="4" w:space="0" w:color="67A5F8" w:themeColor="accent1" w:themeTint="66"/>
        <w:left w:val="single" w:sz="4" w:space="0" w:color="67A5F8" w:themeColor="accent1" w:themeTint="66"/>
        <w:bottom w:val="single" w:sz="4" w:space="0" w:color="67A5F8" w:themeColor="accent1" w:themeTint="66"/>
        <w:right w:val="single" w:sz="4" w:space="0" w:color="67A5F8" w:themeColor="accent1" w:themeTint="66"/>
        <w:insideH w:val="single" w:sz="4" w:space="0" w:color="67A5F8" w:themeColor="accent1" w:themeTint="66"/>
        <w:insideV w:val="single" w:sz="4" w:space="0" w:color="67A5F8" w:themeColor="accent1" w:themeTint="66"/>
      </w:tblBorders>
    </w:tblPr>
    <w:tblStylePr w:type="firstRow">
      <w:rPr>
        <w:b/>
        <w:bCs/>
      </w:rPr>
      <w:tblPr/>
      <w:tcPr>
        <w:tcBorders>
          <w:bottom w:val="single" w:sz="12" w:space="0" w:color="1C78F4" w:themeColor="accent1" w:themeTint="99"/>
        </w:tcBorders>
      </w:tcPr>
    </w:tblStylePr>
    <w:tblStylePr w:type="lastRow">
      <w:rPr>
        <w:b/>
        <w:bCs/>
      </w:rPr>
      <w:tblPr/>
      <w:tcPr>
        <w:tcBorders>
          <w:top w:val="double" w:sz="2" w:space="0" w:color="1C78F4"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920D86"/>
    <w:pPr>
      <w:spacing w:line="240" w:lineRule="auto"/>
    </w:pPr>
    <w:tblPr>
      <w:tblStyleRowBandSize w:val="1"/>
      <w:tblStyleColBandSize w:val="1"/>
      <w:tblBorders>
        <w:top w:val="single" w:sz="4" w:space="0" w:color="78E4BD" w:themeColor="accent2" w:themeTint="66"/>
        <w:left w:val="single" w:sz="4" w:space="0" w:color="78E4BD" w:themeColor="accent2" w:themeTint="66"/>
        <w:bottom w:val="single" w:sz="4" w:space="0" w:color="78E4BD" w:themeColor="accent2" w:themeTint="66"/>
        <w:right w:val="single" w:sz="4" w:space="0" w:color="78E4BD" w:themeColor="accent2" w:themeTint="66"/>
        <w:insideH w:val="single" w:sz="4" w:space="0" w:color="78E4BD" w:themeColor="accent2" w:themeTint="66"/>
        <w:insideV w:val="single" w:sz="4" w:space="0" w:color="78E4BD" w:themeColor="accent2" w:themeTint="66"/>
      </w:tblBorders>
    </w:tblPr>
    <w:tblStylePr w:type="firstRow">
      <w:rPr>
        <w:b/>
        <w:bCs/>
      </w:rPr>
      <w:tblPr/>
      <w:tcPr>
        <w:tcBorders>
          <w:bottom w:val="single" w:sz="12" w:space="0" w:color="35D69C" w:themeColor="accent2" w:themeTint="99"/>
        </w:tcBorders>
      </w:tcPr>
    </w:tblStylePr>
    <w:tblStylePr w:type="lastRow">
      <w:rPr>
        <w:b/>
        <w:bCs/>
      </w:rPr>
      <w:tblPr/>
      <w:tcPr>
        <w:tcBorders>
          <w:top w:val="double" w:sz="2" w:space="0" w:color="35D69C"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920D86"/>
    <w:pPr>
      <w:spacing w:line="240" w:lineRule="auto"/>
    </w:pPr>
    <w:tblPr>
      <w:tblStyleRowBandSize w:val="1"/>
      <w:tblStyleColBandSize w:val="1"/>
      <w:tblBorders>
        <w:top w:val="single" w:sz="4" w:space="0" w:color="DEECD4" w:themeColor="accent3" w:themeTint="66"/>
        <w:left w:val="single" w:sz="4" w:space="0" w:color="DEECD4" w:themeColor="accent3" w:themeTint="66"/>
        <w:bottom w:val="single" w:sz="4" w:space="0" w:color="DEECD4" w:themeColor="accent3" w:themeTint="66"/>
        <w:right w:val="single" w:sz="4" w:space="0" w:color="DEECD4" w:themeColor="accent3" w:themeTint="66"/>
        <w:insideH w:val="single" w:sz="4" w:space="0" w:color="DEECD4" w:themeColor="accent3" w:themeTint="66"/>
        <w:insideV w:val="single" w:sz="4" w:space="0" w:color="DEECD4" w:themeColor="accent3" w:themeTint="66"/>
      </w:tblBorders>
    </w:tblPr>
    <w:tblStylePr w:type="firstRow">
      <w:rPr>
        <w:b/>
        <w:bCs/>
      </w:rPr>
      <w:tblPr/>
      <w:tcPr>
        <w:tcBorders>
          <w:bottom w:val="single" w:sz="12" w:space="0" w:color="CDE2BF" w:themeColor="accent3" w:themeTint="99"/>
        </w:tcBorders>
      </w:tcPr>
    </w:tblStylePr>
    <w:tblStylePr w:type="lastRow">
      <w:rPr>
        <w:b/>
        <w:bCs/>
      </w:rPr>
      <w:tblPr/>
      <w:tcPr>
        <w:tcBorders>
          <w:top w:val="double" w:sz="2" w:space="0" w:color="CDE2BF"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920D86"/>
    <w:pPr>
      <w:spacing w:line="240" w:lineRule="auto"/>
    </w:pPr>
    <w:tblPr>
      <w:tblStyleRowBandSize w:val="1"/>
      <w:tblStyleColBandSize w:val="1"/>
      <w:tblBorders>
        <w:top w:val="single" w:sz="4" w:space="0" w:color="D396BA" w:themeColor="accent4" w:themeTint="66"/>
        <w:left w:val="single" w:sz="4" w:space="0" w:color="D396BA" w:themeColor="accent4" w:themeTint="66"/>
        <w:bottom w:val="single" w:sz="4" w:space="0" w:color="D396BA" w:themeColor="accent4" w:themeTint="66"/>
        <w:right w:val="single" w:sz="4" w:space="0" w:color="D396BA" w:themeColor="accent4" w:themeTint="66"/>
        <w:insideH w:val="single" w:sz="4" w:space="0" w:color="D396BA" w:themeColor="accent4" w:themeTint="66"/>
        <w:insideV w:val="single" w:sz="4" w:space="0" w:color="D396BA" w:themeColor="accent4" w:themeTint="66"/>
      </w:tblBorders>
    </w:tblPr>
    <w:tblStylePr w:type="firstRow">
      <w:rPr>
        <w:b/>
        <w:bCs/>
      </w:rPr>
      <w:tblPr/>
      <w:tcPr>
        <w:tcBorders>
          <w:bottom w:val="single" w:sz="12" w:space="0" w:color="BD6298" w:themeColor="accent4" w:themeTint="99"/>
        </w:tcBorders>
      </w:tcPr>
    </w:tblStylePr>
    <w:tblStylePr w:type="lastRow">
      <w:rPr>
        <w:b/>
        <w:bCs/>
      </w:rPr>
      <w:tblPr/>
      <w:tcPr>
        <w:tcBorders>
          <w:top w:val="double" w:sz="2" w:space="0" w:color="BD6298"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920D86"/>
    <w:pPr>
      <w:spacing w:line="240" w:lineRule="auto"/>
    </w:pPr>
    <w:tblPr>
      <w:tblStyleRowBandSize w:val="1"/>
      <w:tblStyleColBandSize w:val="1"/>
      <w:tblBorders>
        <w:top w:val="single" w:sz="4" w:space="0" w:color="FFCFBB" w:themeColor="accent5" w:themeTint="66"/>
        <w:left w:val="single" w:sz="4" w:space="0" w:color="FFCFBB" w:themeColor="accent5" w:themeTint="66"/>
        <w:bottom w:val="single" w:sz="4" w:space="0" w:color="FFCFBB" w:themeColor="accent5" w:themeTint="66"/>
        <w:right w:val="single" w:sz="4" w:space="0" w:color="FFCFBB" w:themeColor="accent5" w:themeTint="66"/>
        <w:insideH w:val="single" w:sz="4" w:space="0" w:color="FFCFBB" w:themeColor="accent5" w:themeTint="66"/>
        <w:insideV w:val="single" w:sz="4" w:space="0" w:color="FFCFBB" w:themeColor="accent5" w:themeTint="66"/>
      </w:tblBorders>
    </w:tblPr>
    <w:tblStylePr w:type="firstRow">
      <w:rPr>
        <w:b/>
        <w:bCs/>
      </w:rPr>
      <w:tblPr/>
      <w:tcPr>
        <w:tcBorders>
          <w:bottom w:val="single" w:sz="12" w:space="0" w:color="FFB799" w:themeColor="accent5" w:themeTint="99"/>
        </w:tcBorders>
      </w:tcPr>
    </w:tblStylePr>
    <w:tblStylePr w:type="lastRow">
      <w:rPr>
        <w:b/>
        <w:bCs/>
      </w:rPr>
      <w:tblPr/>
      <w:tcPr>
        <w:tcBorders>
          <w:top w:val="double" w:sz="2" w:space="0" w:color="FFB799"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920D86"/>
    <w:pPr>
      <w:spacing w:line="240" w:lineRule="auto"/>
    </w:pPr>
    <w:tblPr>
      <w:tblStyleRowBandSize w:val="1"/>
      <w:tblStyleColBandSize w:val="1"/>
      <w:tblBorders>
        <w:top w:val="single" w:sz="4" w:space="0" w:color="F3F2EF" w:themeColor="accent6" w:themeTint="66"/>
        <w:left w:val="single" w:sz="4" w:space="0" w:color="F3F2EF" w:themeColor="accent6" w:themeTint="66"/>
        <w:bottom w:val="single" w:sz="4" w:space="0" w:color="F3F2EF" w:themeColor="accent6" w:themeTint="66"/>
        <w:right w:val="single" w:sz="4" w:space="0" w:color="F3F2EF" w:themeColor="accent6" w:themeTint="66"/>
        <w:insideH w:val="single" w:sz="4" w:space="0" w:color="F3F2EF" w:themeColor="accent6" w:themeTint="66"/>
        <w:insideV w:val="single" w:sz="4" w:space="0" w:color="F3F2EF" w:themeColor="accent6" w:themeTint="66"/>
      </w:tblBorders>
    </w:tblPr>
    <w:tblStylePr w:type="firstRow">
      <w:rPr>
        <w:b/>
        <w:bCs/>
      </w:rPr>
      <w:tblPr/>
      <w:tcPr>
        <w:tcBorders>
          <w:bottom w:val="single" w:sz="12" w:space="0" w:color="EEECE7" w:themeColor="accent6" w:themeTint="99"/>
        </w:tcBorders>
      </w:tcPr>
    </w:tblStylePr>
    <w:tblStylePr w:type="lastRow">
      <w:rPr>
        <w:b/>
        <w:bCs/>
      </w:rPr>
      <w:tblPr/>
      <w:tcPr>
        <w:tcBorders>
          <w:top w:val="double" w:sz="2" w:space="0" w:color="EEECE7"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920D86"/>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920D86"/>
    <w:pPr>
      <w:spacing w:line="240" w:lineRule="auto"/>
    </w:pPr>
    <w:tblPr>
      <w:tblStyleRowBandSize w:val="1"/>
      <w:tblStyleColBandSize w:val="1"/>
      <w:tblBorders>
        <w:top w:val="single" w:sz="2" w:space="0" w:color="1C78F4" w:themeColor="accent1" w:themeTint="99"/>
        <w:bottom w:val="single" w:sz="2" w:space="0" w:color="1C78F4" w:themeColor="accent1" w:themeTint="99"/>
        <w:insideH w:val="single" w:sz="2" w:space="0" w:color="1C78F4" w:themeColor="accent1" w:themeTint="99"/>
        <w:insideV w:val="single" w:sz="2" w:space="0" w:color="1C78F4" w:themeColor="accent1" w:themeTint="99"/>
      </w:tblBorders>
    </w:tblPr>
    <w:tblStylePr w:type="firstRow">
      <w:rPr>
        <w:b/>
        <w:bCs/>
      </w:rPr>
      <w:tblPr/>
      <w:tcPr>
        <w:tcBorders>
          <w:top w:val="nil"/>
          <w:bottom w:val="single" w:sz="12" w:space="0" w:color="1C78F4" w:themeColor="accent1" w:themeTint="99"/>
          <w:insideH w:val="nil"/>
          <w:insideV w:val="nil"/>
        </w:tcBorders>
        <w:shd w:val="clear" w:color="auto" w:fill="FFFFFF" w:themeFill="background1"/>
      </w:tcPr>
    </w:tblStylePr>
    <w:tblStylePr w:type="lastRow">
      <w:rPr>
        <w:b/>
        <w:bCs/>
      </w:rPr>
      <w:tblPr/>
      <w:tcPr>
        <w:tcBorders>
          <w:top w:val="double" w:sz="2" w:space="0" w:color="1C78F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3D2FB" w:themeFill="accent1" w:themeFillTint="33"/>
      </w:tcPr>
    </w:tblStylePr>
    <w:tblStylePr w:type="band1Horz">
      <w:tblPr/>
      <w:tcPr>
        <w:shd w:val="clear" w:color="auto" w:fill="B3D2FB" w:themeFill="accent1" w:themeFillTint="33"/>
      </w:tcPr>
    </w:tblStylePr>
  </w:style>
  <w:style w:type="table" w:styleId="GridTable2-Accent2">
    <w:name w:val="Grid Table 2 Accent 2"/>
    <w:basedOn w:val="TableNormal"/>
    <w:uiPriority w:val="47"/>
    <w:rsid w:val="00920D86"/>
    <w:pPr>
      <w:spacing w:line="240" w:lineRule="auto"/>
    </w:pPr>
    <w:tblPr>
      <w:tblStyleRowBandSize w:val="1"/>
      <w:tblStyleColBandSize w:val="1"/>
      <w:tblBorders>
        <w:top w:val="single" w:sz="2" w:space="0" w:color="35D69C" w:themeColor="accent2" w:themeTint="99"/>
        <w:bottom w:val="single" w:sz="2" w:space="0" w:color="35D69C" w:themeColor="accent2" w:themeTint="99"/>
        <w:insideH w:val="single" w:sz="2" w:space="0" w:color="35D69C" w:themeColor="accent2" w:themeTint="99"/>
        <w:insideV w:val="single" w:sz="2" w:space="0" w:color="35D69C" w:themeColor="accent2" w:themeTint="99"/>
      </w:tblBorders>
    </w:tblPr>
    <w:tblStylePr w:type="firstRow">
      <w:rPr>
        <w:b/>
        <w:bCs/>
      </w:rPr>
      <w:tblPr/>
      <w:tcPr>
        <w:tcBorders>
          <w:top w:val="nil"/>
          <w:bottom w:val="single" w:sz="12" w:space="0" w:color="35D69C" w:themeColor="accent2" w:themeTint="99"/>
          <w:insideH w:val="nil"/>
          <w:insideV w:val="nil"/>
        </w:tcBorders>
        <w:shd w:val="clear" w:color="auto" w:fill="FFFFFF" w:themeFill="background1"/>
      </w:tcPr>
    </w:tblStylePr>
    <w:tblStylePr w:type="lastRow">
      <w:rPr>
        <w:b/>
        <w:bCs/>
      </w:rPr>
      <w:tblPr/>
      <w:tcPr>
        <w:tcBorders>
          <w:top w:val="double" w:sz="2" w:space="0" w:color="35D69C"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BF1DD" w:themeFill="accent2" w:themeFillTint="33"/>
      </w:tcPr>
    </w:tblStylePr>
    <w:tblStylePr w:type="band1Horz">
      <w:tblPr/>
      <w:tcPr>
        <w:shd w:val="clear" w:color="auto" w:fill="BBF1DD" w:themeFill="accent2" w:themeFillTint="33"/>
      </w:tcPr>
    </w:tblStylePr>
  </w:style>
  <w:style w:type="table" w:styleId="GridTable2-Accent3">
    <w:name w:val="Grid Table 2 Accent 3"/>
    <w:basedOn w:val="TableNormal"/>
    <w:uiPriority w:val="47"/>
    <w:rsid w:val="00920D86"/>
    <w:pPr>
      <w:spacing w:line="240" w:lineRule="auto"/>
    </w:pPr>
    <w:tblPr>
      <w:tblStyleRowBandSize w:val="1"/>
      <w:tblStyleColBandSize w:val="1"/>
      <w:tblBorders>
        <w:top w:val="single" w:sz="2" w:space="0" w:color="CDE2BF" w:themeColor="accent3" w:themeTint="99"/>
        <w:bottom w:val="single" w:sz="2" w:space="0" w:color="CDE2BF" w:themeColor="accent3" w:themeTint="99"/>
        <w:insideH w:val="single" w:sz="2" w:space="0" w:color="CDE2BF" w:themeColor="accent3" w:themeTint="99"/>
        <w:insideV w:val="single" w:sz="2" w:space="0" w:color="CDE2BF" w:themeColor="accent3" w:themeTint="99"/>
      </w:tblBorders>
    </w:tblPr>
    <w:tblStylePr w:type="firstRow">
      <w:rPr>
        <w:b/>
        <w:bCs/>
      </w:rPr>
      <w:tblPr/>
      <w:tcPr>
        <w:tcBorders>
          <w:top w:val="nil"/>
          <w:bottom w:val="single" w:sz="12" w:space="0" w:color="CDE2BF" w:themeColor="accent3" w:themeTint="99"/>
          <w:insideH w:val="nil"/>
          <w:insideV w:val="nil"/>
        </w:tcBorders>
        <w:shd w:val="clear" w:color="auto" w:fill="FFFFFF" w:themeFill="background1"/>
      </w:tcPr>
    </w:tblStylePr>
    <w:tblStylePr w:type="lastRow">
      <w:rPr>
        <w:b/>
        <w:bCs/>
      </w:rPr>
      <w:tblPr/>
      <w:tcPr>
        <w:tcBorders>
          <w:top w:val="double" w:sz="2" w:space="0" w:color="CDE2BF"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EF5E9" w:themeFill="accent3" w:themeFillTint="33"/>
      </w:tcPr>
    </w:tblStylePr>
    <w:tblStylePr w:type="band1Horz">
      <w:tblPr/>
      <w:tcPr>
        <w:shd w:val="clear" w:color="auto" w:fill="EEF5E9" w:themeFill="accent3" w:themeFillTint="33"/>
      </w:tcPr>
    </w:tblStylePr>
  </w:style>
  <w:style w:type="table" w:styleId="GridTable2-Accent4">
    <w:name w:val="Grid Table 2 Accent 4"/>
    <w:basedOn w:val="TableNormal"/>
    <w:uiPriority w:val="47"/>
    <w:rsid w:val="00920D86"/>
    <w:pPr>
      <w:spacing w:line="240" w:lineRule="auto"/>
    </w:pPr>
    <w:tblPr>
      <w:tblStyleRowBandSize w:val="1"/>
      <w:tblStyleColBandSize w:val="1"/>
      <w:tblBorders>
        <w:top w:val="single" w:sz="2" w:space="0" w:color="BD6298" w:themeColor="accent4" w:themeTint="99"/>
        <w:bottom w:val="single" w:sz="2" w:space="0" w:color="BD6298" w:themeColor="accent4" w:themeTint="99"/>
        <w:insideH w:val="single" w:sz="2" w:space="0" w:color="BD6298" w:themeColor="accent4" w:themeTint="99"/>
        <w:insideV w:val="single" w:sz="2" w:space="0" w:color="BD6298" w:themeColor="accent4" w:themeTint="99"/>
      </w:tblBorders>
    </w:tblPr>
    <w:tblStylePr w:type="firstRow">
      <w:rPr>
        <w:b/>
        <w:bCs/>
      </w:rPr>
      <w:tblPr/>
      <w:tcPr>
        <w:tcBorders>
          <w:top w:val="nil"/>
          <w:bottom w:val="single" w:sz="12" w:space="0" w:color="BD6298" w:themeColor="accent4" w:themeTint="99"/>
          <w:insideH w:val="nil"/>
          <w:insideV w:val="nil"/>
        </w:tcBorders>
        <w:shd w:val="clear" w:color="auto" w:fill="FFFFFF" w:themeFill="background1"/>
      </w:tcPr>
    </w:tblStylePr>
    <w:tblStylePr w:type="lastRow">
      <w:rPr>
        <w:b/>
        <w:bCs/>
      </w:rPr>
      <w:tblPr/>
      <w:tcPr>
        <w:tcBorders>
          <w:top w:val="double" w:sz="2" w:space="0" w:color="BD6298"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9CADC" w:themeFill="accent4" w:themeFillTint="33"/>
      </w:tcPr>
    </w:tblStylePr>
    <w:tblStylePr w:type="band1Horz">
      <w:tblPr/>
      <w:tcPr>
        <w:shd w:val="clear" w:color="auto" w:fill="E9CADC" w:themeFill="accent4" w:themeFillTint="33"/>
      </w:tcPr>
    </w:tblStylePr>
  </w:style>
  <w:style w:type="table" w:styleId="GridTable2-Accent5">
    <w:name w:val="Grid Table 2 Accent 5"/>
    <w:basedOn w:val="TableNormal"/>
    <w:uiPriority w:val="47"/>
    <w:rsid w:val="00920D86"/>
    <w:pPr>
      <w:spacing w:line="240" w:lineRule="auto"/>
    </w:pPr>
    <w:tblPr>
      <w:tblStyleRowBandSize w:val="1"/>
      <w:tblStyleColBandSize w:val="1"/>
      <w:tblBorders>
        <w:top w:val="single" w:sz="2" w:space="0" w:color="FFB799" w:themeColor="accent5" w:themeTint="99"/>
        <w:bottom w:val="single" w:sz="2" w:space="0" w:color="FFB799" w:themeColor="accent5" w:themeTint="99"/>
        <w:insideH w:val="single" w:sz="2" w:space="0" w:color="FFB799" w:themeColor="accent5" w:themeTint="99"/>
        <w:insideV w:val="single" w:sz="2" w:space="0" w:color="FFB799" w:themeColor="accent5" w:themeTint="99"/>
      </w:tblBorders>
    </w:tblPr>
    <w:tblStylePr w:type="firstRow">
      <w:rPr>
        <w:b/>
        <w:bCs/>
      </w:rPr>
      <w:tblPr/>
      <w:tcPr>
        <w:tcBorders>
          <w:top w:val="nil"/>
          <w:bottom w:val="single" w:sz="12" w:space="0" w:color="FFB799" w:themeColor="accent5" w:themeTint="99"/>
          <w:insideH w:val="nil"/>
          <w:insideV w:val="nil"/>
        </w:tcBorders>
        <w:shd w:val="clear" w:color="auto" w:fill="FFFFFF" w:themeFill="background1"/>
      </w:tcPr>
    </w:tblStylePr>
    <w:tblStylePr w:type="lastRow">
      <w:rPr>
        <w:b/>
        <w:bCs/>
      </w:rPr>
      <w:tblPr/>
      <w:tcPr>
        <w:tcBorders>
          <w:top w:val="double" w:sz="2" w:space="0" w:color="FFB799"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7DD" w:themeFill="accent5" w:themeFillTint="33"/>
      </w:tcPr>
    </w:tblStylePr>
    <w:tblStylePr w:type="band1Horz">
      <w:tblPr/>
      <w:tcPr>
        <w:shd w:val="clear" w:color="auto" w:fill="FFE7DD" w:themeFill="accent5" w:themeFillTint="33"/>
      </w:tcPr>
    </w:tblStylePr>
  </w:style>
  <w:style w:type="table" w:styleId="GridTable2-Accent6">
    <w:name w:val="Grid Table 2 Accent 6"/>
    <w:basedOn w:val="TableNormal"/>
    <w:uiPriority w:val="47"/>
    <w:rsid w:val="00920D86"/>
    <w:pPr>
      <w:spacing w:line="240" w:lineRule="auto"/>
    </w:pPr>
    <w:tblPr>
      <w:tblStyleRowBandSize w:val="1"/>
      <w:tblStyleColBandSize w:val="1"/>
      <w:tblBorders>
        <w:top w:val="single" w:sz="2" w:space="0" w:color="EEECE7" w:themeColor="accent6" w:themeTint="99"/>
        <w:bottom w:val="single" w:sz="2" w:space="0" w:color="EEECE7" w:themeColor="accent6" w:themeTint="99"/>
        <w:insideH w:val="single" w:sz="2" w:space="0" w:color="EEECE7" w:themeColor="accent6" w:themeTint="99"/>
        <w:insideV w:val="single" w:sz="2" w:space="0" w:color="EEECE7" w:themeColor="accent6" w:themeTint="99"/>
      </w:tblBorders>
    </w:tblPr>
    <w:tblStylePr w:type="firstRow">
      <w:rPr>
        <w:b/>
        <w:bCs/>
      </w:rPr>
      <w:tblPr/>
      <w:tcPr>
        <w:tcBorders>
          <w:top w:val="nil"/>
          <w:bottom w:val="single" w:sz="12" w:space="0" w:color="EEECE7" w:themeColor="accent6" w:themeTint="99"/>
          <w:insideH w:val="nil"/>
          <w:insideV w:val="nil"/>
        </w:tcBorders>
        <w:shd w:val="clear" w:color="auto" w:fill="FFFFFF" w:themeFill="background1"/>
      </w:tcPr>
    </w:tblStylePr>
    <w:tblStylePr w:type="lastRow">
      <w:rPr>
        <w:b/>
        <w:bCs/>
      </w:rPr>
      <w:tblPr/>
      <w:tcPr>
        <w:tcBorders>
          <w:top w:val="double" w:sz="2" w:space="0" w:color="EEECE7"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F8F7" w:themeFill="accent6" w:themeFillTint="33"/>
      </w:tcPr>
    </w:tblStylePr>
    <w:tblStylePr w:type="band1Horz">
      <w:tblPr/>
      <w:tcPr>
        <w:shd w:val="clear" w:color="auto" w:fill="F9F8F7" w:themeFill="accent6" w:themeFillTint="33"/>
      </w:tcPr>
    </w:tblStylePr>
  </w:style>
  <w:style w:type="table" w:styleId="GridTable3">
    <w:name w:val="Grid Table 3"/>
    <w:basedOn w:val="TableNormal"/>
    <w:uiPriority w:val="48"/>
    <w:rsid w:val="00920D86"/>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920D86"/>
    <w:pPr>
      <w:spacing w:line="240" w:lineRule="auto"/>
    </w:pPr>
    <w:tblPr>
      <w:tblStyleRowBandSize w:val="1"/>
      <w:tblStyleColBandSize w:val="1"/>
      <w:tblBorders>
        <w:top w:val="single" w:sz="4" w:space="0" w:color="1C78F4" w:themeColor="accent1" w:themeTint="99"/>
        <w:left w:val="single" w:sz="4" w:space="0" w:color="1C78F4" w:themeColor="accent1" w:themeTint="99"/>
        <w:bottom w:val="single" w:sz="4" w:space="0" w:color="1C78F4" w:themeColor="accent1" w:themeTint="99"/>
        <w:right w:val="single" w:sz="4" w:space="0" w:color="1C78F4" w:themeColor="accent1" w:themeTint="99"/>
        <w:insideH w:val="single" w:sz="4" w:space="0" w:color="1C78F4" w:themeColor="accent1" w:themeTint="99"/>
        <w:insideV w:val="single" w:sz="4" w:space="0" w:color="1C78F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3D2FB" w:themeFill="accent1" w:themeFillTint="33"/>
      </w:tcPr>
    </w:tblStylePr>
    <w:tblStylePr w:type="band1Horz">
      <w:tblPr/>
      <w:tcPr>
        <w:shd w:val="clear" w:color="auto" w:fill="B3D2FB" w:themeFill="accent1" w:themeFillTint="33"/>
      </w:tcPr>
    </w:tblStylePr>
    <w:tblStylePr w:type="neCell">
      <w:tblPr/>
      <w:tcPr>
        <w:tcBorders>
          <w:bottom w:val="single" w:sz="4" w:space="0" w:color="1C78F4" w:themeColor="accent1" w:themeTint="99"/>
        </w:tcBorders>
      </w:tcPr>
    </w:tblStylePr>
    <w:tblStylePr w:type="nwCell">
      <w:tblPr/>
      <w:tcPr>
        <w:tcBorders>
          <w:bottom w:val="single" w:sz="4" w:space="0" w:color="1C78F4" w:themeColor="accent1" w:themeTint="99"/>
        </w:tcBorders>
      </w:tcPr>
    </w:tblStylePr>
    <w:tblStylePr w:type="seCell">
      <w:tblPr/>
      <w:tcPr>
        <w:tcBorders>
          <w:top w:val="single" w:sz="4" w:space="0" w:color="1C78F4" w:themeColor="accent1" w:themeTint="99"/>
        </w:tcBorders>
      </w:tcPr>
    </w:tblStylePr>
    <w:tblStylePr w:type="swCell">
      <w:tblPr/>
      <w:tcPr>
        <w:tcBorders>
          <w:top w:val="single" w:sz="4" w:space="0" w:color="1C78F4" w:themeColor="accent1" w:themeTint="99"/>
        </w:tcBorders>
      </w:tcPr>
    </w:tblStylePr>
  </w:style>
  <w:style w:type="table" w:styleId="GridTable3-Accent2">
    <w:name w:val="Grid Table 3 Accent 2"/>
    <w:basedOn w:val="TableNormal"/>
    <w:uiPriority w:val="48"/>
    <w:rsid w:val="00920D86"/>
    <w:pPr>
      <w:spacing w:line="240" w:lineRule="auto"/>
    </w:pPr>
    <w:tblPr>
      <w:tblStyleRowBandSize w:val="1"/>
      <w:tblStyleColBandSize w:val="1"/>
      <w:tblBorders>
        <w:top w:val="single" w:sz="4" w:space="0" w:color="35D69C" w:themeColor="accent2" w:themeTint="99"/>
        <w:left w:val="single" w:sz="4" w:space="0" w:color="35D69C" w:themeColor="accent2" w:themeTint="99"/>
        <w:bottom w:val="single" w:sz="4" w:space="0" w:color="35D69C" w:themeColor="accent2" w:themeTint="99"/>
        <w:right w:val="single" w:sz="4" w:space="0" w:color="35D69C" w:themeColor="accent2" w:themeTint="99"/>
        <w:insideH w:val="single" w:sz="4" w:space="0" w:color="35D69C" w:themeColor="accent2" w:themeTint="99"/>
        <w:insideV w:val="single" w:sz="4" w:space="0" w:color="35D69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F1DD" w:themeFill="accent2" w:themeFillTint="33"/>
      </w:tcPr>
    </w:tblStylePr>
    <w:tblStylePr w:type="band1Horz">
      <w:tblPr/>
      <w:tcPr>
        <w:shd w:val="clear" w:color="auto" w:fill="BBF1DD" w:themeFill="accent2" w:themeFillTint="33"/>
      </w:tcPr>
    </w:tblStylePr>
    <w:tblStylePr w:type="neCell">
      <w:tblPr/>
      <w:tcPr>
        <w:tcBorders>
          <w:bottom w:val="single" w:sz="4" w:space="0" w:color="35D69C" w:themeColor="accent2" w:themeTint="99"/>
        </w:tcBorders>
      </w:tcPr>
    </w:tblStylePr>
    <w:tblStylePr w:type="nwCell">
      <w:tblPr/>
      <w:tcPr>
        <w:tcBorders>
          <w:bottom w:val="single" w:sz="4" w:space="0" w:color="35D69C" w:themeColor="accent2" w:themeTint="99"/>
        </w:tcBorders>
      </w:tcPr>
    </w:tblStylePr>
    <w:tblStylePr w:type="seCell">
      <w:tblPr/>
      <w:tcPr>
        <w:tcBorders>
          <w:top w:val="single" w:sz="4" w:space="0" w:color="35D69C" w:themeColor="accent2" w:themeTint="99"/>
        </w:tcBorders>
      </w:tcPr>
    </w:tblStylePr>
    <w:tblStylePr w:type="swCell">
      <w:tblPr/>
      <w:tcPr>
        <w:tcBorders>
          <w:top w:val="single" w:sz="4" w:space="0" w:color="35D69C" w:themeColor="accent2" w:themeTint="99"/>
        </w:tcBorders>
      </w:tcPr>
    </w:tblStylePr>
  </w:style>
  <w:style w:type="table" w:styleId="GridTable3-Accent3">
    <w:name w:val="Grid Table 3 Accent 3"/>
    <w:basedOn w:val="TableNormal"/>
    <w:uiPriority w:val="48"/>
    <w:rsid w:val="00920D86"/>
    <w:pPr>
      <w:spacing w:line="240" w:lineRule="auto"/>
    </w:pPr>
    <w:tblPr>
      <w:tblStyleRowBandSize w:val="1"/>
      <w:tblStyleColBandSize w:val="1"/>
      <w:tblBorders>
        <w:top w:val="single" w:sz="4" w:space="0" w:color="CDE2BF" w:themeColor="accent3" w:themeTint="99"/>
        <w:left w:val="single" w:sz="4" w:space="0" w:color="CDE2BF" w:themeColor="accent3" w:themeTint="99"/>
        <w:bottom w:val="single" w:sz="4" w:space="0" w:color="CDE2BF" w:themeColor="accent3" w:themeTint="99"/>
        <w:right w:val="single" w:sz="4" w:space="0" w:color="CDE2BF" w:themeColor="accent3" w:themeTint="99"/>
        <w:insideH w:val="single" w:sz="4" w:space="0" w:color="CDE2BF" w:themeColor="accent3" w:themeTint="99"/>
        <w:insideV w:val="single" w:sz="4" w:space="0" w:color="CDE2B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F5E9" w:themeFill="accent3" w:themeFillTint="33"/>
      </w:tcPr>
    </w:tblStylePr>
    <w:tblStylePr w:type="band1Horz">
      <w:tblPr/>
      <w:tcPr>
        <w:shd w:val="clear" w:color="auto" w:fill="EEF5E9" w:themeFill="accent3" w:themeFillTint="33"/>
      </w:tcPr>
    </w:tblStylePr>
    <w:tblStylePr w:type="neCell">
      <w:tblPr/>
      <w:tcPr>
        <w:tcBorders>
          <w:bottom w:val="single" w:sz="4" w:space="0" w:color="CDE2BF" w:themeColor="accent3" w:themeTint="99"/>
        </w:tcBorders>
      </w:tcPr>
    </w:tblStylePr>
    <w:tblStylePr w:type="nwCell">
      <w:tblPr/>
      <w:tcPr>
        <w:tcBorders>
          <w:bottom w:val="single" w:sz="4" w:space="0" w:color="CDE2BF" w:themeColor="accent3" w:themeTint="99"/>
        </w:tcBorders>
      </w:tcPr>
    </w:tblStylePr>
    <w:tblStylePr w:type="seCell">
      <w:tblPr/>
      <w:tcPr>
        <w:tcBorders>
          <w:top w:val="single" w:sz="4" w:space="0" w:color="CDE2BF" w:themeColor="accent3" w:themeTint="99"/>
        </w:tcBorders>
      </w:tcPr>
    </w:tblStylePr>
    <w:tblStylePr w:type="swCell">
      <w:tblPr/>
      <w:tcPr>
        <w:tcBorders>
          <w:top w:val="single" w:sz="4" w:space="0" w:color="CDE2BF" w:themeColor="accent3" w:themeTint="99"/>
        </w:tcBorders>
      </w:tcPr>
    </w:tblStylePr>
  </w:style>
  <w:style w:type="table" w:styleId="GridTable3-Accent4">
    <w:name w:val="Grid Table 3 Accent 4"/>
    <w:basedOn w:val="TableNormal"/>
    <w:uiPriority w:val="48"/>
    <w:rsid w:val="00920D86"/>
    <w:pPr>
      <w:spacing w:line="240" w:lineRule="auto"/>
    </w:pPr>
    <w:tblPr>
      <w:tblStyleRowBandSize w:val="1"/>
      <w:tblStyleColBandSize w:val="1"/>
      <w:tblBorders>
        <w:top w:val="single" w:sz="4" w:space="0" w:color="BD6298" w:themeColor="accent4" w:themeTint="99"/>
        <w:left w:val="single" w:sz="4" w:space="0" w:color="BD6298" w:themeColor="accent4" w:themeTint="99"/>
        <w:bottom w:val="single" w:sz="4" w:space="0" w:color="BD6298" w:themeColor="accent4" w:themeTint="99"/>
        <w:right w:val="single" w:sz="4" w:space="0" w:color="BD6298" w:themeColor="accent4" w:themeTint="99"/>
        <w:insideH w:val="single" w:sz="4" w:space="0" w:color="BD6298" w:themeColor="accent4" w:themeTint="99"/>
        <w:insideV w:val="single" w:sz="4" w:space="0" w:color="BD629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CADC" w:themeFill="accent4" w:themeFillTint="33"/>
      </w:tcPr>
    </w:tblStylePr>
    <w:tblStylePr w:type="band1Horz">
      <w:tblPr/>
      <w:tcPr>
        <w:shd w:val="clear" w:color="auto" w:fill="E9CADC" w:themeFill="accent4" w:themeFillTint="33"/>
      </w:tcPr>
    </w:tblStylePr>
    <w:tblStylePr w:type="neCell">
      <w:tblPr/>
      <w:tcPr>
        <w:tcBorders>
          <w:bottom w:val="single" w:sz="4" w:space="0" w:color="BD6298" w:themeColor="accent4" w:themeTint="99"/>
        </w:tcBorders>
      </w:tcPr>
    </w:tblStylePr>
    <w:tblStylePr w:type="nwCell">
      <w:tblPr/>
      <w:tcPr>
        <w:tcBorders>
          <w:bottom w:val="single" w:sz="4" w:space="0" w:color="BD6298" w:themeColor="accent4" w:themeTint="99"/>
        </w:tcBorders>
      </w:tcPr>
    </w:tblStylePr>
    <w:tblStylePr w:type="seCell">
      <w:tblPr/>
      <w:tcPr>
        <w:tcBorders>
          <w:top w:val="single" w:sz="4" w:space="0" w:color="BD6298" w:themeColor="accent4" w:themeTint="99"/>
        </w:tcBorders>
      </w:tcPr>
    </w:tblStylePr>
    <w:tblStylePr w:type="swCell">
      <w:tblPr/>
      <w:tcPr>
        <w:tcBorders>
          <w:top w:val="single" w:sz="4" w:space="0" w:color="BD6298" w:themeColor="accent4" w:themeTint="99"/>
        </w:tcBorders>
      </w:tcPr>
    </w:tblStylePr>
  </w:style>
  <w:style w:type="table" w:styleId="GridTable3-Accent5">
    <w:name w:val="Grid Table 3 Accent 5"/>
    <w:basedOn w:val="TableNormal"/>
    <w:uiPriority w:val="48"/>
    <w:rsid w:val="00920D86"/>
    <w:pPr>
      <w:spacing w:line="240" w:lineRule="auto"/>
    </w:pPr>
    <w:tblPr>
      <w:tblStyleRowBandSize w:val="1"/>
      <w:tblStyleColBandSize w:val="1"/>
      <w:tblBorders>
        <w:top w:val="single" w:sz="4" w:space="0" w:color="FFB799" w:themeColor="accent5" w:themeTint="99"/>
        <w:left w:val="single" w:sz="4" w:space="0" w:color="FFB799" w:themeColor="accent5" w:themeTint="99"/>
        <w:bottom w:val="single" w:sz="4" w:space="0" w:color="FFB799" w:themeColor="accent5" w:themeTint="99"/>
        <w:right w:val="single" w:sz="4" w:space="0" w:color="FFB799" w:themeColor="accent5" w:themeTint="99"/>
        <w:insideH w:val="single" w:sz="4" w:space="0" w:color="FFB799" w:themeColor="accent5" w:themeTint="99"/>
        <w:insideV w:val="single" w:sz="4" w:space="0" w:color="FFB79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7DD" w:themeFill="accent5" w:themeFillTint="33"/>
      </w:tcPr>
    </w:tblStylePr>
    <w:tblStylePr w:type="band1Horz">
      <w:tblPr/>
      <w:tcPr>
        <w:shd w:val="clear" w:color="auto" w:fill="FFE7DD" w:themeFill="accent5" w:themeFillTint="33"/>
      </w:tcPr>
    </w:tblStylePr>
    <w:tblStylePr w:type="neCell">
      <w:tblPr/>
      <w:tcPr>
        <w:tcBorders>
          <w:bottom w:val="single" w:sz="4" w:space="0" w:color="FFB799" w:themeColor="accent5" w:themeTint="99"/>
        </w:tcBorders>
      </w:tcPr>
    </w:tblStylePr>
    <w:tblStylePr w:type="nwCell">
      <w:tblPr/>
      <w:tcPr>
        <w:tcBorders>
          <w:bottom w:val="single" w:sz="4" w:space="0" w:color="FFB799" w:themeColor="accent5" w:themeTint="99"/>
        </w:tcBorders>
      </w:tcPr>
    </w:tblStylePr>
    <w:tblStylePr w:type="seCell">
      <w:tblPr/>
      <w:tcPr>
        <w:tcBorders>
          <w:top w:val="single" w:sz="4" w:space="0" w:color="FFB799" w:themeColor="accent5" w:themeTint="99"/>
        </w:tcBorders>
      </w:tcPr>
    </w:tblStylePr>
    <w:tblStylePr w:type="swCell">
      <w:tblPr/>
      <w:tcPr>
        <w:tcBorders>
          <w:top w:val="single" w:sz="4" w:space="0" w:color="FFB799" w:themeColor="accent5" w:themeTint="99"/>
        </w:tcBorders>
      </w:tcPr>
    </w:tblStylePr>
  </w:style>
  <w:style w:type="table" w:styleId="GridTable3-Accent6">
    <w:name w:val="Grid Table 3 Accent 6"/>
    <w:basedOn w:val="TableNormal"/>
    <w:uiPriority w:val="48"/>
    <w:rsid w:val="00920D86"/>
    <w:pPr>
      <w:spacing w:line="240" w:lineRule="auto"/>
    </w:pPr>
    <w:tblPr>
      <w:tblStyleRowBandSize w:val="1"/>
      <w:tblStyleColBandSize w:val="1"/>
      <w:tblBorders>
        <w:top w:val="single" w:sz="4" w:space="0" w:color="EEECE7" w:themeColor="accent6" w:themeTint="99"/>
        <w:left w:val="single" w:sz="4" w:space="0" w:color="EEECE7" w:themeColor="accent6" w:themeTint="99"/>
        <w:bottom w:val="single" w:sz="4" w:space="0" w:color="EEECE7" w:themeColor="accent6" w:themeTint="99"/>
        <w:right w:val="single" w:sz="4" w:space="0" w:color="EEECE7" w:themeColor="accent6" w:themeTint="99"/>
        <w:insideH w:val="single" w:sz="4" w:space="0" w:color="EEECE7" w:themeColor="accent6" w:themeTint="99"/>
        <w:insideV w:val="single" w:sz="4" w:space="0" w:color="EEECE7"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8F7" w:themeFill="accent6" w:themeFillTint="33"/>
      </w:tcPr>
    </w:tblStylePr>
    <w:tblStylePr w:type="band1Horz">
      <w:tblPr/>
      <w:tcPr>
        <w:shd w:val="clear" w:color="auto" w:fill="F9F8F7" w:themeFill="accent6" w:themeFillTint="33"/>
      </w:tcPr>
    </w:tblStylePr>
    <w:tblStylePr w:type="neCell">
      <w:tblPr/>
      <w:tcPr>
        <w:tcBorders>
          <w:bottom w:val="single" w:sz="4" w:space="0" w:color="EEECE7" w:themeColor="accent6" w:themeTint="99"/>
        </w:tcBorders>
      </w:tcPr>
    </w:tblStylePr>
    <w:tblStylePr w:type="nwCell">
      <w:tblPr/>
      <w:tcPr>
        <w:tcBorders>
          <w:bottom w:val="single" w:sz="4" w:space="0" w:color="EEECE7" w:themeColor="accent6" w:themeTint="99"/>
        </w:tcBorders>
      </w:tcPr>
    </w:tblStylePr>
    <w:tblStylePr w:type="seCell">
      <w:tblPr/>
      <w:tcPr>
        <w:tcBorders>
          <w:top w:val="single" w:sz="4" w:space="0" w:color="EEECE7" w:themeColor="accent6" w:themeTint="99"/>
        </w:tcBorders>
      </w:tcPr>
    </w:tblStylePr>
    <w:tblStylePr w:type="swCell">
      <w:tblPr/>
      <w:tcPr>
        <w:tcBorders>
          <w:top w:val="single" w:sz="4" w:space="0" w:color="EEECE7" w:themeColor="accent6" w:themeTint="99"/>
        </w:tcBorders>
      </w:tcPr>
    </w:tblStylePr>
  </w:style>
  <w:style w:type="table" w:styleId="GridTable4">
    <w:name w:val="Grid Table 4"/>
    <w:basedOn w:val="TableNormal"/>
    <w:uiPriority w:val="49"/>
    <w:rsid w:val="00920D86"/>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920D86"/>
    <w:pPr>
      <w:spacing w:line="240" w:lineRule="auto"/>
    </w:pPr>
    <w:tblPr>
      <w:tblStyleRowBandSize w:val="1"/>
      <w:tblStyleColBandSize w:val="1"/>
      <w:tblBorders>
        <w:top w:val="single" w:sz="4" w:space="0" w:color="1C78F4" w:themeColor="accent1" w:themeTint="99"/>
        <w:left w:val="single" w:sz="4" w:space="0" w:color="1C78F4" w:themeColor="accent1" w:themeTint="99"/>
        <w:bottom w:val="single" w:sz="4" w:space="0" w:color="1C78F4" w:themeColor="accent1" w:themeTint="99"/>
        <w:right w:val="single" w:sz="4" w:space="0" w:color="1C78F4" w:themeColor="accent1" w:themeTint="99"/>
        <w:insideH w:val="single" w:sz="4" w:space="0" w:color="1C78F4" w:themeColor="accent1" w:themeTint="99"/>
        <w:insideV w:val="single" w:sz="4" w:space="0" w:color="1C78F4" w:themeColor="accent1" w:themeTint="99"/>
      </w:tblBorders>
    </w:tblPr>
    <w:tblStylePr w:type="firstRow">
      <w:rPr>
        <w:b/>
        <w:bCs/>
        <w:color w:val="FFFFFF" w:themeColor="background1"/>
      </w:rPr>
      <w:tblPr/>
      <w:tcPr>
        <w:tcBorders>
          <w:top w:val="single" w:sz="4" w:space="0" w:color="05326E" w:themeColor="accent1"/>
          <w:left w:val="single" w:sz="4" w:space="0" w:color="05326E" w:themeColor="accent1"/>
          <w:bottom w:val="single" w:sz="4" w:space="0" w:color="05326E" w:themeColor="accent1"/>
          <w:right w:val="single" w:sz="4" w:space="0" w:color="05326E" w:themeColor="accent1"/>
          <w:insideH w:val="nil"/>
          <w:insideV w:val="nil"/>
        </w:tcBorders>
        <w:shd w:val="clear" w:color="auto" w:fill="05326E" w:themeFill="accent1"/>
      </w:tcPr>
    </w:tblStylePr>
    <w:tblStylePr w:type="lastRow">
      <w:rPr>
        <w:b/>
        <w:bCs/>
      </w:rPr>
      <w:tblPr/>
      <w:tcPr>
        <w:tcBorders>
          <w:top w:val="double" w:sz="4" w:space="0" w:color="05326E" w:themeColor="accent1"/>
        </w:tcBorders>
      </w:tcPr>
    </w:tblStylePr>
    <w:tblStylePr w:type="firstCol">
      <w:rPr>
        <w:b/>
        <w:bCs/>
      </w:rPr>
    </w:tblStylePr>
    <w:tblStylePr w:type="lastCol">
      <w:rPr>
        <w:b/>
        <w:bCs/>
      </w:rPr>
    </w:tblStylePr>
    <w:tblStylePr w:type="band1Vert">
      <w:tblPr/>
      <w:tcPr>
        <w:shd w:val="clear" w:color="auto" w:fill="B3D2FB" w:themeFill="accent1" w:themeFillTint="33"/>
      </w:tcPr>
    </w:tblStylePr>
    <w:tblStylePr w:type="band1Horz">
      <w:tblPr/>
      <w:tcPr>
        <w:shd w:val="clear" w:color="auto" w:fill="B3D2FB" w:themeFill="accent1" w:themeFillTint="33"/>
      </w:tcPr>
    </w:tblStylePr>
  </w:style>
  <w:style w:type="table" w:styleId="GridTable4-Accent2">
    <w:name w:val="Grid Table 4 Accent 2"/>
    <w:basedOn w:val="TableNormal"/>
    <w:uiPriority w:val="49"/>
    <w:rsid w:val="00920D86"/>
    <w:pPr>
      <w:spacing w:line="240" w:lineRule="auto"/>
    </w:pPr>
    <w:tblPr>
      <w:tblStyleRowBandSize w:val="1"/>
      <w:tblStyleColBandSize w:val="1"/>
      <w:tblBorders>
        <w:top w:val="single" w:sz="4" w:space="0" w:color="35D69C" w:themeColor="accent2" w:themeTint="99"/>
        <w:left w:val="single" w:sz="4" w:space="0" w:color="35D69C" w:themeColor="accent2" w:themeTint="99"/>
        <w:bottom w:val="single" w:sz="4" w:space="0" w:color="35D69C" w:themeColor="accent2" w:themeTint="99"/>
        <w:right w:val="single" w:sz="4" w:space="0" w:color="35D69C" w:themeColor="accent2" w:themeTint="99"/>
        <w:insideH w:val="single" w:sz="4" w:space="0" w:color="35D69C" w:themeColor="accent2" w:themeTint="99"/>
        <w:insideV w:val="single" w:sz="4" w:space="0" w:color="35D69C" w:themeColor="accent2" w:themeTint="99"/>
      </w:tblBorders>
    </w:tblPr>
    <w:tblStylePr w:type="firstRow">
      <w:rPr>
        <w:b/>
        <w:bCs/>
        <w:color w:val="FFFFFF" w:themeColor="background1"/>
      </w:rPr>
      <w:tblPr/>
      <w:tcPr>
        <w:tcBorders>
          <w:top w:val="single" w:sz="4" w:space="0" w:color="125A40" w:themeColor="accent2"/>
          <w:left w:val="single" w:sz="4" w:space="0" w:color="125A40" w:themeColor="accent2"/>
          <w:bottom w:val="single" w:sz="4" w:space="0" w:color="125A40" w:themeColor="accent2"/>
          <w:right w:val="single" w:sz="4" w:space="0" w:color="125A40" w:themeColor="accent2"/>
          <w:insideH w:val="nil"/>
          <w:insideV w:val="nil"/>
        </w:tcBorders>
        <w:shd w:val="clear" w:color="auto" w:fill="125A40" w:themeFill="accent2"/>
      </w:tcPr>
    </w:tblStylePr>
    <w:tblStylePr w:type="lastRow">
      <w:rPr>
        <w:b/>
        <w:bCs/>
      </w:rPr>
      <w:tblPr/>
      <w:tcPr>
        <w:tcBorders>
          <w:top w:val="double" w:sz="4" w:space="0" w:color="125A40" w:themeColor="accent2"/>
        </w:tcBorders>
      </w:tcPr>
    </w:tblStylePr>
    <w:tblStylePr w:type="firstCol">
      <w:rPr>
        <w:b/>
        <w:bCs/>
      </w:rPr>
    </w:tblStylePr>
    <w:tblStylePr w:type="lastCol">
      <w:rPr>
        <w:b/>
        <w:bCs/>
      </w:rPr>
    </w:tblStylePr>
    <w:tblStylePr w:type="band1Vert">
      <w:tblPr/>
      <w:tcPr>
        <w:shd w:val="clear" w:color="auto" w:fill="BBF1DD" w:themeFill="accent2" w:themeFillTint="33"/>
      </w:tcPr>
    </w:tblStylePr>
    <w:tblStylePr w:type="band1Horz">
      <w:tblPr/>
      <w:tcPr>
        <w:shd w:val="clear" w:color="auto" w:fill="BBF1DD" w:themeFill="accent2" w:themeFillTint="33"/>
      </w:tcPr>
    </w:tblStylePr>
  </w:style>
  <w:style w:type="table" w:styleId="GridTable4-Accent3">
    <w:name w:val="Grid Table 4 Accent 3"/>
    <w:basedOn w:val="TableNormal"/>
    <w:uiPriority w:val="49"/>
    <w:rsid w:val="00920D86"/>
    <w:pPr>
      <w:spacing w:line="240" w:lineRule="auto"/>
    </w:pPr>
    <w:tblPr>
      <w:tblStyleRowBandSize w:val="1"/>
      <w:tblStyleColBandSize w:val="1"/>
      <w:tblBorders>
        <w:top w:val="single" w:sz="4" w:space="0" w:color="CDE2BF" w:themeColor="accent3" w:themeTint="99"/>
        <w:left w:val="single" w:sz="4" w:space="0" w:color="CDE2BF" w:themeColor="accent3" w:themeTint="99"/>
        <w:bottom w:val="single" w:sz="4" w:space="0" w:color="CDE2BF" w:themeColor="accent3" w:themeTint="99"/>
        <w:right w:val="single" w:sz="4" w:space="0" w:color="CDE2BF" w:themeColor="accent3" w:themeTint="99"/>
        <w:insideH w:val="single" w:sz="4" w:space="0" w:color="CDE2BF" w:themeColor="accent3" w:themeTint="99"/>
        <w:insideV w:val="single" w:sz="4" w:space="0" w:color="CDE2BF" w:themeColor="accent3" w:themeTint="99"/>
      </w:tblBorders>
    </w:tblPr>
    <w:tblStylePr w:type="firstRow">
      <w:rPr>
        <w:b/>
        <w:bCs/>
        <w:color w:val="FFFFFF" w:themeColor="background1"/>
      </w:rPr>
      <w:tblPr/>
      <w:tcPr>
        <w:tcBorders>
          <w:top w:val="single" w:sz="4" w:space="0" w:color="ADD095" w:themeColor="accent3"/>
          <w:left w:val="single" w:sz="4" w:space="0" w:color="ADD095" w:themeColor="accent3"/>
          <w:bottom w:val="single" w:sz="4" w:space="0" w:color="ADD095" w:themeColor="accent3"/>
          <w:right w:val="single" w:sz="4" w:space="0" w:color="ADD095" w:themeColor="accent3"/>
          <w:insideH w:val="nil"/>
          <w:insideV w:val="nil"/>
        </w:tcBorders>
        <w:shd w:val="clear" w:color="auto" w:fill="ADD095" w:themeFill="accent3"/>
      </w:tcPr>
    </w:tblStylePr>
    <w:tblStylePr w:type="lastRow">
      <w:rPr>
        <w:b/>
        <w:bCs/>
      </w:rPr>
      <w:tblPr/>
      <w:tcPr>
        <w:tcBorders>
          <w:top w:val="double" w:sz="4" w:space="0" w:color="ADD095" w:themeColor="accent3"/>
        </w:tcBorders>
      </w:tcPr>
    </w:tblStylePr>
    <w:tblStylePr w:type="firstCol">
      <w:rPr>
        <w:b/>
        <w:bCs/>
      </w:rPr>
    </w:tblStylePr>
    <w:tblStylePr w:type="lastCol">
      <w:rPr>
        <w:b/>
        <w:bCs/>
      </w:rPr>
    </w:tblStylePr>
    <w:tblStylePr w:type="band1Vert">
      <w:tblPr/>
      <w:tcPr>
        <w:shd w:val="clear" w:color="auto" w:fill="EEF5E9" w:themeFill="accent3" w:themeFillTint="33"/>
      </w:tcPr>
    </w:tblStylePr>
    <w:tblStylePr w:type="band1Horz">
      <w:tblPr/>
      <w:tcPr>
        <w:shd w:val="clear" w:color="auto" w:fill="EEF5E9" w:themeFill="accent3" w:themeFillTint="33"/>
      </w:tcPr>
    </w:tblStylePr>
  </w:style>
  <w:style w:type="table" w:styleId="GridTable4-Accent4">
    <w:name w:val="Grid Table 4 Accent 4"/>
    <w:basedOn w:val="TableNormal"/>
    <w:uiPriority w:val="49"/>
    <w:rsid w:val="00920D86"/>
    <w:pPr>
      <w:spacing w:line="240" w:lineRule="auto"/>
    </w:pPr>
    <w:tblPr>
      <w:tblStyleRowBandSize w:val="1"/>
      <w:tblStyleColBandSize w:val="1"/>
      <w:tblBorders>
        <w:top w:val="single" w:sz="4" w:space="0" w:color="BD6298" w:themeColor="accent4" w:themeTint="99"/>
        <w:left w:val="single" w:sz="4" w:space="0" w:color="BD6298" w:themeColor="accent4" w:themeTint="99"/>
        <w:bottom w:val="single" w:sz="4" w:space="0" w:color="BD6298" w:themeColor="accent4" w:themeTint="99"/>
        <w:right w:val="single" w:sz="4" w:space="0" w:color="BD6298" w:themeColor="accent4" w:themeTint="99"/>
        <w:insideH w:val="single" w:sz="4" w:space="0" w:color="BD6298" w:themeColor="accent4" w:themeTint="99"/>
        <w:insideV w:val="single" w:sz="4" w:space="0" w:color="BD6298" w:themeColor="accent4" w:themeTint="99"/>
      </w:tblBorders>
    </w:tblPr>
    <w:tblStylePr w:type="firstRow">
      <w:rPr>
        <w:b/>
        <w:bCs/>
        <w:color w:val="FFFFFF" w:themeColor="background1"/>
      </w:rPr>
      <w:tblPr/>
      <w:tcPr>
        <w:tcBorders>
          <w:top w:val="single" w:sz="4" w:space="0" w:color="62294B" w:themeColor="accent4"/>
          <w:left w:val="single" w:sz="4" w:space="0" w:color="62294B" w:themeColor="accent4"/>
          <w:bottom w:val="single" w:sz="4" w:space="0" w:color="62294B" w:themeColor="accent4"/>
          <w:right w:val="single" w:sz="4" w:space="0" w:color="62294B" w:themeColor="accent4"/>
          <w:insideH w:val="nil"/>
          <w:insideV w:val="nil"/>
        </w:tcBorders>
        <w:shd w:val="clear" w:color="auto" w:fill="62294B" w:themeFill="accent4"/>
      </w:tcPr>
    </w:tblStylePr>
    <w:tblStylePr w:type="lastRow">
      <w:rPr>
        <w:b/>
        <w:bCs/>
      </w:rPr>
      <w:tblPr/>
      <w:tcPr>
        <w:tcBorders>
          <w:top w:val="double" w:sz="4" w:space="0" w:color="62294B" w:themeColor="accent4"/>
        </w:tcBorders>
      </w:tcPr>
    </w:tblStylePr>
    <w:tblStylePr w:type="firstCol">
      <w:rPr>
        <w:b/>
        <w:bCs/>
      </w:rPr>
    </w:tblStylePr>
    <w:tblStylePr w:type="lastCol">
      <w:rPr>
        <w:b/>
        <w:bCs/>
      </w:rPr>
    </w:tblStylePr>
    <w:tblStylePr w:type="band1Vert">
      <w:tblPr/>
      <w:tcPr>
        <w:shd w:val="clear" w:color="auto" w:fill="E9CADC" w:themeFill="accent4" w:themeFillTint="33"/>
      </w:tcPr>
    </w:tblStylePr>
    <w:tblStylePr w:type="band1Horz">
      <w:tblPr/>
      <w:tcPr>
        <w:shd w:val="clear" w:color="auto" w:fill="E9CADC" w:themeFill="accent4" w:themeFillTint="33"/>
      </w:tcPr>
    </w:tblStylePr>
  </w:style>
  <w:style w:type="table" w:styleId="GridTable4-Accent5">
    <w:name w:val="Grid Table 4 Accent 5"/>
    <w:basedOn w:val="TableNormal"/>
    <w:uiPriority w:val="49"/>
    <w:rsid w:val="00920D86"/>
    <w:pPr>
      <w:spacing w:line="240" w:lineRule="auto"/>
    </w:pPr>
    <w:tblPr>
      <w:tblStyleRowBandSize w:val="1"/>
      <w:tblStyleColBandSize w:val="1"/>
      <w:tblBorders>
        <w:top w:val="single" w:sz="4" w:space="0" w:color="FFB799" w:themeColor="accent5" w:themeTint="99"/>
        <w:left w:val="single" w:sz="4" w:space="0" w:color="FFB799" w:themeColor="accent5" w:themeTint="99"/>
        <w:bottom w:val="single" w:sz="4" w:space="0" w:color="FFB799" w:themeColor="accent5" w:themeTint="99"/>
        <w:right w:val="single" w:sz="4" w:space="0" w:color="FFB799" w:themeColor="accent5" w:themeTint="99"/>
        <w:insideH w:val="single" w:sz="4" w:space="0" w:color="FFB799" w:themeColor="accent5" w:themeTint="99"/>
        <w:insideV w:val="single" w:sz="4" w:space="0" w:color="FFB799" w:themeColor="accent5" w:themeTint="99"/>
      </w:tblBorders>
    </w:tblPr>
    <w:tblStylePr w:type="firstRow">
      <w:rPr>
        <w:b/>
        <w:bCs/>
        <w:color w:val="FFFFFF" w:themeColor="background1"/>
      </w:rPr>
      <w:tblPr/>
      <w:tcPr>
        <w:tcBorders>
          <w:top w:val="single" w:sz="4" w:space="0" w:color="FF8855" w:themeColor="accent5"/>
          <w:left w:val="single" w:sz="4" w:space="0" w:color="FF8855" w:themeColor="accent5"/>
          <w:bottom w:val="single" w:sz="4" w:space="0" w:color="FF8855" w:themeColor="accent5"/>
          <w:right w:val="single" w:sz="4" w:space="0" w:color="FF8855" w:themeColor="accent5"/>
          <w:insideH w:val="nil"/>
          <w:insideV w:val="nil"/>
        </w:tcBorders>
        <w:shd w:val="clear" w:color="auto" w:fill="FF8855" w:themeFill="accent5"/>
      </w:tcPr>
    </w:tblStylePr>
    <w:tblStylePr w:type="lastRow">
      <w:rPr>
        <w:b/>
        <w:bCs/>
      </w:rPr>
      <w:tblPr/>
      <w:tcPr>
        <w:tcBorders>
          <w:top w:val="double" w:sz="4" w:space="0" w:color="FF8855" w:themeColor="accent5"/>
        </w:tcBorders>
      </w:tcPr>
    </w:tblStylePr>
    <w:tblStylePr w:type="firstCol">
      <w:rPr>
        <w:b/>
        <w:bCs/>
      </w:rPr>
    </w:tblStylePr>
    <w:tblStylePr w:type="lastCol">
      <w:rPr>
        <w:b/>
        <w:bCs/>
      </w:rPr>
    </w:tblStylePr>
    <w:tblStylePr w:type="band1Vert">
      <w:tblPr/>
      <w:tcPr>
        <w:shd w:val="clear" w:color="auto" w:fill="FFE7DD" w:themeFill="accent5" w:themeFillTint="33"/>
      </w:tcPr>
    </w:tblStylePr>
    <w:tblStylePr w:type="band1Horz">
      <w:tblPr/>
      <w:tcPr>
        <w:shd w:val="clear" w:color="auto" w:fill="FFE7DD" w:themeFill="accent5" w:themeFillTint="33"/>
      </w:tcPr>
    </w:tblStylePr>
  </w:style>
  <w:style w:type="table" w:styleId="GridTable4-Accent6">
    <w:name w:val="Grid Table 4 Accent 6"/>
    <w:basedOn w:val="TableNormal"/>
    <w:uiPriority w:val="49"/>
    <w:rsid w:val="00920D86"/>
    <w:pPr>
      <w:spacing w:line="240" w:lineRule="auto"/>
    </w:pPr>
    <w:tblPr>
      <w:tblStyleRowBandSize w:val="1"/>
      <w:tblStyleColBandSize w:val="1"/>
      <w:tblBorders>
        <w:top w:val="single" w:sz="4" w:space="0" w:color="EEECE7" w:themeColor="accent6" w:themeTint="99"/>
        <w:left w:val="single" w:sz="4" w:space="0" w:color="EEECE7" w:themeColor="accent6" w:themeTint="99"/>
        <w:bottom w:val="single" w:sz="4" w:space="0" w:color="EEECE7" w:themeColor="accent6" w:themeTint="99"/>
        <w:right w:val="single" w:sz="4" w:space="0" w:color="EEECE7" w:themeColor="accent6" w:themeTint="99"/>
        <w:insideH w:val="single" w:sz="4" w:space="0" w:color="EEECE7" w:themeColor="accent6" w:themeTint="99"/>
        <w:insideV w:val="single" w:sz="4" w:space="0" w:color="EEECE7" w:themeColor="accent6" w:themeTint="99"/>
      </w:tblBorders>
    </w:tblPr>
    <w:tblStylePr w:type="firstRow">
      <w:rPr>
        <w:b/>
        <w:bCs/>
        <w:color w:val="FFFFFF" w:themeColor="background1"/>
      </w:rPr>
      <w:tblPr/>
      <w:tcPr>
        <w:tcBorders>
          <w:top w:val="single" w:sz="4" w:space="0" w:color="E3E1D8" w:themeColor="accent6"/>
          <w:left w:val="single" w:sz="4" w:space="0" w:color="E3E1D8" w:themeColor="accent6"/>
          <w:bottom w:val="single" w:sz="4" w:space="0" w:color="E3E1D8" w:themeColor="accent6"/>
          <w:right w:val="single" w:sz="4" w:space="0" w:color="E3E1D8" w:themeColor="accent6"/>
          <w:insideH w:val="nil"/>
          <w:insideV w:val="nil"/>
        </w:tcBorders>
        <w:shd w:val="clear" w:color="auto" w:fill="E3E1D8" w:themeFill="accent6"/>
      </w:tcPr>
    </w:tblStylePr>
    <w:tblStylePr w:type="lastRow">
      <w:rPr>
        <w:b/>
        <w:bCs/>
      </w:rPr>
      <w:tblPr/>
      <w:tcPr>
        <w:tcBorders>
          <w:top w:val="double" w:sz="4" w:space="0" w:color="E3E1D8" w:themeColor="accent6"/>
        </w:tcBorders>
      </w:tcPr>
    </w:tblStylePr>
    <w:tblStylePr w:type="firstCol">
      <w:rPr>
        <w:b/>
        <w:bCs/>
      </w:rPr>
    </w:tblStylePr>
    <w:tblStylePr w:type="lastCol">
      <w:rPr>
        <w:b/>
        <w:bCs/>
      </w:rPr>
    </w:tblStylePr>
    <w:tblStylePr w:type="band1Vert">
      <w:tblPr/>
      <w:tcPr>
        <w:shd w:val="clear" w:color="auto" w:fill="F9F8F7" w:themeFill="accent6" w:themeFillTint="33"/>
      </w:tcPr>
    </w:tblStylePr>
    <w:tblStylePr w:type="band1Horz">
      <w:tblPr/>
      <w:tcPr>
        <w:shd w:val="clear" w:color="auto" w:fill="F9F8F7" w:themeFill="accent6" w:themeFillTint="33"/>
      </w:tcPr>
    </w:tblStylePr>
  </w:style>
  <w:style w:type="table" w:styleId="GridTable5Dark">
    <w:name w:val="Grid Table 5 Dark"/>
    <w:basedOn w:val="TableNormal"/>
    <w:uiPriority w:val="50"/>
    <w:rsid w:val="00920D8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920D8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3D2F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5326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5326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5326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5326E" w:themeFill="accent1"/>
      </w:tcPr>
    </w:tblStylePr>
    <w:tblStylePr w:type="band1Vert">
      <w:tblPr/>
      <w:tcPr>
        <w:shd w:val="clear" w:color="auto" w:fill="67A5F8" w:themeFill="accent1" w:themeFillTint="66"/>
      </w:tcPr>
    </w:tblStylePr>
    <w:tblStylePr w:type="band1Horz">
      <w:tblPr/>
      <w:tcPr>
        <w:shd w:val="clear" w:color="auto" w:fill="67A5F8" w:themeFill="accent1" w:themeFillTint="66"/>
      </w:tcPr>
    </w:tblStylePr>
  </w:style>
  <w:style w:type="table" w:styleId="GridTable5Dark-Accent2">
    <w:name w:val="Grid Table 5 Dark Accent 2"/>
    <w:basedOn w:val="TableNormal"/>
    <w:uiPriority w:val="50"/>
    <w:rsid w:val="00920D8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BF1DD"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25A4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25A4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25A4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25A40" w:themeFill="accent2"/>
      </w:tcPr>
    </w:tblStylePr>
    <w:tblStylePr w:type="band1Vert">
      <w:tblPr/>
      <w:tcPr>
        <w:shd w:val="clear" w:color="auto" w:fill="78E4BD" w:themeFill="accent2" w:themeFillTint="66"/>
      </w:tcPr>
    </w:tblStylePr>
    <w:tblStylePr w:type="band1Horz">
      <w:tblPr/>
      <w:tcPr>
        <w:shd w:val="clear" w:color="auto" w:fill="78E4BD" w:themeFill="accent2" w:themeFillTint="66"/>
      </w:tcPr>
    </w:tblStylePr>
  </w:style>
  <w:style w:type="table" w:styleId="GridTable5Dark-Accent3">
    <w:name w:val="Grid Table 5 Dark Accent 3"/>
    <w:basedOn w:val="TableNormal"/>
    <w:uiPriority w:val="50"/>
    <w:rsid w:val="00920D8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5E9"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D09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D09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D09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D095" w:themeFill="accent3"/>
      </w:tcPr>
    </w:tblStylePr>
    <w:tblStylePr w:type="band1Vert">
      <w:tblPr/>
      <w:tcPr>
        <w:shd w:val="clear" w:color="auto" w:fill="DEECD4" w:themeFill="accent3" w:themeFillTint="66"/>
      </w:tcPr>
    </w:tblStylePr>
    <w:tblStylePr w:type="band1Horz">
      <w:tblPr/>
      <w:tcPr>
        <w:shd w:val="clear" w:color="auto" w:fill="DEECD4" w:themeFill="accent3" w:themeFillTint="66"/>
      </w:tcPr>
    </w:tblStylePr>
  </w:style>
  <w:style w:type="table" w:styleId="GridTable5Dark-Accent4">
    <w:name w:val="Grid Table 5 Dark Accent 4"/>
    <w:basedOn w:val="TableNormal"/>
    <w:uiPriority w:val="50"/>
    <w:rsid w:val="00920D8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9CAD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294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294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294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294B" w:themeFill="accent4"/>
      </w:tcPr>
    </w:tblStylePr>
    <w:tblStylePr w:type="band1Vert">
      <w:tblPr/>
      <w:tcPr>
        <w:shd w:val="clear" w:color="auto" w:fill="D396BA" w:themeFill="accent4" w:themeFillTint="66"/>
      </w:tcPr>
    </w:tblStylePr>
    <w:tblStylePr w:type="band1Horz">
      <w:tblPr/>
      <w:tcPr>
        <w:shd w:val="clear" w:color="auto" w:fill="D396BA" w:themeFill="accent4" w:themeFillTint="66"/>
      </w:tcPr>
    </w:tblStylePr>
  </w:style>
  <w:style w:type="table" w:styleId="GridTable5Dark-Accent5">
    <w:name w:val="Grid Table 5 Dark Accent 5"/>
    <w:basedOn w:val="TableNormal"/>
    <w:uiPriority w:val="50"/>
    <w:rsid w:val="00920D8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7D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885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885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885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8855" w:themeFill="accent5"/>
      </w:tcPr>
    </w:tblStylePr>
    <w:tblStylePr w:type="band1Vert">
      <w:tblPr/>
      <w:tcPr>
        <w:shd w:val="clear" w:color="auto" w:fill="FFCFBB" w:themeFill="accent5" w:themeFillTint="66"/>
      </w:tcPr>
    </w:tblStylePr>
    <w:tblStylePr w:type="band1Horz">
      <w:tblPr/>
      <w:tcPr>
        <w:shd w:val="clear" w:color="auto" w:fill="FFCFBB" w:themeFill="accent5" w:themeFillTint="66"/>
      </w:tcPr>
    </w:tblStylePr>
  </w:style>
  <w:style w:type="table" w:styleId="GridTable5Dark-Accent6">
    <w:name w:val="Grid Table 5 Dark Accent 6"/>
    <w:basedOn w:val="TableNormal"/>
    <w:uiPriority w:val="50"/>
    <w:rsid w:val="00920D8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F8F7"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3E1D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3E1D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3E1D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3E1D8" w:themeFill="accent6"/>
      </w:tcPr>
    </w:tblStylePr>
    <w:tblStylePr w:type="band1Vert">
      <w:tblPr/>
      <w:tcPr>
        <w:shd w:val="clear" w:color="auto" w:fill="F3F2EF" w:themeFill="accent6" w:themeFillTint="66"/>
      </w:tcPr>
    </w:tblStylePr>
    <w:tblStylePr w:type="band1Horz">
      <w:tblPr/>
      <w:tcPr>
        <w:shd w:val="clear" w:color="auto" w:fill="F3F2EF" w:themeFill="accent6" w:themeFillTint="66"/>
      </w:tcPr>
    </w:tblStylePr>
  </w:style>
  <w:style w:type="table" w:styleId="GridTable6Colorful">
    <w:name w:val="Grid Table 6 Colorful"/>
    <w:basedOn w:val="TableNormal"/>
    <w:uiPriority w:val="51"/>
    <w:rsid w:val="00920D86"/>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920D86"/>
    <w:pPr>
      <w:spacing w:line="240" w:lineRule="auto"/>
    </w:pPr>
    <w:rPr>
      <w:color w:val="032552" w:themeColor="accent1" w:themeShade="BF"/>
    </w:rPr>
    <w:tblPr>
      <w:tblStyleRowBandSize w:val="1"/>
      <w:tblStyleColBandSize w:val="1"/>
      <w:tblBorders>
        <w:top w:val="single" w:sz="4" w:space="0" w:color="1C78F4" w:themeColor="accent1" w:themeTint="99"/>
        <w:left w:val="single" w:sz="4" w:space="0" w:color="1C78F4" w:themeColor="accent1" w:themeTint="99"/>
        <w:bottom w:val="single" w:sz="4" w:space="0" w:color="1C78F4" w:themeColor="accent1" w:themeTint="99"/>
        <w:right w:val="single" w:sz="4" w:space="0" w:color="1C78F4" w:themeColor="accent1" w:themeTint="99"/>
        <w:insideH w:val="single" w:sz="4" w:space="0" w:color="1C78F4" w:themeColor="accent1" w:themeTint="99"/>
        <w:insideV w:val="single" w:sz="4" w:space="0" w:color="1C78F4" w:themeColor="accent1" w:themeTint="99"/>
      </w:tblBorders>
    </w:tblPr>
    <w:tblStylePr w:type="firstRow">
      <w:rPr>
        <w:b/>
        <w:bCs/>
      </w:rPr>
      <w:tblPr/>
      <w:tcPr>
        <w:tcBorders>
          <w:bottom w:val="single" w:sz="12" w:space="0" w:color="1C78F4" w:themeColor="accent1" w:themeTint="99"/>
        </w:tcBorders>
      </w:tcPr>
    </w:tblStylePr>
    <w:tblStylePr w:type="lastRow">
      <w:rPr>
        <w:b/>
        <w:bCs/>
      </w:rPr>
      <w:tblPr/>
      <w:tcPr>
        <w:tcBorders>
          <w:top w:val="double" w:sz="4" w:space="0" w:color="1C78F4" w:themeColor="accent1" w:themeTint="99"/>
        </w:tcBorders>
      </w:tcPr>
    </w:tblStylePr>
    <w:tblStylePr w:type="firstCol">
      <w:rPr>
        <w:b/>
        <w:bCs/>
      </w:rPr>
    </w:tblStylePr>
    <w:tblStylePr w:type="lastCol">
      <w:rPr>
        <w:b/>
        <w:bCs/>
      </w:rPr>
    </w:tblStylePr>
    <w:tblStylePr w:type="band1Vert">
      <w:tblPr/>
      <w:tcPr>
        <w:shd w:val="clear" w:color="auto" w:fill="B3D2FB" w:themeFill="accent1" w:themeFillTint="33"/>
      </w:tcPr>
    </w:tblStylePr>
    <w:tblStylePr w:type="band1Horz">
      <w:tblPr/>
      <w:tcPr>
        <w:shd w:val="clear" w:color="auto" w:fill="B3D2FB" w:themeFill="accent1" w:themeFillTint="33"/>
      </w:tcPr>
    </w:tblStylePr>
  </w:style>
  <w:style w:type="table" w:styleId="GridTable6Colorful-Accent2">
    <w:name w:val="Grid Table 6 Colorful Accent 2"/>
    <w:basedOn w:val="TableNormal"/>
    <w:uiPriority w:val="51"/>
    <w:rsid w:val="00920D86"/>
    <w:pPr>
      <w:spacing w:line="240" w:lineRule="auto"/>
    </w:pPr>
    <w:rPr>
      <w:color w:val="0D432F" w:themeColor="accent2" w:themeShade="BF"/>
    </w:rPr>
    <w:tblPr>
      <w:tblStyleRowBandSize w:val="1"/>
      <w:tblStyleColBandSize w:val="1"/>
      <w:tblBorders>
        <w:top w:val="single" w:sz="4" w:space="0" w:color="35D69C" w:themeColor="accent2" w:themeTint="99"/>
        <w:left w:val="single" w:sz="4" w:space="0" w:color="35D69C" w:themeColor="accent2" w:themeTint="99"/>
        <w:bottom w:val="single" w:sz="4" w:space="0" w:color="35D69C" w:themeColor="accent2" w:themeTint="99"/>
        <w:right w:val="single" w:sz="4" w:space="0" w:color="35D69C" w:themeColor="accent2" w:themeTint="99"/>
        <w:insideH w:val="single" w:sz="4" w:space="0" w:color="35D69C" w:themeColor="accent2" w:themeTint="99"/>
        <w:insideV w:val="single" w:sz="4" w:space="0" w:color="35D69C" w:themeColor="accent2" w:themeTint="99"/>
      </w:tblBorders>
    </w:tblPr>
    <w:tblStylePr w:type="firstRow">
      <w:rPr>
        <w:b/>
        <w:bCs/>
      </w:rPr>
      <w:tblPr/>
      <w:tcPr>
        <w:tcBorders>
          <w:bottom w:val="single" w:sz="12" w:space="0" w:color="35D69C" w:themeColor="accent2" w:themeTint="99"/>
        </w:tcBorders>
      </w:tcPr>
    </w:tblStylePr>
    <w:tblStylePr w:type="lastRow">
      <w:rPr>
        <w:b/>
        <w:bCs/>
      </w:rPr>
      <w:tblPr/>
      <w:tcPr>
        <w:tcBorders>
          <w:top w:val="double" w:sz="4" w:space="0" w:color="35D69C" w:themeColor="accent2" w:themeTint="99"/>
        </w:tcBorders>
      </w:tcPr>
    </w:tblStylePr>
    <w:tblStylePr w:type="firstCol">
      <w:rPr>
        <w:b/>
        <w:bCs/>
      </w:rPr>
    </w:tblStylePr>
    <w:tblStylePr w:type="lastCol">
      <w:rPr>
        <w:b/>
        <w:bCs/>
      </w:rPr>
    </w:tblStylePr>
    <w:tblStylePr w:type="band1Vert">
      <w:tblPr/>
      <w:tcPr>
        <w:shd w:val="clear" w:color="auto" w:fill="BBF1DD" w:themeFill="accent2" w:themeFillTint="33"/>
      </w:tcPr>
    </w:tblStylePr>
    <w:tblStylePr w:type="band1Horz">
      <w:tblPr/>
      <w:tcPr>
        <w:shd w:val="clear" w:color="auto" w:fill="BBF1DD" w:themeFill="accent2" w:themeFillTint="33"/>
      </w:tcPr>
    </w:tblStylePr>
  </w:style>
  <w:style w:type="table" w:styleId="GridTable6Colorful-Accent3">
    <w:name w:val="Grid Table 6 Colorful Accent 3"/>
    <w:basedOn w:val="TableNormal"/>
    <w:uiPriority w:val="51"/>
    <w:rsid w:val="00920D86"/>
    <w:pPr>
      <w:spacing w:line="240" w:lineRule="auto"/>
    </w:pPr>
    <w:rPr>
      <w:color w:val="7CB456" w:themeColor="accent3" w:themeShade="BF"/>
    </w:rPr>
    <w:tblPr>
      <w:tblStyleRowBandSize w:val="1"/>
      <w:tblStyleColBandSize w:val="1"/>
      <w:tblBorders>
        <w:top w:val="single" w:sz="4" w:space="0" w:color="CDE2BF" w:themeColor="accent3" w:themeTint="99"/>
        <w:left w:val="single" w:sz="4" w:space="0" w:color="CDE2BF" w:themeColor="accent3" w:themeTint="99"/>
        <w:bottom w:val="single" w:sz="4" w:space="0" w:color="CDE2BF" w:themeColor="accent3" w:themeTint="99"/>
        <w:right w:val="single" w:sz="4" w:space="0" w:color="CDE2BF" w:themeColor="accent3" w:themeTint="99"/>
        <w:insideH w:val="single" w:sz="4" w:space="0" w:color="CDE2BF" w:themeColor="accent3" w:themeTint="99"/>
        <w:insideV w:val="single" w:sz="4" w:space="0" w:color="CDE2BF" w:themeColor="accent3" w:themeTint="99"/>
      </w:tblBorders>
    </w:tblPr>
    <w:tblStylePr w:type="firstRow">
      <w:rPr>
        <w:b/>
        <w:bCs/>
      </w:rPr>
      <w:tblPr/>
      <w:tcPr>
        <w:tcBorders>
          <w:bottom w:val="single" w:sz="12" w:space="0" w:color="CDE2BF" w:themeColor="accent3" w:themeTint="99"/>
        </w:tcBorders>
      </w:tcPr>
    </w:tblStylePr>
    <w:tblStylePr w:type="lastRow">
      <w:rPr>
        <w:b/>
        <w:bCs/>
      </w:rPr>
      <w:tblPr/>
      <w:tcPr>
        <w:tcBorders>
          <w:top w:val="double" w:sz="4" w:space="0" w:color="CDE2BF" w:themeColor="accent3" w:themeTint="99"/>
        </w:tcBorders>
      </w:tcPr>
    </w:tblStylePr>
    <w:tblStylePr w:type="firstCol">
      <w:rPr>
        <w:b/>
        <w:bCs/>
      </w:rPr>
    </w:tblStylePr>
    <w:tblStylePr w:type="lastCol">
      <w:rPr>
        <w:b/>
        <w:bCs/>
      </w:rPr>
    </w:tblStylePr>
    <w:tblStylePr w:type="band1Vert">
      <w:tblPr/>
      <w:tcPr>
        <w:shd w:val="clear" w:color="auto" w:fill="EEF5E9" w:themeFill="accent3" w:themeFillTint="33"/>
      </w:tcPr>
    </w:tblStylePr>
    <w:tblStylePr w:type="band1Horz">
      <w:tblPr/>
      <w:tcPr>
        <w:shd w:val="clear" w:color="auto" w:fill="EEF5E9" w:themeFill="accent3" w:themeFillTint="33"/>
      </w:tcPr>
    </w:tblStylePr>
  </w:style>
  <w:style w:type="table" w:styleId="GridTable6Colorful-Accent4">
    <w:name w:val="Grid Table 6 Colorful Accent 4"/>
    <w:basedOn w:val="TableNormal"/>
    <w:uiPriority w:val="51"/>
    <w:rsid w:val="00920D86"/>
    <w:pPr>
      <w:spacing w:line="240" w:lineRule="auto"/>
    </w:pPr>
    <w:rPr>
      <w:color w:val="491E38" w:themeColor="accent4" w:themeShade="BF"/>
    </w:rPr>
    <w:tblPr>
      <w:tblStyleRowBandSize w:val="1"/>
      <w:tblStyleColBandSize w:val="1"/>
      <w:tblBorders>
        <w:top w:val="single" w:sz="4" w:space="0" w:color="BD6298" w:themeColor="accent4" w:themeTint="99"/>
        <w:left w:val="single" w:sz="4" w:space="0" w:color="BD6298" w:themeColor="accent4" w:themeTint="99"/>
        <w:bottom w:val="single" w:sz="4" w:space="0" w:color="BD6298" w:themeColor="accent4" w:themeTint="99"/>
        <w:right w:val="single" w:sz="4" w:space="0" w:color="BD6298" w:themeColor="accent4" w:themeTint="99"/>
        <w:insideH w:val="single" w:sz="4" w:space="0" w:color="BD6298" w:themeColor="accent4" w:themeTint="99"/>
        <w:insideV w:val="single" w:sz="4" w:space="0" w:color="BD6298" w:themeColor="accent4" w:themeTint="99"/>
      </w:tblBorders>
    </w:tblPr>
    <w:tblStylePr w:type="firstRow">
      <w:rPr>
        <w:b/>
        <w:bCs/>
      </w:rPr>
      <w:tblPr/>
      <w:tcPr>
        <w:tcBorders>
          <w:bottom w:val="single" w:sz="12" w:space="0" w:color="BD6298" w:themeColor="accent4" w:themeTint="99"/>
        </w:tcBorders>
      </w:tcPr>
    </w:tblStylePr>
    <w:tblStylePr w:type="lastRow">
      <w:rPr>
        <w:b/>
        <w:bCs/>
      </w:rPr>
      <w:tblPr/>
      <w:tcPr>
        <w:tcBorders>
          <w:top w:val="double" w:sz="4" w:space="0" w:color="BD6298" w:themeColor="accent4" w:themeTint="99"/>
        </w:tcBorders>
      </w:tcPr>
    </w:tblStylePr>
    <w:tblStylePr w:type="firstCol">
      <w:rPr>
        <w:b/>
        <w:bCs/>
      </w:rPr>
    </w:tblStylePr>
    <w:tblStylePr w:type="lastCol">
      <w:rPr>
        <w:b/>
        <w:bCs/>
      </w:rPr>
    </w:tblStylePr>
    <w:tblStylePr w:type="band1Vert">
      <w:tblPr/>
      <w:tcPr>
        <w:shd w:val="clear" w:color="auto" w:fill="E9CADC" w:themeFill="accent4" w:themeFillTint="33"/>
      </w:tcPr>
    </w:tblStylePr>
    <w:tblStylePr w:type="band1Horz">
      <w:tblPr/>
      <w:tcPr>
        <w:shd w:val="clear" w:color="auto" w:fill="E9CADC" w:themeFill="accent4" w:themeFillTint="33"/>
      </w:tcPr>
    </w:tblStylePr>
  </w:style>
  <w:style w:type="table" w:styleId="GridTable6Colorful-Accent5">
    <w:name w:val="Grid Table 6 Colorful Accent 5"/>
    <w:basedOn w:val="TableNormal"/>
    <w:uiPriority w:val="51"/>
    <w:rsid w:val="00920D86"/>
    <w:pPr>
      <w:spacing w:line="240" w:lineRule="auto"/>
    </w:pPr>
    <w:rPr>
      <w:color w:val="FE4B00" w:themeColor="accent5" w:themeShade="BF"/>
    </w:rPr>
    <w:tblPr>
      <w:tblStyleRowBandSize w:val="1"/>
      <w:tblStyleColBandSize w:val="1"/>
      <w:tblBorders>
        <w:top w:val="single" w:sz="4" w:space="0" w:color="FFB799" w:themeColor="accent5" w:themeTint="99"/>
        <w:left w:val="single" w:sz="4" w:space="0" w:color="FFB799" w:themeColor="accent5" w:themeTint="99"/>
        <w:bottom w:val="single" w:sz="4" w:space="0" w:color="FFB799" w:themeColor="accent5" w:themeTint="99"/>
        <w:right w:val="single" w:sz="4" w:space="0" w:color="FFB799" w:themeColor="accent5" w:themeTint="99"/>
        <w:insideH w:val="single" w:sz="4" w:space="0" w:color="FFB799" w:themeColor="accent5" w:themeTint="99"/>
        <w:insideV w:val="single" w:sz="4" w:space="0" w:color="FFB799" w:themeColor="accent5" w:themeTint="99"/>
      </w:tblBorders>
    </w:tblPr>
    <w:tblStylePr w:type="firstRow">
      <w:rPr>
        <w:b/>
        <w:bCs/>
      </w:rPr>
      <w:tblPr/>
      <w:tcPr>
        <w:tcBorders>
          <w:bottom w:val="single" w:sz="12" w:space="0" w:color="FFB799" w:themeColor="accent5" w:themeTint="99"/>
        </w:tcBorders>
      </w:tcPr>
    </w:tblStylePr>
    <w:tblStylePr w:type="lastRow">
      <w:rPr>
        <w:b/>
        <w:bCs/>
      </w:rPr>
      <w:tblPr/>
      <w:tcPr>
        <w:tcBorders>
          <w:top w:val="double" w:sz="4" w:space="0" w:color="FFB799" w:themeColor="accent5" w:themeTint="99"/>
        </w:tcBorders>
      </w:tcPr>
    </w:tblStylePr>
    <w:tblStylePr w:type="firstCol">
      <w:rPr>
        <w:b/>
        <w:bCs/>
      </w:rPr>
    </w:tblStylePr>
    <w:tblStylePr w:type="lastCol">
      <w:rPr>
        <w:b/>
        <w:bCs/>
      </w:rPr>
    </w:tblStylePr>
    <w:tblStylePr w:type="band1Vert">
      <w:tblPr/>
      <w:tcPr>
        <w:shd w:val="clear" w:color="auto" w:fill="FFE7DD" w:themeFill="accent5" w:themeFillTint="33"/>
      </w:tcPr>
    </w:tblStylePr>
    <w:tblStylePr w:type="band1Horz">
      <w:tblPr/>
      <w:tcPr>
        <w:shd w:val="clear" w:color="auto" w:fill="FFE7DD" w:themeFill="accent5" w:themeFillTint="33"/>
      </w:tcPr>
    </w:tblStylePr>
  </w:style>
  <w:style w:type="table" w:styleId="GridTable6Colorful-Accent6">
    <w:name w:val="Grid Table 6 Colorful Accent 6"/>
    <w:basedOn w:val="TableNormal"/>
    <w:uiPriority w:val="51"/>
    <w:rsid w:val="00920D86"/>
    <w:pPr>
      <w:spacing w:line="240" w:lineRule="auto"/>
    </w:pPr>
    <w:rPr>
      <w:color w:val="B4AF97" w:themeColor="accent6" w:themeShade="BF"/>
    </w:rPr>
    <w:tblPr>
      <w:tblStyleRowBandSize w:val="1"/>
      <w:tblStyleColBandSize w:val="1"/>
      <w:tblBorders>
        <w:top w:val="single" w:sz="4" w:space="0" w:color="EEECE7" w:themeColor="accent6" w:themeTint="99"/>
        <w:left w:val="single" w:sz="4" w:space="0" w:color="EEECE7" w:themeColor="accent6" w:themeTint="99"/>
        <w:bottom w:val="single" w:sz="4" w:space="0" w:color="EEECE7" w:themeColor="accent6" w:themeTint="99"/>
        <w:right w:val="single" w:sz="4" w:space="0" w:color="EEECE7" w:themeColor="accent6" w:themeTint="99"/>
        <w:insideH w:val="single" w:sz="4" w:space="0" w:color="EEECE7" w:themeColor="accent6" w:themeTint="99"/>
        <w:insideV w:val="single" w:sz="4" w:space="0" w:color="EEECE7" w:themeColor="accent6" w:themeTint="99"/>
      </w:tblBorders>
    </w:tblPr>
    <w:tblStylePr w:type="firstRow">
      <w:rPr>
        <w:b/>
        <w:bCs/>
      </w:rPr>
      <w:tblPr/>
      <w:tcPr>
        <w:tcBorders>
          <w:bottom w:val="single" w:sz="12" w:space="0" w:color="EEECE7" w:themeColor="accent6" w:themeTint="99"/>
        </w:tcBorders>
      </w:tcPr>
    </w:tblStylePr>
    <w:tblStylePr w:type="lastRow">
      <w:rPr>
        <w:b/>
        <w:bCs/>
      </w:rPr>
      <w:tblPr/>
      <w:tcPr>
        <w:tcBorders>
          <w:top w:val="double" w:sz="4" w:space="0" w:color="EEECE7" w:themeColor="accent6" w:themeTint="99"/>
        </w:tcBorders>
      </w:tcPr>
    </w:tblStylePr>
    <w:tblStylePr w:type="firstCol">
      <w:rPr>
        <w:b/>
        <w:bCs/>
      </w:rPr>
    </w:tblStylePr>
    <w:tblStylePr w:type="lastCol">
      <w:rPr>
        <w:b/>
        <w:bCs/>
      </w:rPr>
    </w:tblStylePr>
    <w:tblStylePr w:type="band1Vert">
      <w:tblPr/>
      <w:tcPr>
        <w:shd w:val="clear" w:color="auto" w:fill="F9F8F7" w:themeFill="accent6" w:themeFillTint="33"/>
      </w:tcPr>
    </w:tblStylePr>
    <w:tblStylePr w:type="band1Horz">
      <w:tblPr/>
      <w:tcPr>
        <w:shd w:val="clear" w:color="auto" w:fill="F9F8F7" w:themeFill="accent6" w:themeFillTint="33"/>
      </w:tcPr>
    </w:tblStylePr>
  </w:style>
  <w:style w:type="table" w:styleId="GridTable7Colorful">
    <w:name w:val="Grid Table 7 Colorful"/>
    <w:basedOn w:val="TableNormal"/>
    <w:uiPriority w:val="52"/>
    <w:rsid w:val="00920D86"/>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920D86"/>
    <w:pPr>
      <w:spacing w:line="240" w:lineRule="auto"/>
    </w:pPr>
    <w:rPr>
      <w:color w:val="032552" w:themeColor="accent1" w:themeShade="BF"/>
    </w:rPr>
    <w:tblPr>
      <w:tblStyleRowBandSize w:val="1"/>
      <w:tblStyleColBandSize w:val="1"/>
      <w:tblBorders>
        <w:top w:val="single" w:sz="4" w:space="0" w:color="1C78F4" w:themeColor="accent1" w:themeTint="99"/>
        <w:left w:val="single" w:sz="4" w:space="0" w:color="1C78F4" w:themeColor="accent1" w:themeTint="99"/>
        <w:bottom w:val="single" w:sz="4" w:space="0" w:color="1C78F4" w:themeColor="accent1" w:themeTint="99"/>
        <w:right w:val="single" w:sz="4" w:space="0" w:color="1C78F4" w:themeColor="accent1" w:themeTint="99"/>
        <w:insideH w:val="single" w:sz="4" w:space="0" w:color="1C78F4" w:themeColor="accent1" w:themeTint="99"/>
        <w:insideV w:val="single" w:sz="4" w:space="0" w:color="1C78F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3D2FB" w:themeFill="accent1" w:themeFillTint="33"/>
      </w:tcPr>
    </w:tblStylePr>
    <w:tblStylePr w:type="band1Horz">
      <w:tblPr/>
      <w:tcPr>
        <w:shd w:val="clear" w:color="auto" w:fill="B3D2FB" w:themeFill="accent1" w:themeFillTint="33"/>
      </w:tcPr>
    </w:tblStylePr>
    <w:tblStylePr w:type="neCell">
      <w:tblPr/>
      <w:tcPr>
        <w:tcBorders>
          <w:bottom w:val="single" w:sz="4" w:space="0" w:color="1C78F4" w:themeColor="accent1" w:themeTint="99"/>
        </w:tcBorders>
      </w:tcPr>
    </w:tblStylePr>
    <w:tblStylePr w:type="nwCell">
      <w:tblPr/>
      <w:tcPr>
        <w:tcBorders>
          <w:bottom w:val="single" w:sz="4" w:space="0" w:color="1C78F4" w:themeColor="accent1" w:themeTint="99"/>
        </w:tcBorders>
      </w:tcPr>
    </w:tblStylePr>
    <w:tblStylePr w:type="seCell">
      <w:tblPr/>
      <w:tcPr>
        <w:tcBorders>
          <w:top w:val="single" w:sz="4" w:space="0" w:color="1C78F4" w:themeColor="accent1" w:themeTint="99"/>
        </w:tcBorders>
      </w:tcPr>
    </w:tblStylePr>
    <w:tblStylePr w:type="swCell">
      <w:tblPr/>
      <w:tcPr>
        <w:tcBorders>
          <w:top w:val="single" w:sz="4" w:space="0" w:color="1C78F4" w:themeColor="accent1" w:themeTint="99"/>
        </w:tcBorders>
      </w:tcPr>
    </w:tblStylePr>
  </w:style>
  <w:style w:type="table" w:styleId="GridTable7Colorful-Accent2">
    <w:name w:val="Grid Table 7 Colorful Accent 2"/>
    <w:basedOn w:val="TableNormal"/>
    <w:uiPriority w:val="52"/>
    <w:rsid w:val="00920D86"/>
    <w:pPr>
      <w:spacing w:line="240" w:lineRule="auto"/>
    </w:pPr>
    <w:rPr>
      <w:color w:val="0D432F" w:themeColor="accent2" w:themeShade="BF"/>
    </w:rPr>
    <w:tblPr>
      <w:tblStyleRowBandSize w:val="1"/>
      <w:tblStyleColBandSize w:val="1"/>
      <w:tblBorders>
        <w:top w:val="single" w:sz="4" w:space="0" w:color="35D69C" w:themeColor="accent2" w:themeTint="99"/>
        <w:left w:val="single" w:sz="4" w:space="0" w:color="35D69C" w:themeColor="accent2" w:themeTint="99"/>
        <w:bottom w:val="single" w:sz="4" w:space="0" w:color="35D69C" w:themeColor="accent2" w:themeTint="99"/>
        <w:right w:val="single" w:sz="4" w:space="0" w:color="35D69C" w:themeColor="accent2" w:themeTint="99"/>
        <w:insideH w:val="single" w:sz="4" w:space="0" w:color="35D69C" w:themeColor="accent2" w:themeTint="99"/>
        <w:insideV w:val="single" w:sz="4" w:space="0" w:color="35D69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F1DD" w:themeFill="accent2" w:themeFillTint="33"/>
      </w:tcPr>
    </w:tblStylePr>
    <w:tblStylePr w:type="band1Horz">
      <w:tblPr/>
      <w:tcPr>
        <w:shd w:val="clear" w:color="auto" w:fill="BBF1DD" w:themeFill="accent2" w:themeFillTint="33"/>
      </w:tcPr>
    </w:tblStylePr>
    <w:tblStylePr w:type="neCell">
      <w:tblPr/>
      <w:tcPr>
        <w:tcBorders>
          <w:bottom w:val="single" w:sz="4" w:space="0" w:color="35D69C" w:themeColor="accent2" w:themeTint="99"/>
        </w:tcBorders>
      </w:tcPr>
    </w:tblStylePr>
    <w:tblStylePr w:type="nwCell">
      <w:tblPr/>
      <w:tcPr>
        <w:tcBorders>
          <w:bottom w:val="single" w:sz="4" w:space="0" w:color="35D69C" w:themeColor="accent2" w:themeTint="99"/>
        </w:tcBorders>
      </w:tcPr>
    </w:tblStylePr>
    <w:tblStylePr w:type="seCell">
      <w:tblPr/>
      <w:tcPr>
        <w:tcBorders>
          <w:top w:val="single" w:sz="4" w:space="0" w:color="35D69C" w:themeColor="accent2" w:themeTint="99"/>
        </w:tcBorders>
      </w:tcPr>
    </w:tblStylePr>
    <w:tblStylePr w:type="swCell">
      <w:tblPr/>
      <w:tcPr>
        <w:tcBorders>
          <w:top w:val="single" w:sz="4" w:space="0" w:color="35D69C" w:themeColor="accent2" w:themeTint="99"/>
        </w:tcBorders>
      </w:tcPr>
    </w:tblStylePr>
  </w:style>
  <w:style w:type="table" w:styleId="GridTable7Colorful-Accent3">
    <w:name w:val="Grid Table 7 Colorful Accent 3"/>
    <w:basedOn w:val="TableNormal"/>
    <w:uiPriority w:val="52"/>
    <w:rsid w:val="00920D86"/>
    <w:pPr>
      <w:spacing w:line="240" w:lineRule="auto"/>
    </w:pPr>
    <w:rPr>
      <w:color w:val="7CB456" w:themeColor="accent3" w:themeShade="BF"/>
    </w:rPr>
    <w:tblPr>
      <w:tblStyleRowBandSize w:val="1"/>
      <w:tblStyleColBandSize w:val="1"/>
      <w:tblBorders>
        <w:top w:val="single" w:sz="4" w:space="0" w:color="CDE2BF" w:themeColor="accent3" w:themeTint="99"/>
        <w:left w:val="single" w:sz="4" w:space="0" w:color="CDE2BF" w:themeColor="accent3" w:themeTint="99"/>
        <w:bottom w:val="single" w:sz="4" w:space="0" w:color="CDE2BF" w:themeColor="accent3" w:themeTint="99"/>
        <w:right w:val="single" w:sz="4" w:space="0" w:color="CDE2BF" w:themeColor="accent3" w:themeTint="99"/>
        <w:insideH w:val="single" w:sz="4" w:space="0" w:color="CDE2BF" w:themeColor="accent3" w:themeTint="99"/>
        <w:insideV w:val="single" w:sz="4" w:space="0" w:color="CDE2B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F5E9" w:themeFill="accent3" w:themeFillTint="33"/>
      </w:tcPr>
    </w:tblStylePr>
    <w:tblStylePr w:type="band1Horz">
      <w:tblPr/>
      <w:tcPr>
        <w:shd w:val="clear" w:color="auto" w:fill="EEF5E9" w:themeFill="accent3" w:themeFillTint="33"/>
      </w:tcPr>
    </w:tblStylePr>
    <w:tblStylePr w:type="neCell">
      <w:tblPr/>
      <w:tcPr>
        <w:tcBorders>
          <w:bottom w:val="single" w:sz="4" w:space="0" w:color="CDE2BF" w:themeColor="accent3" w:themeTint="99"/>
        </w:tcBorders>
      </w:tcPr>
    </w:tblStylePr>
    <w:tblStylePr w:type="nwCell">
      <w:tblPr/>
      <w:tcPr>
        <w:tcBorders>
          <w:bottom w:val="single" w:sz="4" w:space="0" w:color="CDE2BF" w:themeColor="accent3" w:themeTint="99"/>
        </w:tcBorders>
      </w:tcPr>
    </w:tblStylePr>
    <w:tblStylePr w:type="seCell">
      <w:tblPr/>
      <w:tcPr>
        <w:tcBorders>
          <w:top w:val="single" w:sz="4" w:space="0" w:color="CDE2BF" w:themeColor="accent3" w:themeTint="99"/>
        </w:tcBorders>
      </w:tcPr>
    </w:tblStylePr>
    <w:tblStylePr w:type="swCell">
      <w:tblPr/>
      <w:tcPr>
        <w:tcBorders>
          <w:top w:val="single" w:sz="4" w:space="0" w:color="CDE2BF" w:themeColor="accent3" w:themeTint="99"/>
        </w:tcBorders>
      </w:tcPr>
    </w:tblStylePr>
  </w:style>
  <w:style w:type="table" w:styleId="GridTable7Colorful-Accent4">
    <w:name w:val="Grid Table 7 Colorful Accent 4"/>
    <w:basedOn w:val="TableNormal"/>
    <w:uiPriority w:val="52"/>
    <w:rsid w:val="00920D86"/>
    <w:pPr>
      <w:spacing w:line="240" w:lineRule="auto"/>
    </w:pPr>
    <w:rPr>
      <w:color w:val="491E38" w:themeColor="accent4" w:themeShade="BF"/>
    </w:rPr>
    <w:tblPr>
      <w:tblStyleRowBandSize w:val="1"/>
      <w:tblStyleColBandSize w:val="1"/>
      <w:tblBorders>
        <w:top w:val="single" w:sz="4" w:space="0" w:color="BD6298" w:themeColor="accent4" w:themeTint="99"/>
        <w:left w:val="single" w:sz="4" w:space="0" w:color="BD6298" w:themeColor="accent4" w:themeTint="99"/>
        <w:bottom w:val="single" w:sz="4" w:space="0" w:color="BD6298" w:themeColor="accent4" w:themeTint="99"/>
        <w:right w:val="single" w:sz="4" w:space="0" w:color="BD6298" w:themeColor="accent4" w:themeTint="99"/>
        <w:insideH w:val="single" w:sz="4" w:space="0" w:color="BD6298" w:themeColor="accent4" w:themeTint="99"/>
        <w:insideV w:val="single" w:sz="4" w:space="0" w:color="BD629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CADC" w:themeFill="accent4" w:themeFillTint="33"/>
      </w:tcPr>
    </w:tblStylePr>
    <w:tblStylePr w:type="band1Horz">
      <w:tblPr/>
      <w:tcPr>
        <w:shd w:val="clear" w:color="auto" w:fill="E9CADC" w:themeFill="accent4" w:themeFillTint="33"/>
      </w:tcPr>
    </w:tblStylePr>
    <w:tblStylePr w:type="neCell">
      <w:tblPr/>
      <w:tcPr>
        <w:tcBorders>
          <w:bottom w:val="single" w:sz="4" w:space="0" w:color="BD6298" w:themeColor="accent4" w:themeTint="99"/>
        </w:tcBorders>
      </w:tcPr>
    </w:tblStylePr>
    <w:tblStylePr w:type="nwCell">
      <w:tblPr/>
      <w:tcPr>
        <w:tcBorders>
          <w:bottom w:val="single" w:sz="4" w:space="0" w:color="BD6298" w:themeColor="accent4" w:themeTint="99"/>
        </w:tcBorders>
      </w:tcPr>
    </w:tblStylePr>
    <w:tblStylePr w:type="seCell">
      <w:tblPr/>
      <w:tcPr>
        <w:tcBorders>
          <w:top w:val="single" w:sz="4" w:space="0" w:color="BD6298" w:themeColor="accent4" w:themeTint="99"/>
        </w:tcBorders>
      </w:tcPr>
    </w:tblStylePr>
    <w:tblStylePr w:type="swCell">
      <w:tblPr/>
      <w:tcPr>
        <w:tcBorders>
          <w:top w:val="single" w:sz="4" w:space="0" w:color="BD6298" w:themeColor="accent4" w:themeTint="99"/>
        </w:tcBorders>
      </w:tcPr>
    </w:tblStylePr>
  </w:style>
  <w:style w:type="table" w:styleId="GridTable7Colorful-Accent5">
    <w:name w:val="Grid Table 7 Colorful Accent 5"/>
    <w:basedOn w:val="TableNormal"/>
    <w:uiPriority w:val="52"/>
    <w:rsid w:val="00920D86"/>
    <w:pPr>
      <w:spacing w:line="240" w:lineRule="auto"/>
    </w:pPr>
    <w:rPr>
      <w:color w:val="FE4B00" w:themeColor="accent5" w:themeShade="BF"/>
    </w:rPr>
    <w:tblPr>
      <w:tblStyleRowBandSize w:val="1"/>
      <w:tblStyleColBandSize w:val="1"/>
      <w:tblBorders>
        <w:top w:val="single" w:sz="4" w:space="0" w:color="FFB799" w:themeColor="accent5" w:themeTint="99"/>
        <w:left w:val="single" w:sz="4" w:space="0" w:color="FFB799" w:themeColor="accent5" w:themeTint="99"/>
        <w:bottom w:val="single" w:sz="4" w:space="0" w:color="FFB799" w:themeColor="accent5" w:themeTint="99"/>
        <w:right w:val="single" w:sz="4" w:space="0" w:color="FFB799" w:themeColor="accent5" w:themeTint="99"/>
        <w:insideH w:val="single" w:sz="4" w:space="0" w:color="FFB799" w:themeColor="accent5" w:themeTint="99"/>
        <w:insideV w:val="single" w:sz="4" w:space="0" w:color="FFB79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7DD" w:themeFill="accent5" w:themeFillTint="33"/>
      </w:tcPr>
    </w:tblStylePr>
    <w:tblStylePr w:type="band1Horz">
      <w:tblPr/>
      <w:tcPr>
        <w:shd w:val="clear" w:color="auto" w:fill="FFE7DD" w:themeFill="accent5" w:themeFillTint="33"/>
      </w:tcPr>
    </w:tblStylePr>
    <w:tblStylePr w:type="neCell">
      <w:tblPr/>
      <w:tcPr>
        <w:tcBorders>
          <w:bottom w:val="single" w:sz="4" w:space="0" w:color="FFB799" w:themeColor="accent5" w:themeTint="99"/>
        </w:tcBorders>
      </w:tcPr>
    </w:tblStylePr>
    <w:tblStylePr w:type="nwCell">
      <w:tblPr/>
      <w:tcPr>
        <w:tcBorders>
          <w:bottom w:val="single" w:sz="4" w:space="0" w:color="FFB799" w:themeColor="accent5" w:themeTint="99"/>
        </w:tcBorders>
      </w:tcPr>
    </w:tblStylePr>
    <w:tblStylePr w:type="seCell">
      <w:tblPr/>
      <w:tcPr>
        <w:tcBorders>
          <w:top w:val="single" w:sz="4" w:space="0" w:color="FFB799" w:themeColor="accent5" w:themeTint="99"/>
        </w:tcBorders>
      </w:tcPr>
    </w:tblStylePr>
    <w:tblStylePr w:type="swCell">
      <w:tblPr/>
      <w:tcPr>
        <w:tcBorders>
          <w:top w:val="single" w:sz="4" w:space="0" w:color="FFB799" w:themeColor="accent5" w:themeTint="99"/>
        </w:tcBorders>
      </w:tcPr>
    </w:tblStylePr>
  </w:style>
  <w:style w:type="table" w:styleId="GridTable7Colorful-Accent6">
    <w:name w:val="Grid Table 7 Colorful Accent 6"/>
    <w:basedOn w:val="TableNormal"/>
    <w:uiPriority w:val="52"/>
    <w:rsid w:val="00920D86"/>
    <w:pPr>
      <w:spacing w:line="240" w:lineRule="auto"/>
    </w:pPr>
    <w:rPr>
      <w:color w:val="B4AF97" w:themeColor="accent6" w:themeShade="BF"/>
    </w:rPr>
    <w:tblPr>
      <w:tblStyleRowBandSize w:val="1"/>
      <w:tblStyleColBandSize w:val="1"/>
      <w:tblBorders>
        <w:top w:val="single" w:sz="4" w:space="0" w:color="EEECE7" w:themeColor="accent6" w:themeTint="99"/>
        <w:left w:val="single" w:sz="4" w:space="0" w:color="EEECE7" w:themeColor="accent6" w:themeTint="99"/>
        <w:bottom w:val="single" w:sz="4" w:space="0" w:color="EEECE7" w:themeColor="accent6" w:themeTint="99"/>
        <w:right w:val="single" w:sz="4" w:space="0" w:color="EEECE7" w:themeColor="accent6" w:themeTint="99"/>
        <w:insideH w:val="single" w:sz="4" w:space="0" w:color="EEECE7" w:themeColor="accent6" w:themeTint="99"/>
        <w:insideV w:val="single" w:sz="4" w:space="0" w:color="EEECE7"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8F7" w:themeFill="accent6" w:themeFillTint="33"/>
      </w:tcPr>
    </w:tblStylePr>
    <w:tblStylePr w:type="band1Horz">
      <w:tblPr/>
      <w:tcPr>
        <w:shd w:val="clear" w:color="auto" w:fill="F9F8F7" w:themeFill="accent6" w:themeFillTint="33"/>
      </w:tcPr>
    </w:tblStylePr>
    <w:tblStylePr w:type="neCell">
      <w:tblPr/>
      <w:tcPr>
        <w:tcBorders>
          <w:bottom w:val="single" w:sz="4" w:space="0" w:color="EEECE7" w:themeColor="accent6" w:themeTint="99"/>
        </w:tcBorders>
      </w:tcPr>
    </w:tblStylePr>
    <w:tblStylePr w:type="nwCell">
      <w:tblPr/>
      <w:tcPr>
        <w:tcBorders>
          <w:bottom w:val="single" w:sz="4" w:space="0" w:color="EEECE7" w:themeColor="accent6" w:themeTint="99"/>
        </w:tcBorders>
      </w:tcPr>
    </w:tblStylePr>
    <w:tblStylePr w:type="seCell">
      <w:tblPr/>
      <w:tcPr>
        <w:tcBorders>
          <w:top w:val="single" w:sz="4" w:space="0" w:color="EEECE7" w:themeColor="accent6" w:themeTint="99"/>
        </w:tcBorders>
      </w:tcPr>
    </w:tblStylePr>
    <w:tblStylePr w:type="swCell">
      <w:tblPr/>
      <w:tcPr>
        <w:tcBorders>
          <w:top w:val="single" w:sz="4" w:space="0" w:color="EEECE7" w:themeColor="accent6" w:themeTint="99"/>
        </w:tcBorders>
      </w:tcPr>
    </w:tblStylePr>
  </w:style>
  <w:style w:type="character" w:styleId="Hashtag">
    <w:name w:val="Hashtag"/>
    <w:basedOn w:val="DefaultParagraphFont"/>
    <w:uiPriority w:val="99"/>
    <w:semiHidden/>
    <w:rsid w:val="00920D86"/>
    <w:rPr>
      <w:color w:val="2B579A"/>
      <w:shd w:val="clear" w:color="auto" w:fill="E6E6E6"/>
      <w:lang w:val="en-US"/>
    </w:rPr>
  </w:style>
  <w:style w:type="character" w:styleId="HTMLAcronym">
    <w:name w:val="HTML Acronym"/>
    <w:basedOn w:val="DefaultParagraphFont"/>
    <w:uiPriority w:val="99"/>
    <w:semiHidden/>
    <w:rsid w:val="00920D86"/>
    <w:rPr>
      <w:lang w:val="en-US"/>
    </w:rPr>
  </w:style>
  <w:style w:type="paragraph" w:styleId="HTMLAddress">
    <w:name w:val="HTML Address"/>
    <w:basedOn w:val="Normal"/>
    <w:link w:val="HTMLAddressChar"/>
    <w:uiPriority w:val="99"/>
    <w:semiHidden/>
    <w:rsid w:val="00920D86"/>
    <w:pPr>
      <w:spacing w:line="240" w:lineRule="auto"/>
    </w:pPr>
    <w:rPr>
      <w:i/>
      <w:iCs/>
    </w:rPr>
  </w:style>
  <w:style w:type="character" w:customStyle="1" w:styleId="HTMLAddressChar">
    <w:name w:val="HTML Address Char"/>
    <w:basedOn w:val="DefaultParagraphFont"/>
    <w:link w:val="HTMLAddress"/>
    <w:uiPriority w:val="99"/>
    <w:semiHidden/>
    <w:rsid w:val="00920D86"/>
    <w:rPr>
      <w:i/>
      <w:iCs/>
      <w:lang w:val="en-US"/>
    </w:rPr>
  </w:style>
  <w:style w:type="character" w:styleId="HTMLCite">
    <w:name w:val="HTML Cite"/>
    <w:basedOn w:val="DefaultParagraphFont"/>
    <w:uiPriority w:val="99"/>
    <w:semiHidden/>
    <w:rsid w:val="00920D86"/>
    <w:rPr>
      <w:i/>
      <w:iCs/>
      <w:lang w:val="en-US"/>
    </w:rPr>
  </w:style>
  <w:style w:type="character" w:styleId="HTMLCode">
    <w:name w:val="HTML Code"/>
    <w:basedOn w:val="DefaultParagraphFont"/>
    <w:uiPriority w:val="99"/>
    <w:semiHidden/>
    <w:rsid w:val="00920D86"/>
    <w:rPr>
      <w:rFonts w:ascii="Consolas" w:hAnsi="Consolas"/>
      <w:sz w:val="20"/>
      <w:szCs w:val="20"/>
      <w:lang w:val="en-US"/>
    </w:rPr>
  </w:style>
  <w:style w:type="character" w:styleId="HTMLDefinition">
    <w:name w:val="HTML Definition"/>
    <w:basedOn w:val="DefaultParagraphFont"/>
    <w:uiPriority w:val="99"/>
    <w:semiHidden/>
    <w:rsid w:val="00920D86"/>
    <w:rPr>
      <w:i/>
      <w:iCs/>
      <w:lang w:val="en-US"/>
    </w:rPr>
  </w:style>
  <w:style w:type="character" w:styleId="HTMLKeyboard">
    <w:name w:val="HTML Keyboard"/>
    <w:basedOn w:val="DefaultParagraphFont"/>
    <w:uiPriority w:val="99"/>
    <w:semiHidden/>
    <w:rsid w:val="00920D86"/>
    <w:rPr>
      <w:rFonts w:ascii="Consolas" w:hAnsi="Consolas"/>
      <w:sz w:val="20"/>
      <w:szCs w:val="20"/>
      <w:lang w:val="en-US"/>
    </w:rPr>
  </w:style>
  <w:style w:type="paragraph" w:styleId="HTMLPreformatted">
    <w:name w:val="HTML Preformatted"/>
    <w:basedOn w:val="Normal"/>
    <w:link w:val="HTMLPreformattedChar"/>
    <w:uiPriority w:val="99"/>
    <w:semiHidden/>
    <w:rsid w:val="00920D86"/>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20D86"/>
    <w:rPr>
      <w:rFonts w:ascii="Consolas" w:hAnsi="Consolas"/>
      <w:sz w:val="20"/>
      <w:szCs w:val="20"/>
      <w:lang w:val="en-US"/>
    </w:rPr>
  </w:style>
  <w:style w:type="character" w:styleId="HTMLSample">
    <w:name w:val="HTML Sample"/>
    <w:basedOn w:val="DefaultParagraphFont"/>
    <w:uiPriority w:val="99"/>
    <w:semiHidden/>
    <w:rsid w:val="00920D86"/>
    <w:rPr>
      <w:rFonts w:ascii="Consolas" w:hAnsi="Consolas"/>
      <w:sz w:val="24"/>
      <w:szCs w:val="24"/>
      <w:lang w:val="en-US"/>
    </w:rPr>
  </w:style>
  <w:style w:type="character" w:styleId="HTMLTypewriter">
    <w:name w:val="HTML Typewriter"/>
    <w:basedOn w:val="DefaultParagraphFont"/>
    <w:uiPriority w:val="99"/>
    <w:semiHidden/>
    <w:rsid w:val="00920D86"/>
    <w:rPr>
      <w:rFonts w:ascii="Consolas" w:hAnsi="Consolas"/>
      <w:sz w:val="20"/>
      <w:szCs w:val="20"/>
      <w:lang w:val="en-US"/>
    </w:rPr>
  </w:style>
  <w:style w:type="character" w:styleId="HTMLVariable">
    <w:name w:val="HTML Variable"/>
    <w:basedOn w:val="DefaultParagraphFont"/>
    <w:uiPriority w:val="99"/>
    <w:semiHidden/>
    <w:rsid w:val="00920D86"/>
    <w:rPr>
      <w:i/>
      <w:iCs/>
      <w:lang w:val="en-US"/>
    </w:rPr>
  </w:style>
  <w:style w:type="character" w:styleId="Hyperlink">
    <w:name w:val="Hyperlink"/>
    <w:basedOn w:val="DefaultParagraphFont"/>
    <w:uiPriority w:val="99"/>
    <w:rsid w:val="00920D86"/>
    <w:rPr>
      <w:color w:val="009DF0" w:themeColor="hyperlink"/>
      <w:u w:val="single"/>
      <w:lang w:val="en-US"/>
    </w:rPr>
  </w:style>
  <w:style w:type="paragraph" w:styleId="Index1">
    <w:name w:val="index 1"/>
    <w:basedOn w:val="Normal"/>
    <w:next w:val="Normal"/>
    <w:autoRedefine/>
    <w:uiPriority w:val="99"/>
    <w:semiHidden/>
    <w:rsid w:val="00920D86"/>
    <w:pPr>
      <w:spacing w:line="240" w:lineRule="auto"/>
      <w:ind w:left="180" w:hanging="180"/>
    </w:pPr>
  </w:style>
  <w:style w:type="paragraph" w:styleId="Index2">
    <w:name w:val="index 2"/>
    <w:basedOn w:val="Normal"/>
    <w:next w:val="Normal"/>
    <w:autoRedefine/>
    <w:uiPriority w:val="99"/>
    <w:semiHidden/>
    <w:rsid w:val="00920D86"/>
    <w:pPr>
      <w:spacing w:line="240" w:lineRule="auto"/>
      <w:ind w:left="360" w:hanging="180"/>
    </w:pPr>
  </w:style>
  <w:style w:type="paragraph" w:styleId="Index3">
    <w:name w:val="index 3"/>
    <w:basedOn w:val="Normal"/>
    <w:next w:val="Normal"/>
    <w:autoRedefine/>
    <w:uiPriority w:val="99"/>
    <w:semiHidden/>
    <w:rsid w:val="00920D86"/>
    <w:pPr>
      <w:spacing w:line="240" w:lineRule="auto"/>
      <w:ind w:left="540" w:hanging="180"/>
    </w:pPr>
  </w:style>
  <w:style w:type="paragraph" w:styleId="Index4">
    <w:name w:val="index 4"/>
    <w:basedOn w:val="Normal"/>
    <w:next w:val="Normal"/>
    <w:autoRedefine/>
    <w:uiPriority w:val="99"/>
    <w:semiHidden/>
    <w:rsid w:val="00920D86"/>
    <w:pPr>
      <w:spacing w:line="240" w:lineRule="auto"/>
      <w:ind w:left="720" w:hanging="180"/>
    </w:pPr>
  </w:style>
  <w:style w:type="paragraph" w:styleId="Index5">
    <w:name w:val="index 5"/>
    <w:basedOn w:val="Normal"/>
    <w:next w:val="Normal"/>
    <w:autoRedefine/>
    <w:uiPriority w:val="99"/>
    <w:semiHidden/>
    <w:rsid w:val="00920D86"/>
    <w:pPr>
      <w:spacing w:line="240" w:lineRule="auto"/>
      <w:ind w:left="900" w:hanging="180"/>
    </w:pPr>
  </w:style>
  <w:style w:type="paragraph" w:styleId="Index6">
    <w:name w:val="index 6"/>
    <w:basedOn w:val="Normal"/>
    <w:next w:val="Normal"/>
    <w:autoRedefine/>
    <w:uiPriority w:val="99"/>
    <w:semiHidden/>
    <w:rsid w:val="00920D86"/>
    <w:pPr>
      <w:spacing w:line="240" w:lineRule="auto"/>
      <w:ind w:left="1080" w:hanging="180"/>
    </w:pPr>
  </w:style>
  <w:style w:type="paragraph" w:styleId="Index7">
    <w:name w:val="index 7"/>
    <w:basedOn w:val="Normal"/>
    <w:next w:val="Normal"/>
    <w:autoRedefine/>
    <w:uiPriority w:val="99"/>
    <w:semiHidden/>
    <w:rsid w:val="00920D86"/>
    <w:pPr>
      <w:spacing w:line="240" w:lineRule="auto"/>
      <w:ind w:left="1260" w:hanging="180"/>
    </w:pPr>
  </w:style>
  <w:style w:type="paragraph" w:styleId="Index8">
    <w:name w:val="index 8"/>
    <w:basedOn w:val="Normal"/>
    <w:next w:val="Normal"/>
    <w:autoRedefine/>
    <w:uiPriority w:val="99"/>
    <w:semiHidden/>
    <w:rsid w:val="00920D86"/>
    <w:pPr>
      <w:spacing w:line="240" w:lineRule="auto"/>
      <w:ind w:left="1440" w:hanging="180"/>
    </w:pPr>
  </w:style>
  <w:style w:type="paragraph" w:styleId="Index9">
    <w:name w:val="index 9"/>
    <w:basedOn w:val="Normal"/>
    <w:next w:val="Normal"/>
    <w:autoRedefine/>
    <w:uiPriority w:val="99"/>
    <w:semiHidden/>
    <w:rsid w:val="00920D86"/>
    <w:pPr>
      <w:spacing w:line="240" w:lineRule="auto"/>
      <w:ind w:left="1620" w:hanging="180"/>
    </w:pPr>
  </w:style>
  <w:style w:type="paragraph" w:styleId="IndexHeading">
    <w:name w:val="index heading"/>
    <w:basedOn w:val="Normal"/>
    <w:next w:val="Index1"/>
    <w:uiPriority w:val="99"/>
    <w:semiHidden/>
    <w:rsid w:val="00920D86"/>
    <w:rPr>
      <w:rFonts w:asciiTheme="majorHAnsi" w:eastAsiaTheme="majorEastAsia" w:hAnsiTheme="majorHAnsi" w:cstheme="majorBidi"/>
      <w:b/>
      <w:bCs/>
    </w:rPr>
  </w:style>
  <w:style w:type="table" w:styleId="LightGrid">
    <w:name w:val="Light Grid"/>
    <w:basedOn w:val="TableNormal"/>
    <w:uiPriority w:val="62"/>
    <w:semiHidden/>
    <w:unhideWhenUsed/>
    <w:rsid w:val="00920D86"/>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920D86"/>
    <w:pPr>
      <w:spacing w:line="240" w:lineRule="auto"/>
    </w:pPr>
    <w:tblPr>
      <w:tblStyleRowBandSize w:val="1"/>
      <w:tblStyleColBandSize w:val="1"/>
      <w:tblBorders>
        <w:top w:val="single" w:sz="8" w:space="0" w:color="05326E" w:themeColor="accent1"/>
        <w:left w:val="single" w:sz="8" w:space="0" w:color="05326E" w:themeColor="accent1"/>
        <w:bottom w:val="single" w:sz="8" w:space="0" w:color="05326E" w:themeColor="accent1"/>
        <w:right w:val="single" w:sz="8" w:space="0" w:color="05326E" w:themeColor="accent1"/>
        <w:insideH w:val="single" w:sz="8" w:space="0" w:color="05326E" w:themeColor="accent1"/>
        <w:insideV w:val="single" w:sz="8" w:space="0" w:color="05326E"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5326E" w:themeColor="accent1"/>
          <w:left w:val="single" w:sz="8" w:space="0" w:color="05326E" w:themeColor="accent1"/>
          <w:bottom w:val="single" w:sz="18" w:space="0" w:color="05326E" w:themeColor="accent1"/>
          <w:right w:val="single" w:sz="8" w:space="0" w:color="05326E" w:themeColor="accent1"/>
          <w:insideH w:val="nil"/>
          <w:insideV w:val="single" w:sz="8" w:space="0" w:color="05326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5326E" w:themeColor="accent1"/>
          <w:left w:val="single" w:sz="8" w:space="0" w:color="05326E" w:themeColor="accent1"/>
          <w:bottom w:val="single" w:sz="8" w:space="0" w:color="05326E" w:themeColor="accent1"/>
          <w:right w:val="single" w:sz="8" w:space="0" w:color="05326E" w:themeColor="accent1"/>
          <w:insideH w:val="nil"/>
          <w:insideV w:val="single" w:sz="8" w:space="0" w:color="05326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5326E" w:themeColor="accent1"/>
          <w:left w:val="single" w:sz="8" w:space="0" w:color="05326E" w:themeColor="accent1"/>
          <w:bottom w:val="single" w:sz="8" w:space="0" w:color="05326E" w:themeColor="accent1"/>
          <w:right w:val="single" w:sz="8" w:space="0" w:color="05326E" w:themeColor="accent1"/>
        </w:tcBorders>
      </w:tcPr>
    </w:tblStylePr>
    <w:tblStylePr w:type="band1Vert">
      <w:tblPr/>
      <w:tcPr>
        <w:tcBorders>
          <w:top w:val="single" w:sz="8" w:space="0" w:color="05326E" w:themeColor="accent1"/>
          <w:left w:val="single" w:sz="8" w:space="0" w:color="05326E" w:themeColor="accent1"/>
          <w:bottom w:val="single" w:sz="8" w:space="0" w:color="05326E" w:themeColor="accent1"/>
          <w:right w:val="single" w:sz="8" w:space="0" w:color="05326E" w:themeColor="accent1"/>
        </w:tcBorders>
        <w:shd w:val="clear" w:color="auto" w:fill="A1C7FA" w:themeFill="accent1" w:themeFillTint="3F"/>
      </w:tcPr>
    </w:tblStylePr>
    <w:tblStylePr w:type="band1Horz">
      <w:tblPr/>
      <w:tcPr>
        <w:tcBorders>
          <w:top w:val="single" w:sz="8" w:space="0" w:color="05326E" w:themeColor="accent1"/>
          <w:left w:val="single" w:sz="8" w:space="0" w:color="05326E" w:themeColor="accent1"/>
          <w:bottom w:val="single" w:sz="8" w:space="0" w:color="05326E" w:themeColor="accent1"/>
          <w:right w:val="single" w:sz="8" w:space="0" w:color="05326E" w:themeColor="accent1"/>
          <w:insideV w:val="single" w:sz="8" w:space="0" w:color="05326E" w:themeColor="accent1"/>
        </w:tcBorders>
        <w:shd w:val="clear" w:color="auto" w:fill="A1C7FA" w:themeFill="accent1" w:themeFillTint="3F"/>
      </w:tcPr>
    </w:tblStylePr>
    <w:tblStylePr w:type="band2Horz">
      <w:tblPr/>
      <w:tcPr>
        <w:tcBorders>
          <w:top w:val="single" w:sz="8" w:space="0" w:color="05326E" w:themeColor="accent1"/>
          <w:left w:val="single" w:sz="8" w:space="0" w:color="05326E" w:themeColor="accent1"/>
          <w:bottom w:val="single" w:sz="8" w:space="0" w:color="05326E" w:themeColor="accent1"/>
          <w:right w:val="single" w:sz="8" w:space="0" w:color="05326E" w:themeColor="accent1"/>
          <w:insideV w:val="single" w:sz="8" w:space="0" w:color="05326E" w:themeColor="accent1"/>
        </w:tcBorders>
      </w:tcPr>
    </w:tblStylePr>
  </w:style>
  <w:style w:type="table" w:styleId="LightGrid-Accent2">
    <w:name w:val="Light Grid Accent 2"/>
    <w:basedOn w:val="TableNormal"/>
    <w:uiPriority w:val="62"/>
    <w:semiHidden/>
    <w:unhideWhenUsed/>
    <w:rsid w:val="00920D86"/>
    <w:pPr>
      <w:spacing w:line="240" w:lineRule="auto"/>
    </w:pPr>
    <w:tblPr>
      <w:tblStyleRowBandSize w:val="1"/>
      <w:tblStyleColBandSize w:val="1"/>
      <w:tblBorders>
        <w:top w:val="single" w:sz="8" w:space="0" w:color="125A40" w:themeColor="accent2"/>
        <w:left w:val="single" w:sz="8" w:space="0" w:color="125A40" w:themeColor="accent2"/>
        <w:bottom w:val="single" w:sz="8" w:space="0" w:color="125A40" w:themeColor="accent2"/>
        <w:right w:val="single" w:sz="8" w:space="0" w:color="125A40" w:themeColor="accent2"/>
        <w:insideH w:val="single" w:sz="8" w:space="0" w:color="125A40" w:themeColor="accent2"/>
        <w:insideV w:val="single" w:sz="8" w:space="0" w:color="125A4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25A40" w:themeColor="accent2"/>
          <w:left w:val="single" w:sz="8" w:space="0" w:color="125A40" w:themeColor="accent2"/>
          <w:bottom w:val="single" w:sz="18" w:space="0" w:color="125A40" w:themeColor="accent2"/>
          <w:right w:val="single" w:sz="8" w:space="0" w:color="125A40" w:themeColor="accent2"/>
          <w:insideH w:val="nil"/>
          <w:insideV w:val="single" w:sz="8" w:space="0" w:color="125A4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25A40" w:themeColor="accent2"/>
          <w:left w:val="single" w:sz="8" w:space="0" w:color="125A40" w:themeColor="accent2"/>
          <w:bottom w:val="single" w:sz="8" w:space="0" w:color="125A40" w:themeColor="accent2"/>
          <w:right w:val="single" w:sz="8" w:space="0" w:color="125A40" w:themeColor="accent2"/>
          <w:insideH w:val="nil"/>
          <w:insideV w:val="single" w:sz="8" w:space="0" w:color="125A4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25A40" w:themeColor="accent2"/>
          <w:left w:val="single" w:sz="8" w:space="0" w:color="125A40" w:themeColor="accent2"/>
          <w:bottom w:val="single" w:sz="8" w:space="0" w:color="125A40" w:themeColor="accent2"/>
          <w:right w:val="single" w:sz="8" w:space="0" w:color="125A40" w:themeColor="accent2"/>
        </w:tcBorders>
      </w:tcPr>
    </w:tblStylePr>
    <w:tblStylePr w:type="band1Vert">
      <w:tblPr/>
      <w:tcPr>
        <w:tcBorders>
          <w:top w:val="single" w:sz="8" w:space="0" w:color="125A40" w:themeColor="accent2"/>
          <w:left w:val="single" w:sz="8" w:space="0" w:color="125A40" w:themeColor="accent2"/>
          <w:bottom w:val="single" w:sz="8" w:space="0" w:color="125A40" w:themeColor="accent2"/>
          <w:right w:val="single" w:sz="8" w:space="0" w:color="125A40" w:themeColor="accent2"/>
        </w:tcBorders>
        <w:shd w:val="clear" w:color="auto" w:fill="ACEED6" w:themeFill="accent2" w:themeFillTint="3F"/>
      </w:tcPr>
    </w:tblStylePr>
    <w:tblStylePr w:type="band1Horz">
      <w:tblPr/>
      <w:tcPr>
        <w:tcBorders>
          <w:top w:val="single" w:sz="8" w:space="0" w:color="125A40" w:themeColor="accent2"/>
          <w:left w:val="single" w:sz="8" w:space="0" w:color="125A40" w:themeColor="accent2"/>
          <w:bottom w:val="single" w:sz="8" w:space="0" w:color="125A40" w:themeColor="accent2"/>
          <w:right w:val="single" w:sz="8" w:space="0" w:color="125A40" w:themeColor="accent2"/>
          <w:insideV w:val="single" w:sz="8" w:space="0" w:color="125A40" w:themeColor="accent2"/>
        </w:tcBorders>
        <w:shd w:val="clear" w:color="auto" w:fill="ACEED6" w:themeFill="accent2" w:themeFillTint="3F"/>
      </w:tcPr>
    </w:tblStylePr>
    <w:tblStylePr w:type="band2Horz">
      <w:tblPr/>
      <w:tcPr>
        <w:tcBorders>
          <w:top w:val="single" w:sz="8" w:space="0" w:color="125A40" w:themeColor="accent2"/>
          <w:left w:val="single" w:sz="8" w:space="0" w:color="125A40" w:themeColor="accent2"/>
          <w:bottom w:val="single" w:sz="8" w:space="0" w:color="125A40" w:themeColor="accent2"/>
          <w:right w:val="single" w:sz="8" w:space="0" w:color="125A40" w:themeColor="accent2"/>
          <w:insideV w:val="single" w:sz="8" w:space="0" w:color="125A40" w:themeColor="accent2"/>
        </w:tcBorders>
      </w:tcPr>
    </w:tblStylePr>
  </w:style>
  <w:style w:type="table" w:styleId="LightGrid-Accent3">
    <w:name w:val="Light Grid Accent 3"/>
    <w:basedOn w:val="TableNormal"/>
    <w:uiPriority w:val="62"/>
    <w:semiHidden/>
    <w:unhideWhenUsed/>
    <w:rsid w:val="00920D86"/>
    <w:pPr>
      <w:spacing w:line="240" w:lineRule="auto"/>
    </w:pPr>
    <w:tblPr>
      <w:tblStyleRowBandSize w:val="1"/>
      <w:tblStyleColBandSize w:val="1"/>
      <w:tblBorders>
        <w:top w:val="single" w:sz="8" w:space="0" w:color="ADD095" w:themeColor="accent3"/>
        <w:left w:val="single" w:sz="8" w:space="0" w:color="ADD095" w:themeColor="accent3"/>
        <w:bottom w:val="single" w:sz="8" w:space="0" w:color="ADD095" w:themeColor="accent3"/>
        <w:right w:val="single" w:sz="8" w:space="0" w:color="ADD095" w:themeColor="accent3"/>
        <w:insideH w:val="single" w:sz="8" w:space="0" w:color="ADD095" w:themeColor="accent3"/>
        <w:insideV w:val="single" w:sz="8" w:space="0" w:color="ADD09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DD095" w:themeColor="accent3"/>
          <w:left w:val="single" w:sz="8" w:space="0" w:color="ADD095" w:themeColor="accent3"/>
          <w:bottom w:val="single" w:sz="18" w:space="0" w:color="ADD095" w:themeColor="accent3"/>
          <w:right w:val="single" w:sz="8" w:space="0" w:color="ADD095" w:themeColor="accent3"/>
          <w:insideH w:val="nil"/>
          <w:insideV w:val="single" w:sz="8" w:space="0" w:color="ADD09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DD095" w:themeColor="accent3"/>
          <w:left w:val="single" w:sz="8" w:space="0" w:color="ADD095" w:themeColor="accent3"/>
          <w:bottom w:val="single" w:sz="8" w:space="0" w:color="ADD095" w:themeColor="accent3"/>
          <w:right w:val="single" w:sz="8" w:space="0" w:color="ADD095" w:themeColor="accent3"/>
          <w:insideH w:val="nil"/>
          <w:insideV w:val="single" w:sz="8" w:space="0" w:color="ADD09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DD095" w:themeColor="accent3"/>
          <w:left w:val="single" w:sz="8" w:space="0" w:color="ADD095" w:themeColor="accent3"/>
          <w:bottom w:val="single" w:sz="8" w:space="0" w:color="ADD095" w:themeColor="accent3"/>
          <w:right w:val="single" w:sz="8" w:space="0" w:color="ADD095" w:themeColor="accent3"/>
        </w:tcBorders>
      </w:tcPr>
    </w:tblStylePr>
    <w:tblStylePr w:type="band1Vert">
      <w:tblPr/>
      <w:tcPr>
        <w:tcBorders>
          <w:top w:val="single" w:sz="8" w:space="0" w:color="ADD095" w:themeColor="accent3"/>
          <w:left w:val="single" w:sz="8" w:space="0" w:color="ADD095" w:themeColor="accent3"/>
          <w:bottom w:val="single" w:sz="8" w:space="0" w:color="ADD095" w:themeColor="accent3"/>
          <w:right w:val="single" w:sz="8" w:space="0" w:color="ADD095" w:themeColor="accent3"/>
        </w:tcBorders>
        <w:shd w:val="clear" w:color="auto" w:fill="EAF3E4" w:themeFill="accent3" w:themeFillTint="3F"/>
      </w:tcPr>
    </w:tblStylePr>
    <w:tblStylePr w:type="band1Horz">
      <w:tblPr/>
      <w:tcPr>
        <w:tcBorders>
          <w:top w:val="single" w:sz="8" w:space="0" w:color="ADD095" w:themeColor="accent3"/>
          <w:left w:val="single" w:sz="8" w:space="0" w:color="ADD095" w:themeColor="accent3"/>
          <w:bottom w:val="single" w:sz="8" w:space="0" w:color="ADD095" w:themeColor="accent3"/>
          <w:right w:val="single" w:sz="8" w:space="0" w:color="ADD095" w:themeColor="accent3"/>
          <w:insideV w:val="single" w:sz="8" w:space="0" w:color="ADD095" w:themeColor="accent3"/>
        </w:tcBorders>
        <w:shd w:val="clear" w:color="auto" w:fill="EAF3E4" w:themeFill="accent3" w:themeFillTint="3F"/>
      </w:tcPr>
    </w:tblStylePr>
    <w:tblStylePr w:type="band2Horz">
      <w:tblPr/>
      <w:tcPr>
        <w:tcBorders>
          <w:top w:val="single" w:sz="8" w:space="0" w:color="ADD095" w:themeColor="accent3"/>
          <w:left w:val="single" w:sz="8" w:space="0" w:color="ADD095" w:themeColor="accent3"/>
          <w:bottom w:val="single" w:sz="8" w:space="0" w:color="ADD095" w:themeColor="accent3"/>
          <w:right w:val="single" w:sz="8" w:space="0" w:color="ADD095" w:themeColor="accent3"/>
          <w:insideV w:val="single" w:sz="8" w:space="0" w:color="ADD095" w:themeColor="accent3"/>
        </w:tcBorders>
      </w:tcPr>
    </w:tblStylePr>
  </w:style>
  <w:style w:type="table" w:styleId="LightGrid-Accent4">
    <w:name w:val="Light Grid Accent 4"/>
    <w:basedOn w:val="TableNormal"/>
    <w:uiPriority w:val="62"/>
    <w:semiHidden/>
    <w:unhideWhenUsed/>
    <w:rsid w:val="00920D86"/>
    <w:pPr>
      <w:spacing w:line="240" w:lineRule="auto"/>
    </w:pPr>
    <w:tblPr>
      <w:tblStyleRowBandSize w:val="1"/>
      <w:tblStyleColBandSize w:val="1"/>
      <w:tblBorders>
        <w:top w:val="single" w:sz="8" w:space="0" w:color="62294B" w:themeColor="accent4"/>
        <w:left w:val="single" w:sz="8" w:space="0" w:color="62294B" w:themeColor="accent4"/>
        <w:bottom w:val="single" w:sz="8" w:space="0" w:color="62294B" w:themeColor="accent4"/>
        <w:right w:val="single" w:sz="8" w:space="0" w:color="62294B" w:themeColor="accent4"/>
        <w:insideH w:val="single" w:sz="8" w:space="0" w:color="62294B" w:themeColor="accent4"/>
        <w:insideV w:val="single" w:sz="8" w:space="0" w:color="62294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2294B" w:themeColor="accent4"/>
          <w:left w:val="single" w:sz="8" w:space="0" w:color="62294B" w:themeColor="accent4"/>
          <w:bottom w:val="single" w:sz="18" w:space="0" w:color="62294B" w:themeColor="accent4"/>
          <w:right w:val="single" w:sz="8" w:space="0" w:color="62294B" w:themeColor="accent4"/>
          <w:insideH w:val="nil"/>
          <w:insideV w:val="single" w:sz="8" w:space="0" w:color="62294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2294B" w:themeColor="accent4"/>
          <w:left w:val="single" w:sz="8" w:space="0" w:color="62294B" w:themeColor="accent4"/>
          <w:bottom w:val="single" w:sz="8" w:space="0" w:color="62294B" w:themeColor="accent4"/>
          <w:right w:val="single" w:sz="8" w:space="0" w:color="62294B" w:themeColor="accent4"/>
          <w:insideH w:val="nil"/>
          <w:insideV w:val="single" w:sz="8" w:space="0" w:color="62294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2294B" w:themeColor="accent4"/>
          <w:left w:val="single" w:sz="8" w:space="0" w:color="62294B" w:themeColor="accent4"/>
          <w:bottom w:val="single" w:sz="8" w:space="0" w:color="62294B" w:themeColor="accent4"/>
          <w:right w:val="single" w:sz="8" w:space="0" w:color="62294B" w:themeColor="accent4"/>
        </w:tcBorders>
      </w:tcPr>
    </w:tblStylePr>
    <w:tblStylePr w:type="band1Vert">
      <w:tblPr/>
      <w:tcPr>
        <w:tcBorders>
          <w:top w:val="single" w:sz="8" w:space="0" w:color="62294B" w:themeColor="accent4"/>
          <w:left w:val="single" w:sz="8" w:space="0" w:color="62294B" w:themeColor="accent4"/>
          <w:bottom w:val="single" w:sz="8" w:space="0" w:color="62294B" w:themeColor="accent4"/>
          <w:right w:val="single" w:sz="8" w:space="0" w:color="62294B" w:themeColor="accent4"/>
        </w:tcBorders>
        <w:shd w:val="clear" w:color="auto" w:fill="E4BED4" w:themeFill="accent4" w:themeFillTint="3F"/>
      </w:tcPr>
    </w:tblStylePr>
    <w:tblStylePr w:type="band1Horz">
      <w:tblPr/>
      <w:tcPr>
        <w:tcBorders>
          <w:top w:val="single" w:sz="8" w:space="0" w:color="62294B" w:themeColor="accent4"/>
          <w:left w:val="single" w:sz="8" w:space="0" w:color="62294B" w:themeColor="accent4"/>
          <w:bottom w:val="single" w:sz="8" w:space="0" w:color="62294B" w:themeColor="accent4"/>
          <w:right w:val="single" w:sz="8" w:space="0" w:color="62294B" w:themeColor="accent4"/>
          <w:insideV w:val="single" w:sz="8" w:space="0" w:color="62294B" w:themeColor="accent4"/>
        </w:tcBorders>
        <w:shd w:val="clear" w:color="auto" w:fill="E4BED4" w:themeFill="accent4" w:themeFillTint="3F"/>
      </w:tcPr>
    </w:tblStylePr>
    <w:tblStylePr w:type="band2Horz">
      <w:tblPr/>
      <w:tcPr>
        <w:tcBorders>
          <w:top w:val="single" w:sz="8" w:space="0" w:color="62294B" w:themeColor="accent4"/>
          <w:left w:val="single" w:sz="8" w:space="0" w:color="62294B" w:themeColor="accent4"/>
          <w:bottom w:val="single" w:sz="8" w:space="0" w:color="62294B" w:themeColor="accent4"/>
          <w:right w:val="single" w:sz="8" w:space="0" w:color="62294B" w:themeColor="accent4"/>
          <w:insideV w:val="single" w:sz="8" w:space="0" w:color="62294B" w:themeColor="accent4"/>
        </w:tcBorders>
      </w:tcPr>
    </w:tblStylePr>
  </w:style>
  <w:style w:type="table" w:styleId="LightGrid-Accent5">
    <w:name w:val="Light Grid Accent 5"/>
    <w:basedOn w:val="TableNormal"/>
    <w:uiPriority w:val="62"/>
    <w:semiHidden/>
    <w:unhideWhenUsed/>
    <w:rsid w:val="00920D86"/>
    <w:pPr>
      <w:spacing w:line="240" w:lineRule="auto"/>
    </w:pPr>
    <w:tblPr>
      <w:tblStyleRowBandSize w:val="1"/>
      <w:tblStyleColBandSize w:val="1"/>
      <w:tblBorders>
        <w:top w:val="single" w:sz="8" w:space="0" w:color="FF8855" w:themeColor="accent5"/>
        <w:left w:val="single" w:sz="8" w:space="0" w:color="FF8855" w:themeColor="accent5"/>
        <w:bottom w:val="single" w:sz="8" w:space="0" w:color="FF8855" w:themeColor="accent5"/>
        <w:right w:val="single" w:sz="8" w:space="0" w:color="FF8855" w:themeColor="accent5"/>
        <w:insideH w:val="single" w:sz="8" w:space="0" w:color="FF8855" w:themeColor="accent5"/>
        <w:insideV w:val="single" w:sz="8" w:space="0" w:color="FF885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8855" w:themeColor="accent5"/>
          <w:left w:val="single" w:sz="8" w:space="0" w:color="FF8855" w:themeColor="accent5"/>
          <w:bottom w:val="single" w:sz="18" w:space="0" w:color="FF8855" w:themeColor="accent5"/>
          <w:right w:val="single" w:sz="8" w:space="0" w:color="FF8855" w:themeColor="accent5"/>
          <w:insideH w:val="nil"/>
          <w:insideV w:val="single" w:sz="8" w:space="0" w:color="FF885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8855" w:themeColor="accent5"/>
          <w:left w:val="single" w:sz="8" w:space="0" w:color="FF8855" w:themeColor="accent5"/>
          <w:bottom w:val="single" w:sz="8" w:space="0" w:color="FF8855" w:themeColor="accent5"/>
          <w:right w:val="single" w:sz="8" w:space="0" w:color="FF8855" w:themeColor="accent5"/>
          <w:insideH w:val="nil"/>
          <w:insideV w:val="single" w:sz="8" w:space="0" w:color="FF885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8855" w:themeColor="accent5"/>
          <w:left w:val="single" w:sz="8" w:space="0" w:color="FF8855" w:themeColor="accent5"/>
          <w:bottom w:val="single" w:sz="8" w:space="0" w:color="FF8855" w:themeColor="accent5"/>
          <w:right w:val="single" w:sz="8" w:space="0" w:color="FF8855" w:themeColor="accent5"/>
        </w:tcBorders>
      </w:tcPr>
    </w:tblStylePr>
    <w:tblStylePr w:type="band1Vert">
      <w:tblPr/>
      <w:tcPr>
        <w:tcBorders>
          <w:top w:val="single" w:sz="8" w:space="0" w:color="FF8855" w:themeColor="accent5"/>
          <w:left w:val="single" w:sz="8" w:space="0" w:color="FF8855" w:themeColor="accent5"/>
          <w:bottom w:val="single" w:sz="8" w:space="0" w:color="FF8855" w:themeColor="accent5"/>
          <w:right w:val="single" w:sz="8" w:space="0" w:color="FF8855" w:themeColor="accent5"/>
        </w:tcBorders>
        <w:shd w:val="clear" w:color="auto" w:fill="FFE1D5" w:themeFill="accent5" w:themeFillTint="3F"/>
      </w:tcPr>
    </w:tblStylePr>
    <w:tblStylePr w:type="band1Horz">
      <w:tblPr/>
      <w:tcPr>
        <w:tcBorders>
          <w:top w:val="single" w:sz="8" w:space="0" w:color="FF8855" w:themeColor="accent5"/>
          <w:left w:val="single" w:sz="8" w:space="0" w:color="FF8855" w:themeColor="accent5"/>
          <w:bottom w:val="single" w:sz="8" w:space="0" w:color="FF8855" w:themeColor="accent5"/>
          <w:right w:val="single" w:sz="8" w:space="0" w:color="FF8855" w:themeColor="accent5"/>
          <w:insideV w:val="single" w:sz="8" w:space="0" w:color="FF8855" w:themeColor="accent5"/>
        </w:tcBorders>
        <w:shd w:val="clear" w:color="auto" w:fill="FFE1D5" w:themeFill="accent5" w:themeFillTint="3F"/>
      </w:tcPr>
    </w:tblStylePr>
    <w:tblStylePr w:type="band2Horz">
      <w:tblPr/>
      <w:tcPr>
        <w:tcBorders>
          <w:top w:val="single" w:sz="8" w:space="0" w:color="FF8855" w:themeColor="accent5"/>
          <w:left w:val="single" w:sz="8" w:space="0" w:color="FF8855" w:themeColor="accent5"/>
          <w:bottom w:val="single" w:sz="8" w:space="0" w:color="FF8855" w:themeColor="accent5"/>
          <w:right w:val="single" w:sz="8" w:space="0" w:color="FF8855" w:themeColor="accent5"/>
          <w:insideV w:val="single" w:sz="8" w:space="0" w:color="FF8855" w:themeColor="accent5"/>
        </w:tcBorders>
      </w:tcPr>
    </w:tblStylePr>
  </w:style>
  <w:style w:type="table" w:styleId="LightGrid-Accent6">
    <w:name w:val="Light Grid Accent 6"/>
    <w:basedOn w:val="TableNormal"/>
    <w:uiPriority w:val="62"/>
    <w:semiHidden/>
    <w:unhideWhenUsed/>
    <w:rsid w:val="00920D86"/>
    <w:pPr>
      <w:spacing w:line="240" w:lineRule="auto"/>
    </w:pPr>
    <w:tblPr>
      <w:tblStyleRowBandSize w:val="1"/>
      <w:tblStyleColBandSize w:val="1"/>
      <w:tblBorders>
        <w:top w:val="single" w:sz="8" w:space="0" w:color="E3E1D8" w:themeColor="accent6"/>
        <w:left w:val="single" w:sz="8" w:space="0" w:color="E3E1D8" w:themeColor="accent6"/>
        <w:bottom w:val="single" w:sz="8" w:space="0" w:color="E3E1D8" w:themeColor="accent6"/>
        <w:right w:val="single" w:sz="8" w:space="0" w:color="E3E1D8" w:themeColor="accent6"/>
        <w:insideH w:val="single" w:sz="8" w:space="0" w:color="E3E1D8" w:themeColor="accent6"/>
        <w:insideV w:val="single" w:sz="8" w:space="0" w:color="E3E1D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3E1D8" w:themeColor="accent6"/>
          <w:left w:val="single" w:sz="8" w:space="0" w:color="E3E1D8" w:themeColor="accent6"/>
          <w:bottom w:val="single" w:sz="18" w:space="0" w:color="E3E1D8" w:themeColor="accent6"/>
          <w:right w:val="single" w:sz="8" w:space="0" w:color="E3E1D8" w:themeColor="accent6"/>
          <w:insideH w:val="nil"/>
          <w:insideV w:val="single" w:sz="8" w:space="0" w:color="E3E1D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3E1D8" w:themeColor="accent6"/>
          <w:left w:val="single" w:sz="8" w:space="0" w:color="E3E1D8" w:themeColor="accent6"/>
          <w:bottom w:val="single" w:sz="8" w:space="0" w:color="E3E1D8" w:themeColor="accent6"/>
          <w:right w:val="single" w:sz="8" w:space="0" w:color="E3E1D8" w:themeColor="accent6"/>
          <w:insideH w:val="nil"/>
          <w:insideV w:val="single" w:sz="8" w:space="0" w:color="E3E1D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3E1D8" w:themeColor="accent6"/>
          <w:left w:val="single" w:sz="8" w:space="0" w:color="E3E1D8" w:themeColor="accent6"/>
          <w:bottom w:val="single" w:sz="8" w:space="0" w:color="E3E1D8" w:themeColor="accent6"/>
          <w:right w:val="single" w:sz="8" w:space="0" w:color="E3E1D8" w:themeColor="accent6"/>
        </w:tcBorders>
      </w:tcPr>
    </w:tblStylePr>
    <w:tblStylePr w:type="band1Vert">
      <w:tblPr/>
      <w:tcPr>
        <w:tcBorders>
          <w:top w:val="single" w:sz="8" w:space="0" w:color="E3E1D8" w:themeColor="accent6"/>
          <w:left w:val="single" w:sz="8" w:space="0" w:color="E3E1D8" w:themeColor="accent6"/>
          <w:bottom w:val="single" w:sz="8" w:space="0" w:color="E3E1D8" w:themeColor="accent6"/>
          <w:right w:val="single" w:sz="8" w:space="0" w:color="E3E1D8" w:themeColor="accent6"/>
        </w:tcBorders>
        <w:shd w:val="clear" w:color="auto" w:fill="F8F7F5" w:themeFill="accent6" w:themeFillTint="3F"/>
      </w:tcPr>
    </w:tblStylePr>
    <w:tblStylePr w:type="band1Horz">
      <w:tblPr/>
      <w:tcPr>
        <w:tcBorders>
          <w:top w:val="single" w:sz="8" w:space="0" w:color="E3E1D8" w:themeColor="accent6"/>
          <w:left w:val="single" w:sz="8" w:space="0" w:color="E3E1D8" w:themeColor="accent6"/>
          <w:bottom w:val="single" w:sz="8" w:space="0" w:color="E3E1D8" w:themeColor="accent6"/>
          <w:right w:val="single" w:sz="8" w:space="0" w:color="E3E1D8" w:themeColor="accent6"/>
          <w:insideV w:val="single" w:sz="8" w:space="0" w:color="E3E1D8" w:themeColor="accent6"/>
        </w:tcBorders>
        <w:shd w:val="clear" w:color="auto" w:fill="F8F7F5" w:themeFill="accent6" w:themeFillTint="3F"/>
      </w:tcPr>
    </w:tblStylePr>
    <w:tblStylePr w:type="band2Horz">
      <w:tblPr/>
      <w:tcPr>
        <w:tcBorders>
          <w:top w:val="single" w:sz="8" w:space="0" w:color="E3E1D8" w:themeColor="accent6"/>
          <w:left w:val="single" w:sz="8" w:space="0" w:color="E3E1D8" w:themeColor="accent6"/>
          <w:bottom w:val="single" w:sz="8" w:space="0" w:color="E3E1D8" w:themeColor="accent6"/>
          <w:right w:val="single" w:sz="8" w:space="0" w:color="E3E1D8" w:themeColor="accent6"/>
          <w:insideV w:val="single" w:sz="8" w:space="0" w:color="E3E1D8" w:themeColor="accent6"/>
        </w:tcBorders>
      </w:tcPr>
    </w:tblStylePr>
  </w:style>
  <w:style w:type="table" w:styleId="LightList">
    <w:name w:val="Light List"/>
    <w:basedOn w:val="TableNormal"/>
    <w:uiPriority w:val="61"/>
    <w:semiHidden/>
    <w:unhideWhenUsed/>
    <w:rsid w:val="00920D86"/>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920D86"/>
    <w:pPr>
      <w:spacing w:line="240" w:lineRule="auto"/>
    </w:pPr>
    <w:tblPr>
      <w:tblStyleRowBandSize w:val="1"/>
      <w:tblStyleColBandSize w:val="1"/>
      <w:tblBorders>
        <w:top w:val="single" w:sz="8" w:space="0" w:color="05326E" w:themeColor="accent1"/>
        <w:left w:val="single" w:sz="8" w:space="0" w:color="05326E" w:themeColor="accent1"/>
        <w:bottom w:val="single" w:sz="8" w:space="0" w:color="05326E" w:themeColor="accent1"/>
        <w:right w:val="single" w:sz="8" w:space="0" w:color="05326E" w:themeColor="accent1"/>
      </w:tblBorders>
    </w:tblPr>
    <w:tblStylePr w:type="firstRow">
      <w:pPr>
        <w:spacing w:before="0" w:after="0" w:line="240" w:lineRule="auto"/>
      </w:pPr>
      <w:rPr>
        <w:b/>
        <w:bCs/>
        <w:color w:val="FFFFFF" w:themeColor="background1"/>
      </w:rPr>
      <w:tblPr/>
      <w:tcPr>
        <w:shd w:val="clear" w:color="auto" w:fill="05326E" w:themeFill="accent1"/>
      </w:tcPr>
    </w:tblStylePr>
    <w:tblStylePr w:type="lastRow">
      <w:pPr>
        <w:spacing w:before="0" w:after="0" w:line="240" w:lineRule="auto"/>
      </w:pPr>
      <w:rPr>
        <w:b/>
        <w:bCs/>
      </w:rPr>
      <w:tblPr/>
      <w:tcPr>
        <w:tcBorders>
          <w:top w:val="double" w:sz="6" w:space="0" w:color="05326E" w:themeColor="accent1"/>
          <w:left w:val="single" w:sz="8" w:space="0" w:color="05326E" w:themeColor="accent1"/>
          <w:bottom w:val="single" w:sz="8" w:space="0" w:color="05326E" w:themeColor="accent1"/>
          <w:right w:val="single" w:sz="8" w:space="0" w:color="05326E" w:themeColor="accent1"/>
        </w:tcBorders>
      </w:tcPr>
    </w:tblStylePr>
    <w:tblStylePr w:type="firstCol">
      <w:rPr>
        <w:b/>
        <w:bCs/>
      </w:rPr>
    </w:tblStylePr>
    <w:tblStylePr w:type="lastCol">
      <w:rPr>
        <w:b/>
        <w:bCs/>
      </w:rPr>
    </w:tblStylePr>
    <w:tblStylePr w:type="band1Vert">
      <w:tblPr/>
      <w:tcPr>
        <w:tcBorders>
          <w:top w:val="single" w:sz="8" w:space="0" w:color="05326E" w:themeColor="accent1"/>
          <w:left w:val="single" w:sz="8" w:space="0" w:color="05326E" w:themeColor="accent1"/>
          <w:bottom w:val="single" w:sz="8" w:space="0" w:color="05326E" w:themeColor="accent1"/>
          <w:right w:val="single" w:sz="8" w:space="0" w:color="05326E" w:themeColor="accent1"/>
        </w:tcBorders>
      </w:tcPr>
    </w:tblStylePr>
    <w:tblStylePr w:type="band1Horz">
      <w:tblPr/>
      <w:tcPr>
        <w:tcBorders>
          <w:top w:val="single" w:sz="8" w:space="0" w:color="05326E" w:themeColor="accent1"/>
          <w:left w:val="single" w:sz="8" w:space="0" w:color="05326E" w:themeColor="accent1"/>
          <w:bottom w:val="single" w:sz="8" w:space="0" w:color="05326E" w:themeColor="accent1"/>
          <w:right w:val="single" w:sz="8" w:space="0" w:color="05326E" w:themeColor="accent1"/>
        </w:tcBorders>
      </w:tcPr>
    </w:tblStylePr>
  </w:style>
  <w:style w:type="table" w:styleId="LightList-Accent2">
    <w:name w:val="Light List Accent 2"/>
    <w:basedOn w:val="TableNormal"/>
    <w:uiPriority w:val="61"/>
    <w:semiHidden/>
    <w:unhideWhenUsed/>
    <w:rsid w:val="00920D86"/>
    <w:pPr>
      <w:spacing w:line="240" w:lineRule="auto"/>
    </w:pPr>
    <w:tblPr>
      <w:tblStyleRowBandSize w:val="1"/>
      <w:tblStyleColBandSize w:val="1"/>
      <w:tblBorders>
        <w:top w:val="single" w:sz="8" w:space="0" w:color="125A40" w:themeColor="accent2"/>
        <w:left w:val="single" w:sz="8" w:space="0" w:color="125A40" w:themeColor="accent2"/>
        <w:bottom w:val="single" w:sz="8" w:space="0" w:color="125A40" w:themeColor="accent2"/>
        <w:right w:val="single" w:sz="8" w:space="0" w:color="125A40" w:themeColor="accent2"/>
      </w:tblBorders>
    </w:tblPr>
    <w:tblStylePr w:type="firstRow">
      <w:pPr>
        <w:spacing w:before="0" w:after="0" w:line="240" w:lineRule="auto"/>
      </w:pPr>
      <w:rPr>
        <w:b/>
        <w:bCs/>
        <w:color w:val="FFFFFF" w:themeColor="background1"/>
      </w:rPr>
      <w:tblPr/>
      <w:tcPr>
        <w:shd w:val="clear" w:color="auto" w:fill="125A40" w:themeFill="accent2"/>
      </w:tcPr>
    </w:tblStylePr>
    <w:tblStylePr w:type="lastRow">
      <w:pPr>
        <w:spacing w:before="0" w:after="0" w:line="240" w:lineRule="auto"/>
      </w:pPr>
      <w:rPr>
        <w:b/>
        <w:bCs/>
      </w:rPr>
      <w:tblPr/>
      <w:tcPr>
        <w:tcBorders>
          <w:top w:val="double" w:sz="6" w:space="0" w:color="125A40" w:themeColor="accent2"/>
          <w:left w:val="single" w:sz="8" w:space="0" w:color="125A40" w:themeColor="accent2"/>
          <w:bottom w:val="single" w:sz="8" w:space="0" w:color="125A40" w:themeColor="accent2"/>
          <w:right w:val="single" w:sz="8" w:space="0" w:color="125A40" w:themeColor="accent2"/>
        </w:tcBorders>
      </w:tcPr>
    </w:tblStylePr>
    <w:tblStylePr w:type="firstCol">
      <w:rPr>
        <w:b/>
        <w:bCs/>
      </w:rPr>
    </w:tblStylePr>
    <w:tblStylePr w:type="lastCol">
      <w:rPr>
        <w:b/>
        <w:bCs/>
      </w:rPr>
    </w:tblStylePr>
    <w:tblStylePr w:type="band1Vert">
      <w:tblPr/>
      <w:tcPr>
        <w:tcBorders>
          <w:top w:val="single" w:sz="8" w:space="0" w:color="125A40" w:themeColor="accent2"/>
          <w:left w:val="single" w:sz="8" w:space="0" w:color="125A40" w:themeColor="accent2"/>
          <w:bottom w:val="single" w:sz="8" w:space="0" w:color="125A40" w:themeColor="accent2"/>
          <w:right w:val="single" w:sz="8" w:space="0" w:color="125A40" w:themeColor="accent2"/>
        </w:tcBorders>
      </w:tcPr>
    </w:tblStylePr>
    <w:tblStylePr w:type="band1Horz">
      <w:tblPr/>
      <w:tcPr>
        <w:tcBorders>
          <w:top w:val="single" w:sz="8" w:space="0" w:color="125A40" w:themeColor="accent2"/>
          <w:left w:val="single" w:sz="8" w:space="0" w:color="125A40" w:themeColor="accent2"/>
          <w:bottom w:val="single" w:sz="8" w:space="0" w:color="125A40" w:themeColor="accent2"/>
          <w:right w:val="single" w:sz="8" w:space="0" w:color="125A40" w:themeColor="accent2"/>
        </w:tcBorders>
      </w:tcPr>
    </w:tblStylePr>
  </w:style>
  <w:style w:type="table" w:styleId="LightList-Accent3">
    <w:name w:val="Light List Accent 3"/>
    <w:basedOn w:val="TableNormal"/>
    <w:uiPriority w:val="61"/>
    <w:semiHidden/>
    <w:unhideWhenUsed/>
    <w:rsid w:val="00920D86"/>
    <w:pPr>
      <w:spacing w:line="240" w:lineRule="auto"/>
    </w:pPr>
    <w:tblPr>
      <w:tblStyleRowBandSize w:val="1"/>
      <w:tblStyleColBandSize w:val="1"/>
      <w:tblBorders>
        <w:top w:val="single" w:sz="8" w:space="0" w:color="ADD095" w:themeColor="accent3"/>
        <w:left w:val="single" w:sz="8" w:space="0" w:color="ADD095" w:themeColor="accent3"/>
        <w:bottom w:val="single" w:sz="8" w:space="0" w:color="ADD095" w:themeColor="accent3"/>
        <w:right w:val="single" w:sz="8" w:space="0" w:color="ADD095" w:themeColor="accent3"/>
      </w:tblBorders>
    </w:tblPr>
    <w:tblStylePr w:type="firstRow">
      <w:pPr>
        <w:spacing w:before="0" w:after="0" w:line="240" w:lineRule="auto"/>
      </w:pPr>
      <w:rPr>
        <w:b/>
        <w:bCs/>
        <w:color w:val="FFFFFF" w:themeColor="background1"/>
      </w:rPr>
      <w:tblPr/>
      <w:tcPr>
        <w:shd w:val="clear" w:color="auto" w:fill="ADD095" w:themeFill="accent3"/>
      </w:tcPr>
    </w:tblStylePr>
    <w:tblStylePr w:type="lastRow">
      <w:pPr>
        <w:spacing w:before="0" w:after="0" w:line="240" w:lineRule="auto"/>
      </w:pPr>
      <w:rPr>
        <w:b/>
        <w:bCs/>
      </w:rPr>
      <w:tblPr/>
      <w:tcPr>
        <w:tcBorders>
          <w:top w:val="double" w:sz="6" w:space="0" w:color="ADD095" w:themeColor="accent3"/>
          <w:left w:val="single" w:sz="8" w:space="0" w:color="ADD095" w:themeColor="accent3"/>
          <w:bottom w:val="single" w:sz="8" w:space="0" w:color="ADD095" w:themeColor="accent3"/>
          <w:right w:val="single" w:sz="8" w:space="0" w:color="ADD095" w:themeColor="accent3"/>
        </w:tcBorders>
      </w:tcPr>
    </w:tblStylePr>
    <w:tblStylePr w:type="firstCol">
      <w:rPr>
        <w:b/>
        <w:bCs/>
      </w:rPr>
    </w:tblStylePr>
    <w:tblStylePr w:type="lastCol">
      <w:rPr>
        <w:b/>
        <w:bCs/>
      </w:rPr>
    </w:tblStylePr>
    <w:tblStylePr w:type="band1Vert">
      <w:tblPr/>
      <w:tcPr>
        <w:tcBorders>
          <w:top w:val="single" w:sz="8" w:space="0" w:color="ADD095" w:themeColor="accent3"/>
          <w:left w:val="single" w:sz="8" w:space="0" w:color="ADD095" w:themeColor="accent3"/>
          <w:bottom w:val="single" w:sz="8" w:space="0" w:color="ADD095" w:themeColor="accent3"/>
          <w:right w:val="single" w:sz="8" w:space="0" w:color="ADD095" w:themeColor="accent3"/>
        </w:tcBorders>
      </w:tcPr>
    </w:tblStylePr>
    <w:tblStylePr w:type="band1Horz">
      <w:tblPr/>
      <w:tcPr>
        <w:tcBorders>
          <w:top w:val="single" w:sz="8" w:space="0" w:color="ADD095" w:themeColor="accent3"/>
          <w:left w:val="single" w:sz="8" w:space="0" w:color="ADD095" w:themeColor="accent3"/>
          <w:bottom w:val="single" w:sz="8" w:space="0" w:color="ADD095" w:themeColor="accent3"/>
          <w:right w:val="single" w:sz="8" w:space="0" w:color="ADD095" w:themeColor="accent3"/>
        </w:tcBorders>
      </w:tcPr>
    </w:tblStylePr>
  </w:style>
  <w:style w:type="table" w:styleId="LightList-Accent4">
    <w:name w:val="Light List Accent 4"/>
    <w:basedOn w:val="TableNormal"/>
    <w:uiPriority w:val="61"/>
    <w:semiHidden/>
    <w:unhideWhenUsed/>
    <w:rsid w:val="00920D86"/>
    <w:pPr>
      <w:spacing w:line="240" w:lineRule="auto"/>
    </w:pPr>
    <w:tblPr>
      <w:tblStyleRowBandSize w:val="1"/>
      <w:tblStyleColBandSize w:val="1"/>
      <w:tblBorders>
        <w:top w:val="single" w:sz="8" w:space="0" w:color="62294B" w:themeColor="accent4"/>
        <w:left w:val="single" w:sz="8" w:space="0" w:color="62294B" w:themeColor="accent4"/>
        <w:bottom w:val="single" w:sz="8" w:space="0" w:color="62294B" w:themeColor="accent4"/>
        <w:right w:val="single" w:sz="8" w:space="0" w:color="62294B" w:themeColor="accent4"/>
      </w:tblBorders>
    </w:tblPr>
    <w:tblStylePr w:type="firstRow">
      <w:pPr>
        <w:spacing w:before="0" w:after="0" w:line="240" w:lineRule="auto"/>
      </w:pPr>
      <w:rPr>
        <w:b/>
        <w:bCs/>
        <w:color w:val="FFFFFF" w:themeColor="background1"/>
      </w:rPr>
      <w:tblPr/>
      <w:tcPr>
        <w:shd w:val="clear" w:color="auto" w:fill="62294B" w:themeFill="accent4"/>
      </w:tcPr>
    </w:tblStylePr>
    <w:tblStylePr w:type="lastRow">
      <w:pPr>
        <w:spacing w:before="0" w:after="0" w:line="240" w:lineRule="auto"/>
      </w:pPr>
      <w:rPr>
        <w:b/>
        <w:bCs/>
      </w:rPr>
      <w:tblPr/>
      <w:tcPr>
        <w:tcBorders>
          <w:top w:val="double" w:sz="6" w:space="0" w:color="62294B" w:themeColor="accent4"/>
          <w:left w:val="single" w:sz="8" w:space="0" w:color="62294B" w:themeColor="accent4"/>
          <w:bottom w:val="single" w:sz="8" w:space="0" w:color="62294B" w:themeColor="accent4"/>
          <w:right w:val="single" w:sz="8" w:space="0" w:color="62294B" w:themeColor="accent4"/>
        </w:tcBorders>
      </w:tcPr>
    </w:tblStylePr>
    <w:tblStylePr w:type="firstCol">
      <w:rPr>
        <w:b/>
        <w:bCs/>
      </w:rPr>
    </w:tblStylePr>
    <w:tblStylePr w:type="lastCol">
      <w:rPr>
        <w:b/>
        <w:bCs/>
      </w:rPr>
    </w:tblStylePr>
    <w:tblStylePr w:type="band1Vert">
      <w:tblPr/>
      <w:tcPr>
        <w:tcBorders>
          <w:top w:val="single" w:sz="8" w:space="0" w:color="62294B" w:themeColor="accent4"/>
          <w:left w:val="single" w:sz="8" w:space="0" w:color="62294B" w:themeColor="accent4"/>
          <w:bottom w:val="single" w:sz="8" w:space="0" w:color="62294B" w:themeColor="accent4"/>
          <w:right w:val="single" w:sz="8" w:space="0" w:color="62294B" w:themeColor="accent4"/>
        </w:tcBorders>
      </w:tcPr>
    </w:tblStylePr>
    <w:tblStylePr w:type="band1Horz">
      <w:tblPr/>
      <w:tcPr>
        <w:tcBorders>
          <w:top w:val="single" w:sz="8" w:space="0" w:color="62294B" w:themeColor="accent4"/>
          <w:left w:val="single" w:sz="8" w:space="0" w:color="62294B" w:themeColor="accent4"/>
          <w:bottom w:val="single" w:sz="8" w:space="0" w:color="62294B" w:themeColor="accent4"/>
          <w:right w:val="single" w:sz="8" w:space="0" w:color="62294B" w:themeColor="accent4"/>
        </w:tcBorders>
      </w:tcPr>
    </w:tblStylePr>
  </w:style>
  <w:style w:type="table" w:styleId="LightList-Accent5">
    <w:name w:val="Light List Accent 5"/>
    <w:basedOn w:val="TableNormal"/>
    <w:uiPriority w:val="61"/>
    <w:semiHidden/>
    <w:unhideWhenUsed/>
    <w:rsid w:val="00920D86"/>
    <w:pPr>
      <w:spacing w:line="240" w:lineRule="auto"/>
    </w:pPr>
    <w:tblPr>
      <w:tblStyleRowBandSize w:val="1"/>
      <w:tblStyleColBandSize w:val="1"/>
      <w:tblBorders>
        <w:top w:val="single" w:sz="8" w:space="0" w:color="FF8855" w:themeColor="accent5"/>
        <w:left w:val="single" w:sz="8" w:space="0" w:color="FF8855" w:themeColor="accent5"/>
        <w:bottom w:val="single" w:sz="8" w:space="0" w:color="FF8855" w:themeColor="accent5"/>
        <w:right w:val="single" w:sz="8" w:space="0" w:color="FF8855" w:themeColor="accent5"/>
      </w:tblBorders>
    </w:tblPr>
    <w:tblStylePr w:type="firstRow">
      <w:pPr>
        <w:spacing w:before="0" w:after="0" w:line="240" w:lineRule="auto"/>
      </w:pPr>
      <w:rPr>
        <w:b/>
        <w:bCs/>
        <w:color w:val="FFFFFF" w:themeColor="background1"/>
      </w:rPr>
      <w:tblPr/>
      <w:tcPr>
        <w:shd w:val="clear" w:color="auto" w:fill="FF8855" w:themeFill="accent5"/>
      </w:tcPr>
    </w:tblStylePr>
    <w:tblStylePr w:type="lastRow">
      <w:pPr>
        <w:spacing w:before="0" w:after="0" w:line="240" w:lineRule="auto"/>
      </w:pPr>
      <w:rPr>
        <w:b/>
        <w:bCs/>
      </w:rPr>
      <w:tblPr/>
      <w:tcPr>
        <w:tcBorders>
          <w:top w:val="double" w:sz="6" w:space="0" w:color="FF8855" w:themeColor="accent5"/>
          <w:left w:val="single" w:sz="8" w:space="0" w:color="FF8855" w:themeColor="accent5"/>
          <w:bottom w:val="single" w:sz="8" w:space="0" w:color="FF8855" w:themeColor="accent5"/>
          <w:right w:val="single" w:sz="8" w:space="0" w:color="FF8855" w:themeColor="accent5"/>
        </w:tcBorders>
      </w:tcPr>
    </w:tblStylePr>
    <w:tblStylePr w:type="firstCol">
      <w:rPr>
        <w:b/>
        <w:bCs/>
      </w:rPr>
    </w:tblStylePr>
    <w:tblStylePr w:type="lastCol">
      <w:rPr>
        <w:b/>
        <w:bCs/>
      </w:rPr>
    </w:tblStylePr>
    <w:tblStylePr w:type="band1Vert">
      <w:tblPr/>
      <w:tcPr>
        <w:tcBorders>
          <w:top w:val="single" w:sz="8" w:space="0" w:color="FF8855" w:themeColor="accent5"/>
          <w:left w:val="single" w:sz="8" w:space="0" w:color="FF8855" w:themeColor="accent5"/>
          <w:bottom w:val="single" w:sz="8" w:space="0" w:color="FF8855" w:themeColor="accent5"/>
          <w:right w:val="single" w:sz="8" w:space="0" w:color="FF8855" w:themeColor="accent5"/>
        </w:tcBorders>
      </w:tcPr>
    </w:tblStylePr>
    <w:tblStylePr w:type="band1Horz">
      <w:tblPr/>
      <w:tcPr>
        <w:tcBorders>
          <w:top w:val="single" w:sz="8" w:space="0" w:color="FF8855" w:themeColor="accent5"/>
          <w:left w:val="single" w:sz="8" w:space="0" w:color="FF8855" w:themeColor="accent5"/>
          <w:bottom w:val="single" w:sz="8" w:space="0" w:color="FF8855" w:themeColor="accent5"/>
          <w:right w:val="single" w:sz="8" w:space="0" w:color="FF8855" w:themeColor="accent5"/>
        </w:tcBorders>
      </w:tcPr>
    </w:tblStylePr>
  </w:style>
  <w:style w:type="table" w:styleId="LightList-Accent6">
    <w:name w:val="Light List Accent 6"/>
    <w:basedOn w:val="TableNormal"/>
    <w:uiPriority w:val="61"/>
    <w:semiHidden/>
    <w:unhideWhenUsed/>
    <w:rsid w:val="00920D86"/>
    <w:pPr>
      <w:spacing w:line="240" w:lineRule="auto"/>
    </w:pPr>
    <w:tblPr>
      <w:tblStyleRowBandSize w:val="1"/>
      <w:tblStyleColBandSize w:val="1"/>
      <w:tblBorders>
        <w:top w:val="single" w:sz="8" w:space="0" w:color="E3E1D8" w:themeColor="accent6"/>
        <w:left w:val="single" w:sz="8" w:space="0" w:color="E3E1D8" w:themeColor="accent6"/>
        <w:bottom w:val="single" w:sz="8" w:space="0" w:color="E3E1D8" w:themeColor="accent6"/>
        <w:right w:val="single" w:sz="8" w:space="0" w:color="E3E1D8" w:themeColor="accent6"/>
      </w:tblBorders>
    </w:tblPr>
    <w:tblStylePr w:type="firstRow">
      <w:pPr>
        <w:spacing w:before="0" w:after="0" w:line="240" w:lineRule="auto"/>
      </w:pPr>
      <w:rPr>
        <w:b/>
        <w:bCs/>
        <w:color w:val="FFFFFF" w:themeColor="background1"/>
      </w:rPr>
      <w:tblPr/>
      <w:tcPr>
        <w:shd w:val="clear" w:color="auto" w:fill="E3E1D8" w:themeFill="accent6"/>
      </w:tcPr>
    </w:tblStylePr>
    <w:tblStylePr w:type="lastRow">
      <w:pPr>
        <w:spacing w:before="0" w:after="0" w:line="240" w:lineRule="auto"/>
      </w:pPr>
      <w:rPr>
        <w:b/>
        <w:bCs/>
      </w:rPr>
      <w:tblPr/>
      <w:tcPr>
        <w:tcBorders>
          <w:top w:val="double" w:sz="6" w:space="0" w:color="E3E1D8" w:themeColor="accent6"/>
          <w:left w:val="single" w:sz="8" w:space="0" w:color="E3E1D8" w:themeColor="accent6"/>
          <w:bottom w:val="single" w:sz="8" w:space="0" w:color="E3E1D8" w:themeColor="accent6"/>
          <w:right w:val="single" w:sz="8" w:space="0" w:color="E3E1D8" w:themeColor="accent6"/>
        </w:tcBorders>
      </w:tcPr>
    </w:tblStylePr>
    <w:tblStylePr w:type="firstCol">
      <w:rPr>
        <w:b/>
        <w:bCs/>
      </w:rPr>
    </w:tblStylePr>
    <w:tblStylePr w:type="lastCol">
      <w:rPr>
        <w:b/>
        <w:bCs/>
      </w:rPr>
    </w:tblStylePr>
    <w:tblStylePr w:type="band1Vert">
      <w:tblPr/>
      <w:tcPr>
        <w:tcBorders>
          <w:top w:val="single" w:sz="8" w:space="0" w:color="E3E1D8" w:themeColor="accent6"/>
          <w:left w:val="single" w:sz="8" w:space="0" w:color="E3E1D8" w:themeColor="accent6"/>
          <w:bottom w:val="single" w:sz="8" w:space="0" w:color="E3E1D8" w:themeColor="accent6"/>
          <w:right w:val="single" w:sz="8" w:space="0" w:color="E3E1D8" w:themeColor="accent6"/>
        </w:tcBorders>
      </w:tcPr>
    </w:tblStylePr>
    <w:tblStylePr w:type="band1Horz">
      <w:tblPr/>
      <w:tcPr>
        <w:tcBorders>
          <w:top w:val="single" w:sz="8" w:space="0" w:color="E3E1D8" w:themeColor="accent6"/>
          <w:left w:val="single" w:sz="8" w:space="0" w:color="E3E1D8" w:themeColor="accent6"/>
          <w:bottom w:val="single" w:sz="8" w:space="0" w:color="E3E1D8" w:themeColor="accent6"/>
          <w:right w:val="single" w:sz="8" w:space="0" w:color="E3E1D8" w:themeColor="accent6"/>
        </w:tcBorders>
      </w:tcPr>
    </w:tblStylePr>
  </w:style>
  <w:style w:type="table" w:styleId="LightShading">
    <w:name w:val="Light Shading"/>
    <w:basedOn w:val="TableNormal"/>
    <w:uiPriority w:val="60"/>
    <w:semiHidden/>
    <w:unhideWhenUsed/>
    <w:rsid w:val="00920D86"/>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920D86"/>
    <w:pPr>
      <w:spacing w:line="240" w:lineRule="auto"/>
    </w:pPr>
    <w:rPr>
      <w:color w:val="032552" w:themeColor="accent1" w:themeShade="BF"/>
    </w:rPr>
    <w:tblPr>
      <w:tblStyleRowBandSize w:val="1"/>
      <w:tblStyleColBandSize w:val="1"/>
      <w:tblBorders>
        <w:top w:val="single" w:sz="8" w:space="0" w:color="05326E" w:themeColor="accent1"/>
        <w:bottom w:val="single" w:sz="8" w:space="0" w:color="05326E" w:themeColor="accent1"/>
      </w:tblBorders>
    </w:tblPr>
    <w:tblStylePr w:type="firstRow">
      <w:pPr>
        <w:spacing w:before="0" w:after="0" w:line="240" w:lineRule="auto"/>
      </w:pPr>
      <w:rPr>
        <w:b/>
        <w:bCs/>
      </w:rPr>
      <w:tblPr/>
      <w:tcPr>
        <w:tcBorders>
          <w:top w:val="single" w:sz="8" w:space="0" w:color="05326E" w:themeColor="accent1"/>
          <w:left w:val="nil"/>
          <w:bottom w:val="single" w:sz="8" w:space="0" w:color="05326E" w:themeColor="accent1"/>
          <w:right w:val="nil"/>
          <w:insideH w:val="nil"/>
          <w:insideV w:val="nil"/>
        </w:tcBorders>
      </w:tcPr>
    </w:tblStylePr>
    <w:tblStylePr w:type="lastRow">
      <w:pPr>
        <w:spacing w:before="0" w:after="0" w:line="240" w:lineRule="auto"/>
      </w:pPr>
      <w:rPr>
        <w:b/>
        <w:bCs/>
      </w:rPr>
      <w:tblPr/>
      <w:tcPr>
        <w:tcBorders>
          <w:top w:val="single" w:sz="8" w:space="0" w:color="05326E" w:themeColor="accent1"/>
          <w:left w:val="nil"/>
          <w:bottom w:val="single" w:sz="8" w:space="0" w:color="05326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1C7FA" w:themeFill="accent1" w:themeFillTint="3F"/>
      </w:tcPr>
    </w:tblStylePr>
    <w:tblStylePr w:type="band1Horz">
      <w:tblPr/>
      <w:tcPr>
        <w:tcBorders>
          <w:left w:val="nil"/>
          <w:right w:val="nil"/>
          <w:insideH w:val="nil"/>
          <w:insideV w:val="nil"/>
        </w:tcBorders>
        <w:shd w:val="clear" w:color="auto" w:fill="A1C7FA" w:themeFill="accent1" w:themeFillTint="3F"/>
      </w:tcPr>
    </w:tblStylePr>
  </w:style>
  <w:style w:type="table" w:styleId="LightShading-Accent2">
    <w:name w:val="Light Shading Accent 2"/>
    <w:basedOn w:val="TableNormal"/>
    <w:uiPriority w:val="60"/>
    <w:semiHidden/>
    <w:unhideWhenUsed/>
    <w:rsid w:val="00920D86"/>
    <w:pPr>
      <w:spacing w:line="240" w:lineRule="auto"/>
    </w:pPr>
    <w:rPr>
      <w:color w:val="0D432F" w:themeColor="accent2" w:themeShade="BF"/>
    </w:rPr>
    <w:tblPr>
      <w:tblStyleRowBandSize w:val="1"/>
      <w:tblStyleColBandSize w:val="1"/>
      <w:tblBorders>
        <w:top w:val="single" w:sz="8" w:space="0" w:color="125A40" w:themeColor="accent2"/>
        <w:bottom w:val="single" w:sz="8" w:space="0" w:color="125A40" w:themeColor="accent2"/>
      </w:tblBorders>
    </w:tblPr>
    <w:tblStylePr w:type="firstRow">
      <w:pPr>
        <w:spacing w:before="0" w:after="0" w:line="240" w:lineRule="auto"/>
      </w:pPr>
      <w:rPr>
        <w:b/>
        <w:bCs/>
      </w:rPr>
      <w:tblPr/>
      <w:tcPr>
        <w:tcBorders>
          <w:top w:val="single" w:sz="8" w:space="0" w:color="125A40" w:themeColor="accent2"/>
          <w:left w:val="nil"/>
          <w:bottom w:val="single" w:sz="8" w:space="0" w:color="125A40" w:themeColor="accent2"/>
          <w:right w:val="nil"/>
          <w:insideH w:val="nil"/>
          <w:insideV w:val="nil"/>
        </w:tcBorders>
      </w:tcPr>
    </w:tblStylePr>
    <w:tblStylePr w:type="lastRow">
      <w:pPr>
        <w:spacing w:before="0" w:after="0" w:line="240" w:lineRule="auto"/>
      </w:pPr>
      <w:rPr>
        <w:b/>
        <w:bCs/>
      </w:rPr>
      <w:tblPr/>
      <w:tcPr>
        <w:tcBorders>
          <w:top w:val="single" w:sz="8" w:space="0" w:color="125A40" w:themeColor="accent2"/>
          <w:left w:val="nil"/>
          <w:bottom w:val="single" w:sz="8" w:space="0" w:color="125A4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CEED6" w:themeFill="accent2" w:themeFillTint="3F"/>
      </w:tcPr>
    </w:tblStylePr>
    <w:tblStylePr w:type="band1Horz">
      <w:tblPr/>
      <w:tcPr>
        <w:tcBorders>
          <w:left w:val="nil"/>
          <w:right w:val="nil"/>
          <w:insideH w:val="nil"/>
          <w:insideV w:val="nil"/>
        </w:tcBorders>
        <w:shd w:val="clear" w:color="auto" w:fill="ACEED6" w:themeFill="accent2" w:themeFillTint="3F"/>
      </w:tcPr>
    </w:tblStylePr>
  </w:style>
  <w:style w:type="table" w:styleId="LightShading-Accent3">
    <w:name w:val="Light Shading Accent 3"/>
    <w:basedOn w:val="TableNormal"/>
    <w:uiPriority w:val="60"/>
    <w:semiHidden/>
    <w:unhideWhenUsed/>
    <w:rsid w:val="00920D86"/>
    <w:pPr>
      <w:spacing w:line="240" w:lineRule="auto"/>
    </w:pPr>
    <w:rPr>
      <w:color w:val="7CB456" w:themeColor="accent3" w:themeShade="BF"/>
    </w:rPr>
    <w:tblPr>
      <w:tblStyleRowBandSize w:val="1"/>
      <w:tblStyleColBandSize w:val="1"/>
      <w:tblBorders>
        <w:top w:val="single" w:sz="8" w:space="0" w:color="ADD095" w:themeColor="accent3"/>
        <w:bottom w:val="single" w:sz="8" w:space="0" w:color="ADD095" w:themeColor="accent3"/>
      </w:tblBorders>
    </w:tblPr>
    <w:tblStylePr w:type="firstRow">
      <w:pPr>
        <w:spacing w:before="0" w:after="0" w:line="240" w:lineRule="auto"/>
      </w:pPr>
      <w:rPr>
        <w:b/>
        <w:bCs/>
      </w:rPr>
      <w:tblPr/>
      <w:tcPr>
        <w:tcBorders>
          <w:top w:val="single" w:sz="8" w:space="0" w:color="ADD095" w:themeColor="accent3"/>
          <w:left w:val="nil"/>
          <w:bottom w:val="single" w:sz="8" w:space="0" w:color="ADD095" w:themeColor="accent3"/>
          <w:right w:val="nil"/>
          <w:insideH w:val="nil"/>
          <w:insideV w:val="nil"/>
        </w:tcBorders>
      </w:tcPr>
    </w:tblStylePr>
    <w:tblStylePr w:type="lastRow">
      <w:pPr>
        <w:spacing w:before="0" w:after="0" w:line="240" w:lineRule="auto"/>
      </w:pPr>
      <w:rPr>
        <w:b/>
        <w:bCs/>
      </w:rPr>
      <w:tblPr/>
      <w:tcPr>
        <w:tcBorders>
          <w:top w:val="single" w:sz="8" w:space="0" w:color="ADD095" w:themeColor="accent3"/>
          <w:left w:val="nil"/>
          <w:bottom w:val="single" w:sz="8" w:space="0" w:color="ADD09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AF3E4" w:themeFill="accent3" w:themeFillTint="3F"/>
      </w:tcPr>
    </w:tblStylePr>
    <w:tblStylePr w:type="band1Horz">
      <w:tblPr/>
      <w:tcPr>
        <w:tcBorders>
          <w:left w:val="nil"/>
          <w:right w:val="nil"/>
          <w:insideH w:val="nil"/>
          <w:insideV w:val="nil"/>
        </w:tcBorders>
        <w:shd w:val="clear" w:color="auto" w:fill="EAF3E4" w:themeFill="accent3" w:themeFillTint="3F"/>
      </w:tcPr>
    </w:tblStylePr>
  </w:style>
  <w:style w:type="table" w:styleId="LightShading-Accent4">
    <w:name w:val="Light Shading Accent 4"/>
    <w:basedOn w:val="TableNormal"/>
    <w:uiPriority w:val="60"/>
    <w:semiHidden/>
    <w:unhideWhenUsed/>
    <w:rsid w:val="00920D86"/>
    <w:pPr>
      <w:spacing w:line="240" w:lineRule="auto"/>
    </w:pPr>
    <w:rPr>
      <w:color w:val="491E38" w:themeColor="accent4" w:themeShade="BF"/>
    </w:rPr>
    <w:tblPr>
      <w:tblStyleRowBandSize w:val="1"/>
      <w:tblStyleColBandSize w:val="1"/>
      <w:tblBorders>
        <w:top w:val="single" w:sz="8" w:space="0" w:color="62294B" w:themeColor="accent4"/>
        <w:bottom w:val="single" w:sz="8" w:space="0" w:color="62294B" w:themeColor="accent4"/>
      </w:tblBorders>
    </w:tblPr>
    <w:tblStylePr w:type="firstRow">
      <w:pPr>
        <w:spacing w:before="0" w:after="0" w:line="240" w:lineRule="auto"/>
      </w:pPr>
      <w:rPr>
        <w:b/>
        <w:bCs/>
      </w:rPr>
      <w:tblPr/>
      <w:tcPr>
        <w:tcBorders>
          <w:top w:val="single" w:sz="8" w:space="0" w:color="62294B" w:themeColor="accent4"/>
          <w:left w:val="nil"/>
          <w:bottom w:val="single" w:sz="8" w:space="0" w:color="62294B" w:themeColor="accent4"/>
          <w:right w:val="nil"/>
          <w:insideH w:val="nil"/>
          <w:insideV w:val="nil"/>
        </w:tcBorders>
      </w:tcPr>
    </w:tblStylePr>
    <w:tblStylePr w:type="lastRow">
      <w:pPr>
        <w:spacing w:before="0" w:after="0" w:line="240" w:lineRule="auto"/>
      </w:pPr>
      <w:rPr>
        <w:b/>
        <w:bCs/>
      </w:rPr>
      <w:tblPr/>
      <w:tcPr>
        <w:tcBorders>
          <w:top w:val="single" w:sz="8" w:space="0" w:color="62294B" w:themeColor="accent4"/>
          <w:left w:val="nil"/>
          <w:bottom w:val="single" w:sz="8" w:space="0" w:color="62294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BED4" w:themeFill="accent4" w:themeFillTint="3F"/>
      </w:tcPr>
    </w:tblStylePr>
    <w:tblStylePr w:type="band1Horz">
      <w:tblPr/>
      <w:tcPr>
        <w:tcBorders>
          <w:left w:val="nil"/>
          <w:right w:val="nil"/>
          <w:insideH w:val="nil"/>
          <w:insideV w:val="nil"/>
        </w:tcBorders>
        <w:shd w:val="clear" w:color="auto" w:fill="E4BED4" w:themeFill="accent4" w:themeFillTint="3F"/>
      </w:tcPr>
    </w:tblStylePr>
  </w:style>
  <w:style w:type="table" w:styleId="LightShading-Accent5">
    <w:name w:val="Light Shading Accent 5"/>
    <w:basedOn w:val="TableNormal"/>
    <w:uiPriority w:val="60"/>
    <w:semiHidden/>
    <w:unhideWhenUsed/>
    <w:rsid w:val="00920D86"/>
    <w:pPr>
      <w:spacing w:line="240" w:lineRule="auto"/>
    </w:pPr>
    <w:rPr>
      <w:color w:val="FE4B00" w:themeColor="accent5" w:themeShade="BF"/>
    </w:rPr>
    <w:tblPr>
      <w:tblStyleRowBandSize w:val="1"/>
      <w:tblStyleColBandSize w:val="1"/>
      <w:tblBorders>
        <w:top w:val="single" w:sz="8" w:space="0" w:color="FF8855" w:themeColor="accent5"/>
        <w:bottom w:val="single" w:sz="8" w:space="0" w:color="FF8855" w:themeColor="accent5"/>
      </w:tblBorders>
    </w:tblPr>
    <w:tblStylePr w:type="firstRow">
      <w:pPr>
        <w:spacing w:before="0" w:after="0" w:line="240" w:lineRule="auto"/>
      </w:pPr>
      <w:rPr>
        <w:b/>
        <w:bCs/>
      </w:rPr>
      <w:tblPr/>
      <w:tcPr>
        <w:tcBorders>
          <w:top w:val="single" w:sz="8" w:space="0" w:color="FF8855" w:themeColor="accent5"/>
          <w:left w:val="nil"/>
          <w:bottom w:val="single" w:sz="8" w:space="0" w:color="FF8855" w:themeColor="accent5"/>
          <w:right w:val="nil"/>
          <w:insideH w:val="nil"/>
          <w:insideV w:val="nil"/>
        </w:tcBorders>
      </w:tcPr>
    </w:tblStylePr>
    <w:tblStylePr w:type="lastRow">
      <w:pPr>
        <w:spacing w:before="0" w:after="0" w:line="240" w:lineRule="auto"/>
      </w:pPr>
      <w:rPr>
        <w:b/>
        <w:bCs/>
      </w:rPr>
      <w:tblPr/>
      <w:tcPr>
        <w:tcBorders>
          <w:top w:val="single" w:sz="8" w:space="0" w:color="FF8855" w:themeColor="accent5"/>
          <w:left w:val="nil"/>
          <w:bottom w:val="single" w:sz="8" w:space="0" w:color="FF885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1D5" w:themeFill="accent5" w:themeFillTint="3F"/>
      </w:tcPr>
    </w:tblStylePr>
    <w:tblStylePr w:type="band1Horz">
      <w:tblPr/>
      <w:tcPr>
        <w:tcBorders>
          <w:left w:val="nil"/>
          <w:right w:val="nil"/>
          <w:insideH w:val="nil"/>
          <w:insideV w:val="nil"/>
        </w:tcBorders>
        <w:shd w:val="clear" w:color="auto" w:fill="FFE1D5" w:themeFill="accent5" w:themeFillTint="3F"/>
      </w:tcPr>
    </w:tblStylePr>
  </w:style>
  <w:style w:type="table" w:styleId="LightShading-Accent6">
    <w:name w:val="Light Shading Accent 6"/>
    <w:basedOn w:val="TableNormal"/>
    <w:uiPriority w:val="60"/>
    <w:semiHidden/>
    <w:unhideWhenUsed/>
    <w:rsid w:val="00920D86"/>
    <w:pPr>
      <w:spacing w:line="240" w:lineRule="auto"/>
    </w:pPr>
    <w:rPr>
      <w:color w:val="B4AF97" w:themeColor="accent6" w:themeShade="BF"/>
    </w:rPr>
    <w:tblPr>
      <w:tblStyleRowBandSize w:val="1"/>
      <w:tblStyleColBandSize w:val="1"/>
      <w:tblBorders>
        <w:top w:val="single" w:sz="8" w:space="0" w:color="E3E1D8" w:themeColor="accent6"/>
        <w:bottom w:val="single" w:sz="8" w:space="0" w:color="E3E1D8" w:themeColor="accent6"/>
      </w:tblBorders>
    </w:tblPr>
    <w:tblStylePr w:type="firstRow">
      <w:pPr>
        <w:spacing w:before="0" w:after="0" w:line="240" w:lineRule="auto"/>
      </w:pPr>
      <w:rPr>
        <w:b/>
        <w:bCs/>
      </w:rPr>
      <w:tblPr/>
      <w:tcPr>
        <w:tcBorders>
          <w:top w:val="single" w:sz="8" w:space="0" w:color="E3E1D8" w:themeColor="accent6"/>
          <w:left w:val="nil"/>
          <w:bottom w:val="single" w:sz="8" w:space="0" w:color="E3E1D8" w:themeColor="accent6"/>
          <w:right w:val="nil"/>
          <w:insideH w:val="nil"/>
          <w:insideV w:val="nil"/>
        </w:tcBorders>
      </w:tcPr>
    </w:tblStylePr>
    <w:tblStylePr w:type="lastRow">
      <w:pPr>
        <w:spacing w:before="0" w:after="0" w:line="240" w:lineRule="auto"/>
      </w:pPr>
      <w:rPr>
        <w:b/>
        <w:bCs/>
      </w:rPr>
      <w:tblPr/>
      <w:tcPr>
        <w:tcBorders>
          <w:top w:val="single" w:sz="8" w:space="0" w:color="E3E1D8" w:themeColor="accent6"/>
          <w:left w:val="nil"/>
          <w:bottom w:val="single" w:sz="8" w:space="0" w:color="E3E1D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F7F5" w:themeFill="accent6" w:themeFillTint="3F"/>
      </w:tcPr>
    </w:tblStylePr>
    <w:tblStylePr w:type="band1Horz">
      <w:tblPr/>
      <w:tcPr>
        <w:tcBorders>
          <w:left w:val="nil"/>
          <w:right w:val="nil"/>
          <w:insideH w:val="nil"/>
          <w:insideV w:val="nil"/>
        </w:tcBorders>
        <w:shd w:val="clear" w:color="auto" w:fill="F8F7F5" w:themeFill="accent6" w:themeFillTint="3F"/>
      </w:tcPr>
    </w:tblStylePr>
  </w:style>
  <w:style w:type="character" w:styleId="LineNumber">
    <w:name w:val="line number"/>
    <w:basedOn w:val="DefaultParagraphFont"/>
    <w:uiPriority w:val="99"/>
    <w:semiHidden/>
    <w:rsid w:val="00920D86"/>
    <w:rPr>
      <w:lang w:val="en-US"/>
    </w:rPr>
  </w:style>
  <w:style w:type="paragraph" w:styleId="List">
    <w:name w:val="List"/>
    <w:basedOn w:val="Normal"/>
    <w:uiPriority w:val="99"/>
    <w:semiHidden/>
    <w:rsid w:val="00920D86"/>
    <w:pPr>
      <w:ind w:left="283" w:hanging="283"/>
      <w:contextualSpacing/>
    </w:pPr>
  </w:style>
  <w:style w:type="paragraph" w:styleId="List2">
    <w:name w:val="List 2"/>
    <w:basedOn w:val="Normal"/>
    <w:uiPriority w:val="99"/>
    <w:semiHidden/>
    <w:rsid w:val="00920D86"/>
    <w:pPr>
      <w:ind w:left="566" w:hanging="283"/>
      <w:contextualSpacing/>
    </w:pPr>
  </w:style>
  <w:style w:type="paragraph" w:styleId="List3">
    <w:name w:val="List 3"/>
    <w:basedOn w:val="Normal"/>
    <w:uiPriority w:val="99"/>
    <w:semiHidden/>
    <w:rsid w:val="00920D86"/>
    <w:pPr>
      <w:ind w:left="849" w:hanging="283"/>
      <w:contextualSpacing/>
    </w:pPr>
  </w:style>
  <w:style w:type="paragraph" w:styleId="List4">
    <w:name w:val="List 4"/>
    <w:basedOn w:val="Normal"/>
    <w:uiPriority w:val="99"/>
    <w:semiHidden/>
    <w:rsid w:val="00920D86"/>
    <w:pPr>
      <w:ind w:left="1132" w:hanging="283"/>
      <w:contextualSpacing/>
    </w:pPr>
  </w:style>
  <w:style w:type="paragraph" w:styleId="List5">
    <w:name w:val="List 5"/>
    <w:basedOn w:val="Normal"/>
    <w:uiPriority w:val="99"/>
    <w:semiHidden/>
    <w:rsid w:val="00920D86"/>
    <w:pPr>
      <w:ind w:left="1415" w:hanging="283"/>
      <w:contextualSpacing/>
    </w:pPr>
  </w:style>
  <w:style w:type="paragraph" w:styleId="ListBullet2">
    <w:name w:val="List Bullet 2"/>
    <w:basedOn w:val="Normal"/>
    <w:uiPriority w:val="99"/>
    <w:semiHidden/>
    <w:rsid w:val="00920D86"/>
    <w:pPr>
      <w:numPr>
        <w:numId w:val="4"/>
      </w:numPr>
      <w:contextualSpacing/>
    </w:pPr>
  </w:style>
  <w:style w:type="paragraph" w:styleId="ListBullet3">
    <w:name w:val="List Bullet 3"/>
    <w:basedOn w:val="Normal"/>
    <w:uiPriority w:val="99"/>
    <w:semiHidden/>
    <w:rsid w:val="00920D86"/>
    <w:pPr>
      <w:numPr>
        <w:numId w:val="5"/>
      </w:numPr>
      <w:contextualSpacing/>
    </w:pPr>
  </w:style>
  <w:style w:type="paragraph" w:styleId="ListBullet4">
    <w:name w:val="List Bullet 4"/>
    <w:basedOn w:val="Normal"/>
    <w:uiPriority w:val="99"/>
    <w:semiHidden/>
    <w:rsid w:val="00920D86"/>
    <w:pPr>
      <w:numPr>
        <w:numId w:val="6"/>
      </w:numPr>
      <w:contextualSpacing/>
    </w:pPr>
  </w:style>
  <w:style w:type="paragraph" w:styleId="ListBullet5">
    <w:name w:val="List Bullet 5"/>
    <w:basedOn w:val="Normal"/>
    <w:uiPriority w:val="99"/>
    <w:semiHidden/>
    <w:rsid w:val="00920D86"/>
    <w:pPr>
      <w:numPr>
        <w:numId w:val="7"/>
      </w:numPr>
      <w:contextualSpacing/>
    </w:pPr>
  </w:style>
  <w:style w:type="paragraph" w:styleId="ListContinue">
    <w:name w:val="List Continue"/>
    <w:basedOn w:val="Normal"/>
    <w:uiPriority w:val="99"/>
    <w:semiHidden/>
    <w:rsid w:val="00920D86"/>
    <w:pPr>
      <w:spacing w:after="120"/>
      <w:ind w:left="283"/>
      <w:contextualSpacing/>
    </w:pPr>
  </w:style>
  <w:style w:type="paragraph" w:styleId="ListContinue2">
    <w:name w:val="List Continue 2"/>
    <w:basedOn w:val="Normal"/>
    <w:uiPriority w:val="99"/>
    <w:semiHidden/>
    <w:rsid w:val="00920D86"/>
    <w:pPr>
      <w:spacing w:after="120"/>
      <w:ind w:left="566"/>
      <w:contextualSpacing/>
    </w:pPr>
  </w:style>
  <w:style w:type="paragraph" w:styleId="ListContinue3">
    <w:name w:val="List Continue 3"/>
    <w:basedOn w:val="Normal"/>
    <w:uiPriority w:val="99"/>
    <w:semiHidden/>
    <w:rsid w:val="00920D86"/>
    <w:pPr>
      <w:spacing w:after="120"/>
      <w:ind w:left="849"/>
      <w:contextualSpacing/>
    </w:pPr>
  </w:style>
  <w:style w:type="paragraph" w:styleId="ListContinue4">
    <w:name w:val="List Continue 4"/>
    <w:basedOn w:val="Normal"/>
    <w:uiPriority w:val="99"/>
    <w:semiHidden/>
    <w:rsid w:val="00920D86"/>
    <w:pPr>
      <w:spacing w:after="120"/>
      <w:ind w:left="1132"/>
      <w:contextualSpacing/>
    </w:pPr>
  </w:style>
  <w:style w:type="paragraph" w:styleId="ListContinue5">
    <w:name w:val="List Continue 5"/>
    <w:basedOn w:val="Normal"/>
    <w:uiPriority w:val="99"/>
    <w:semiHidden/>
    <w:rsid w:val="00920D86"/>
    <w:pPr>
      <w:spacing w:after="120"/>
      <w:ind w:left="1415"/>
      <w:contextualSpacing/>
    </w:pPr>
  </w:style>
  <w:style w:type="paragraph" w:styleId="ListNumber2">
    <w:name w:val="List Number 2"/>
    <w:basedOn w:val="Normal"/>
    <w:uiPriority w:val="99"/>
    <w:semiHidden/>
    <w:rsid w:val="00920D86"/>
    <w:pPr>
      <w:numPr>
        <w:numId w:val="9"/>
      </w:numPr>
      <w:contextualSpacing/>
    </w:pPr>
  </w:style>
  <w:style w:type="paragraph" w:styleId="ListNumber3">
    <w:name w:val="List Number 3"/>
    <w:basedOn w:val="Normal"/>
    <w:uiPriority w:val="99"/>
    <w:semiHidden/>
    <w:rsid w:val="00920D86"/>
    <w:pPr>
      <w:numPr>
        <w:numId w:val="10"/>
      </w:numPr>
      <w:contextualSpacing/>
    </w:pPr>
  </w:style>
  <w:style w:type="paragraph" w:styleId="ListNumber4">
    <w:name w:val="List Number 4"/>
    <w:basedOn w:val="Normal"/>
    <w:uiPriority w:val="99"/>
    <w:semiHidden/>
    <w:rsid w:val="00920D86"/>
    <w:pPr>
      <w:numPr>
        <w:numId w:val="11"/>
      </w:numPr>
      <w:contextualSpacing/>
    </w:pPr>
  </w:style>
  <w:style w:type="paragraph" w:styleId="ListNumber5">
    <w:name w:val="List Number 5"/>
    <w:basedOn w:val="Normal"/>
    <w:uiPriority w:val="99"/>
    <w:semiHidden/>
    <w:rsid w:val="00920D86"/>
    <w:pPr>
      <w:numPr>
        <w:numId w:val="12"/>
      </w:numPr>
      <w:contextualSpacing/>
    </w:pPr>
  </w:style>
  <w:style w:type="paragraph" w:styleId="ListParagraph">
    <w:name w:val="List Paragraph"/>
    <w:aliases w:val="Heading1,body 2,List Paragraph1,Header bold,heading 7,List Paragraph11,bullets,Arial,Normal bullet 2,Forth level,List_Paragraph,Multilevel para_II,Listă colorată - Accentuare 11,Bullet,Citation List,Bullet line,Lista bullet,EU,lp1,Lista 1"/>
    <w:basedOn w:val="Normal"/>
    <w:link w:val="ListParagraphChar"/>
    <w:qFormat/>
    <w:rsid w:val="00920D86"/>
    <w:pPr>
      <w:ind w:left="720"/>
      <w:contextualSpacing/>
    </w:pPr>
  </w:style>
  <w:style w:type="table" w:styleId="ListTable1Light">
    <w:name w:val="List Table 1 Light"/>
    <w:basedOn w:val="TableNormal"/>
    <w:uiPriority w:val="46"/>
    <w:rsid w:val="00920D86"/>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920D86"/>
    <w:pPr>
      <w:spacing w:line="240" w:lineRule="auto"/>
    </w:pPr>
    <w:tblPr>
      <w:tblStyleRowBandSize w:val="1"/>
      <w:tblStyleColBandSize w:val="1"/>
    </w:tblPr>
    <w:tblStylePr w:type="firstRow">
      <w:rPr>
        <w:b/>
        <w:bCs/>
      </w:rPr>
      <w:tblPr/>
      <w:tcPr>
        <w:tcBorders>
          <w:bottom w:val="single" w:sz="4" w:space="0" w:color="1C78F4" w:themeColor="accent1" w:themeTint="99"/>
        </w:tcBorders>
      </w:tcPr>
    </w:tblStylePr>
    <w:tblStylePr w:type="lastRow">
      <w:rPr>
        <w:b/>
        <w:bCs/>
      </w:rPr>
      <w:tblPr/>
      <w:tcPr>
        <w:tcBorders>
          <w:top w:val="single" w:sz="4" w:space="0" w:color="1C78F4" w:themeColor="accent1" w:themeTint="99"/>
        </w:tcBorders>
      </w:tcPr>
    </w:tblStylePr>
    <w:tblStylePr w:type="firstCol">
      <w:rPr>
        <w:b/>
        <w:bCs/>
      </w:rPr>
    </w:tblStylePr>
    <w:tblStylePr w:type="lastCol">
      <w:rPr>
        <w:b/>
        <w:bCs/>
      </w:rPr>
    </w:tblStylePr>
    <w:tblStylePr w:type="band1Vert">
      <w:tblPr/>
      <w:tcPr>
        <w:shd w:val="clear" w:color="auto" w:fill="B3D2FB" w:themeFill="accent1" w:themeFillTint="33"/>
      </w:tcPr>
    </w:tblStylePr>
    <w:tblStylePr w:type="band1Horz">
      <w:tblPr/>
      <w:tcPr>
        <w:shd w:val="clear" w:color="auto" w:fill="B3D2FB" w:themeFill="accent1" w:themeFillTint="33"/>
      </w:tcPr>
    </w:tblStylePr>
  </w:style>
  <w:style w:type="table" w:styleId="ListTable1Light-Accent2">
    <w:name w:val="List Table 1 Light Accent 2"/>
    <w:basedOn w:val="TableNormal"/>
    <w:uiPriority w:val="46"/>
    <w:rsid w:val="00920D86"/>
    <w:pPr>
      <w:spacing w:line="240" w:lineRule="auto"/>
    </w:pPr>
    <w:tblPr>
      <w:tblStyleRowBandSize w:val="1"/>
      <w:tblStyleColBandSize w:val="1"/>
    </w:tblPr>
    <w:tblStylePr w:type="firstRow">
      <w:rPr>
        <w:b/>
        <w:bCs/>
      </w:rPr>
      <w:tblPr/>
      <w:tcPr>
        <w:tcBorders>
          <w:bottom w:val="single" w:sz="4" w:space="0" w:color="35D69C" w:themeColor="accent2" w:themeTint="99"/>
        </w:tcBorders>
      </w:tcPr>
    </w:tblStylePr>
    <w:tblStylePr w:type="lastRow">
      <w:rPr>
        <w:b/>
        <w:bCs/>
      </w:rPr>
      <w:tblPr/>
      <w:tcPr>
        <w:tcBorders>
          <w:top w:val="single" w:sz="4" w:space="0" w:color="35D69C" w:themeColor="accent2" w:themeTint="99"/>
        </w:tcBorders>
      </w:tcPr>
    </w:tblStylePr>
    <w:tblStylePr w:type="firstCol">
      <w:rPr>
        <w:b/>
        <w:bCs/>
      </w:rPr>
    </w:tblStylePr>
    <w:tblStylePr w:type="lastCol">
      <w:rPr>
        <w:b/>
        <w:bCs/>
      </w:rPr>
    </w:tblStylePr>
    <w:tblStylePr w:type="band1Vert">
      <w:tblPr/>
      <w:tcPr>
        <w:shd w:val="clear" w:color="auto" w:fill="BBF1DD" w:themeFill="accent2" w:themeFillTint="33"/>
      </w:tcPr>
    </w:tblStylePr>
    <w:tblStylePr w:type="band1Horz">
      <w:tblPr/>
      <w:tcPr>
        <w:shd w:val="clear" w:color="auto" w:fill="BBF1DD" w:themeFill="accent2" w:themeFillTint="33"/>
      </w:tcPr>
    </w:tblStylePr>
  </w:style>
  <w:style w:type="table" w:styleId="ListTable1Light-Accent3">
    <w:name w:val="List Table 1 Light Accent 3"/>
    <w:basedOn w:val="TableNormal"/>
    <w:uiPriority w:val="46"/>
    <w:rsid w:val="00920D86"/>
    <w:pPr>
      <w:spacing w:line="240" w:lineRule="auto"/>
    </w:pPr>
    <w:tblPr>
      <w:tblStyleRowBandSize w:val="1"/>
      <w:tblStyleColBandSize w:val="1"/>
    </w:tblPr>
    <w:tblStylePr w:type="firstRow">
      <w:rPr>
        <w:b/>
        <w:bCs/>
      </w:rPr>
      <w:tblPr/>
      <w:tcPr>
        <w:tcBorders>
          <w:bottom w:val="single" w:sz="4" w:space="0" w:color="CDE2BF" w:themeColor="accent3" w:themeTint="99"/>
        </w:tcBorders>
      </w:tcPr>
    </w:tblStylePr>
    <w:tblStylePr w:type="lastRow">
      <w:rPr>
        <w:b/>
        <w:bCs/>
      </w:rPr>
      <w:tblPr/>
      <w:tcPr>
        <w:tcBorders>
          <w:top w:val="single" w:sz="4" w:space="0" w:color="CDE2BF" w:themeColor="accent3" w:themeTint="99"/>
        </w:tcBorders>
      </w:tcPr>
    </w:tblStylePr>
    <w:tblStylePr w:type="firstCol">
      <w:rPr>
        <w:b/>
        <w:bCs/>
      </w:rPr>
    </w:tblStylePr>
    <w:tblStylePr w:type="lastCol">
      <w:rPr>
        <w:b/>
        <w:bCs/>
      </w:rPr>
    </w:tblStylePr>
    <w:tblStylePr w:type="band1Vert">
      <w:tblPr/>
      <w:tcPr>
        <w:shd w:val="clear" w:color="auto" w:fill="EEF5E9" w:themeFill="accent3" w:themeFillTint="33"/>
      </w:tcPr>
    </w:tblStylePr>
    <w:tblStylePr w:type="band1Horz">
      <w:tblPr/>
      <w:tcPr>
        <w:shd w:val="clear" w:color="auto" w:fill="EEF5E9" w:themeFill="accent3" w:themeFillTint="33"/>
      </w:tcPr>
    </w:tblStylePr>
  </w:style>
  <w:style w:type="table" w:styleId="ListTable1Light-Accent4">
    <w:name w:val="List Table 1 Light Accent 4"/>
    <w:basedOn w:val="TableNormal"/>
    <w:uiPriority w:val="46"/>
    <w:rsid w:val="00920D86"/>
    <w:pPr>
      <w:spacing w:line="240" w:lineRule="auto"/>
    </w:pPr>
    <w:tblPr>
      <w:tblStyleRowBandSize w:val="1"/>
      <w:tblStyleColBandSize w:val="1"/>
    </w:tblPr>
    <w:tblStylePr w:type="firstRow">
      <w:rPr>
        <w:b/>
        <w:bCs/>
      </w:rPr>
      <w:tblPr/>
      <w:tcPr>
        <w:tcBorders>
          <w:bottom w:val="single" w:sz="4" w:space="0" w:color="BD6298" w:themeColor="accent4" w:themeTint="99"/>
        </w:tcBorders>
      </w:tcPr>
    </w:tblStylePr>
    <w:tblStylePr w:type="lastRow">
      <w:rPr>
        <w:b/>
        <w:bCs/>
      </w:rPr>
      <w:tblPr/>
      <w:tcPr>
        <w:tcBorders>
          <w:top w:val="single" w:sz="4" w:space="0" w:color="BD6298" w:themeColor="accent4" w:themeTint="99"/>
        </w:tcBorders>
      </w:tcPr>
    </w:tblStylePr>
    <w:tblStylePr w:type="firstCol">
      <w:rPr>
        <w:b/>
        <w:bCs/>
      </w:rPr>
    </w:tblStylePr>
    <w:tblStylePr w:type="lastCol">
      <w:rPr>
        <w:b/>
        <w:bCs/>
      </w:rPr>
    </w:tblStylePr>
    <w:tblStylePr w:type="band1Vert">
      <w:tblPr/>
      <w:tcPr>
        <w:shd w:val="clear" w:color="auto" w:fill="E9CADC" w:themeFill="accent4" w:themeFillTint="33"/>
      </w:tcPr>
    </w:tblStylePr>
    <w:tblStylePr w:type="band1Horz">
      <w:tblPr/>
      <w:tcPr>
        <w:shd w:val="clear" w:color="auto" w:fill="E9CADC" w:themeFill="accent4" w:themeFillTint="33"/>
      </w:tcPr>
    </w:tblStylePr>
  </w:style>
  <w:style w:type="table" w:styleId="ListTable1Light-Accent5">
    <w:name w:val="List Table 1 Light Accent 5"/>
    <w:basedOn w:val="TableNormal"/>
    <w:uiPriority w:val="46"/>
    <w:rsid w:val="00920D86"/>
    <w:pPr>
      <w:spacing w:line="240" w:lineRule="auto"/>
    </w:pPr>
    <w:tblPr>
      <w:tblStyleRowBandSize w:val="1"/>
      <w:tblStyleColBandSize w:val="1"/>
    </w:tblPr>
    <w:tblStylePr w:type="firstRow">
      <w:rPr>
        <w:b/>
        <w:bCs/>
      </w:rPr>
      <w:tblPr/>
      <w:tcPr>
        <w:tcBorders>
          <w:bottom w:val="single" w:sz="4" w:space="0" w:color="FFB799" w:themeColor="accent5" w:themeTint="99"/>
        </w:tcBorders>
      </w:tcPr>
    </w:tblStylePr>
    <w:tblStylePr w:type="lastRow">
      <w:rPr>
        <w:b/>
        <w:bCs/>
      </w:rPr>
      <w:tblPr/>
      <w:tcPr>
        <w:tcBorders>
          <w:top w:val="single" w:sz="4" w:space="0" w:color="FFB799" w:themeColor="accent5" w:themeTint="99"/>
        </w:tcBorders>
      </w:tcPr>
    </w:tblStylePr>
    <w:tblStylePr w:type="firstCol">
      <w:rPr>
        <w:b/>
        <w:bCs/>
      </w:rPr>
    </w:tblStylePr>
    <w:tblStylePr w:type="lastCol">
      <w:rPr>
        <w:b/>
        <w:bCs/>
      </w:rPr>
    </w:tblStylePr>
    <w:tblStylePr w:type="band1Vert">
      <w:tblPr/>
      <w:tcPr>
        <w:shd w:val="clear" w:color="auto" w:fill="FFE7DD" w:themeFill="accent5" w:themeFillTint="33"/>
      </w:tcPr>
    </w:tblStylePr>
    <w:tblStylePr w:type="band1Horz">
      <w:tblPr/>
      <w:tcPr>
        <w:shd w:val="clear" w:color="auto" w:fill="FFE7DD" w:themeFill="accent5" w:themeFillTint="33"/>
      </w:tcPr>
    </w:tblStylePr>
  </w:style>
  <w:style w:type="table" w:styleId="ListTable1Light-Accent6">
    <w:name w:val="List Table 1 Light Accent 6"/>
    <w:basedOn w:val="TableNormal"/>
    <w:uiPriority w:val="46"/>
    <w:rsid w:val="00920D86"/>
    <w:pPr>
      <w:spacing w:line="240" w:lineRule="auto"/>
    </w:pPr>
    <w:tblPr>
      <w:tblStyleRowBandSize w:val="1"/>
      <w:tblStyleColBandSize w:val="1"/>
    </w:tblPr>
    <w:tblStylePr w:type="firstRow">
      <w:rPr>
        <w:b/>
        <w:bCs/>
      </w:rPr>
      <w:tblPr/>
      <w:tcPr>
        <w:tcBorders>
          <w:bottom w:val="single" w:sz="4" w:space="0" w:color="EEECE7" w:themeColor="accent6" w:themeTint="99"/>
        </w:tcBorders>
      </w:tcPr>
    </w:tblStylePr>
    <w:tblStylePr w:type="lastRow">
      <w:rPr>
        <w:b/>
        <w:bCs/>
      </w:rPr>
      <w:tblPr/>
      <w:tcPr>
        <w:tcBorders>
          <w:top w:val="single" w:sz="4" w:space="0" w:color="EEECE7" w:themeColor="accent6" w:themeTint="99"/>
        </w:tcBorders>
      </w:tcPr>
    </w:tblStylePr>
    <w:tblStylePr w:type="firstCol">
      <w:rPr>
        <w:b/>
        <w:bCs/>
      </w:rPr>
    </w:tblStylePr>
    <w:tblStylePr w:type="lastCol">
      <w:rPr>
        <w:b/>
        <w:bCs/>
      </w:rPr>
    </w:tblStylePr>
    <w:tblStylePr w:type="band1Vert">
      <w:tblPr/>
      <w:tcPr>
        <w:shd w:val="clear" w:color="auto" w:fill="F9F8F7" w:themeFill="accent6" w:themeFillTint="33"/>
      </w:tcPr>
    </w:tblStylePr>
    <w:tblStylePr w:type="band1Horz">
      <w:tblPr/>
      <w:tcPr>
        <w:shd w:val="clear" w:color="auto" w:fill="F9F8F7" w:themeFill="accent6" w:themeFillTint="33"/>
      </w:tcPr>
    </w:tblStylePr>
  </w:style>
  <w:style w:type="table" w:styleId="ListTable2">
    <w:name w:val="List Table 2"/>
    <w:basedOn w:val="TableNormal"/>
    <w:uiPriority w:val="47"/>
    <w:rsid w:val="00920D86"/>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920D86"/>
    <w:pPr>
      <w:spacing w:line="240" w:lineRule="auto"/>
    </w:pPr>
    <w:tblPr>
      <w:tblStyleRowBandSize w:val="1"/>
      <w:tblStyleColBandSize w:val="1"/>
      <w:tblBorders>
        <w:top w:val="single" w:sz="4" w:space="0" w:color="1C78F4" w:themeColor="accent1" w:themeTint="99"/>
        <w:bottom w:val="single" w:sz="4" w:space="0" w:color="1C78F4" w:themeColor="accent1" w:themeTint="99"/>
        <w:insideH w:val="single" w:sz="4" w:space="0" w:color="1C78F4"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3D2FB" w:themeFill="accent1" w:themeFillTint="33"/>
      </w:tcPr>
    </w:tblStylePr>
    <w:tblStylePr w:type="band1Horz">
      <w:tblPr/>
      <w:tcPr>
        <w:shd w:val="clear" w:color="auto" w:fill="B3D2FB" w:themeFill="accent1" w:themeFillTint="33"/>
      </w:tcPr>
    </w:tblStylePr>
  </w:style>
  <w:style w:type="table" w:styleId="ListTable2-Accent2">
    <w:name w:val="List Table 2 Accent 2"/>
    <w:basedOn w:val="TableNormal"/>
    <w:uiPriority w:val="47"/>
    <w:rsid w:val="00920D86"/>
    <w:pPr>
      <w:spacing w:line="240" w:lineRule="auto"/>
    </w:pPr>
    <w:tblPr>
      <w:tblStyleRowBandSize w:val="1"/>
      <w:tblStyleColBandSize w:val="1"/>
      <w:tblBorders>
        <w:top w:val="single" w:sz="4" w:space="0" w:color="35D69C" w:themeColor="accent2" w:themeTint="99"/>
        <w:bottom w:val="single" w:sz="4" w:space="0" w:color="35D69C" w:themeColor="accent2" w:themeTint="99"/>
        <w:insideH w:val="single" w:sz="4" w:space="0" w:color="35D69C"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BF1DD" w:themeFill="accent2" w:themeFillTint="33"/>
      </w:tcPr>
    </w:tblStylePr>
    <w:tblStylePr w:type="band1Horz">
      <w:tblPr/>
      <w:tcPr>
        <w:shd w:val="clear" w:color="auto" w:fill="BBF1DD" w:themeFill="accent2" w:themeFillTint="33"/>
      </w:tcPr>
    </w:tblStylePr>
  </w:style>
  <w:style w:type="table" w:styleId="ListTable2-Accent3">
    <w:name w:val="List Table 2 Accent 3"/>
    <w:basedOn w:val="TableNormal"/>
    <w:uiPriority w:val="47"/>
    <w:rsid w:val="00920D86"/>
    <w:pPr>
      <w:spacing w:line="240" w:lineRule="auto"/>
    </w:pPr>
    <w:tblPr>
      <w:tblStyleRowBandSize w:val="1"/>
      <w:tblStyleColBandSize w:val="1"/>
      <w:tblBorders>
        <w:top w:val="single" w:sz="4" w:space="0" w:color="CDE2BF" w:themeColor="accent3" w:themeTint="99"/>
        <w:bottom w:val="single" w:sz="4" w:space="0" w:color="CDE2BF" w:themeColor="accent3" w:themeTint="99"/>
        <w:insideH w:val="single" w:sz="4" w:space="0" w:color="CDE2BF"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EF5E9" w:themeFill="accent3" w:themeFillTint="33"/>
      </w:tcPr>
    </w:tblStylePr>
    <w:tblStylePr w:type="band1Horz">
      <w:tblPr/>
      <w:tcPr>
        <w:shd w:val="clear" w:color="auto" w:fill="EEF5E9" w:themeFill="accent3" w:themeFillTint="33"/>
      </w:tcPr>
    </w:tblStylePr>
  </w:style>
  <w:style w:type="table" w:styleId="ListTable2-Accent4">
    <w:name w:val="List Table 2 Accent 4"/>
    <w:basedOn w:val="TableNormal"/>
    <w:uiPriority w:val="47"/>
    <w:rsid w:val="00920D86"/>
    <w:pPr>
      <w:spacing w:line="240" w:lineRule="auto"/>
    </w:pPr>
    <w:tblPr>
      <w:tblStyleRowBandSize w:val="1"/>
      <w:tblStyleColBandSize w:val="1"/>
      <w:tblBorders>
        <w:top w:val="single" w:sz="4" w:space="0" w:color="BD6298" w:themeColor="accent4" w:themeTint="99"/>
        <w:bottom w:val="single" w:sz="4" w:space="0" w:color="BD6298" w:themeColor="accent4" w:themeTint="99"/>
        <w:insideH w:val="single" w:sz="4" w:space="0" w:color="BD6298"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9CADC" w:themeFill="accent4" w:themeFillTint="33"/>
      </w:tcPr>
    </w:tblStylePr>
    <w:tblStylePr w:type="band1Horz">
      <w:tblPr/>
      <w:tcPr>
        <w:shd w:val="clear" w:color="auto" w:fill="E9CADC" w:themeFill="accent4" w:themeFillTint="33"/>
      </w:tcPr>
    </w:tblStylePr>
  </w:style>
  <w:style w:type="table" w:styleId="ListTable2-Accent5">
    <w:name w:val="List Table 2 Accent 5"/>
    <w:basedOn w:val="TableNormal"/>
    <w:uiPriority w:val="47"/>
    <w:rsid w:val="00920D86"/>
    <w:pPr>
      <w:spacing w:line="240" w:lineRule="auto"/>
    </w:pPr>
    <w:tblPr>
      <w:tblStyleRowBandSize w:val="1"/>
      <w:tblStyleColBandSize w:val="1"/>
      <w:tblBorders>
        <w:top w:val="single" w:sz="4" w:space="0" w:color="FFB799" w:themeColor="accent5" w:themeTint="99"/>
        <w:bottom w:val="single" w:sz="4" w:space="0" w:color="FFB799" w:themeColor="accent5" w:themeTint="99"/>
        <w:insideH w:val="single" w:sz="4" w:space="0" w:color="FFB799"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7DD" w:themeFill="accent5" w:themeFillTint="33"/>
      </w:tcPr>
    </w:tblStylePr>
    <w:tblStylePr w:type="band1Horz">
      <w:tblPr/>
      <w:tcPr>
        <w:shd w:val="clear" w:color="auto" w:fill="FFE7DD" w:themeFill="accent5" w:themeFillTint="33"/>
      </w:tcPr>
    </w:tblStylePr>
  </w:style>
  <w:style w:type="table" w:styleId="ListTable2-Accent6">
    <w:name w:val="List Table 2 Accent 6"/>
    <w:basedOn w:val="TableNormal"/>
    <w:uiPriority w:val="47"/>
    <w:rsid w:val="00920D86"/>
    <w:pPr>
      <w:spacing w:line="240" w:lineRule="auto"/>
    </w:pPr>
    <w:tblPr>
      <w:tblStyleRowBandSize w:val="1"/>
      <w:tblStyleColBandSize w:val="1"/>
      <w:tblBorders>
        <w:top w:val="single" w:sz="4" w:space="0" w:color="EEECE7" w:themeColor="accent6" w:themeTint="99"/>
        <w:bottom w:val="single" w:sz="4" w:space="0" w:color="EEECE7" w:themeColor="accent6" w:themeTint="99"/>
        <w:insideH w:val="single" w:sz="4" w:space="0" w:color="EEECE7"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F8F7" w:themeFill="accent6" w:themeFillTint="33"/>
      </w:tcPr>
    </w:tblStylePr>
    <w:tblStylePr w:type="band1Horz">
      <w:tblPr/>
      <w:tcPr>
        <w:shd w:val="clear" w:color="auto" w:fill="F9F8F7" w:themeFill="accent6" w:themeFillTint="33"/>
      </w:tcPr>
    </w:tblStylePr>
  </w:style>
  <w:style w:type="table" w:styleId="ListTable3">
    <w:name w:val="List Table 3"/>
    <w:basedOn w:val="TableNormal"/>
    <w:uiPriority w:val="48"/>
    <w:rsid w:val="00920D86"/>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920D86"/>
    <w:pPr>
      <w:spacing w:line="240" w:lineRule="auto"/>
    </w:pPr>
    <w:tblPr>
      <w:tblStyleRowBandSize w:val="1"/>
      <w:tblStyleColBandSize w:val="1"/>
      <w:tblBorders>
        <w:top w:val="single" w:sz="4" w:space="0" w:color="05326E" w:themeColor="accent1"/>
        <w:left w:val="single" w:sz="4" w:space="0" w:color="05326E" w:themeColor="accent1"/>
        <w:bottom w:val="single" w:sz="4" w:space="0" w:color="05326E" w:themeColor="accent1"/>
        <w:right w:val="single" w:sz="4" w:space="0" w:color="05326E" w:themeColor="accent1"/>
      </w:tblBorders>
    </w:tblPr>
    <w:tblStylePr w:type="firstRow">
      <w:rPr>
        <w:b/>
        <w:bCs/>
        <w:color w:val="FFFFFF" w:themeColor="background1"/>
      </w:rPr>
      <w:tblPr/>
      <w:tcPr>
        <w:shd w:val="clear" w:color="auto" w:fill="05326E" w:themeFill="accent1"/>
      </w:tcPr>
    </w:tblStylePr>
    <w:tblStylePr w:type="lastRow">
      <w:rPr>
        <w:b/>
        <w:bCs/>
      </w:rPr>
      <w:tblPr/>
      <w:tcPr>
        <w:tcBorders>
          <w:top w:val="double" w:sz="4" w:space="0" w:color="05326E"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5326E" w:themeColor="accent1"/>
          <w:right w:val="single" w:sz="4" w:space="0" w:color="05326E" w:themeColor="accent1"/>
        </w:tcBorders>
      </w:tcPr>
    </w:tblStylePr>
    <w:tblStylePr w:type="band1Horz">
      <w:tblPr/>
      <w:tcPr>
        <w:tcBorders>
          <w:top w:val="single" w:sz="4" w:space="0" w:color="05326E" w:themeColor="accent1"/>
          <w:bottom w:val="single" w:sz="4" w:space="0" w:color="05326E"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5326E" w:themeColor="accent1"/>
          <w:left w:val="nil"/>
        </w:tcBorders>
      </w:tcPr>
    </w:tblStylePr>
    <w:tblStylePr w:type="swCell">
      <w:tblPr/>
      <w:tcPr>
        <w:tcBorders>
          <w:top w:val="double" w:sz="4" w:space="0" w:color="05326E" w:themeColor="accent1"/>
          <w:right w:val="nil"/>
        </w:tcBorders>
      </w:tcPr>
    </w:tblStylePr>
  </w:style>
  <w:style w:type="table" w:styleId="ListTable3-Accent2">
    <w:name w:val="List Table 3 Accent 2"/>
    <w:basedOn w:val="TableNormal"/>
    <w:uiPriority w:val="48"/>
    <w:rsid w:val="00920D86"/>
    <w:pPr>
      <w:spacing w:line="240" w:lineRule="auto"/>
    </w:pPr>
    <w:tblPr>
      <w:tblStyleRowBandSize w:val="1"/>
      <w:tblStyleColBandSize w:val="1"/>
      <w:tblBorders>
        <w:top w:val="single" w:sz="4" w:space="0" w:color="125A40" w:themeColor="accent2"/>
        <w:left w:val="single" w:sz="4" w:space="0" w:color="125A40" w:themeColor="accent2"/>
        <w:bottom w:val="single" w:sz="4" w:space="0" w:color="125A40" w:themeColor="accent2"/>
        <w:right w:val="single" w:sz="4" w:space="0" w:color="125A40" w:themeColor="accent2"/>
      </w:tblBorders>
    </w:tblPr>
    <w:tblStylePr w:type="firstRow">
      <w:rPr>
        <w:b/>
        <w:bCs/>
        <w:color w:val="FFFFFF" w:themeColor="background1"/>
      </w:rPr>
      <w:tblPr/>
      <w:tcPr>
        <w:shd w:val="clear" w:color="auto" w:fill="125A40" w:themeFill="accent2"/>
      </w:tcPr>
    </w:tblStylePr>
    <w:tblStylePr w:type="lastRow">
      <w:rPr>
        <w:b/>
        <w:bCs/>
      </w:rPr>
      <w:tblPr/>
      <w:tcPr>
        <w:tcBorders>
          <w:top w:val="double" w:sz="4" w:space="0" w:color="125A4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25A40" w:themeColor="accent2"/>
          <w:right w:val="single" w:sz="4" w:space="0" w:color="125A40" w:themeColor="accent2"/>
        </w:tcBorders>
      </w:tcPr>
    </w:tblStylePr>
    <w:tblStylePr w:type="band1Horz">
      <w:tblPr/>
      <w:tcPr>
        <w:tcBorders>
          <w:top w:val="single" w:sz="4" w:space="0" w:color="125A40" w:themeColor="accent2"/>
          <w:bottom w:val="single" w:sz="4" w:space="0" w:color="125A4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25A40" w:themeColor="accent2"/>
          <w:left w:val="nil"/>
        </w:tcBorders>
      </w:tcPr>
    </w:tblStylePr>
    <w:tblStylePr w:type="swCell">
      <w:tblPr/>
      <w:tcPr>
        <w:tcBorders>
          <w:top w:val="double" w:sz="4" w:space="0" w:color="125A40" w:themeColor="accent2"/>
          <w:right w:val="nil"/>
        </w:tcBorders>
      </w:tcPr>
    </w:tblStylePr>
  </w:style>
  <w:style w:type="table" w:styleId="ListTable3-Accent3">
    <w:name w:val="List Table 3 Accent 3"/>
    <w:basedOn w:val="TableNormal"/>
    <w:uiPriority w:val="48"/>
    <w:rsid w:val="00920D86"/>
    <w:pPr>
      <w:spacing w:line="240" w:lineRule="auto"/>
    </w:pPr>
    <w:tblPr>
      <w:tblStyleRowBandSize w:val="1"/>
      <w:tblStyleColBandSize w:val="1"/>
      <w:tblBorders>
        <w:top w:val="single" w:sz="4" w:space="0" w:color="ADD095" w:themeColor="accent3"/>
        <w:left w:val="single" w:sz="4" w:space="0" w:color="ADD095" w:themeColor="accent3"/>
        <w:bottom w:val="single" w:sz="4" w:space="0" w:color="ADD095" w:themeColor="accent3"/>
        <w:right w:val="single" w:sz="4" w:space="0" w:color="ADD095" w:themeColor="accent3"/>
      </w:tblBorders>
    </w:tblPr>
    <w:tblStylePr w:type="firstRow">
      <w:rPr>
        <w:b/>
        <w:bCs/>
        <w:color w:val="FFFFFF" w:themeColor="background1"/>
      </w:rPr>
      <w:tblPr/>
      <w:tcPr>
        <w:shd w:val="clear" w:color="auto" w:fill="ADD095" w:themeFill="accent3"/>
      </w:tcPr>
    </w:tblStylePr>
    <w:tblStylePr w:type="lastRow">
      <w:rPr>
        <w:b/>
        <w:bCs/>
      </w:rPr>
      <w:tblPr/>
      <w:tcPr>
        <w:tcBorders>
          <w:top w:val="double" w:sz="4" w:space="0" w:color="ADD09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DD095" w:themeColor="accent3"/>
          <w:right w:val="single" w:sz="4" w:space="0" w:color="ADD095" w:themeColor="accent3"/>
        </w:tcBorders>
      </w:tcPr>
    </w:tblStylePr>
    <w:tblStylePr w:type="band1Horz">
      <w:tblPr/>
      <w:tcPr>
        <w:tcBorders>
          <w:top w:val="single" w:sz="4" w:space="0" w:color="ADD095" w:themeColor="accent3"/>
          <w:bottom w:val="single" w:sz="4" w:space="0" w:color="ADD09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DD095" w:themeColor="accent3"/>
          <w:left w:val="nil"/>
        </w:tcBorders>
      </w:tcPr>
    </w:tblStylePr>
    <w:tblStylePr w:type="swCell">
      <w:tblPr/>
      <w:tcPr>
        <w:tcBorders>
          <w:top w:val="double" w:sz="4" w:space="0" w:color="ADD095" w:themeColor="accent3"/>
          <w:right w:val="nil"/>
        </w:tcBorders>
      </w:tcPr>
    </w:tblStylePr>
  </w:style>
  <w:style w:type="table" w:styleId="ListTable3-Accent4">
    <w:name w:val="List Table 3 Accent 4"/>
    <w:basedOn w:val="TableNormal"/>
    <w:uiPriority w:val="48"/>
    <w:rsid w:val="00920D86"/>
    <w:pPr>
      <w:spacing w:line="240" w:lineRule="auto"/>
    </w:pPr>
    <w:tblPr>
      <w:tblStyleRowBandSize w:val="1"/>
      <w:tblStyleColBandSize w:val="1"/>
      <w:tblBorders>
        <w:top w:val="single" w:sz="4" w:space="0" w:color="62294B" w:themeColor="accent4"/>
        <w:left w:val="single" w:sz="4" w:space="0" w:color="62294B" w:themeColor="accent4"/>
        <w:bottom w:val="single" w:sz="4" w:space="0" w:color="62294B" w:themeColor="accent4"/>
        <w:right w:val="single" w:sz="4" w:space="0" w:color="62294B" w:themeColor="accent4"/>
      </w:tblBorders>
    </w:tblPr>
    <w:tblStylePr w:type="firstRow">
      <w:rPr>
        <w:b/>
        <w:bCs/>
        <w:color w:val="FFFFFF" w:themeColor="background1"/>
      </w:rPr>
      <w:tblPr/>
      <w:tcPr>
        <w:shd w:val="clear" w:color="auto" w:fill="62294B" w:themeFill="accent4"/>
      </w:tcPr>
    </w:tblStylePr>
    <w:tblStylePr w:type="lastRow">
      <w:rPr>
        <w:b/>
        <w:bCs/>
      </w:rPr>
      <w:tblPr/>
      <w:tcPr>
        <w:tcBorders>
          <w:top w:val="double" w:sz="4" w:space="0" w:color="62294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2294B" w:themeColor="accent4"/>
          <w:right w:val="single" w:sz="4" w:space="0" w:color="62294B" w:themeColor="accent4"/>
        </w:tcBorders>
      </w:tcPr>
    </w:tblStylePr>
    <w:tblStylePr w:type="band1Horz">
      <w:tblPr/>
      <w:tcPr>
        <w:tcBorders>
          <w:top w:val="single" w:sz="4" w:space="0" w:color="62294B" w:themeColor="accent4"/>
          <w:bottom w:val="single" w:sz="4" w:space="0" w:color="62294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294B" w:themeColor="accent4"/>
          <w:left w:val="nil"/>
        </w:tcBorders>
      </w:tcPr>
    </w:tblStylePr>
    <w:tblStylePr w:type="swCell">
      <w:tblPr/>
      <w:tcPr>
        <w:tcBorders>
          <w:top w:val="double" w:sz="4" w:space="0" w:color="62294B" w:themeColor="accent4"/>
          <w:right w:val="nil"/>
        </w:tcBorders>
      </w:tcPr>
    </w:tblStylePr>
  </w:style>
  <w:style w:type="table" w:styleId="ListTable3-Accent5">
    <w:name w:val="List Table 3 Accent 5"/>
    <w:basedOn w:val="TableNormal"/>
    <w:uiPriority w:val="48"/>
    <w:rsid w:val="00920D86"/>
    <w:pPr>
      <w:spacing w:line="240" w:lineRule="auto"/>
    </w:pPr>
    <w:tblPr>
      <w:tblStyleRowBandSize w:val="1"/>
      <w:tblStyleColBandSize w:val="1"/>
      <w:tblBorders>
        <w:top w:val="single" w:sz="4" w:space="0" w:color="FF8855" w:themeColor="accent5"/>
        <w:left w:val="single" w:sz="4" w:space="0" w:color="FF8855" w:themeColor="accent5"/>
        <w:bottom w:val="single" w:sz="4" w:space="0" w:color="FF8855" w:themeColor="accent5"/>
        <w:right w:val="single" w:sz="4" w:space="0" w:color="FF8855" w:themeColor="accent5"/>
      </w:tblBorders>
    </w:tblPr>
    <w:tblStylePr w:type="firstRow">
      <w:rPr>
        <w:b/>
        <w:bCs/>
        <w:color w:val="FFFFFF" w:themeColor="background1"/>
      </w:rPr>
      <w:tblPr/>
      <w:tcPr>
        <w:shd w:val="clear" w:color="auto" w:fill="FF8855" w:themeFill="accent5"/>
      </w:tcPr>
    </w:tblStylePr>
    <w:tblStylePr w:type="lastRow">
      <w:rPr>
        <w:b/>
        <w:bCs/>
      </w:rPr>
      <w:tblPr/>
      <w:tcPr>
        <w:tcBorders>
          <w:top w:val="double" w:sz="4" w:space="0" w:color="FF885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8855" w:themeColor="accent5"/>
          <w:right w:val="single" w:sz="4" w:space="0" w:color="FF8855" w:themeColor="accent5"/>
        </w:tcBorders>
      </w:tcPr>
    </w:tblStylePr>
    <w:tblStylePr w:type="band1Horz">
      <w:tblPr/>
      <w:tcPr>
        <w:tcBorders>
          <w:top w:val="single" w:sz="4" w:space="0" w:color="FF8855" w:themeColor="accent5"/>
          <w:bottom w:val="single" w:sz="4" w:space="0" w:color="FF885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8855" w:themeColor="accent5"/>
          <w:left w:val="nil"/>
        </w:tcBorders>
      </w:tcPr>
    </w:tblStylePr>
    <w:tblStylePr w:type="swCell">
      <w:tblPr/>
      <w:tcPr>
        <w:tcBorders>
          <w:top w:val="double" w:sz="4" w:space="0" w:color="FF8855" w:themeColor="accent5"/>
          <w:right w:val="nil"/>
        </w:tcBorders>
      </w:tcPr>
    </w:tblStylePr>
  </w:style>
  <w:style w:type="table" w:styleId="ListTable3-Accent6">
    <w:name w:val="List Table 3 Accent 6"/>
    <w:basedOn w:val="TableNormal"/>
    <w:uiPriority w:val="48"/>
    <w:rsid w:val="00920D86"/>
    <w:pPr>
      <w:spacing w:line="240" w:lineRule="auto"/>
    </w:pPr>
    <w:tblPr>
      <w:tblStyleRowBandSize w:val="1"/>
      <w:tblStyleColBandSize w:val="1"/>
      <w:tblBorders>
        <w:top w:val="single" w:sz="4" w:space="0" w:color="E3E1D8" w:themeColor="accent6"/>
        <w:left w:val="single" w:sz="4" w:space="0" w:color="E3E1D8" w:themeColor="accent6"/>
        <w:bottom w:val="single" w:sz="4" w:space="0" w:color="E3E1D8" w:themeColor="accent6"/>
        <w:right w:val="single" w:sz="4" w:space="0" w:color="E3E1D8" w:themeColor="accent6"/>
      </w:tblBorders>
    </w:tblPr>
    <w:tblStylePr w:type="firstRow">
      <w:rPr>
        <w:b/>
        <w:bCs/>
        <w:color w:val="FFFFFF" w:themeColor="background1"/>
      </w:rPr>
      <w:tblPr/>
      <w:tcPr>
        <w:shd w:val="clear" w:color="auto" w:fill="E3E1D8" w:themeFill="accent6"/>
      </w:tcPr>
    </w:tblStylePr>
    <w:tblStylePr w:type="lastRow">
      <w:rPr>
        <w:b/>
        <w:bCs/>
      </w:rPr>
      <w:tblPr/>
      <w:tcPr>
        <w:tcBorders>
          <w:top w:val="double" w:sz="4" w:space="0" w:color="E3E1D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3E1D8" w:themeColor="accent6"/>
          <w:right w:val="single" w:sz="4" w:space="0" w:color="E3E1D8" w:themeColor="accent6"/>
        </w:tcBorders>
      </w:tcPr>
    </w:tblStylePr>
    <w:tblStylePr w:type="band1Horz">
      <w:tblPr/>
      <w:tcPr>
        <w:tcBorders>
          <w:top w:val="single" w:sz="4" w:space="0" w:color="E3E1D8" w:themeColor="accent6"/>
          <w:bottom w:val="single" w:sz="4" w:space="0" w:color="E3E1D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3E1D8" w:themeColor="accent6"/>
          <w:left w:val="nil"/>
        </w:tcBorders>
      </w:tcPr>
    </w:tblStylePr>
    <w:tblStylePr w:type="swCell">
      <w:tblPr/>
      <w:tcPr>
        <w:tcBorders>
          <w:top w:val="double" w:sz="4" w:space="0" w:color="E3E1D8" w:themeColor="accent6"/>
          <w:right w:val="nil"/>
        </w:tcBorders>
      </w:tcPr>
    </w:tblStylePr>
  </w:style>
  <w:style w:type="table" w:styleId="ListTable4">
    <w:name w:val="List Table 4"/>
    <w:basedOn w:val="TableNormal"/>
    <w:uiPriority w:val="49"/>
    <w:rsid w:val="00920D86"/>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920D86"/>
    <w:pPr>
      <w:spacing w:line="240" w:lineRule="auto"/>
    </w:pPr>
    <w:tblPr>
      <w:tblStyleRowBandSize w:val="1"/>
      <w:tblStyleColBandSize w:val="1"/>
      <w:tblBorders>
        <w:top w:val="single" w:sz="4" w:space="0" w:color="1C78F4" w:themeColor="accent1" w:themeTint="99"/>
        <w:left w:val="single" w:sz="4" w:space="0" w:color="1C78F4" w:themeColor="accent1" w:themeTint="99"/>
        <w:bottom w:val="single" w:sz="4" w:space="0" w:color="1C78F4" w:themeColor="accent1" w:themeTint="99"/>
        <w:right w:val="single" w:sz="4" w:space="0" w:color="1C78F4" w:themeColor="accent1" w:themeTint="99"/>
        <w:insideH w:val="single" w:sz="4" w:space="0" w:color="1C78F4" w:themeColor="accent1" w:themeTint="99"/>
      </w:tblBorders>
    </w:tblPr>
    <w:tblStylePr w:type="firstRow">
      <w:rPr>
        <w:b/>
        <w:bCs/>
        <w:color w:val="FFFFFF" w:themeColor="background1"/>
      </w:rPr>
      <w:tblPr/>
      <w:tcPr>
        <w:tcBorders>
          <w:top w:val="single" w:sz="4" w:space="0" w:color="05326E" w:themeColor="accent1"/>
          <w:left w:val="single" w:sz="4" w:space="0" w:color="05326E" w:themeColor="accent1"/>
          <w:bottom w:val="single" w:sz="4" w:space="0" w:color="05326E" w:themeColor="accent1"/>
          <w:right w:val="single" w:sz="4" w:space="0" w:color="05326E" w:themeColor="accent1"/>
          <w:insideH w:val="nil"/>
        </w:tcBorders>
        <w:shd w:val="clear" w:color="auto" w:fill="05326E" w:themeFill="accent1"/>
      </w:tcPr>
    </w:tblStylePr>
    <w:tblStylePr w:type="lastRow">
      <w:rPr>
        <w:b/>
        <w:bCs/>
      </w:rPr>
      <w:tblPr/>
      <w:tcPr>
        <w:tcBorders>
          <w:top w:val="double" w:sz="4" w:space="0" w:color="1C78F4" w:themeColor="accent1" w:themeTint="99"/>
        </w:tcBorders>
      </w:tcPr>
    </w:tblStylePr>
    <w:tblStylePr w:type="firstCol">
      <w:rPr>
        <w:b/>
        <w:bCs/>
      </w:rPr>
    </w:tblStylePr>
    <w:tblStylePr w:type="lastCol">
      <w:rPr>
        <w:b/>
        <w:bCs/>
      </w:rPr>
    </w:tblStylePr>
    <w:tblStylePr w:type="band1Vert">
      <w:tblPr/>
      <w:tcPr>
        <w:shd w:val="clear" w:color="auto" w:fill="B3D2FB" w:themeFill="accent1" w:themeFillTint="33"/>
      </w:tcPr>
    </w:tblStylePr>
    <w:tblStylePr w:type="band1Horz">
      <w:tblPr/>
      <w:tcPr>
        <w:shd w:val="clear" w:color="auto" w:fill="B3D2FB" w:themeFill="accent1" w:themeFillTint="33"/>
      </w:tcPr>
    </w:tblStylePr>
  </w:style>
  <w:style w:type="table" w:styleId="ListTable4-Accent2">
    <w:name w:val="List Table 4 Accent 2"/>
    <w:basedOn w:val="TableNormal"/>
    <w:uiPriority w:val="49"/>
    <w:rsid w:val="00920D86"/>
    <w:pPr>
      <w:spacing w:line="240" w:lineRule="auto"/>
    </w:pPr>
    <w:tblPr>
      <w:tblStyleRowBandSize w:val="1"/>
      <w:tblStyleColBandSize w:val="1"/>
      <w:tblBorders>
        <w:top w:val="single" w:sz="4" w:space="0" w:color="35D69C" w:themeColor="accent2" w:themeTint="99"/>
        <w:left w:val="single" w:sz="4" w:space="0" w:color="35D69C" w:themeColor="accent2" w:themeTint="99"/>
        <w:bottom w:val="single" w:sz="4" w:space="0" w:color="35D69C" w:themeColor="accent2" w:themeTint="99"/>
        <w:right w:val="single" w:sz="4" w:space="0" w:color="35D69C" w:themeColor="accent2" w:themeTint="99"/>
        <w:insideH w:val="single" w:sz="4" w:space="0" w:color="35D69C" w:themeColor="accent2" w:themeTint="99"/>
      </w:tblBorders>
    </w:tblPr>
    <w:tblStylePr w:type="firstRow">
      <w:rPr>
        <w:b/>
        <w:bCs/>
        <w:color w:val="FFFFFF" w:themeColor="background1"/>
      </w:rPr>
      <w:tblPr/>
      <w:tcPr>
        <w:tcBorders>
          <w:top w:val="single" w:sz="4" w:space="0" w:color="125A40" w:themeColor="accent2"/>
          <w:left w:val="single" w:sz="4" w:space="0" w:color="125A40" w:themeColor="accent2"/>
          <w:bottom w:val="single" w:sz="4" w:space="0" w:color="125A40" w:themeColor="accent2"/>
          <w:right w:val="single" w:sz="4" w:space="0" w:color="125A40" w:themeColor="accent2"/>
          <w:insideH w:val="nil"/>
        </w:tcBorders>
        <w:shd w:val="clear" w:color="auto" w:fill="125A40" w:themeFill="accent2"/>
      </w:tcPr>
    </w:tblStylePr>
    <w:tblStylePr w:type="lastRow">
      <w:rPr>
        <w:b/>
        <w:bCs/>
      </w:rPr>
      <w:tblPr/>
      <w:tcPr>
        <w:tcBorders>
          <w:top w:val="double" w:sz="4" w:space="0" w:color="35D69C" w:themeColor="accent2" w:themeTint="99"/>
        </w:tcBorders>
      </w:tcPr>
    </w:tblStylePr>
    <w:tblStylePr w:type="firstCol">
      <w:rPr>
        <w:b/>
        <w:bCs/>
      </w:rPr>
    </w:tblStylePr>
    <w:tblStylePr w:type="lastCol">
      <w:rPr>
        <w:b/>
        <w:bCs/>
      </w:rPr>
    </w:tblStylePr>
    <w:tblStylePr w:type="band1Vert">
      <w:tblPr/>
      <w:tcPr>
        <w:shd w:val="clear" w:color="auto" w:fill="BBF1DD" w:themeFill="accent2" w:themeFillTint="33"/>
      </w:tcPr>
    </w:tblStylePr>
    <w:tblStylePr w:type="band1Horz">
      <w:tblPr/>
      <w:tcPr>
        <w:shd w:val="clear" w:color="auto" w:fill="BBF1DD" w:themeFill="accent2" w:themeFillTint="33"/>
      </w:tcPr>
    </w:tblStylePr>
  </w:style>
  <w:style w:type="table" w:styleId="ListTable4-Accent3">
    <w:name w:val="List Table 4 Accent 3"/>
    <w:basedOn w:val="TableNormal"/>
    <w:uiPriority w:val="49"/>
    <w:rsid w:val="00920D86"/>
    <w:pPr>
      <w:spacing w:line="240" w:lineRule="auto"/>
    </w:pPr>
    <w:tblPr>
      <w:tblStyleRowBandSize w:val="1"/>
      <w:tblStyleColBandSize w:val="1"/>
      <w:tblBorders>
        <w:top w:val="single" w:sz="4" w:space="0" w:color="CDE2BF" w:themeColor="accent3" w:themeTint="99"/>
        <w:left w:val="single" w:sz="4" w:space="0" w:color="CDE2BF" w:themeColor="accent3" w:themeTint="99"/>
        <w:bottom w:val="single" w:sz="4" w:space="0" w:color="CDE2BF" w:themeColor="accent3" w:themeTint="99"/>
        <w:right w:val="single" w:sz="4" w:space="0" w:color="CDE2BF" w:themeColor="accent3" w:themeTint="99"/>
        <w:insideH w:val="single" w:sz="4" w:space="0" w:color="CDE2BF" w:themeColor="accent3" w:themeTint="99"/>
      </w:tblBorders>
    </w:tblPr>
    <w:tblStylePr w:type="firstRow">
      <w:rPr>
        <w:b/>
        <w:bCs/>
        <w:color w:val="FFFFFF" w:themeColor="background1"/>
      </w:rPr>
      <w:tblPr/>
      <w:tcPr>
        <w:tcBorders>
          <w:top w:val="single" w:sz="4" w:space="0" w:color="ADD095" w:themeColor="accent3"/>
          <w:left w:val="single" w:sz="4" w:space="0" w:color="ADD095" w:themeColor="accent3"/>
          <w:bottom w:val="single" w:sz="4" w:space="0" w:color="ADD095" w:themeColor="accent3"/>
          <w:right w:val="single" w:sz="4" w:space="0" w:color="ADD095" w:themeColor="accent3"/>
          <w:insideH w:val="nil"/>
        </w:tcBorders>
        <w:shd w:val="clear" w:color="auto" w:fill="ADD095" w:themeFill="accent3"/>
      </w:tcPr>
    </w:tblStylePr>
    <w:tblStylePr w:type="lastRow">
      <w:rPr>
        <w:b/>
        <w:bCs/>
      </w:rPr>
      <w:tblPr/>
      <w:tcPr>
        <w:tcBorders>
          <w:top w:val="double" w:sz="4" w:space="0" w:color="CDE2BF" w:themeColor="accent3" w:themeTint="99"/>
        </w:tcBorders>
      </w:tcPr>
    </w:tblStylePr>
    <w:tblStylePr w:type="firstCol">
      <w:rPr>
        <w:b/>
        <w:bCs/>
      </w:rPr>
    </w:tblStylePr>
    <w:tblStylePr w:type="lastCol">
      <w:rPr>
        <w:b/>
        <w:bCs/>
      </w:rPr>
    </w:tblStylePr>
    <w:tblStylePr w:type="band1Vert">
      <w:tblPr/>
      <w:tcPr>
        <w:shd w:val="clear" w:color="auto" w:fill="EEF5E9" w:themeFill="accent3" w:themeFillTint="33"/>
      </w:tcPr>
    </w:tblStylePr>
    <w:tblStylePr w:type="band1Horz">
      <w:tblPr/>
      <w:tcPr>
        <w:shd w:val="clear" w:color="auto" w:fill="EEF5E9" w:themeFill="accent3" w:themeFillTint="33"/>
      </w:tcPr>
    </w:tblStylePr>
  </w:style>
  <w:style w:type="table" w:styleId="ListTable4-Accent4">
    <w:name w:val="List Table 4 Accent 4"/>
    <w:basedOn w:val="TableNormal"/>
    <w:uiPriority w:val="49"/>
    <w:rsid w:val="00920D86"/>
    <w:pPr>
      <w:spacing w:line="240" w:lineRule="auto"/>
    </w:pPr>
    <w:tblPr>
      <w:tblStyleRowBandSize w:val="1"/>
      <w:tblStyleColBandSize w:val="1"/>
      <w:tblBorders>
        <w:top w:val="single" w:sz="4" w:space="0" w:color="BD6298" w:themeColor="accent4" w:themeTint="99"/>
        <w:left w:val="single" w:sz="4" w:space="0" w:color="BD6298" w:themeColor="accent4" w:themeTint="99"/>
        <w:bottom w:val="single" w:sz="4" w:space="0" w:color="BD6298" w:themeColor="accent4" w:themeTint="99"/>
        <w:right w:val="single" w:sz="4" w:space="0" w:color="BD6298" w:themeColor="accent4" w:themeTint="99"/>
        <w:insideH w:val="single" w:sz="4" w:space="0" w:color="BD6298" w:themeColor="accent4" w:themeTint="99"/>
      </w:tblBorders>
    </w:tblPr>
    <w:tblStylePr w:type="firstRow">
      <w:rPr>
        <w:b/>
        <w:bCs/>
        <w:color w:val="FFFFFF" w:themeColor="background1"/>
      </w:rPr>
      <w:tblPr/>
      <w:tcPr>
        <w:tcBorders>
          <w:top w:val="single" w:sz="4" w:space="0" w:color="62294B" w:themeColor="accent4"/>
          <w:left w:val="single" w:sz="4" w:space="0" w:color="62294B" w:themeColor="accent4"/>
          <w:bottom w:val="single" w:sz="4" w:space="0" w:color="62294B" w:themeColor="accent4"/>
          <w:right w:val="single" w:sz="4" w:space="0" w:color="62294B" w:themeColor="accent4"/>
          <w:insideH w:val="nil"/>
        </w:tcBorders>
        <w:shd w:val="clear" w:color="auto" w:fill="62294B" w:themeFill="accent4"/>
      </w:tcPr>
    </w:tblStylePr>
    <w:tblStylePr w:type="lastRow">
      <w:rPr>
        <w:b/>
        <w:bCs/>
      </w:rPr>
      <w:tblPr/>
      <w:tcPr>
        <w:tcBorders>
          <w:top w:val="double" w:sz="4" w:space="0" w:color="BD6298" w:themeColor="accent4" w:themeTint="99"/>
        </w:tcBorders>
      </w:tcPr>
    </w:tblStylePr>
    <w:tblStylePr w:type="firstCol">
      <w:rPr>
        <w:b/>
        <w:bCs/>
      </w:rPr>
    </w:tblStylePr>
    <w:tblStylePr w:type="lastCol">
      <w:rPr>
        <w:b/>
        <w:bCs/>
      </w:rPr>
    </w:tblStylePr>
    <w:tblStylePr w:type="band1Vert">
      <w:tblPr/>
      <w:tcPr>
        <w:shd w:val="clear" w:color="auto" w:fill="E9CADC" w:themeFill="accent4" w:themeFillTint="33"/>
      </w:tcPr>
    </w:tblStylePr>
    <w:tblStylePr w:type="band1Horz">
      <w:tblPr/>
      <w:tcPr>
        <w:shd w:val="clear" w:color="auto" w:fill="E9CADC" w:themeFill="accent4" w:themeFillTint="33"/>
      </w:tcPr>
    </w:tblStylePr>
  </w:style>
  <w:style w:type="table" w:styleId="ListTable4-Accent5">
    <w:name w:val="List Table 4 Accent 5"/>
    <w:basedOn w:val="TableNormal"/>
    <w:uiPriority w:val="49"/>
    <w:rsid w:val="00920D86"/>
    <w:pPr>
      <w:spacing w:line="240" w:lineRule="auto"/>
    </w:pPr>
    <w:tblPr>
      <w:tblStyleRowBandSize w:val="1"/>
      <w:tblStyleColBandSize w:val="1"/>
      <w:tblBorders>
        <w:top w:val="single" w:sz="4" w:space="0" w:color="FFB799" w:themeColor="accent5" w:themeTint="99"/>
        <w:left w:val="single" w:sz="4" w:space="0" w:color="FFB799" w:themeColor="accent5" w:themeTint="99"/>
        <w:bottom w:val="single" w:sz="4" w:space="0" w:color="FFB799" w:themeColor="accent5" w:themeTint="99"/>
        <w:right w:val="single" w:sz="4" w:space="0" w:color="FFB799" w:themeColor="accent5" w:themeTint="99"/>
        <w:insideH w:val="single" w:sz="4" w:space="0" w:color="FFB799" w:themeColor="accent5" w:themeTint="99"/>
      </w:tblBorders>
    </w:tblPr>
    <w:tblStylePr w:type="firstRow">
      <w:rPr>
        <w:b/>
        <w:bCs/>
        <w:color w:val="FFFFFF" w:themeColor="background1"/>
      </w:rPr>
      <w:tblPr/>
      <w:tcPr>
        <w:tcBorders>
          <w:top w:val="single" w:sz="4" w:space="0" w:color="FF8855" w:themeColor="accent5"/>
          <w:left w:val="single" w:sz="4" w:space="0" w:color="FF8855" w:themeColor="accent5"/>
          <w:bottom w:val="single" w:sz="4" w:space="0" w:color="FF8855" w:themeColor="accent5"/>
          <w:right w:val="single" w:sz="4" w:space="0" w:color="FF8855" w:themeColor="accent5"/>
          <w:insideH w:val="nil"/>
        </w:tcBorders>
        <w:shd w:val="clear" w:color="auto" w:fill="FF8855" w:themeFill="accent5"/>
      </w:tcPr>
    </w:tblStylePr>
    <w:tblStylePr w:type="lastRow">
      <w:rPr>
        <w:b/>
        <w:bCs/>
      </w:rPr>
      <w:tblPr/>
      <w:tcPr>
        <w:tcBorders>
          <w:top w:val="double" w:sz="4" w:space="0" w:color="FFB799" w:themeColor="accent5" w:themeTint="99"/>
        </w:tcBorders>
      </w:tcPr>
    </w:tblStylePr>
    <w:tblStylePr w:type="firstCol">
      <w:rPr>
        <w:b/>
        <w:bCs/>
      </w:rPr>
    </w:tblStylePr>
    <w:tblStylePr w:type="lastCol">
      <w:rPr>
        <w:b/>
        <w:bCs/>
      </w:rPr>
    </w:tblStylePr>
    <w:tblStylePr w:type="band1Vert">
      <w:tblPr/>
      <w:tcPr>
        <w:shd w:val="clear" w:color="auto" w:fill="FFE7DD" w:themeFill="accent5" w:themeFillTint="33"/>
      </w:tcPr>
    </w:tblStylePr>
    <w:tblStylePr w:type="band1Horz">
      <w:tblPr/>
      <w:tcPr>
        <w:shd w:val="clear" w:color="auto" w:fill="FFE7DD" w:themeFill="accent5" w:themeFillTint="33"/>
      </w:tcPr>
    </w:tblStylePr>
  </w:style>
  <w:style w:type="table" w:styleId="ListTable4-Accent6">
    <w:name w:val="List Table 4 Accent 6"/>
    <w:basedOn w:val="TableNormal"/>
    <w:uiPriority w:val="49"/>
    <w:rsid w:val="00920D86"/>
    <w:pPr>
      <w:spacing w:line="240" w:lineRule="auto"/>
    </w:pPr>
    <w:tblPr>
      <w:tblStyleRowBandSize w:val="1"/>
      <w:tblStyleColBandSize w:val="1"/>
      <w:tblBorders>
        <w:top w:val="single" w:sz="4" w:space="0" w:color="EEECE7" w:themeColor="accent6" w:themeTint="99"/>
        <w:left w:val="single" w:sz="4" w:space="0" w:color="EEECE7" w:themeColor="accent6" w:themeTint="99"/>
        <w:bottom w:val="single" w:sz="4" w:space="0" w:color="EEECE7" w:themeColor="accent6" w:themeTint="99"/>
        <w:right w:val="single" w:sz="4" w:space="0" w:color="EEECE7" w:themeColor="accent6" w:themeTint="99"/>
        <w:insideH w:val="single" w:sz="4" w:space="0" w:color="EEECE7" w:themeColor="accent6" w:themeTint="99"/>
      </w:tblBorders>
    </w:tblPr>
    <w:tblStylePr w:type="firstRow">
      <w:rPr>
        <w:b/>
        <w:bCs/>
        <w:color w:val="FFFFFF" w:themeColor="background1"/>
      </w:rPr>
      <w:tblPr/>
      <w:tcPr>
        <w:tcBorders>
          <w:top w:val="single" w:sz="4" w:space="0" w:color="E3E1D8" w:themeColor="accent6"/>
          <w:left w:val="single" w:sz="4" w:space="0" w:color="E3E1D8" w:themeColor="accent6"/>
          <w:bottom w:val="single" w:sz="4" w:space="0" w:color="E3E1D8" w:themeColor="accent6"/>
          <w:right w:val="single" w:sz="4" w:space="0" w:color="E3E1D8" w:themeColor="accent6"/>
          <w:insideH w:val="nil"/>
        </w:tcBorders>
        <w:shd w:val="clear" w:color="auto" w:fill="E3E1D8" w:themeFill="accent6"/>
      </w:tcPr>
    </w:tblStylePr>
    <w:tblStylePr w:type="lastRow">
      <w:rPr>
        <w:b/>
        <w:bCs/>
      </w:rPr>
      <w:tblPr/>
      <w:tcPr>
        <w:tcBorders>
          <w:top w:val="double" w:sz="4" w:space="0" w:color="EEECE7" w:themeColor="accent6" w:themeTint="99"/>
        </w:tcBorders>
      </w:tcPr>
    </w:tblStylePr>
    <w:tblStylePr w:type="firstCol">
      <w:rPr>
        <w:b/>
        <w:bCs/>
      </w:rPr>
    </w:tblStylePr>
    <w:tblStylePr w:type="lastCol">
      <w:rPr>
        <w:b/>
        <w:bCs/>
      </w:rPr>
    </w:tblStylePr>
    <w:tblStylePr w:type="band1Vert">
      <w:tblPr/>
      <w:tcPr>
        <w:shd w:val="clear" w:color="auto" w:fill="F9F8F7" w:themeFill="accent6" w:themeFillTint="33"/>
      </w:tcPr>
    </w:tblStylePr>
    <w:tblStylePr w:type="band1Horz">
      <w:tblPr/>
      <w:tcPr>
        <w:shd w:val="clear" w:color="auto" w:fill="F9F8F7" w:themeFill="accent6" w:themeFillTint="33"/>
      </w:tcPr>
    </w:tblStylePr>
  </w:style>
  <w:style w:type="table" w:styleId="ListTable5Dark">
    <w:name w:val="List Table 5 Dark"/>
    <w:basedOn w:val="TableNormal"/>
    <w:uiPriority w:val="50"/>
    <w:rsid w:val="00920D86"/>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920D86"/>
    <w:pPr>
      <w:spacing w:line="240" w:lineRule="auto"/>
    </w:pPr>
    <w:rPr>
      <w:color w:val="FFFFFF" w:themeColor="background1"/>
    </w:rPr>
    <w:tblPr>
      <w:tblStyleRowBandSize w:val="1"/>
      <w:tblStyleColBandSize w:val="1"/>
      <w:tblBorders>
        <w:top w:val="single" w:sz="24" w:space="0" w:color="05326E" w:themeColor="accent1"/>
        <w:left w:val="single" w:sz="24" w:space="0" w:color="05326E" w:themeColor="accent1"/>
        <w:bottom w:val="single" w:sz="24" w:space="0" w:color="05326E" w:themeColor="accent1"/>
        <w:right w:val="single" w:sz="24" w:space="0" w:color="05326E" w:themeColor="accent1"/>
      </w:tblBorders>
    </w:tblPr>
    <w:tcPr>
      <w:shd w:val="clear" w:color="auto" w:fill="05326E"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920D86"/>
    <w:pPr>
      <w:spacing w:line="240" w:lineRule="auto"/>
    </w:pPr>
    <w:rPr>
      <w:color w:val="FFFFFF" w:themeColor="background1"/>
    </w:rPr>
    <w:tblPr>
      <w:tblStyleRowBandSize w:val="1"/>
      <w:tblStyleColBandSize w:val="1"/>
      <w:tblBorders>
        <w:top w:val="single" w:sz="24" w:space="0" w:color="125A40" w:themeColor="accent2"/>
        <w:left w:val="single" w:sz="24" w:space="0" w:color="125A40" w:themeColor="accent2"/>
        <w:bottom w:val="single" w:sz="24" w:space="0" w:color="125A40" w:themeColor="accent2"/>
        <w:right w:val="single" w:sz="24" w:space="0" w:color="125A40" w:themeColor="accent2"/>
      </w:tblBorders>
    </w:tblPr>
    <w:tcPr>
      <w:shd w:val="clear" w:color="auto" w:fill="125A4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920D86"/>
    <w:pPr>
      <w:spacing w:line="240" w:lineRule="auto"/>
    </w:pPr>
    <w:rPr>
      <w:color w:val="FFFFFF" w:themeColor="background1"/>
    </w:rPr>
    <w:tblPr>
      <w:tblStyleRowBandSize w:val="1"/>
      <w:tblStyleColBandSize w:val="1"/>
      <w:tblBorders>
        <w:top w:val="single" w:sz="24" w:space="0" w:color="ADD095" w:themeColor="accent3"/>
        <w:left w:val="single" w:sz="24" w:space="0" w:color="ADD095" w:themeColor="accent3"/>
        <w:bottom w:val="single" w:sz="24" w:space="0" w:color="ADD095" w:themeColor="accent3"/>
        <w:right w:val="single" w:sz="24" w:space="0" w:color="ADD095" w:themeColor="accent3"/>
      </w:tblBorders>
    </w:tblPr>
    <w:tcPr>
      <w:shd w:val="clear" w:color="auto" w:fill="ADD09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920D86"/>
    <w:pPr>
      <w:spacing w:line="240" w:lineRule="auto"/>
    </w:pPr>
    <w:rPr>
      <w:color w:val="FFFFFF" w:themeColor="background1"/>
    </w:rPr>
    <w:tblPr>
      <w:tblStyleRowBandSize w:val="1"/>
      <w:tblStyleColBandSize w:val="1"/>
      <w:tblBorders>
        <w:top w:val="single" w:sz="24" w:space="0" w:color="62294B" w:themeColor="accent4"/>
        <w:left w:val="single" w:sz="24" w:space="0" w:color="62294B" w:themeColor="accent4"/>
        <w:bottom w:val="single" w:sz="24" w:space="0" w:color="62294B" w:themeColor="accent4"/>
        <w:right w:val="single" w:sz="24" w:space="0" w:color="62294B" w:themeColor="accent4"/>
      </w:tblBorders>
    </w:tblPr>
    <w:tcPr>
      <w:shd w:val="clear" w:color="auto" w:fill="62294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920D86"/>
    <w:pPr>
      <w:spacing w:line="240" w:lineRule="auto"/>
    </w:pPr>
    <w:rPr>
      <w:color w:val="FFFFFF" w:themeColor="background1"/>
    </w:rPr>
    <w:tblPr>
      <w:tblStyleRowBandSize w:val="1"/>
      <w:tblStyleColBandSize w:val="1"/>
      <w:tblBorders>
        <w:top w:val="single" w:sz="24" w:space="0" w:color="FF8855" w:themeColor="accent5"/>
        <w:left w:val="single" w:sz="24" w:space="0" w:color="FF8855" w:themeColor="accent5"/>
        <w:bottom w:val="single" w:sz="24" w:space="0" w:color="FF8855" w:themeColor="accent5"/>
        <w:right w:val="single" w:sz="24" w:space="0" w:color="FF8855" w:themeColor="accent5"/>
      </w:tblBorders>
    </w:tblPr>
    <w:tcPr>
      <w:shd w:val="clear" w:color="auto" w:fill="FF885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920D86"/>
    <w:pPr>
      <w:spacing w:line="240" w:lineRule="auto"/>
    </w:pPr>
    <w:rPr>
      <w:color w:val="FFFFFF" w:themeColor="background1"/>
    </w:rPr>
    <w:tblPr>
      <w:tblStyleRowBandSize w:val="1"/>
      <w:tblStyleColBandSize w:val="1"/>
      <w:tblBorders>
        <w:top w:val="single" w:sz="24" w:space="0" w:color="E3E1D8" w:themeColor="accent6"/>
        <w:left w:val="single" w:sz="24" w:space="0" w:color="E3E1D8" w:themeColor="accent6"/>
        <w:bottom w:val="single" w:sz="24" w:space="0" w:color="E3E1D8" w:themeColor="accent6"/>
        <w:right w:val="single" w:sz="24" w:space="0" w:color="E3E1D8" w:themeColor="accent6"/>
      </w:tblBorders>
    </w:tblPr>
    <w:tcPr>
      <w:shd w:val="clear" w:color="auto" w:fill="E3E1D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920D86"/>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920D86"/>
    <w:pPr>
      <w:spacing w:line="240" w:lineRule="auto"/>
    </w:pPr>
    <w:rPr>
      <w:color w:val="032552" w:themeColor="accent1" w:themeShade="BF"/>
    </w:rPr>
    <w:tblPr>
      <w:tblStyleRowBandSize w:val="1"/>
      <w:tblStyleColBandSize w:val="1"/>
      <w:tblBorders>
        <w:top w:val="single" w:sz="4" w:space="0" w:color="05326E" w:themeColor="accent1"/>
        <w:bottom w:val="single" w:sz="4" w:space="0" w:color="05326E" w:themeColor="accent1"/>
      </w:tblBorders>
    </w:tblPr>
    <w:tblStylePr w:type="firstRow">
      <w:rPr>
        <w:b/>
        <w:bCs/>
      </w:rPr>
      <w:tblPr/>
      <w:tcPr>
        <w:tcBorders>
          <w:bottom w:val="single" w:sz="4" w:space="0" w:color="05326E" w:themeColor="accent1"/>
        </w:tcBorders>
      </w:tcPr>
    </w:tblStylePr>
    <w:tblStylePr w:type="lastRow">
      <w:rPr>
        <w:b/>
        <w:bCs/>
      </w:rPr>
      <w:tblPr/>
      <w:tcPr>
        <w:tcBorders>
          <w:top w:val="double" w:sz="4" w:space="0" w:color="05326E" w:themeColor="accent1"/>
        </w:tcBorders>
      </w:tcPr>
    </w:tblStylePr>
    <w:tblStylePr w:type="firstCol">
      <w:rPr>
        <w:b/>
        <w:bCs/>
      </w:rPr>
    </w:tblStylePr>
    <w:tblStylePr w:type="lastCol">
      <w:rPr>
        <w:b/>
        <w:bCs/>
      </w:rPr>
    </w:tblStylePr>
    <w:tblStylePr w:type="band1Vert">
      <w:tblPr/>
      <w:tcPr>
        <w:shd w:val="clear" w:color="auto" w:fill="B3D2FB" w:themeFill="accent1" w:themeFillTint="33"/>
      </w:tcPr>
    </w:tblStylePr>
    <w:tblStylePr w:type="band1Horz">
      <w:tblPr/>
      <w:tcPr>
        <w:shd w:val="clear" w:color="auto" w:fill="B3D2FB" w:themeFill="accent1" w:themeFillTint="33"/>
      </w:tcPr>
    </w:tblStylePr>
  </w:style>
  <w:style w:type="table" w:styleId="ListTable6Colorful-Accent2">
    <w:name w:val="List Table 6 Colorful Accent 2"/>
    <w:basedOn w:val="TableNormal"/>
    <w:uiPriority w:val="51"/>
    <w:rsid w:val="00920D86"/>
    <w:pPr>
      <w:spacing w:line="240" w:lineRule="auto"/>
    </w:pPr>
    <w:rPr>
      <w:color w:val="0D432F" w:themeColor="accent2" w:themeShade="BF"/>
    </w:rPr>
    <w:tblPr>
      <w:tblStyleRowBandSize w:val="1"/>
      <w:tblStyleColBandSize w:val="1"/>
      <w:tblBorders>
        <w:top w:val="single" w:sz="4" w:space="0" w:color="125A40" w:themeColor="accent2"/>
        <w:bottom w:val="single" w:sz="4" w:space="0" w:color="125A40" w:themeColor="accent2"/>
      </w:tblBorders>
    </w:tblPr>
    <w:tblStylePr w:type="firstRow">
      <w:rPr>
        <w:b/>
        <w:bCs/>
      </w:rPr>
      <w:tblPr/>
      <w:tcPr>
        <w:tcBorders>
          <w:bottom w:val="single" w:sz="4" w:space="0" w:color="125A40" w:themeColor="accent2"/>
        </w:tcBorders>
      </w:tcPr>
    </w:tblStylePr>
    <w:tblStylePr w:type="lastRow">
      <w:rPr>
        <w:b/>
        <w:bCs/>
      </w:rPr>
      <w:tblPr/>
      <w:tcPr>
        <w:tcBorders>
          <w:top w:val="double" w:sz="4" w:space="0" w:color="125A40" w:themeColor="accent2"/>
        </w:tcBorders>
      </w:tcPr>
    </w:tblStylePr>
    <w:tblStylePr w:type="firstCol">
      <w:rPr>
        <w:b/>
        <w:bCs/>
      </w:rPr>
    </w:tblStylePr>
    <w:tblStylePr w:type="lastCol">
      <w:rPr>
        <w:b/>
        <w:bCs/>
      </w:rPr>
    </w:tblStylePr>
    <w:tblStylePr w:type="band1Vert">
      <w:tblPr/>
      <w:tcPr>
        <w:shd w:val="clear" w:color="auto" w:fill="BBF1DD" w:themeFill="accent2" w:themeFillTint="33"/>
      </w:tcPr>
    </w:tblStylePr>
    <w:tblStylePr w:type="band1Horz">
      <w:tblPr/>
      <w:tcPr>
        <w:shd w:val="clear" w:color="auto" w:fill="BBF1DD" w:themeFill="accent2" w:themeFillTint="33"/>
      </w:tcPr>
    </w:tblStylePr>
  </w:style>
  <w:style w:type="table" w:styleId="ListTable6Colorful-Accent3">
    <w:name w:val="List Table 6 Colorful Accent 3"/>
    <w:basedOn w:val="TableNormal"/>
    <w:uiPriority w:val="51"/>
    <w:rsid w:val="00920D86"/>
    <w:pPr>
      <w:spacing w:line="240" w:lineRule="auto"/>
    </w:pPr>
    <w:rPr>
      <w:color w:val="7CB456" w:themeColor="accent3" w:themeShade="BF"/>
    </w:rPr>
    <w:tblPr>
      <w:tblStyleRowBandSize w:val="1"/>
      <w:tblStyleColBandSize w:val="1"/>
      <w:tblBorders>
        <w:top w:val="single" w:sz="4" w:space="0" w:color="ADD095" w:themeColor="accent3"/>
        <w:bottom w:val="single" w:sz="4" w:space="0" w:color="ADD095" w:themeColor="accent3"/>
      </w:tblBorders>
    </w:tblPr>
    <w:tblStylePr w:type="firstRow">
      <w:rPr>
        <w:b/>
        <w:bCs/>
      </w:rPr>
      <w:tblPr/>
      <w:tcPr>
        <w:tcBorders>
          <w:bottom w:val="single" w:sz="4" w:space="0" w:color="ADD095" w:themeColor="accent3"/>
        </w:tcBorders>
      </w:tcPr>
    </w:tblStylePr>
    <w:tblStylePr w:type="lastRow">
      <w:rPr>
        <w:b/>
        <w:bCs/>
      </w:rPr>
      <w:tblPr/>
      <w:tcPr>
        <w:tcBorders>
          <w:top w:val="double" w:sz="4" w:space="0" w:color="ADD095" w:themeColor="accent3"/>
        </w:tcBorders>
      </w:tcPr>
    </w:tblStylePr>
    <w:tblStylePr w:type="firstCol">
      <w:rPr>
        <w:b/>
        <w:bCs/>
      </w:rPr>
    </w:tblStylePr>
    <w:tblStylePr w:type="lastCol">
      <w:rPr>
        <w:b/>
        <w:bCs/>
      </w:rPr>
    </w:tblStylePr>
    <w:tblStylePr w:type="band1Vert">
      <w:tblPr/>
      <w:tcPr>
        <w:shd w:val="clear" w:color="auto" w:fill="EEF5E9" w:themeFill="accent3" w:themeFillTint="33"/>
      </w:tcPr>
    </w:tblStylePr>
    <w:tblStylePr w:type="band1Horz">
      <w:tblPr/>
      <w:tcPr>
        <w:shd w:val="clear" w:color="auto" w:fill="EEF5E9" w:themeFill="accent3" w:themeFillTint="33"/>
      </w:tcPr>
    </w:tblStylePr>
  </w:style>
  <w:style w:type="table" w:styleId="ListTable6Colorful-Accent4">
    <w:name w:val="List Table 6 Colorful Accent 4"/>
    <w:basedOn w:val="TableNormal"/>
    <w:uiPriority w:val="51"/>
    <w:rsid w:val="00920D86"/>
    <w:pPr>
      <w:spacing w:line="240" w:lineRule="auto"/>
    </w:pPr>
    <w:rPr>
      <w:color w:val="491E38" w:themeColor="accent4" w:themeShade="BF"/>
    </w:rPr>
    <w:tblPr>
      <w:tblStyleRowBandSize w:val="1"/>
      <w:tblStyleColBandSize w:val="1"/>
      <w:tblBorders>
        <w:top w:val="single" w:sz="4" w:space="0" w:color="62294B" w:themeColor="accent4"/>
        <w:bottom w:val="single" w:sz="4" w:space="0" w:color="62294B" w:themeColor="accent4"/>
      </w:tblBorders>
    </w:tblPr>
    <w:tblStylePr w:type="firstRow">
      <w:rPr>
        <w:b/>
        <w:bCs/>
      </w:rPr>
      <w:tblPr/>
      <w:tcPr>
        <w:tcBorders>
          <w:bottom w:val="single" w:sz="4" w:space="0" w:color="62294B" w:themeColor="accent4"/>
        </w:tcBorders>
      </w:tcPr>
    </w:tblStylePr>
    <w:tblStylePr w:type="lastRow">
      <w:rPr>
        <w:b/>
        <w:bCs/>
      </w:rPr>
      <w:tblPr/>
      <w:tcPr>
        <w:tcBorders>
          <w:top w:val="double" w:sz="4" w:space="0" w:color="62294B" w:themeColor="accent4"/>
        </w:tcBorders>
      </w:tcPr>
    </w:tblStylePr>
    <w:tblStylePr w:type="firstCol">
      <w:rPr>
        <w:b/>
        <w:bCs/>
      </w:rPr>
    </w:tblStylePr>
    <w:tblStylePr w:type="lastCol">
      <w:rPr>
        <w:b/>
        <w:bCs/>
      </w:rPr>
    </w:tblStylePr>
    <w:tblStylePr w:type="band1Vert">
      <w:tblPr/>
      <w:tcPr>
        <w:shd w:val="clear" w:color="auto" w:fill="E9CADC" w:themeFill="accent4" w:themeFillTint="33"/>
      </w:tcPr>
    </w:tblStylePr>
    <w:tblStylePr w:type="band1Horz">
      <w:tblPr/>
      <w:tcPr>
        <w:shd w:val="clear" w:color="auto" w:fill="E9CADC" w:themeFill="accent4" w:themeFillTint="33"/>
      </w:tcPr>
    </w:tblStylePr>
  </w:style>
  <w:style w:type="table" w:styleId="ListTable6Colorful-Accent5">
    <w:name w:val="List Table 6 Colorful Accent 5"/>
    <w:basedOn w:val="TableNormal"/>
    <w:uiPriority w:val="51"/>
    <w:rsid w:val="00920D86"/>
    <w:pPr>
      <w:spacing w:line="240" w:lineRule="auto"/>
    </w:pPr>
    <w:rPr>
      <w:color w:val="FE4B00" w:themeColor="accent5" w:themeShade="BF"/>
    </w:rPr>
    <w:tblPr>
      <w:tblStyleRowBandSize w:val="1"/>
      <w:tblStyleColBandSize w:val="1"/>
      <w:tblBorders>
        <w:top w:val="single" w:sz="4" w:space="0" w:color="FF8855" w:themeColor="accent5"/>
        <w:bottom w:val="single" w:sz="4" w:space="0" w:color="FF8855" w:themeColor="accent5"/>
      </w:tblBorders>
    </w:tblPr>
    <w:tblStylePr w:type="firstRow">
      <w:rPr>
        <w:b/>
        <w:bCs/>
      </w:rPr>
      <w:tblPr/>
      <w:tcPr>
        <w:tcBorders>
          <w:bottom w:val="single" w:sz="4" w:space="0" w:color="FF8855" w:themeColor="accent5"/>
        </w:tcBorders>
      </w:tcPr>
    </w:tblStylePr>
    <w:tblStylePr w:type="lastRow">
      <w:rPr>
        <w:b/>
        <w:bCs/>
      </w:rPr>
      <w:tblPr/>
      <w:tcPr>
        <w:tcBorders>
          <w:top w:val="double" w:sz="4" w:space="0" w:color="FF8855" w:themeColor="accent5"/>
        </w:tcBorders>
      </w:tcPr>
    </w:tblStylePr>
    <w:tblStylePr w:type="firstCol">
      <w:rPr>
        <w:b/>
        <w:bCs/>
      </w:rPr>
    </w:tblStylePr>
    <w:tblStylePr w:type="lastCol">
      <w:rPr>
        <w:b/>
        <w:bCs/>
      </w:rPr>
    </w:tblStylePr>
    <w:tblStylePr w:type="band1Vert">
      <w:tblPr/>
      <w:tcPr>
        <w:shd w:val="clear" w:color="auto" w:fill="FFE7DD" w:themeFill="accent5" w:themeFillTint="33"/>
      </w:tcPr>
    </w:tblStylePr>
    <w:tblStylePr w:type="band1Horz">
      <w:tblPr/>
      <w:tcPr>
        <w:shd w:val="clear" w:color="auto" w:fill="FFE7DD" w:themeFill="accent5" w:themeFillTint="33"/>
      </w:tcPr>
    </w:tblStylePr>
  </w:style>
  <w:style w:type="table" w:styleId="ListTable6Colorful-Accent6">
    <w:name w:val="List Table 6 Colorful Accent 6"/>
    <w:basedOn w:val="TableNormal"/>
    <w:uiPriority w:val="51"/>
    <w:rsid w:val="00920D86"/>
    <w:pPr>
      <w:spacing w:line="240" w:lineRule="auto"/>
    </w:pPr>
    <w:rPr>
      <w:color w:val="B4AF97" w:themeColor="accent6" w:themeShade="BF"/>
    </w:rPr>
    <w:tblPr>
      <w:tblStyleRowBandSize w:val="1"/>
      <w:tblStyleColBandSize w:val="1"/>
      <w:tblBorders>
        <w:top w:val="single" w:sz="4" w:space="0" w:color="E3E1D8" w:themeColor="accent6"/>
        <w:bottom w:val="single" w:sz="4" w:space="0" w:color="E3E1D8" w:themeColor="accent6"/>
      </w:tblBorders>
    </w:tblPr>
    <w:tblStylePr w:type="firstRow">
      <w:rPr>
        <w:b/>
        <w:bCs/>
      </w:rPr>
      <w:tblPr/>
      <w:tcPr>
        <w:tcBorders>
          <w:bottom w:val="single" w:sz="4" w:space="0" w:color="E3E1D8" w:themeColor="accent6"/>
        </w:tcBorders>
      </w:tcPr>
    </w:tblStylePr>
    <w:tblStylePr w:type="lastRow">
      <w:rPr>
        <w:b/>
        <w:bCs/>
      </w:rPr>
      <w:tblPr/>
      <w:tcPr>
        <w:tcBorders>
          <w:top w:val="double" w:sz="4" w:space="0" w:color="E3E1D8" w:themeColor="accent6"/>
        </w:tcBorders>
      </w:tcPr>
    </w:tblStylePr>
    <w:tblStylePr w:type="firstCol">
      <w:rPr>
        <w:b/>
        <w:bCs/>
      </w:rPr>
    </w:tblStylePr>
    <w:tblStylePr w:type="lastCol">
      <w:rPr>
        <w:b/>
        <w:bCs/>
      </w:rPr>
    </w:tblStylePr>
    <w:tblStylePr w:type="band1Vert">
      <w:tblPr/>
      <w:tcPr>
        <w:shd w:val="clear" w:color="auto" w:fill="F9F8F7" w:themeFill="accent6" w:themeFillTint="33"/>
      </w:tcPr>
    </w:tblStylePr>
    <w:tblStylePr w:type="band1Horz">
      <w:tblPr/>
      <w:tcPr>
        <w:shd w:val="clear" w:color="auto" w:fill="F9F8F7" w:themeFill="accent6" w:themeFillTint="33"/>
      </w:tcPr>
    </w:tblStylePr>
  </w:style>
  <w:style w:type="table" w:styleId="ListTable7Colorful">
    <w:name w:val="List Table 7 Colorful"/>
    <w:basedOn w:val="TableNormal"/>
    <w:uiPriority w:val="52"/>
    <w:rsid w:val="00920D86"/>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920D86"/>
    <w:pPr>
      <w:spacing w:line="240" w:lineRule="auto"/>
    </w:pPr>
    <w:rPr>
      <w:color w:val="032552"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5326E"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5326E"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5326E"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5326E" w:themeColor="accent1"/>
        </w:tcBorders>
        <w:shd w:val="clear" w:color="auto" w:fill="FFFFFF" w:themeFill="background1"/>
      </w:tcPr>
    </w:tblStylePr>
    <w:tblStylePr w:type="band1Vert">
      <w:tblPr/>
      <w:tcPr>
        <w:shd w:val="clear" w:color="auto" w:fill="B3D2FB" w:themeFill="accent1" w:themeFillTint="33"/>
      </w:tcPr>
    </w:tblStylePr>
    <w:tblStylePr w:type="band1Horz">
      <w:tblPr/>
      <w:tcPr>
        <w:shd w:val="clear" w:color="auto" w:fill="B3D2F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920D86"/>
    <w:pPr>
      <w:spacing w:line="240" w:lineRule="auto"/>
    </w:pPr>
    <w:rPr>
      <w:color w:val="0D432F"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25A4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25A4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25A4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25A40" w:themeColor="accent2"/>
        </w:tcBorders>
        <w:shd w:val="clear" w:color="auto" w:fill="FFFFFF" w:themeFill="background1"/>
      </w:tcPr>
    </w:tblStylePr>
    <w:tblStylePr w:type="band1Vert">
      <w:tblPr/>
      <w:tcPr>
        <w:shd w:val="clear" w:color="auto" w:fill="BBF1DD" w:themeFill="accent2" w:themeFillTint="33"/>
      </w:tcPr>
    </w:tblStylePr>
    <w:tblStylePr w:type="band1Horz">
      <w:tblPr/>
      <w:tcPr>
        <w:shd w:val="clear" w:color="auto" w:fill="BBF1DD"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920D86"/>
    <w:pPr>
      <w:spacing w:line="240" w:lineRule="auto"/>
    </w:pPr>
    <w:rPr>
      <w:color w:val="7CB456"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DD09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DD09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DD09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DD095" w:themeColor="accent3"/>
        </w:tcBorders>
        <w:shd w:val="clear" w:color="auto" w:fill="FFFFFF" w:themeFill="background1"/>
      </w:tcPr>
    </w:tblStylePr>
    <w:tblStylePr w:type="band1Vert">
      <w:tblPr/>
      <w:tcPr>
        <w:shd w:val="clear" w:color="auto" w:fill="EEF5E9" w:themeFill="accent3" w:themeFillTint="33"/>
      </w:tcPr>
    </w:tblStylePr>
    <w:tblStylePr w:type="band1Horz">
      <w:tblPr/>
      <w:tcPr>
        <w:shd w:val="clear" w:color="auto" w:fill="EEF5E9"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920D86"/>
    <w:pPr>
      <w:spacing w:line="240" w:lineRule="auto"/>
    </w:pPr>
    <w:rPr>
      <w:color w:val="491E3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2294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2294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2294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2294B" w:themeColor="accent4"/>
        </w:tcBorders>
        <w:shd w:val="clear" w:color="auto" w:fill="FFFFFF" w:themeFill="background1"/>
      </w:tcPr>
    </w:tblStylePr>
    <w:tblStylePr w:type="band1Vert">
      <w:tblPr/>
      <w:tcPr>
        <w:shd w:val="clear" w:color="auto" w:fill="E9CADC" w:themeFill="accent4" w:themeFillTint="33"/>
      </w:tcPr>
    </w:tblStylePr>
    <w:tblStylePr w:type="band1Horz">
      <w:tblPr/>
      <w:tcPr>
        <w:shd w:val="clear" w:color="auto" w:fill="E9CAD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920D86"/>
    <w:pPr>
      <w:spacing w:line="240" w:lineRule="auto"/>
    </w:pPr>
    <w:rPr>
      <w:color w:val="FE4B0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885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885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885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8855" w:themeColor="accent5"/>
        </w:tcBorders>
        <w:shd w:val="clear" w:color="auto" w:fill="FFFFFF" w:themeFill="background1"/>
      </w:tcPr>
    </w:tblStylePr>
    <w:tblStylePr w:type="band1Vert">
      <w:tblPr/>
      <w:tcPr>
        <w:shd w:val="clear" w:color="auto" w:fill="FFE7DD" w:themeFill="accent5" w:themeFillTint="33"/>
      </w:tcPr>
    </w:tblStylePr>
    <w:tblStylePr w:type="band1Horz">
      <w:tblPr/>
      <w:tcPr>
        <w:shd w:val="clear" w:color="auto" w:fill="FFE7D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920D86"/>
    <w:pPr>
      <w:spacing w:line="240" w:lineRule="auto"/>
    </w:pPr>
    <w:rPr>
      <w:color w:val="B4AF97"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3E1D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3E1D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3E1D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3E1D8" w:themeColor="accent6"/>
        </w:tcBorders>
        <w:shd w:val="clear" w:color="auto" w:fill="FFFFFF" w:themeFill="background1"/>
      </w:tcPr>
    </w:tblStylePr>
    <w:tblStylePr w:type="band1Vert">
      <w:tblPr/>
      <w:tcPr>
        <w:shd w:val="clear" w:color="auto" w:fill="F9F8F7" w:themeFill="accent6" w:themeFillTint="33"/>
      </w:tcPr>
    </w:tblStylePr>
    <w:tblStylePr w:type="band1Horz">
      <w:tblPr/>
      <w:tcPr>
        <w:shd w:val="clear" w:color="auto" w:fill="F9F8F7"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920D86"/>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lang w:val="en-US"/>
    </w:rPr>
  </w:style>
  <w:style w:type="character" w:customStyle="1" w:styleId="MacroTextChar">
    <w:name w:val="Macro Text Char"/>
    <w:basedOn w:val="DefaultParagraphFont"/>
    <w:link w:val="MacroText"/>
    <w:uiPriority w:val="99"/>
    <w:semiHidden/>
    <w:rsid w:val="00920D86"/>
    <w:rPr>
      <w:rFonts w:ascii="Consolas" w:hAnsi="Consolas"/>
      <w:sz w:val="20"/>
      <w:szCs w:val="20"/>
      <w:lang w:val="en-US"/>
    </w:rPr>
  </w:style>
  <w:style w:type="table" w:styleId="MediumGrid1">
    <w:name w:val="Medium Grid 1"/>
    <w:basedOn w:val="TableNormal"/>
    <w:uiPriority w:val="67"/>
    <w:semiHidden/>
    <w:unhideWhenUsed/>
    <w:rsid w:val="00920D86"/>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920D86"/>
    <w:pPr>
      <w:spacing w:line="240" w:lineRule="auto"/>
    </w:pPr>
    <w:tblPr>
      <w:tblStyleRowBandSize w:val="1"/>
      <w:tblStyleColBandSize w:val="1"/>
      <w:tblBorders>
        <w:top w:val="single" w:sz="8" w:space="0" w:color="095CCC" w:themeColor="accent1" w:themeTint="BF"/>
        <w:left w:val="single" w:sz="8" w:space="0" w:color="095CCC" w:themeColor="accent1" w:themeTint="BF"/>
        <w:bottom w:val="single" w:sz="8" w:space="0" w:color="095CCC" w:themeColor="accent1" w:themeTint="BF"/>
        <w:right w:val="single" w:sz="8" w:space="0" w:color="095CCC" w:themeColor="accent1" w:themeTint="BF"/>
        <w:insideH w:val="single" w:sz="8" w:space="0" w:color="095CCC" w:themeColor="accent1" w:themeTint="BF"/>
        <w:insideV w:val="single" w:sz="8" w:space="0" w:color="095CCC" w:themeColor="accent1" w:themeTint="BF"/>
      </w:tblBorders>
    </w:tblPr>
    <w:tcPr>
      <w:shd w:val="clear" w:color="auto" w:fill="A1C7FA" w:themeFill="accent1" w:themeFillTint="3F"/>
    </w:tcPr>
    <w:tblStylePr w:type="firstRow">
      <w:rPr>
        <w:b/>
        <w:bCs/>
      </w:rPr>
    </w:tblStylePr>
    <w:tblStylePr w:type="lastRow">
      <w:rPr>
        <w:b/>
        <w:bCs/>
      </w:rPr>
      <w:tblPr/>
      <w:tcPr>
        <w:tcBorders>
          <w:top w:val="single" w:sz="18" w:space="0" w:color="095CCC" w:themeColor="accent1" w:themeTint="BF"/>
        </w:tcBorders>
      </w:tcPr>
    </w:tblStylePr>
    <w:tblStylePr w:type="firstCol">
      <w:rPr>
        <w:b/>
        <w:bCs/>
      </w:rPr>
    </w:tblStylePr>
    <w:tblStylePr w:type="lastCol">
      <w:rPr>
        <w:b/>
        <w:bCs/>
      </w:rPr>
    </w:tblStylePr>
    <w:tblStylePr w:type="band1Vert">
      <w:tblPr/>
      <w:tcPr>
        <w:shd w:val="clear" w:color="auto" w:fill="428FF6" w:themeFill="accent1" w:themeFillTint="7F"/>
      </w:tcPr>
    </w:tblStylePr>
    <w:tblStylePr w:type="band1Horz">
      <w:tblPr/>
      <w:tcPr>
        <w:shd w:val="clear" w:color="auto" w:fill="428FF6" w:themeFill="accent1" w:themeFillTint="7F"/>
      </w:tcPr>
    </w:tblStylePr>
  </w:style>
  <w:style w:type="table" w:styleId="MediumGrid1-Accent2">
    <w:name w:val="Medium Grid 1 Accent 2"/>
    <w:basedOn w:val="TableNormal"/>
    <w:uiPriority w:val="67"/>
    <w:semiHidden/>
    <w:unhideWhenUsed/>
    <w:rsid w:val="00920D86"/>
    <w:pPr>
      <w:spacing w:line="240" w:lineRule="auto"/>
    </w:pPr>
    <w:tblPr>
      <w:tblStyleRowBandSize w:val="1"/>
      <w:tblStyleColBandSize w:val="1"/>
      <w:tblBorders>
        <w:top w:val="single" w:sz="8" w:space="0" w:color="22AD7B" w:themeColor="accent2" w:themeTint="BF"/>
        <w:left w:val="single" w:sz="8" w:space="0" w:color="22AD7B" w:themeColor="accent2" w:themeTint="BF"/>
        <w:bottom w:val="single" w:sz="8" w:space="0" w:color="22AD7B" w:themeColor="accent2" w:themeTint="BF"/>
        <w:right w:val="single" w:sz="8" w:space="0" w:color="22AD7B" w:themeColor="accent2" w:themeTint="BF"/>
        <w:insideH w:val="single" w:sz="8" w:space="0" w:color="22AD7B" w:themeColor="accent2" w:themeTint="BF"/>
        <w:insideV w:val="single" w:sz="8" w:space="0" w:color="22AD7B" w:themeColor="accent2" w:themeTint="BF"/>
      </w:tblBorders>
    </w:tblPr>
    <w:tcPr>
      <w:shd w:val="clear" w:color="auto" w:fill="ACEED6" w:themeFill="accent2" w:themeFillTint="3F"/>
    </w:tcPr>
    <w:tblStylePr w:type="firstRow">
      <w:rPr>
        <w:b/>
        <w:bCs/>
      </w:rPr>
    </w:tblStylePr>
    <w:tblStylePr w:type="lastRow">
      <w:rPr>
        <w:b/>
        <w:bCs/>
      </w:rPr>
      <w:tblPr/>
      <w:tcPr>
        <w:tcBorders>
          <w:top w:val="single" w:sz="18" w:space="0" w:color="22AD7B" w:themeColor="accent2" w:themeTint="BF"/>
        </w:tcBorders>
      </w:tcPr>
    </w:tblStylePr>
    <w:tblStylePr w:type="firstCol">
      <w:rPr>
        <w:b/>
        <w:bCs/>
      </w:rPr>
    </w:tblStylePr>
    <w:tblStylePr w:type="lastCol">
      <w:rPr>
        <w:b/>
        <w:bCs/>
      </w:rPr>
    </w:tblStylePr>
    <w:tblStylePr w:type="band1Vert">
      <w:tblPr/>
      <w:tcPr>
        <w:shd w:val="clear" w:color="auto" w:fill="58DDAC" w:themeFill="accent2" w:themeFillTint="7F"/>
      </w:tcPr>
    </w:tblStylePr>
    <w:tblStylePr w:type="band1Horz">
      <w:tblPr/>
      <w:tcPr>
        <w:shd w:val="clear" w:color="auto" w:fill="58DDAC" w:themeFill="accent2" w:themeFillTint="7F"/>
      </w:tcPr>
    </w:tblStylePr>
  </w:style>
  <w:style w:type="table" w:styleId="MediumGrid1-Accent3">
    <w:name w:val="Medium Grid 1 Accent 3"/>
    <w:basedOn w:val="TableNormal"/>
    <w:uiPriority w:val="67"/>
    <w:semiHidden/>
    <w:unhideWhenUsed/>
    <w:rsid w:val="00920D86"/>
    <w:pPr>
      <w:spacing w:line="240" w:lineRule="auto"/>
    </w:pPr>
    <w:tblPr>
      <w:tblStyleRowBandSize w:val="1"/>
      <w:tblStyleColBandSize w:val="1"/>
      <w:tblBorders>
        <w:top w:val="single" w:sz="8" w:space="0" w:color="C1DBAF" w:themeColor="accent3" w:themeTint="BF"/>
        <w:left w:val="single" w:sz="8" w:space="0" w:color="C1DBAF" w:themeColor="accent3" w:themeTint="BF"/>
        <w:bottom w:val="single" w:sz="8" w:space="0" w:color="C1DBAF" w:themeColor="accent3" w:themeTint="BF"/>
        <w:right w:val="single" w:sz="8" w:space="0" w:color="C1DBAF" w:themeColor="accent3" w:themeTint="BF"/>
        <w:insideH w:val="single" w:sz="8" w:space="0" w:color="C1DBAF" w:themeColor="accent3" w:themeTint="BF"/>
        <w:insideV w:val="single" w:sz="8" w:space="0" w:color="C1DBAF" w:themeColor="accent3" w:themeTint="BF"/>
      </w:tblBorders>
    </w:tblPr>
    <w:tcPr>
      <w:shd w:val="clear" w:color="auto" w:fill="EAF3E4" w:themeFill="accent3" w:themeFillTint="3F"/>
    </w:tcPr>
    <w:tblStylePr w:type="firstRow">
      <w:rPr>
        <w:b/>
        <w:bCs/>
      </w:rPr>
    </w:tblStylePr>
    <w:tblStylePr w:type="lastRow">
      <w:rPr>
        <w:b/>
        <w:bCs/>
      </w:rPr>
      <w:tblPr/>
      <w:tcPr>
        <w:tcBorders>
          <w:top w:val="single" w:sz="18" w:space="0" w:color="C1DBAF" w:themeColor="accent3" w:themeTint="BF"/>
        </w:tcBorders>
      </w:tcPr>
    </w:tblStylePr>
    <w:tblStylePr w:type="firstCol">
      <w:rPr>
        <w:b/>
        <w:bCs/>
      </w:rPr>
    </w:tblStylePr>
    <w:tblStylePr w:type="lastCol">
      <w:rPr>
        <w:b/>
        <w:bCs/>
      </w:rPr>
    </w:tblStylePr>
    <w:tblStylePr w:type="band1Vert">
      <w:tblPr/>
      <w:tcPr>
        <w:shd w:val="clear" w:color="auto" w:fill="D5E7CA" w:themeFill="accent3" w:themeFillTint="7F"/>
      </w:tcPr>
    </w:tblStylePr>
    <w:tblStylePr w:type="band1Horz">
      <w:tblPr/>
      <w:tcPr>
        <w:shd w:val="clear" w:color="auto" w:fill="D5E7CA" w:themeFill="accent3" w:themeFillTint="7F"/>
      </w:tcPr>
    </w:tblStylePr>
  </w:style>
  <w:style w:type="table" w:styleId="MediumGrid1-Accent4">
    <w:name w:val="Medium Grid 1 Accent 4"/>
    <w:basedOn w:val="TableNormal"/>
    <w:uiPriority w:val="67"/>
    <w:semiHidden/>
    <w:unhideWhenUsed/>
    <w:rsid w:val="00920D86"/>
    <w:pPr>
      <w:spacing w:line="240" w:lineRule="auto"/>
    </w:pPr>
    <w:tblPr>
      <w:tblStyleRowBandSize w:val="1"/>
      <w:tblStyleColBandSize w:val="1"/>
      <w:tblBorders>
        <w:top w:val="single" w:sz="8" w:space="0" w:color="A3447D" w:themeColor="accent4" w:themeTint="BF"/>
        <w:left w:val="single" w:sz="8" w:space="0" w:color="A3447D" w:themeColor="accent4" w:themeTint="BF"/>
        <w:bottom w:val="single" w:sz="8" w:space="0" w:color="A3447D" w:themeColor="accent4" w:themeTint="BF"/>
        <w:right w:val="single" w:sz="8" w:space="0" w:color="A3447D" w:themeColor="accent4" w:themeTint="BF"/>
        <w:insideH w:val="single" w:sz="8" w:space="0" w:color="A3447D" w:themeColor="accent4" w:themeTint="BF"/>
        <w:insideV w:val="single" w:sz="8" w:space="0" w:color="A3447D" w:themeColor="accent4" w:themeTint="BF"/>
      </w:tblBorders>
    </w:tblPr>
    <w:tcPr>
      <w:shd w:val="clear" w:color="auto" w:fill="E4BED4" w:themeFill="accent4" w:themeFillTint="3F"/>
    </w:tcPr>
    <w:tblStylePr w:type="firstRow">
      <w:rPr>
        <w:b/>
        <w:bCs/>
      </w:rPr>
    </w:tblStylePr>
    <w:tblStylePr w:type="lastRow">
      <w:rPr>
        <w:b/>
        <w:bCs/>
      </w:rPr>
      <w:tblPr/>
      <w:tcPr>
        <w:tcBorders>
          <w:top w:val="single" w:sz="18" w:space="0" w:color="A3447D" w:themeColor="accent4" w:themeTint="BF"/>
        </w:tcBorders>
      </w:tcPr>
    </w:tblStylePr>
    <w:tblStylePr w:type="firstCol">
      <w:rPr>
        <w:b/>
        <w:bCs/>
      </w:rPr>
    </w:tblStylePr>
    <w:tblStylePr w:type="lastCol">
      <w:rPr>
        <w:b/>
        <w:bCs/>
      </w:rPr>
    </w:tblStylePr>
    <w:tblStylePr w:type="band1Vert">
      <w:tblPr/>
      <w:tcPr>
        <w:shd w:val="clear" w:color="auto" w:fill="C87CA9" w:themeFill="accent4" w:themeFillTint="7F"/>
      </w:tcPr>
    </w:tblStylePr>
    <w:tblStylePr w:type="band1Horz">
      <w:tblPr/>
      <w:tcPr>
        <w:shd w:val="clear" w:color="auto" w:fill="C87CA9" w:themeFill="accent4" w:themeFillTint="7F"/>
      </w:tcPr>
    </w:tblStylePr>
  </w:style>
  <w:style w:type="table" w:styleId="MediumGrid1-Accent5">
    <w:name w:val="Medium Grid 1 Accent 5"/>
    <w:basedOn w:val="TableNormal"/>
    <w:uiPriority w:val="67"/>
    <w:semiHidden/>
    <w:unhideWhenUsed/>
    <w:rsid w:val="00920D86"/>
    <w:pPr>
      <w:spacing w:line="240" w:lineRule="auto"/>
    </w:pPr>
    <w:tblPr>
      <w:tblStyleRowBandSize w:val="1"/>
      <w:tblStyleColBandSize w:val="1"/>
      <w:tblBorders>
        <w:top w:val="single" w:sz="8" w:space="0" w:color="FFA57F" w:themeColor="accent5" w:themeTint="BF"/>
        <w:left w:val="single" w:sz="8" w:space="0" w:color="FFA57F" w:themeColor="accent5" w:themeTint="BF"/>
        <w:bottom w:val="single" w:sz="8" w:space="0" w:color="FFA57F" w:themeColor="accent5" w:themeTint="BF"/>
        <w:right w:val="single" w:sz="8" w:space="0" w:color="FFA57F" w:themeColor="accent5" w:themeTint="BF"/>
        <w:insideH w:val="single" w:sz="8" w:space="0" w:color="FFA57F" w:themeColor="accent5" w:themeTint="BF"/>
        <w:insideV w:val="single" w:sz="8" w:space="0" w:color="FFA57F" w:themeColor="accent5" w:themeTint="BF"/>
      </w:tblBorders>
    </w:tblPr>
    <w:tcPr>
      <w:shd w:val="clear" w:color="auto" w:fill="FFE1D5" w:themeFill="accent5" w:themeFillTint="3F"/>
    </w:tcPr>
    <w:tblStylePr w:type="firstRow">
      <w:rPr>
        <w:b/>
        <w:bCs/>
      </w:rPr>
    </w:tblStylePr>
    <w:tblStylePr w:type="lastRow">
      <w:rPr>
        <w:b/>
        <w:bCs/>
      </w:rPr>
      <w:tblPr/>
      <w:tcPr>
        <w:tcBorders>
          <w:top w:val="single" w:sz="18" w:space="0" w:color="FFA57F" w:themeColor="accent5" w:themeTint="BF"/>
        </w:tcBorders>
      </w:tcPr>
    </w:tblStylePr>
    <w:tblStylePr w:type="firstCol">
      <w:rPr>
        <w:b/>
        <w:bCs/>
      </w:rPr>
    </w:tblStylePr>
    <w:tblStylePr w:type="lastCol">
      <w:rPr>
        <w:b/>
        <w:bCs/>
      </w:rPr>
    </w:tblStylePr>
    <w:tblStylePr w:type="band1Vert">
      <w:tblPr/>
      <w:tcPr>
        <w:shd w:val="clear" w:color="auto" w:fill="FFC3AA" w:themeFill="accent5" w:themeFillTint="7F"/>
      </w:tcPr>
    </w:tblStylePr>
    <w:tblStylePr w:type="band1Horz">
      <w:tblPr/>
      <w:tcPr>
        <w:shd w:val="clear" w:color="auto" w:fill="FFC3AA" w:themeFill="accent5" w:themeFillTint="7F"/>
      </w:tcPr>
    </w:tblStylePr>
  </w:style>
  <w:style w:type="table" w:styleId="MediumGrid1-Accent6">
    <w:name w:val="Medium Grid 1 Accent 6"/>
    <w:basedOn w:val="TableNormal"/>
    <w:uiPriority w:val="67"/>
    <w:semiHidden/>
    <w:unhideWhenUsed/>
    <w:rsid w:val="00920D86"/>
    <w:pPr>
      <w:spacing w:line="240" w:lineRule="auto"/>
    </w:pPr>
    <w:tblPr>
      <w:tblStyleRowBandSize w:val="1"/>
      <w:tblStyleColBandSize w:val="1"/>
      <w:tblBorders>
        <w:top w:val="single" w:sz="8" w:space="0" w:color="EAE8E1" w:themeColor="accent6" w:themeTint="BF"/>
        <w:left w:val="single" w:sz="8" w:space="0" w:color="EAE8E1" w:themeColor="accent6" w:themeTint="BF"/>
        <w:bottom w:val="single" w:sz="8" w:space="0" w:color="EAE8E1" w:themeColor="accent6" w:themeTint="BF"/>
        <w:right w:val="single" w:sz="8" w:space="0" w:color="EAE8E1" w:themeColor="accent6" w:themeTint="BF"/>
        <w:insideH w:val="single" w:sz="8" w:space="0" w:color="EAE8E1" w:themeColor="accent6" w:themeTint="BF"/>
        <w:insideV w:val="single" w:sz="8" w:space="0" w:color="EAE8E1" w:themeColor="accent6" w:themeTint="BF"/>
      </w:tblBorders>
    </w:tblPr>
    <w:tcPr>
      <w:shd w:val="clear" w:color="auto" w:fill="F8F7F5" w:themeFill="accent6" w:themeFillTint="3F"/>
    </w:tcPr>
    <w:tblStylePr w:type="firstRow">
      <w:rPr>
        <w:b/>
        <w:bCs/>
      </w:rPr>
    </w:tblStylePr>
    <w:tblStylePr w:type="lastRow">
      <w:rPr>
        <w:b/>
        <w:bCs/>
      </w:rPr>
      <w:tblPr/>
      <w:tcPr>
        <w:tcBorders>
          <w:top w:val="single" w:sz="18" w:space="0" w:color="EAE8E1" w:themeColor="accent6" w:themeTint="BF"/>
        </w:tcBorders>
      </w:tcPr>
    </w:tblStylePr>
    <w:tblStylePr w:type="firstCol">
      <w:rPr>
        <w:b/>
        <w:bCs/>
      </w:rPr>
    </w:tblStylePr>
    <w:tblStylePr w:type="lastCol">
      <w:rPr>
        <w:b/>
        <w:bCs/>
      </w:rPr>
    </w:tblStylePr>
    <w:tblStylePr w:type="band1Vert">
      <w:tblPr/>
      <w:tcPr>
        <w:shd w:val="clear" w:color="auto" w:fill="F1EFEB" w:themeFill="accent6" w:themeFillTint="7F"/>
      </w:tcPr>
    </w:tblStylePr>
    <w:tblStylePr w:type="band1Horz">
      <w:tblPr/>
      <w:tcPr>
        <w:shd w:val="clear" w:color="auto" w:fill="F1EFEB" w:themeFill="accent6" w:themeFillTint="7F"/>
      </w:tcPr>
    </w:tblStylePr>
  </w:style>
  <w:style w:type="table" w:styleId="MediumGrid2">
    <w:name w:val="Medium Grid 2"/>
    <w:basedOn w:val="TableNormal"/>
    <w:uiPriority w:val="68"/>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5326E" w:themeColor="accent1"/>
        <w:left w:val="single" w:sz="8" w:space="0" w:color="05326E" w:themeColor="accent1"/>
        <w:bottom w:val="single" w:sz="8" w:space="0" w:color="05326E" w:themeColor="accent1"/>
        <w:right w:val="single" w:sz="8" w:space="0" w:color="05326E" w:themeColor="accent1"/>
        <w:insideH w:val="single" w:sz="8" w:space="0" w:color="05326E" w:themeColor="accent1"/>
        <w:insideV w:val="single" w:sz="8" w:space="0" w:color="05326E" w:themeColor="accent1"/>
      </w:tblBorders>
    </w:tblPr>
    <w:tcPr>
      <w:shd w:val="clear" w:color="auto" w:fill="A1C7FA" w:themeFill="accent1" w:themeFillTint="3F"/>
    </w:tcPr>
    <w:tblStylePr w:type="firstRow">
      <w:rPr>
        <w:b/>
        <w:bCs/>
        <w:color w:val="000000" w:themeColor="text1"/>
      </w:rPr>
      <w:tblPr/>
      <w:tcPr>
        <w:shd w:val="clear" w:color="auto" w:fill="D9E8FD"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3D2FB" w:themeFill="accent1" w:themeFillTint="33"/>
      </w:tcPr>
    </w:tblStylePr>
    <w:tblStylePr w:type="band1Vert">
      <w:tblPr/>
      <w:tcPr>
        <w:shd w:val="clear" w:color="auto" w:fill="428FF6" w:themeFill="accent1" w:themeFillTint="7F"/>
      </w:tcPr>
    </w:tblStylePr>
    <w:tblStylePr w:type="band1Horz">
      <w:tblPr/>
      <w:tcPr>
        <w:tcBorders>
          <w:insideH w:val="single" w:sz="6" w:space="0" w:color="05326E" w:themeColor="accent1"/>
          <w:insideV w:val="single" w:sz="6" w:space="0" w:color="05326E" w:themeColor="accent1"/>
        </w:tcBorders>
        <w:shd w:val="clear" w:color="auto" w:fill="428FF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25A40" w:themeColor="accent2"/>
        <w:left w:val="single" w:sz="8" w:space="0" w:color="125A40" w:themeColor="accent2"/>
        <w:bottom w:val="single" w:sz="8" w:space="0" w:color="125A40" w:themeColor="accent2"/>
        <w:right w:val="single" w:sz="8" w:space="0" w:color="125A40" w:themeColor="accent2"/>
        <w:insideH w:val="single" w:sz="8" w:space="0" w:color="125A40" w:themeColor="accent2"/>
        <w:insideV w:val="single" w:sz="8" w:space="0" w:color="125A40" w:themeColor="accent2"/>
      </w:tblBorders>
    </w:tblPr>
    <w:tcPr>
      <w:shd w:val="clear" w:color="auto" w:fill="ACEED6" w:themeFill="accent2" w:themeFillTint="3F"/>
    </w:tcPr>
    <w:tblStylePr w:type="firstRow">
      <w:rPr>
        <w:b/>
        <w:bCs/>
        <w:color w:val="000000" w:themeColor="text1"/>
      </w:rPr>
      <w:tblPr/>
      <w:tcPr>
        <w:shd w:val="clear" w:color="auto" w:fill="DDF8EE"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BF1DD" w:themeFill="accent2" w:themeFillTint="33"/>
      </w:tcPr>
    </w:tblStylePr>
    <w:tblStylePr w:type="band1Vert">
      <w:tblPr/>
      <w:tcPr>
        <w:shd w:val="clear" w:color="auto" w:fill="58DDAC" w:themeFill="accent2" w:themeFillTint="7F"/>
      </w:tcPr>
    </w:tblStylePr>
    <w:tblStylePr w:type="band1Horz">
      <w:tblPr/>
      <w:tcPr>
        <w:tcBorders>
          <w:insideH w:val="single" w:sz="6" w:space="0" w:color="125A40" w:themeColor="accent2"/>
          <w:insideV w:val="single" w:sz="6" w:space="0" w:color="125A40" w:themeColor="accent2"/>
        </w:tcBorders>
        <w:shd w:val="clear" w:color="auto" w:fill="58DDAC"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DD095" w:themeColor="accent3"/>
        <w:left w:val="single" w:sz="8" w:space="0" w:color="ADD095" w:themeColor="accent3"/>
        <w:bottom w:val="single" w:sz="8" w:space="0" w:color="ADD095" w:themeColor="accent3"/>
        <w:right w:val="single" w:sz="8" w:space="0" w:color="ADD095" w:themeColor="accent3"/>
        <w:insideH w:val="single" w:sz="8" w:space="0" w:color="ADD095" w:themeColor="accent3"/>
        <w:insideV w:val="single" w:sz="8" w:space="0" w:color="ADD095" w:themeColor="accent3"/>
      </w:tblBorders>
    </w:tblPr>
    <w:tcPr>
      <w:shd w:val="clear" w:color="auto" w:fill="EAF3E4" w:themeFill="accent3" w:themeFillTint="3F"/>
    </w:tcPr>
    <w:tblStylePr w:type="firstRow">
      <w:rPr>
        <w:b/>
        <w:bCs/>
        <w:color w:val="000000" w:themeColor="text1"/>
      </w:rPr>
      <w:tblPr/>
      <w:tcPr>
        <w:shd w:val="clear" w:color="auto" w:fill="F6FA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EF5E9" w:themeFill="accent3" w:themeFillTint="33"/>
      </w:tcPr>
    </w:tblStylePr>
    <w:tblStylePr w:type="band1Vert">
      <w:tblPr/>
      <w:tcPr>
        <w:shd w:val="clear" w:color="auto" w:fill="D5E7CA" w:themeFill="accent3" w:themeFillTint="7F"/>
      </w:tcPr>
    </w:tblStylePr>
    <w:tblStylePr w:type="band1Horz">
      <w:tblPr/>
      <w:tcPr>
        <w:tcBorders>
          <w:insideH w:val="single" w:sz="6" w:space="0" w:color="ADD095" w:themeColor="accent3"/>
          <w:insideV w:val="single" w:sz="6" w:space="0" w:color="ADD095" w:themeColor="accent3"/>
        </w:tcBorders>
        <w:shd w:val="clear" w:color="auto" w:fill="D5E7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294B" w:themeColor="accent4"/>
        <w:left w:val="single" w:sz="8" w:space="0" w:color="62294B" w:themeColor="accent4"/>
        <w:bottom w:val="single" w:sz="8" w:space="0" w:color="62294B" w:themeColor="accent4"/>
        <w:right w:val="single" w:sz="8" w:space="0" w:color="62294B" w:themeColor="accent4"/>
        <w:insideH w:val="single" w:sz="8" w:space="0" w:color="62294B" w:themeColor="accent4"/>
        <w:insideV w:val="single" w:sz="8" w:space="0" w:color="62294B" w:themeColor="accent4"/>
      </w:tblBorders>
    </w:tblPr>
    <w:tcPr>
      <w:shd w:val="clear" w:color="auto" w:fill="E4BED4" w:themeFill="accent4" w:themeFillTint="3F"/>
    </w:tcPr>
    <w:tblStylePr w:type="firstRow">
      <w:rPr>
        <w:b/>
        <w:bCs/>
        <w:color w:val="000000" w:themeColor="text1"/>
      </w:rPr>
      <w:tblPr/>
      <w:tcPr>
        <w:shd w:val="clear" w:color="auto" w:fill="F4E5EE"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9CADC" w:themeFill="accent4" w:themeFillTint="33"/>
      </w:tcPr>
    </w:tblStylePr>
    <w:tblStylePr w:type="band1Vert">
      <w:tblPr/>
      <w:tcPr>
        <w:shd w:val="clear" w:color="auto" w:fill="C87CA9" w:themeFill="accent4" w:themeFillTint="7F"/>
      </w:tcPr>
    </w:tblStylePr>
    <w:tblStylePr w:type="band1Horz">
      <w:tblPr/>
      <w:tcPr>
        <w:tcBorders>
          <w:insideH w:val="single" w:sz="6" w:space="0" w:color="62294B" w:themeColor="accent4"/>
          <w:insideV w:val="single" w:sz="6" w:space="0" w:color="62294B" w:themeColor="accent4"/>
        </w:tcBorders>
        <w:shd w:val="clear" w:color="auto" w:fill="C87CA9"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8855" w:themeColor="accent5"/>
        <w:left w:val="single" w:sz="8" w:space="0" w:color="FF8855" w:themeColor="accent5"/>
        <w:bottom w:val="single" w:sz="8" w:space="0" w:color="FF8855" w:themeColor="accent5"/>
        <w:right w:val="single" w:sz="8" w:space="0" w:color="FF8855" w:themeColor="accent5"/>
        <w:insideH w:val="single" w:sz="8" w:space="0" w:color="FF8855" w:themeColor="accent5"/>
        <w:insideV w:val="single" w:sz="8" w:space="0" w:color="FF8855" w:themeColor="accent5"/>
      </w:tblBorders>
    </w:tblPr>
    <w:tcPr>
      <w:shd w:val="clear" w:color="auto" w:fill="FFE1D5" w:themeFill="accent5" w:themeFillTint="3F"/>
    </w:tcPr>
    <w:tblStylePr w:type="firstRow">
      <w:rPr>
        <w:b/>
        <w:bCs/>
        <w:color w:val="000000" w:themeColor="text1"/>
      </w:rPr>
      <w:tblPr/>
      <w:tcPr>
        <w:shd w:val="clear" w:color="auto" w:fill="FFF3EE"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7DD" w:themeFill="accent5" w:themeFillTint="33"/>
      </w:tcPr>
    </w:tblStylePr>
    <w:tblStylePr w:type="band1Vert">
      <w:tblPr/>
      <w:tcPr>
        <w:shd w:val="clear" w:color="auto" w:fill="FFC3AA" w:themeFill="accent5" w:themeFillTint="7F"/>
      </w:tcPr>
    </w:tblStylePr>
    <w:tblStylePr w:type="band1Horz">
      <w:tblPr/>
      <w:tcPr>
        <w:tcBorders>
          <w:insideH w:val="single" w:sz="6" w:space="0" w:color="FF8855" w:themeColor="accent5"/>
          <w:insideV w:val="single" w:sz="6" w:space="0" w:color="FF8855" w:themeColor="accent5"/>
        </w:tcBorders>
        <w:shd w:val="clear" w:color="auto" w:fill="FFC3A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E1D8" w:themeColor="accent6"/>
        <w:left w:val="single" w:sz="8" w:space="0" w:color="E3E1D8" w:themeColor="accent6"/>
        <w:bottom w:val="single" w:sz="8" w:space="0" w:color="E3E1D8" w:themeColor="accent6"/>
        <w:right w:val="single" w:sz="8" w:space="0" w:color="E3E1D8" w:themeColor="accent6"/>
        <w:insideH w:val="single" w:sz="8" w:space="0" w:color="E3E1D8" w:themeColor="accent6"/>
        <w:insideV w:val="single" w:sz="8" w:space="0" w:color="E3E1D8" w:themeColor="accent6"/>
      </w:tblBorders>
    </w:tblPr>
    <w:tcPr>
      <w:shd w:val="clear" w:color="auto" w:fill="F8F7F5" w:themeFill="accent6" w:themeFillTint="3F"/>
    </w:tcPr>
    <w:tblStylePr w:type="firstRow">
      <w:rPr>
        <w:b/>
        <w:bCs/>
        <w:color w:val="000000" w:themeColor="text1"/>
      </w:rPr>
      <w:tblPr/>
      <w:tcPr>
        <w:shd w:val="clear" w:color="auto" w:fill="FCFCFB"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F8F7" w:themeFill="accent6" w:themeFillTint="33"/>
      </w:tcPr>
    </w:tblStylePr>
    <w:tblStylePr w:type="band1Vert">
      <w:tblPr/>
      <w:tcPr>
        <w:shd w:val="clear" w:color="auto" w:fill="F1EFEB" w:themeFill="accent6" w:themeFillTint="7F"/>
      </w:tcPr>
    </w:tblStylePr>
    <w:tblStylePr w:type="band1Horz">
      <w:tblPr/>
      <w:tcPr>
        <w:tcBorders>
          <w:insideH w:val="single" w:sz="6" w:space="0" w:color="E3E1D8" w:themeColor="accent6"/>
          <w:insideV w:val="single" w:sz="6" w:space="0" w:color="E3E1D8" w:themeColor="accent6"/>
        </w:tcBorders>
        <w:shd w:val="clear" w:color="auto" w:fill="F1EFEB"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920D8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920D8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1C7FA"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5326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5326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5326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5326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28FF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28FF6" w:themeFill="accent1" w:themeFillTint="7F"/>
      </w:tcPr>
    </w:tblStylePr>
  </w:style>
  <w:style w:type="table" w:styleId="MediumGrid3-Accent2">
    <w:name w:val="Medium Grid 3 Accent 2"/>
    <w:basedOn w:val="TableNormal"/>
    <w:uiPriority w:val="69"/>
    <w:semiHidden/>
    <w:unhideWhenUsed/>
    <w:rsid w:val="00920D8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CEED6"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25A4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25A4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25A4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25A4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8DDAC"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8DDAC" w:themeFill="accent2" w:themeFillTint="7F"/>
      </w:tcPr>
    </w:tblStylePr>
  </w:style>
  <w:style w:type="table" w:styleId="MediumGrid3-Accent3">
    <w:name w:val="Medium Grid 3 Accent 3"/>
    <w:basedOn w:val="TableNormal"/>
    <w:uiPriority w:val="69"/>
    <w:semiHidden/>
    <w:unhideWhenUsed/>
    <w:rsid w:val="00920D8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AF3E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DD09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DD09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DD09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DD09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5E7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5E7CA" w:themeFill="accent3" w:themeFillTint="7F"/>
      </w:tcPr>
    </w:tblStylePr>
  </w:style>
  <w:style w:type="table" w:styleId="MediumGrid3-Accent4">
    <w:name w:val="Medium Grid 3 Accent 4"/>
    <w:basedOn w:val="TableNormal"/>
    <w:uiPriority w:val="69"/>
    <w:semiHidden/>
    <w:unhideWhenUsed/>
    <w:rsid w:val="00920D8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4BED4"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2294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2294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2294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2294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87CA9"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87CA9" w:themeFill="accent4" w:themeFillTint="7F"/>
      </w:tcPr>
    </w:tblStylePr>
  </w:style>
  <w:style w:type="table" w:styleId="MediumGrid3-Accent5">
    <w:name w:val="Medium Grid 3 Accent 5"/>
    <w:basedOn w:val="TableNormal"/>
    <w:uiPriority w:val="69"/>
    <w:semiHidden/>
    <w:unhideWhenUsed/>
    <w:rsid w:val="00920D8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1D5"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885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885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885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885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3A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3AA" w:themeFill="accent5" w:themeFillTint="7F"/>
      </w:tcPr>
    </w:tblStylePr>
  </w:style>
  <w:style w:type="table" w:styleId="MediumGrid3-Accent6">
    <w:name w:val="Medium Grid 3 Accent 6"/>
    <w:basedOn w:val="TableNormal"/>
    <w:uiPriority w:val="69"/>
    <w:semiHidden/>
    <w:unhideWhenUsed/>
    <w:rsid w:val="00920D8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F7F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3E1D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3E1D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3E1D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3E1D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EFEB"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1EFEB" w:themeFill="accent6" w:themeFillTint="7F"/>
      </w:tcPr>
    </w:tblStylePr>
  </w:style>
  <w:style w:type="table" w:styleId="MediumList1">
    <w:name w:val="Medium List 1"/>
    <w:basedOn w:val="TableNormal"/>
    <w:uiPriority w:val="65"/>
    <w:semiHidden/>
    <w:unhideWhenUsed/>
    <w:rsid w:val="00920D86"/>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9DF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920D86"/>
    <w:pPr>
      <w:spacing w:line="240" w:lineRule="auto"/>
    </w:pPr>
    <w:rPr>
      <w:color w:val="000000" w:themeColor="text1"/>
    </w:rPr>
    <w:tblPr>
      <w:tblStyleRowBandSize w:val="1"/>
      <w:tblStyleColBandSize w:val="1"/>
      <w:tblBorders>
        <w:top w:val="single" w:sz="8" w:space="0" w:color="05326E" w:themeColor="accent1"/>
        <w:bottom w:val="single" w:sz="8" w:space="0" w:color="05326E" w:themeColor="accent1"/>
      </w:tblBorders>
    </w:tblPr>
    <w:tblStylePr w:type="firstRow">
      <w:rPr>
        <w:rFonts w:asciiTheme="majorHAnsi" w:eastAsiaTheme="majorEastAsia" w:hAnsiTheme="majorHAnsi" w:cstheme="majorBidi"/>
      </w:rPr>
      <w:tblPr/>
      <w:tcPr>
        <w:tcBorders>
          <w:top w:val="nil"/>
          <w:bottom w:val="single" w:sz="8" w:space="0" w:color="05326E" w:themeColor="accent1"/>
        </w:tcBorders>
      </w:tcPr>
    </w:tblStylePr>
    <w:tblStylePr w:type="lastRow">
      <w:rPr>
        <w:b/>
        <w:bCs/>
        <w:color w:val="009DF0" w:themeColor="text2"/>
      </w:rPr>
      <w:tblPr/>
      <w:tcPr>
        <w:tcBorders>
          <w:top w:val="single" w:sz="8" w:space="0" w:color="05326E" w:themeColor="accent1"/>
          <w:bottom w:val="single" w:sz="8" w:space="0" w:color="05326E" w:themeColor="accent1"/>
        </w:tcBorders>
      </w:tcPr>
    </w:tblStylePr>
    <w:tblStylePr w:type="firstCol">
      <w:rPr>
        <w:b/>
        <w:bCs/>
      </w:rPr>
    </w:tblStylePr>
    <w:tblStylePr w:type="lastCol">
      <w:rPr>
        <w:b/>
        <w:bCs/>
      </w:rPr>
      <w:tblPr/>
      <w:tcPr>
        <w:tcBorders>
          <w:top w:val="single" w:sz="8" w:space="0" w:color="05326E" w:themeColor="accent1"/>
          <w:bottom w:val="single" w:sz="8" w:space="0" w:color="05326E" w:themeColor="accent1"/>
        </w:tcBorders>
      </w:tcPr>
    </w:tblStylePr>
    <w:tblStylePr w:type="band1Vert">
      <w:tblPr/>
      <w:tcPr>
        <w:shd w:val="clear" w:color="auto" w:fill="A1C7FA" w:themeFill="accent1" w:themeFillTint="3F"/>
      </w:tcPr>
    </w:tblStylePr>
    <w:tblStylePr w:type="band1Horz">
      <w:tblPr/>
      <w:tcPr>
        <w:shd w:val="clear" w:color="auto" w:fill="A1C7FA" w:themeFill="accent1" w:themeFillTint="3F"/>
      </w:tcPr>
    </w:tblStylePr>
  </w:style>
  <w:style w:type="table" w:styleId="MediumList1-Accent2">
    <w:name w:val="Medium List 1 Accent 2"/>
    <w:basedOn w:val="TableNormal"/>
    <w:uiPriority w:val="65"/>
    <w:semiHidden/>
    <w:unhideWhenUsed/>
    <w:rsid w:val="00920D86"/>
    <w:pPr>
      <w:spacing w:line="240" w:lineRule="auto"/>
    </w:pPr>
    <w:rPr>
      <w:color w:val="000000" w:themeColor="text1"/>
    </w:rPr>
    <w:tblPr>
      <w:tblStyleRowBandSize w:val="1"/>
      <w:tblStyleColBandSize w:val="1"/>
      <w:tblBorders>
        <w:top w:val="single" w:sz="8" w:space="0" w:color="125A40" w:themeColor="accent2"/>
        <w:bottom w:val="single" w:sz="8" w:space="0" w:color="125A40" w:themeColor="accent2"/>
      </w:tblBorders>
    </w:tblPr>
    <w:tblStylePr w:type="firstRow">
      <w:rPr>
        <w:rFonts w:asciiTheme="majorHAnsi" w:eastAsiaTheme="majorEastAsia" w:hAnsiTheme="majorHAnsi" w:cstheme="majorBidi"/>
      </w:rPr>
      <w:tblPr/>
      <w:tcPr>
        <w:tcBorders>
          <w:top w:val="nil"/>
          <w:bottom w:val="single" w:sz="8" w:space="0" w:color="125A40" w:themeColor="accent2"/>
        </w:tcBorders>
      </w:tcPr>
    </w:tblStylePr>
    <w:tblStylePr w:type="lastRow">
      <w:rPr>
        <w:b/>
        <w:bCs/>
        <w:color w:val="009DF0" w:themeColor="text2"/>
      </w:rPr>
      <w:tblPr/>
      <w:tcPr>
        <w:tcBorders>
          <w:top w:val="single" w:sz="8" w:space="0" w:color="125A40" w:themeColor="accent2"/>
          <w:bottom w:val="single" w:sz="8" w:space="0" w:color="125A40" w:themeColor="accent2"/>
        </w:tcBorders>
      </w:tcPr>
    </w:tblStylePr>
    <w:tblStylePr w:type="firstCol">
      <w:rPr>
        <w:b/>
        <w:bCs/>
      </w:rPr>
    </w:tblStylePr>
    <w:tblStylePr w:type="lastCol">
      <w:rPr>
        <w:b/>
        <w:bCs/>
      </w:rPr>
      <w:tblPr/>
      <w:tcPr>
        <w:tcBorders>
          <w:top w:val="single" w:sz="8" w:space="0" w:color="125A40" w:themeColor="accent2"/>
          <w:bottom w:val="single" w:sz="8" w:space="0" w:color="125A40" w:themeColor="accent2"/>
        </w:tcBorders>
      </w:tcPr>
    </w:tblStylePr>
    <w:tblStylePr w:type="band1Vert">
      <w:tblPr/>
      <w:tcPr>
        <w:shd w:val="clear" w:color="auto" w:fill="ACEED6" w:themeFill="accent2" w:themeFillTint="3F"/>
      </w:tcPr>
    </w:tblStylePr>
    <w:tblStylePr w:type="band1Horz">
      <w:tblPr/>
      <w:tcPr>
        <w:shd w:val="clear" w:color="auto" w:fill="ACEED6" w:themeFill="accent2" w:themeFillTint="3F"/>
      </w:tcPr>
    </w:tblStylePr>
  </w:style>
  <w:style w:type="table" w:styleId="MediumList1-Accent3">
    <w:name w:val="Medium List 1 Accent 3"/>
    <w:basedOn w:val="TableNormal"/>
    <w:uiPriority w:val="65"/>
    <w:semiHidden/>
    <w:unhideWhenUsed/>
    <w:rsid w:val="00920D86"/>
    <w:pPr>
      <w:spacing w:line="240" w:lineRule="auto"/>
    </w:pPr>
    <w:rPr>
      <w:color w:val="000000" w:themeColor="text1"/>
    </w:rPr>
    <w:tblPr>
      <w:tblStyleRowBandSize w:val="1"/>
      <w:tblStyleColBandSize w:val="1"/>
      <w:tblBorders>
        <w:top w:val="single" w:sz="8" w:space="0" w:color="ADD095" w:themeColor="accent3"/>
        <w:bottom w:val="single" w:sz="8" w:space="0" w:color="ADD095" w:themeColor="accent3"/>
      </w:tblBorders>
    </w:tblPr>
    <w:tblStylePr w:type="firstRow">
      <w:rPr>
        <w:rFonts w:asciiTheme="majorHAnsi" w:eastAsiaTheme="majorEastAsia" w:hAnsiTheme="majorHAnsi" w:cstheme="majorBidi"/>
      </w:rPr>
      <w:tblPr/>
      <w:tcPr>
        <w:tcBorders>
          <w:top w:val="nil"/>
          <w:bottom w:val="single" w:sz="8" w:space="0" w:color="ADD095" w:themeColor="accent3"/>
        </w:tcBorders>
      </w:tcPr>
    </w:tblStylePr>
    <w:tblStylePr w:type="lastRow">
      <w:rPr>
        <w:b/>
        <w:bCs/>
        <w:color w:val="009DF0" w:themeColor="text2"/>
      </w:rPr>
      <w:tblPr/>
      <w:tcPr>
        <w:tcBorders>
          <w:top w:val="single" w:sz="8" w:space="0" w:color="ADD095" w:themeColor="accent3"/>
          <w:bottom w:val="single" w:sz="8" w:space="0" w:color="ADD095" w:themeColor="accent3"/>
        </w:tcBorders>
      </w:tcPr>
    </w:tblStylePr>
    <w:tblStylePr w:type="firstCol">
      <w:rPr>
        <w:b/>
        <w:bCs/>
      </w:rPr>
    </w:tblStylePr>
    <w:tblStylePr w:type="lastCol">
      <w:rPr>
        <w:b/>
        <w:bCs/>
      </w:rPr>
      <w:tblPr/>
      <w:tcPr>
        <w:tcBorders>
          <w:top w:val="single" w:sz="8" w:space="0" w:color="ADD095" w:themeColor="accent3"/>
          <w:bottom w:val="single" w:sz="8" w:space="0" w:color="ADD095" w:themeColor="accent3"/>
        </w:tcBorders>
      </w:tcPr>
    </w:tblStylePr>
    <w:tblStylePr w:type="band1Vert">
      <w:tblPr/>
      <w:tcPr>
        <w:shd w:val="clear" w:color="auto" w:fill="EAF3E4" w:themeFill="accent3" w:themeFillTint="3F"/>
      </w:tcPr>
    </w:tblStylePr>
    <w:tblStylePr w:type="band1Horz">
      <w:tblPr/>
      <w:tcPr>
        <w:shd w:val="clear" w:color="auto" w:fill="EAF3E4" w:themeFill="accent3" w:themeFillTint="3F"/>
      </w:tcPr>
    </w:tblStylePr>
  </w:style>
  <w:style w:type="table" w:styleId="MediumList1-Accent4">
    <w:name w:val="Medium List 1 Accent 4"/>
    <w:basedOn w:val="TableNormal"/>
    <w:uiPriority w:val="65"/>
    <w:semiHidden/>
    <w:unhideWhenUsed/>
    <w:rsid w:val="00920D86"/>
    <w:pPr>
      <w:spacing w:line="240" w:lineRule="auto"/>
    </w:pPr>
    <w:rPr>
      <w:color w:val="000000" w:themeColor="text1"/>
    </w:rPr>
    <w:tblPr>
      <w:tblStyleRowBandSize w:val="1"/>
      <w:tblStyleColBandSize w:val="1"/>
      <w:tblBorders>
        <w:top w:val="single" w:sz="8" w:space="0" w:color="62294B" w:themeColor="accent4"/>
        <w:bottom w:val="single" w:sz="8" w:space="0" w:color="62294B" w:themeColor="accent4"/>
      </w:tblBorders>
    </w:tblPr>
    <w:tblStylePr w:type="firstRow">
      <w:rPr>
        <w:rFonts w:asciiTheme="majorHAnsi" w:eastAsiaTheme="majorEastAsia" w:hAnsiTheme="majorHAnsi" w:cstheme="majorBidi"/>
      </w:rPr>
      <w:tblPr/>
      <w:tcPr>
        <w:tcBorders>
          <w:top w:val="nil"/>
          <w:bottom w:val="single" w:sz="8" w:space="0" w:color="62294B" w:themeColor="accent4"/>
        </w:tcBorders>
      </w:tcPr>
    </w:tblStylePr>
    <w:tblStylePr w:type="lastRow">
      <w:rPr>
        <w:b/>
        <w:bCs/>
        <w:color w:val="009DF0" w:themeColor="text2"/>
      </w:rPr>
      <w:tblPr/>
      <w:tcPr>
        <w:tcBorders>
          <w:top w:val="single" w:sz="8" w:space="0" w:color="62294B" w:themeColor="accent4"/>
          <w:bottom w:val="single" w:sz="8" w:space="0" w:color="62294B" w:themeColor="accent4"/>
        </w:tcBorders>
      </w:tcPr>
    </w:tblStylePr>
    <w:tblStylePr w:type="firstCol">
      <w:rPr>
        <w:b/>
        <w:bCs/>
      </w:rPr>
    </w:tblStylePr>
    <w:tblStylePr w:type="lastCol">
      <w:rPr>
        <w:b/>
        <w:bCs/>
      </w:rPr>
      <w:tblPr/>
      <w:tcPr>
        <w:tcBorders>
          <w:top w:val="single" w:sz="8" w:space="0" w:color="62294B" w:themeColor="accent4"/>
          <w:bottom w:val="single" w:sz="8" w:space="0" w:color="62294B" w:themeColor="accent4"/>
        </w:tcBorders>
      </w:tcPr>
    </w:tblStylePr>
    <w:tblStylePr w:type="band1Vert">
      <w:tblPr/>
      <w:tcPr>
        <w:shd w:val="clear" w:color="auto" w:fill="E4BED4" w:themeFill="accent4" w:themeFillTint="3F"/>
      </w:tcPr>
    </w:tblStylePr>
    <w:tblStylePr w:type="band1Horz">
      <w:tblPr/>
      <w:tcPr>
        <w:shd w:val="clear" w:color="auto" w:fill="E4BED4" w:themeFill="accent4" w:themeFillTint="3F"/>
      </w:tcPr>
    </w:tblStylePr>
  </w:style>
  <w:style w:type="table" w:styleId="MediumList1-Accent5">
    <w:name w:val="Medium List 1 Accent 5"/>
    <w:basedOn w:val="TableNormal"/>
    <w:uiPriority w:val="65"/>
    <w:semiHidden/>
    <w:unhideWhenUsed/>
    <w:rsid w:val="00920D86"/>
    <w:pPr>
      <w:spacing w:line="240" w:lineRule="auto"/>
    </w:pPr>
    <w:rPr>
      <w:color w:val="000000" w:themeColor="text1"/>
    </w:rPr>
    <w:tblPr>
      <w:tblStyleRowBandSize w:val="1"/>
      <w:tblStyleColBandSize w:val="1"/>
      <w:tblBorders>
        <w:top w:val="single" w:sz="8" w:space="0" w:color="FF8855" w:themeColor="accent5"/>
        <w:bottom w:val="single" w:sz="8" w:space="0" w:color="FF8855" w:themeColor="accent5"/>
      </w:tblBorders>
    </w:tblPr>
    <w:tblStylePr w:type="firstRow">
      <w:rPr>
        <w:rFonts w:asciiTheme="majorHAnsi" w:eastAsiaTheme="majorEastAsia" w:hAnsiTheme="majorHAnsi" w:cstheme="majorBidi"/>
      </w:rPr>
      <w:tblPr/>
      <w:tcPr>
        <w:tcBorders>
          <w:top w:val="nil"/>
          <w:bottom w:val="single" w:sz="8" w:space="0" w:color="FF8855" w:themeColor="accent5"/>
        </w:tcBorders>
      </w:tcPr>
    </w:tblStylePr>
    <w:tblStylePr w:type="lastRow">
      <w:rPr>
        <w:b/>
        <w:bCs/>
        <w:color w:val="009DF0" w:themeColor="text2"/>
      </w:rPr>
      <w:tblPr/>
      <w:tcPr>
        <w:tcBorders>
          <w:top w:val="single" w:sz="8" w:space="0" w:color="FF8855" w:themeColor="accent5"/>
          <w:bottom w:val="single" w:sz="8" w:space="0" w:color="FF8855" w:themeColor="accent5"/>
        </w:tcBorders>
      </w:tcPr>
    </w:tblStylePr>
    <w:tblStylePr w:type="firstCol">
      <w:rPr>
        <w:b/>
        <w:bCs/>
      </w:rPr>
    </w:tblStylePr>
    <w:tblStylePr w:type="lastCol">
      <w:rPr>
        <w:b/>
        <w:bCs/>
      </w:rPr>
      <w:tblPr/>
      <w:tcPr>
        <w:tcBorders>
          <w:top w:val="single" w:sz="8" w:space="0" w:color="FF8855" w:themeColor="accent5"/>
          <w:bottom w:val="single" w:sz="8" w:space="0" w:color="FF8855" w:themeColor="accent5"/>
        </w:tcBorders>
      </w:tcPr>
    </w:tblStylePr>
    <w:tblStylePr w:type="band1Vert">
      <w:tblPr/>
      <w:tcPr>
        <w:shd w:val="clear" w:color="auto" w:fill="FFE1D5" w:themeFill="accent5" w:themeFillTint="3F"/>
      </w:tcPr>
    </w:tblStylePr>
    <w:tblStylePr w:type="band1Horz">
      <w:tblPr/>
      <w:tcPr>
        <w:shd w:val="clear" w:color="auto" w:fill="FFE1D5" w:themeFill="accent5" w:themeFillTint="3F"/>
      </w:tcPr>
    </w:tblStylePr>
  </w:style>
  <w:style w:type="table" w:styleId="MediumList1-Accent6">
    <w:name w:val="Medium List 1 Accent 6"/>
    <w:basedOn w:val="TableNormal"/>
    <w:uiPriority w:val="65"/>
    <w:semiHidden/>
    <w:unhideWhenUsed/>
    <w:rsid w:val="00920D86"/>
    <w:pPr>
      <w:spacing w:line="240" w:lineRule="auto"/>
    </w:pPr>
    <w:rPr>
      <w:color w:val="000000" w:themeColor="text1"/>
    </w:rPr>
    <w:tblPr>
      <w:tblStyleRowBandSize w:val="1"/>
      <w:tblStyleColBandSize w:val="1"/>
      <w:tblBorders>
        <w:top w:val="single" w:sz="8" w:space="0" w:color="E3E1D8" w:themeColor="accent6"/>
        <w:bottom w:val="single" w:sz="8" w:space="0" w:color="E3E1D8" w:themeColor="accent6"/>
      </w:tblBorders>
    </w:tblPr>
    <w:tblStylePr w:type="firstRow">
      <w:rPr>
        <w:rFonts w:asciiTheme="majorHAnsi" w:eastAsiaTheme="majorEastAsia" w:hAnsiTheme="majorHAnsi" w:cstheme="majorBidi"/>
      </w:rPr>
      <w:tblPr/>
      <w:tcPr>
        <w:tcBorders>
          <w:top w:val="nil"/>
          <w:bottom w:val="single" w:sz="8" w:space="0" w:color="E3E1D8" w:themeColor="accent6"/>
        </w:tcBorders>
      </w:tcPr>
    </w:tblStylePr>
    <w:tblStylePr w:type="lastRow">
      <w:rPr>
        <w:b/>
        <w:bCs/>
        <w:color w:val="009DF0" w:themeColor="text2"/>
      </w:rPr>
      <w:tblPr/>
      <w:tcPr>
        <w:tcBorders>
          <w:top w:val="single" w:sz="8" w:space="0" w:color="E3E1D8" w:themeColor="accent6"/>
          <w:bottom w:val="single" w:sz="8" w:space="0" w:color="E3E1D8" w:themeColor="accent6"/>
        </w:tcBorders>
      </w:tcPr>
    </w:tblStylePr>
    <w:tblStylePr w:type="firstCol">
      <w:rPr>
        <w:b/>
        <w:bCs/>
      </w:rPr>
    </w:tblStylePr>
    <w:tblStylePr w:type="lastCol">
      <w:rPr>
        <w:b/>
        <w:bCs/>
      </w:rPr>
      <w:tblPr/>
      <w:tcPr>
        <w:tcBorders>
          <w:top w:val="single" w:sz="8" w:space="0" w:color="E3E1D8" w:themeColor="accent6"/>
          <w:bottom w:val="single" w:sz="8" w:space="0" w:color="E3E1D8" w:themeColor="accent6"/>
        </w:tcBorders>
      </w:tcPr>
    </w:tblStylePr>
    <w:tblStylePr w:type="band1Vert">
      <w:tblPr/>
      <w:tcPr>
        <w:shd w:val="clear" w:color="auto" w:fill="F8F7F5" w:themeFill="accent6" w:themeFillTint="3F"/>
      </w:tcPr>
    </w:tblStylePr>
    <w:tblStylePr w:type="band1Horz">
      <w:tblPr/>
      <w:tcPr>
        <w:shd w:val="clear" w:color="auto" w:fill="F8F7F5" w:themeFill="accent6" w:themeFillTint="3F"/>
      </w:tcPr>
    </w:tblStylePr>
  </w:style>
  <w:style w:type="table" w:styleId="MediumList2">
    <w:name w:val="Medium List 2"/>
    <w:basedOn w:val="TableNormal"/>
    <w:uiPriority w:val="66"/>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5326E" w:themeColor="accent1"/>
        <w:left w:val="single" w:sz="8" w:space="0" w:color="05326E" w:themeColor="accent1"/>
        <w:bottom w:val="single" w:sz="8" w:space="0" w:color="05326E" w:themeColor="accent1"/>
        <w:right w:val="single" w:sz="8" w:space="0" w:color="05326E" w:themeColor="accent1"/>
      </w:tblBorders>
    </w:tblPr>
    <w:tblStylePr w:type="firstRow">
      <w:rPr>
        <w:sz w:val="24"/>
        <w:szCs w:val="24"/>
      </w:rPr>
      <w:tblPr/>
      <w:tcPr>
        <w:tcBorders>
          <w:top w:val="nil"/>
          <w:left w:val="nil"/>
          <w:bottom w:val="single" w:sz="24" w:space="0" w:color="05326E"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5326E" w:themeColor="accent1"/>
          <w:insideH w:val="nil"/>
          <w:insideV w:val="nil"/>
        </w:tcBorders>
        <w:shd w:val="clear" w:color="auto" w:fill="FFFFFF" w:themeFill="background1"/>
      </w:tcPr>
    </w:tblStylePr>
    <w:tblStylePr w:type="lastCol">
      <w:tblPr/>
      <w:tcPr>
        <w:tcBorders>
          <w:top w:val="nil"/>
          <w:left w:val="single" w:sz="8" w:space="0" w:color="05326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1C7FA" w:themeFill="accent1" w:themeFillTint="3F"/>
      </w:tcPr>
    </w:tblStylePr>
    <w:tblStylePr w:type="band1Horz">
      <w:tblPr/>
      <w:tcPr>
        <w:tcBorders>
          <w:top w:val="nil"/>
          <w:bottom w:val="nil"/>
          <w:insideH w:val="nil"/>
          <w:insideV w:val="nil"/>
        </w:tcBorders>
        <w:shd w:val="clear" w:color="auto" w:fill="A1C7FA"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25A40" w:themeColor="accent2"/>
        <w:left w:val="single" w:sz="8" w:space="0" w:color="125A40" w:themeColor="accent2"/>
        <w:bottom w:val="single" w:sz="8" w:space="0" w:color="125A40" w:themeColor="accent2"/>
        <w:right w:val="single" w:sz="8" w:space="0" w:color="125A40" w:themeColor="accent2"/>
      </w:tblBorders>
    </w:tblPr>
    <w:tblStylePr w:type="firstRow">
      <w:rPr>
        <w:sz w:val="24"/>
        <w:szCs w:val="24"/>
      </w:rPr>
      <w:tblPr/>
      <w:tcPr>
        <w:tcBorders>
          <w:top w:val="nil"/>
          <w:left w:val="nil"/>
          <w:bottom w:val="single" w:sz="24" w:space="0" w:color="125A4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25A40" w:themeColor="accent2"/>
          <w:insideH w:val="nil"/>
          <w:insideV w:val="nil"/>
        </w:tcBorders>
        <w:shd w:val="clear" w:color="auto" w:fill="FFFFFF" w:themeFill="background1"/>
      </w:tcPr>
    </w:tblStylePr>
    <w:tblStylePr w:type="lastCol">
      <w:tblPr/>
      <w:tcPr>
        <w:tcBorders>
          <w:top w:val="nil"/>
          <w:left w:val="single" w:sz="8" w:space="0" w:color="125A4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CEED6" w:themeFill="accent2" w:themeFillTint="3F"/>
      </w:tcPr>
    </w:tblStylePr>
    <w:tblStylePr w:type="band1Horz">
      <w:tblPr/>
      <w:tcPr>
        <w:tcBorders>
          <w:top w:val="nil"/>
          <w:bottom w:val="nil"/>
          <w:insideH w:val="nil"/>
          <w:insideV w:val="nil"/>
        </w:tcBorders>
        <w:shd w:val="clear" w:color="auto" w:fill="ACEED6"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DD095" w:themeColor="accent3"/>
        <w:left w:val="single" w:sz="8" w:space="0" w:color="ADD095" w:themeColor="accent3"/>
        <w:bottom w:val="single" w:sz="8" w:space="0" w:color="ADD095" w:themeColor="accent3"/>
        <w:right w:val="single" w:sz="8" w:space="0" w:color="ADD095" w:themeColor="accent3"/>
      </w:tblBorders>
    </w:tblPr>
    <w:tblStylePr w:type="firstRow">
      <w:rPr>
        <w:sz w:val="24"/>
        <w:szCs w:val="24"/>
      </w:rPr>
      <w:tblPr/>
      <w:tcPr>
        <w:tcBorders>
          <w:top w:val="nil"/>
          <w:left w:val="nil"/>
          <w:bottom w:val="single" w:sz="24" w:space="0" w:color="ADD09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DD095" w:themeColor="accent3"/>
          <w:insideH w:val="nil"/>
          <w:insideV w:val="nil"/>
        </w:tcBorders>
        <w:shd w:val="clear" w:color="auto" w:fill="FFFFFF" w:themeFill="background1"/>
      </w:tcPr>
    </w:tblStylePr>
    <w:tblStylePr w:type="lastCol">
      <w:tblPr/>
      <w:tcPr>
        <w:tcBorders>
          <w:top w:val="nil"/>
          <w:left w:val="single" w:sz="8" w:space="0" w:color="ADD09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AF3E4" w:themeFill="accent3" w:themeFillTint="3F"/>
      </w:tcPr>
    </w:tblStylePr>
    <w:tblStylePr w:type="band1Horz">
      <w:tblPr/>
      <w:tcPr>
        <w:tcBorders>
          <w:top w:val="nil"/>
          <w:bottom w:val="nil"/>
          <w:insideH w:val="nil"/>
          <w:insideV w:val="nil"/>
        </w:tcBorders>
        <w:shd w:val="clear" w:color="auto" w:fill="EAF3E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294B" w:themeColor="accent4"/>
        <w:left w:val="single" w:sz="8" w:space="0" w:color="62294B" w:themeColor="accent4"/>
        <w:bottom w:val="single" w:sz="8" w:space="0" w:color="62294B" w:themeColor="accent4"/>
        <w:right w:val="single" w:sz="8" w:space="0" w:color="62294B" w:themeColor="accent4"/>
      </w:tblBorders>
    </w:tblPr>
    <w:tblStylePr w:type="firstRow">
      <w:rPr>
        <w:sz w:val="24"/>
        <w:szCs w:val="24"/>
      </w:rPr>
      <w:tblPr/>
      <w:tcPr>
        <w:tcBorders>
          <w:top w:val="nil"/>
          <w:left w:val="nil"/>
          <w:bottom w:val="single" w:sz="24" w:space="0" w:color="62294B"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2294B" w:themeColor="accent4"/>
          <w:insideH w:val="nil"/>
          <w:insideV w:val="nil"/>
        </w:tcBorders>
        <w:shd w:val="clear" w:color="auto" w:fill="FFFFFF" w:themeFill="background1"/>
      </w:tcPr>
    </w:tblStylePr>
    <w:tblStylePr w:type="lastCol">
      <w:tblPr/>
      <w:tcPr>
        <w:tcBorders>
          <w:top w:val="nil"/>
          <w:left w:val="single" w:sz="8" w:space="0" w:color="62294B"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BED4" w:themeFill="accent4" w:themeFillTint="3F"/>
      </w:tcPr>
    </w:tblStylePr>
    <w:tblStylePr w:type="band1Horz">
      <w:tblPr/>
      <w:tcPr>
        <w:tcBorders>
          <w:top w:val="nil"/>
          <w:bottom w:val="nil"/>
          <w:insideH w:val="nil"/>
          <w:insideV w:val="nil"/>
        </w:tcBorders>
        <w:shd w:val="clear" w:color="auto" w:fill="E4BED4"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8855" w:themeColor="accent5"/>
        <w:left w:val="single" w:sz="8" w:space="0" w:color="FF8855" w:themeColor="accent5"/>
        <w:bottom w:val="single" w:sz="8" w:space="0" w:color="FF8855" w:themeColor="accent5"/>
        <w:right w:val="single" w:sz="8" w:space="0" w:color="FF8855" w:themeColor="accent5"/>
      </w:tblBorders>
    </w:tblPr>
    <w:tblStylePr w:type="firstRow">
      <w:rPr>
        <w:sz w:val="24"/>
        <w:szCs w:val="24"/>
      </w:rPr>
      <w:tblPr/>
      <w:tcPr>
        <w:tcBorders>
          <w:top w:val="nil"/>
          <w:left w:val="nil"/>
          <w:bottom w:val="single" w:sz="24" w:space="0" w:color="FF8855"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8855" w:themeColor="accent5"/>
          <w:insideH w:val="nil"/>
          <w:insideV w:val="nil"/>
        </w:tcBorders>
        <w:shd w:val="clear" w:color="auto" w:fill="FFFFFF" w:themeFill="background1"/>
      </w:tcPr>
    </w:tblStylePr>
    <w:tblStylePr w:type="lastCol">
      <w:tblPr/>
      <w:tcPr>
        <w:tcBorders>
          <w:top w:val="nil"/>
          <w:left w:val="single" w:sz="8" w:space="0" w:color="FF885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1D5" w:themeFill="accent5" w:themeFillTint="3F"/>
      </w:tcPr>
    </w:tblStylePr>
    <w:tblStylePr w:type="band1Horz">
      <w:tblPr/>
      <w:tcPr>
        <w:tcBorders>
          <w:top w:val="nil"/>
          <w:bottom w:val="nil"/>
          <w:insideH w:val="nil"/>
          <w:insideV w:val="nil"/>
        </w:tcBorders>
        <w:shd w:val="clear" w:color="auto" w:fill="FFE1D5"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E1D8" w:themeColor="accent6"/>
        <w:left w:val="single" w:sz="8" w:space="0" w:color="E3E1D8" w:themeColor="accent6"/>
        <w:bottom w:val="single" w:sz="8" w:space="0" w:color="E3E1D8" w:themeColor="accent6"/>
        <w:right w:val="single" w:sz="8" w:space="0" w:color="E3E1D8" w:themeColor="accent6"/>
      </w:tblBorders>
    </w:tblPr>
    <w:tblStylePr w:type="firstRow">
      <w:rPr>
        <w:sz w:val="24"/>
        <w:szCs w:val="24"/>
      </w:rPr>
      <w:tblPr/>
      <w:tcPr>
        <w:tcBorders>
          <w:top w:val="nil"/>
          <w:left w:val="nil"/>
          <w:bottom w:val="single" w:sz="24" w:space="0" w:color="E3E1D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3E1D8" w:themeColor="accent6"/>
          <w:insideH w:val="nil"/>
          <w:insideV w:val="nil"/>
        </w:tcBorders>
        <w:shd w:val="clear" w:color="auto" w:fill="FFFFFF" w:themeFill="background1"/>
      </w:tcPr>
    </w:tblStylePr>
    <w:tblStylePr w:type="lastCol">
      <w:tblPr/>
      <w:tcPr>
        <w:tcBorders>
          <w:top w:val="nil"/>
          <w:left w:val="single" w:sz="8" w:space="0" w:color="E3E1D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F7F5" w:themeFill="accent6" w:themeFillTint="3F"/>
      </w:tcPr>
    </w:tblStylePr>
    <w:tblStylePr w:type="band1Horz">
      <w:tblPr/>
      <w:tcPr>
        <w:tcBorders>
          <w:top w:val="nil"/>
          <w:bottom w:val="nil"/>
          <w:insideH w:val="nil"/>
          <w:insideV w:val="nil"/>
        </w:tcBorders>
        <w:shd w:val="clear" w:color="auto" w:fill="F8F7F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920D86"/>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920D86"/>
    <w:pPr>
      <w:spacing w:line="240" w:lineRule="auto"/>
    </w:pPr>
    <w:tblPr>
      <w:tblStyleRowBandSize w:val="1"/>
      <w:tblStyleColBandSize w:val="1"/>
      <w:tblBorders>
        <w:top w:val="single" w:sz="8" w:space="0" w:color="095CCC" w:themeColor="accent1" w:themeTint="BF"/>
        <w:left w:val="single" w:sz="8" w:space="0" w:color="095CCC" w:themeColor="accent1" w:themeTint="BF"/>
        <w:bottom w:val="single" w:sz="8" w:space="0" w:color="095CCC" w:themeColor="accent1" w:themeTint="BF"/>
        <w:right w:val="single" w:sz="8" w:space="0" w:color="095CCC" w:themeColor="accent1" w:themeTint="BF"/>
        <w:insideH w:val="single" w:sz="8" w:space="0" w:color="095CCC" w:themeColor="accent1" w:themeTint="BF"/>
      </w:tblBorders>
    </w:tblPr>
    <w:tblStylePr w:type="firstRow">
      <w:pPr>
        <w:spacing w:before="0" w:after="0" w:line="240" w:lineRule="auto"/>
      </w:pPr>
      <w:rPr>
        <w:b/>
        <w:bCs/>
        <w:color w:val="FFFFFF" w:themeColor="background1"/>
      </w:rPr>
      <w:tblPr/>
      <w:tcPr>
        <w:tcBorders>
          <w:top w:val="single" w:sz="8" w:space="0" w:color="095CCC" w:themeColor="accent1" w:themeTint="BF"/>
          <w:left w:val="single" w:sz="8" w:space="0" w:color="095CCC" w:themeColor="accent1" w:themeTint="BF"/>
          <w:bottom w:val="single" w:sz="8" w:space="0" w:color="095CCC" w:themeColor="accent1" w:themeTint="BF"/>
          <w:right w:val="single" w:sz="8" w:space="0" w:color="095CCC" w:themeColor="accent1" w:themeTint="BF"/>
          <w:insideH w:val="nil"/>
          <w:insideV w:val="nil"/>
        </w:tcBorders>
        <w:shd w:val="clear" w:color="auto" w:fill="05326E" w:themeFill="accent1"/>
      </w:tcPr>
    </w:tblStylePr>
    <w:tblStylePr w:type="lastRow">
      <w:pPr>
        <w:spacing w:before="0" w:after="0" w:line="240" w:lineRule="auto"/>
      </w:pPr>
      <w:rPr>
        <w:b/>
        <w:bCs/>
      </w:rPr>
      <w:tblPr/>
      <w:tcPr>
        <w:tcBorders>
          <w:top w:val="double" w:sz="6" w:space="0" w:color="095CCC" w:themeColor="accent1" w:themeTint="BF"/>
          <w:left w:val="single" w:sz="8" w:space="0" w:color="095CCC" w:themeColor="accent1" w:themeTint="BF"/>
          <w:bottom w:val="single" w:sz="8" w:space="0" w:color="095CCC" w:themeColor="accent1" w:themeTint="BF"/>
          <w:right w:val="single" w:sz="8" w:space="0" w:color="095CCC" w:themeColor="accent1" w:themeTint="BF"/>
          <w:insideH w:val="nil"/>
          <w:insideV w:val="nil"/>
        </w:tcBorders>
      </w:tcPr>
    </w:tblStylePr>
    <w:tblStylePr w:type="firstCol">
      <w:rPr>
        <w:b/>
        <w:bCs/>
      </w:rPr>
    </w:tblStylePr>
    <w:tblStylePr w:type="lastCol">
      <w:rPr>
        <w:b/>
        <w:bCs/>
      </w:rPr>
    </w:tblStylePr>
    <w:tblStylePr w:type="band1Vert">
      <w:tblPr/>
      <w:tcPr>
        <w:shd w:val="clear" w:color="auto" w:fill="A1C7FA" w:themeFill="accent1" w:themeFillTint="3F"/>
      </w:tcPr>
    </w:tblStylePr>
    <w:tblStylePr w:type="band1Horz">
      <w:tblPr/>
      <w:tcPr>
        <w:tcBorders>
          <w:insideH w:val="nil"/>
          <w:insideV w:val="nil"/>
        </w:tcBorders>
        <w:shd w:val="clear" w:color="auto" w:fill="A1C7FA"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920D86"/>
    <w:pPr>
      <w:spacing w:line="240" w:lineRule="auto"/>
    </w:pPr>
    <w:tblPr>
      <w:tblStyleRowBandSize w:val="1"/>
      <w:tblStyleColBandSize w:val="1"/>
      <w:tblBorders>
        <w:top w:val="single" w:sz="8" w:space="0" w:color="22AD7B" w:themeColor="accent2" w:themeTint="BF"/>
        <w:left w:val="single" w:sz="8" w:space="0" w:color="22AD7B" w:themeColor="accent2" w:themeTint="BF"/>
        <w:bottom w:val="single" w:sz="8" w:space="0" w:color="22AD7B" w:themeColor="accent2" w:themeTint="BF"/>
        <w:right w:val="single" w:sz="8" w:space="0" w:color="22AD7B" w:themeColor="accent2" w:themeTint="BF"/>
        <w:insideH w:val="single" w:sz="8" w:space="0" w:color="22AD7B" w:themeColor="accent2" w:themeTint="BF"/>
      </w:tblBorders>
    </w:tblPr>
    <w:tblStylePr w:type="firstRow">
      <w:pPr>
        <w:spacing w:before="0" w:after="0" w:line="240" w:lineRule="auto"/>
      </w:pPr>
      <w:rPr>
        <w:b/>
        <w:bCs/>
        <w:color w:val="FFFFFF" w:themeColor="background1"/>
      </w:rPr>
      <w:tblPr/>
      <w:tcPr>
        <w:tcBorders>
          <w:top w:val="single" w:sz="8" w:space="0" w:color="22AD7B" w:themeColor="accent2" w:themeTint="BF"/>
          <w:left w:val="single" w:sz="8" w:space="0" w:color="22AD7B" w:themeColor="accent2" w:themeTint="BF"/>
          <w:bottom w:val="single" w:sz="8" w:space="0" w:color="22AD7B" w:themeColor="accent2" w:themeTint="BF"/>
          <w:right w:val="single" w:sz="8" w:space="0" w:color="22AD7B" w:themeColor="accent2" w:themeTint="BF"/>
          <w:insideH w:val="nil"/>
          <w:insideV w:val="nil"/>
        </w:tcBorders>
        <w:shd w:val="clear" w:color="auto" w:fill="125A40" w:themeFill="accent2"/>
      </w:tcPr>
    </w:tblStylePr>
    <w:tblStylePr w:type="lastRow">
      <w:pPr>
        <w:spacing w:before="0" w:after="0" w:line="240" w:lineRule="auto"/>
      </w:pPr>
      <w:rPr>
        <w:b/>
        <w:bCs/>
      </w:rPr>
      <w:tblPr/>
      <w:tcPr>
        <w:tcBorders>
          <w:top w:val="double" w:sz="6" w:space="0" w:color="22AD7B" w:themeColor="accent2" w:themeTint="BF"/>
          <w:left w:val="single" w:sz="8" w:space="0" w:color="22AD7B" w:themeColor="accent2" w:themeTint="BF"/>
          <w:bottom w:val="single" w:sz="8" w:space="0" w:color="22AD7B" w:themeColor="accent2" w:themeTint="BF"/>
          <w:right w:val="single" w:sz="8" w:space="0" w:color="22AD7B" w:themeColor="accent2" w:themeTint="BF"/>
          <w:insideH w:val="nil"/>
          <w:insideV w:val="nil"/>
        </w:tcBorders>
      </w:tcPr>
    </w:tblStylePr>
    <w:tblStylePr w:type="firstCol">
      <w:rPr>
        <w:b/>
        <w:bCs/>
      </w:rPr>
    </w:tblStylePr>
    <w:tblStylePr w:type="lastCol">
      <w:rPr>
        <w:b/>
        <w:bCs/>
      </w:rPr>
    </w:tblStylePr>
    <w:tblStylePr w:type="band1Vert">
      <w:tblPr/>
      <w:tcPr>
        <w:shd w:val="clear" w:color="auto" w:fill="ACEED6" w:themeFill="accent2" w:themeFillTint="3F"/>
      </w:tcPr>
    </w:tblStylePr>
    <w:tblStylePr w:type="band1Horz">
      <w:tblPr/>
      <w:tcPr>
        <w:tcBorders>
          <w:insideH w:val="nil"/>
          <w:insideV w:val="nil"/>
        </w:tcBorders>
        <w:shd w:val="clear" w:color="auto" w:fill="ACEED6"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920D86"/>
    <w:pPr>
      <w:spacing w:line="240" w:lineRule="auto"/>
    </w:pPr>
    <w:tblPr>
      <w:tblStyleRowBandSize w:val="1"/>
      <w:tblStyleColBandSize w:val="1"/>
      <w:tblBorders>
        <w:top w:val="single" w:sz="8" w:space="0" w:color="C1DBAF" w:themeColor="accent3" w:themeTint="BF"/>
        <w:left w:val="single" w:sz="8" w:space="0" w:color="C1DBAF" w:themeColor="accent3" w:themeTint="BF"/>
        <w:bottom w:val="single" w:sz="8" w:space="0" w:color="C1DBAF" w:themeColor="accent3" w:themeTint="BF"/>
        <w:right w:val="single" w:sz="8" w:space="0" w:color="C1DBAF" w:themeColor="accent3" w:themeTint="BF"/>
        <w:insideH w:val="single" w:sz="8" w:space="0" w:color="C1DBAF" w:themeColor="accent3" w:themeTint="BF"/>
      </w:tblBorders>
    </w:tblPr>
    <w:tblStylePr w:type="firstRow">
      <w:pPr>
        <w:spacing w:before="0" w:after="0" w:line="240" w:lineRule="auto"/>
      </w:pPr>
      <w:rPr>
        <w:b/>
        <w:bCs/>
        <w:color w:val="FFFFFF" w:themeColor="background1"/>
      </w:rPr>
      <w:tblPr/>
      <w:tcPr>
        <w:tcBorders>
          <w:top w:val="single" w:sz="8" w:space="0" w:color="C1DBAF" w:themeColor="accent3" w:themeTint="BF"/>
          <w:left w:val="single" w:sz="8" w:space="0" w:color="C1DBAF" w:themeColor="accent3" w:themeTint="BF"/>
          <w:bottom w:val="single" w:sz="8" w:space="0" w:color="C1DBAF" w:themeColor="accent3" w:themeTint="BF"/>
          <w:right w:val="single" w:sz="8" w:space="0" w:color="C1DBAF" w:themeColor="accent3" w:themeTint="BF"/>
          <w:insideH w:val="nil"/>
          <w:insideV w:val="nil"/>
        </w:tcBorders>
        <w:shd w:val="clear" w:color="auto" w:fill="ADD095" w:themeFill="accent3"/>
      </w:tcPr>
    </w:tblStylePr>
    <w:tblStylePr w:type="lastRow">
      <w:pPr>
        <w:spacing w:before="0" w:after="0" w:line="240" w:lineRule="auto"/>
      </w:pPr>
      <w:rPr>
        <w:b/>
        <w:bCs/>
      </w:rPr>
      <w:tblPr/>
      <w:tcPr>
        <w:tcBorders>
          <w:top w:val="double" w:sz="6" w:space="0" w:color="C1DBAF" w:themeColor="accent3" w:themeTint="BF"/>
          <w:left w:val="single" w:sz="8" w:space="0" w:color="C1DBAF" w:themeColor="accent3" w:themeTint="BF"/>
          <w:bottom w:val="single" w:sz="8" w:space="0" w:color="C1DBAF" w:themeColor="accent3" w:themeTint="BF"/>
          <w:right w:val="single" w:sz="8" w:space="0" w:color="C1DBAF" w:themeColor="accent3" w:themeTint="BF"/>
          <w:insideH w:val="nil"/>
          <w:insideV w:val="nil"/>
        </w:tcBorders>
      </w:tcPr>
    </w:tblStylePr>
    <w:tblStylePr w:type="firstCol">
      <w:rPr>
        <w:b/>
        <w:bCs/>
      </w:rPr>
    </w:tblStylePr>
    <w:tblStylePr w:type="lastCol">
      <w:rPr>
        <w:b/>
        <w:bCs/>
      </w:rPr>
    </w:tblStylePr>
    <w:tblStylePr w:type="band1Vert">
      <w:tblPr/>
      <w:tcPr>
        <w:shd w:val="clear" w:color="auto" w:fill="EAF3E4" w:themeFill="accent3" w:themeFillTint="3F"/>
      </w:tcPr>
    </w:tblStylePr>
    <w:tblStylePr w:type="band1Horz">
      <w:tblPr/>
      <w:tcPr>
        <w:tcBorders>
          <w:insideH w:val="nil"/>
          <w:insideV w:val="nil"/>
        </w:tcBorders>
        <w:shd w:val="clear" w:color="auto" w:fill="EAF3E4"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920D86"/>
    <w:pPr>
      <w:spacing w:line="240" w:lineRule="auto"/>
    </w:pPr>
    <w:tblPr>
      <w:tblStyleRowBandSize w:val="1"/>
      <w:tblStyleColBandSize w:val="1"/>
      <w:tblBorders>
        <w:top w:val="single" w:sz="8" w:space="0" w:color="A3447D" w:themeColor="accent4" w:themeTint="BF"/>
        <w:left w:val="single" w:sz="8" w:space="0" w:color="A3447D" w:themeColor="accent4" w:themeTint="BF"/>
        <w:bottom w:val="single" w:sz="8" w:space="0" w:color="A3447D" w:themeColor="accent4" w:themeTint="BF"/>
        <w:right w:val="single" w:sz="8" w:space="0" w:color="A3447D" w:themeColor="accent4" w:themeTint="BF"/>
        <w:insideH w:val="single" w:sz="8" w:space="0" w:color="A3447D" w:themeColor="accent4" w:themeTint="BF"/>
      </w:tblBorders>
    </w:tblPr>
    <w:tblStylePr w:type="firstRow">
      <w:pPr>
        <w:spacing w:before="0" w:after="0" w:line="240" w:lineRule="auto"/>
      </w:pPr>
      <w:rPr>
        <w:b/>
        <w:bCs/>
        <w:color w:val="FFFFFF" w:themeColor="background1"/>
      </w:rPr>
      <w:tblPr/>
      <w:tcPr>
        <w:tcBorders>
          <w:top w:val="single" w:sz="8" w:space="0" w:color="A3447D" w:themeColor="accent4" w:themeTint="BF"/>
          <w:left w:val="single" w:sz="8" w:space="0" w:color="A3447D" w:themeColor="accent4" w:themeTint="BF"/>
          <w:bottom w:val="single" w:sz="8" w:space="0" w:color="A3447D" w:themeColor="accent4" w:themeTint="BF"/>
          <w:right w:val="single" w:sz="8" w:space="0" w:color="A3447D" w:themeColor="accent4" w:themeTint="BF"/>
          <w:insideH w:val="nil"/>
          <w:insideV w:val="nil"/>
        </w:tcBorders>
        <w:shd w:val="clear" w:color="auto" w:fill="62294B" w:themeFill="accent4"/>
      </w:tcPr>
    </w:tblStylePr>
    <w:tblStylePr w:type="lastRow">
      <w:pPr>
        <w:spacing w:before="0" w:after="0" w:line="240" w:lineRule="auto"/>
      </w:pPr>
      <w:rPr>
        <w:b/>
        <w:bCs/>
      </w:rPr>
      <w:tblPr/>
      <w:tcPr>
        <w:tcBorders>
          <w:top w:val="double" w:sz="6" w:space="0" w:color="A3447D" w:themeColor="accent4" w:themeTint="BF"/>
          <w:left w:val="single" w:sz="8" w:space="0" w:color="A3447D" w:themeColor="accent4" w:themeTint="BF"/>
          <w:bottom w:val="single" w:sz="8" w:space="0" w:color="A3447D" w:themeColor="accent4" w:themeTint="BF"/>
          <w:right w:val="single" w:sz="8" w:space="0" w:color="A3447D" w:themeColor="accent4" w:themeTint="BF"/>
          <w:insideH w:val="nil"/>
          <w:insideV w:val="nil"/>
        </w:tcBorders>
      </w:tcPr>
    </w:tblStylePr>
    <w:tblStylePr w:type="firstCol">
      <w:rPr>
        <w:b/>
        <w:bCs/>
      </w:rPr>
    </w:tblStylePr>
    <w:tblStylePr w:type="lastCol">
      <w:rPr>
        <w:b/>
        <w:bCs/>
      </w:rPr>
    </w:tblStylePr>
    <w:tblStylePr w:type="band1Vert">
      <w:tblPr/>
      <w:tcPr>
        <w:shd w:val="clear" w:color="auto" w:fill="E4BED4" w:themeFill="accent4" w:themeFillTint="3F"/>
      </w:tcPr>
    </w:tblStylePr>
    <w:tblStylePr w:type="band1Horz">
      <w:tblPr/>
      <w:tcPr>
        <w:tcBorders>
          <w:insideH w:val="nil"/>
          <w:insideV w:val="nil"/>
        </w:tcBorders>
        <w:shd w:val="clear" w:color="auto" w:fill="E4BED4"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920D86"/>
    <w:pPr>
      <w:spacing w:line="240" w:lineRule="auto"/>
    </w:pPr>
    <w:tblPr>
      <w:tblStyleRowBandSize w:val="1"/>
      <w:tblStyleColBandSize w:val="1"/>
      <w:tblBorders>
        <w:top w:val="single" w:sz="8" w:space="0" w:color="FFA57F" w:themeColor="accent5" w:themeTint="BF"/>
        <w:left w:val="single" w:sz="8" w:space="0" w:color="FFA57F" w:themeColor="accent5" w:themeTint="BF"/>
        <w:bottom w:val="single" w:sz="8" w:space="0" w:color="FFA57F" w:themeColor="accent5" w:themeTint="BF"/>
        <w:right w:val="single" w:sz="8" w:space="0" w:color="FFA57F" w:themeColor="accent5" w:themeTint="BF"/>
        <w:insideH w:val="single" w:sz="8" w:space="0" w:color="FFA57F" w:themeColor="accent5" w:themeTint="BF"/>
      </w:tblBorders>
    </w:tblPr>
    <w:tblStylePr w:type="firstRow">
      <w:pPr>
        <w:spacing w:before="0" w:after="0" w:line="240" w:lineRule="auto"/>
      </w:pPr>
      <w:rPr>
        <w:b/>
        <w:bCs/>
        <w:color w:val="FFFFFF" w:themeColor="background1"/>
      </w:rPr>
      <w:tblPr/>
      <w:tcPr>
        <w:tcBorders>
          <w:top w:val="single" w:sz="8" w:space="0" w:color="FFA57F" w:themeColor="accent5" w:themeTint="BF"/>
          <w:left w:val="single" w:sz="8" w:space="0" w:color="FFA57F" w:themeColor="accent5" w:themeTint="BF"/>
          <w:bottom w:val="single" w:sz="8" w:space="0" w:color="FFA57F" w:themeColor="accent5" w:themeTint="BF"/>
          <w:right w:val="single" w:sz="8" w:space="0" w:color="FFA57F" w:themeColor="accent5" w:themeTint="BF"/>
          <w:insideH w:val="nil"/>
          <w:insideV w:val="nil"/>
        </w:tcBorders>
        <w:shd w:val="clear" w:color="auto" w:fill="FF8855" w:themeFill="accent5"/>
      </w:tcPr>
    </w:tblStylePr>
    <w:tblStylePr w:type="lastRow">
      <w:pPr>
        <w:spacing w:before="0" w:after="0" w:line="240" w:lineRule="auto"/>
      </w:pPr>
      <w:rPr>
        <w:b/>
        <w:bCs/>
      </w:rPr>
      <w:tblPr/>
      <w:tcPr>
        <w:tcBorders>
          <w:top w:val="double" w:sz="6" w:space="0" w:color="FFA57F" w:themeColor="accent5" w:themeTint="BF"/>
          <w:left w:val="single" w:sz="8" w:space="0" w:color="FFA57F" w:themeColor="accent5" w:themeTint="BF"/>
          <w:bottom w:val="single" w:sz="8" w:space="0" w:color="FFA57F" w:themeColor="accent5" w:themeTint="BF"/>
          <w:right w:val="single" w:sz="8" w:space="0" w:color="FFA57F"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E1D5" w:themeFill="accent5" w:themeFillTint="3F"/>
      </w:tcPr>
    </w:tblStylePr>
    <w:tblStylePr w:type="band1Horz">
      <w:tblPr/>
      <w:tcPr>
        <w:tcBorders>
          <w:insideH w:val="nil"/>
          <w:insideV w:val="nil"/>
        </w:tcBorders>
        <w:shd w:val="clear" w:color="auto" w:fill="FFE1D5"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920D86"/>
    <w:pPr>
      <w:spacing w:line="240" w:lineRule="auto"/>
    </w:pPr>
    <w:tblPr>
      <w:tblStyleRowBandSize w:val="1"/>
      <w:tblStyleColBandSize w:val="1"/>
      <w:tblBorders>
        <w:top w:val="single" w:sz="8" w:space="0" w:color="EAE8E1" w:themeColor="accent6" w:themeTint="BF"/>
        <w:left w:val="single" w:sz="8" w:space="0" w:color="EAE8E1" w:themeColor="accent6" w:themeTint="BF"/>
        <w:bottom w:val="single" w:sz="8" w:space="0" w:color="EAE8E1" w:themeColor="accent6" w:themeTint="BF"/>
        <w:right w:val="single" w:sz="8" w:space="0" w:color="EAE8E1" w:themeColor="accent6" w:themeTint="BF"/>
        <w:insideH w:val="single" w:sz="8" w:space="0" w:color="EAE8E1" w:themeColor="accent6" w:themeTint="BF"/>
      </w:tblBorders>
    </w:tblPr>
    <w:tblStylePr w:type="firstRow">
      <w:pPr>
        <w:spacing w:before="0" w:after="0" w:line="240" w:lineRule="auto"/>
      </w:pPr>
      <w:rPr>
        <w:b/>
        <w:bCs/>
        <w:color w:val="FFFFFF" w:themeColor="background1"/>
      </w:rPr>
      <w:tblPr/>
      <w:tcPr>
        <w:tcBorders>
          <w:top w:val="single" w:sz="8" w:space="0" w:color="EAE8E1" w:themeColor="accent6" w:themeTint="BF"/>
          <w:left w:val="single" w:sz="8" w:space="0" w:color="EAE8E1" w:themeColor="accent6" w:themeTint="BF"/>
          <w:bottom w:val="single" w:sz="8" w:space="0" w:color="EAE8E1" w:themeColor="accent6" w:themeTint="BF"/>
          <w:right w:val="single" w:sz="8" w:space="0" w:color="EAE8E1" w:themeColor="accent6" w:themeTint="BF"/>
          <w:insideH w:val="nil"/>
          <w:insideV w:val="nil"/>
        </w:tcBorders>
        <w:shd w:val="clear" w:color="auto" w:fill="E3E1D8" w:themeFill="accent6"/>
      </w:tcPr>
    </w:tblStylePr>
    <w:tblStylePr w:type="lastRow">
      <w:pPr>
        <w:spacing w:before="0" w:after="0" w:line="240" w:lineRule="auto"/>
      </w:pPr>
      <w:rPr>
        <w:b/>
        <w:bCs/>
      </w:rPr>
      <w:tblPr/>
      <w:tcPr>
        <w:tcBorders>
          <w:top w:val="double" w:sz="6" w:space="0" w:color="EAE8E1" w:themeColor="accent6" w:themeTint="BF"/>
          <w:left w:val="single" w:sz="8" w:space="0" w:color="EAE8E1" w:themeColor="accent6" w:themeTint="BF"/>
          <w:bottom w:val="single" w:sz="8" w:space="0" w:color="EAE8E1" w:themeColor="accent6" w:themeTint="BF"/>
          <w:right w:val="single" w:sz="8" w:space="0" w:color="EAE8E1"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F7F5" w:themeFill="accent6" w:themeFillTint="3F"/>
      </w:tcPr>
    </w:tblStylePr>
    <w:tblStylePr w:type="band1Horz">
      <w:tblPr/>
      <w:tcPr>
        <w:tcBorders>
          <w:insideH w:val="nil"/>
          <w:insideV w:val="nil"/>
        </w:tcBorders>
        <w:shd w:val="clear" w:color="auto" w:fill="F8F7F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920D8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920D8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5326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5326E" w:themeFill="accent1"/>
      </w:tcPr>
    </w:tblStylePr>
    <w:tblStylePr w:type="lastCol">
      <w:rPr>
        <w:b/>
        <w:bCs/>
        <w:color w:val="FFFFFF" w:themeColor="background1"/>
      </w:rPr>
      <w:tblPr/>
      <w:tcPr>
        <w:tcBorders>
          <w:left w:val="nil"/>
          <w:right w:val="nil"/>
          <w:insideH w:val="nil"/>
          <w:insideV w:val="nil"/>
        </w:tcBorders>
        <w:shd w:val="clear" w:color="auto" w:fill="05326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920D8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25A4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25A40" w:themeFill="accent2"/>
      </w:tcPr>
    </w:tblStylePr>
    <w:tblStylePr w:type="lastCol">
      <w:rPr>
        <w:b/>
        <w:bCs/>
        <w:color w:val="FFFFFF" w:themeColor="background1"/>
      </w:rPr>
      <w:tblPr/>
      <w:tcPr>
        <w:tcBorders>
          <w:left w:val="nil"/>
          <w:right w:val="nil"/>
          <w:insideH w:val="nil"/>
          <w:insideV w:val="nil"/>
        </w:tcBorders>
        <w:shd w:val="clear" w:color="auto" w:fill="125A4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920D8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DD09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DD095" w:themeFill="accent3"/>
      </w:tcPr>
    </w:tblStylePr>
    <w:tblStylePr w:type="lastCol">
      <w:rPr>
        <w:b/>
        <w:bCs/>
        <w:color w:val="FFFFFF" w:themeColor="background1"/>
      </w:rPr>
      <w:tblPr/>
      <w:tcPr>
        <w:tcBorders>
          <w:left w:val="nil"/>
          <w:right w:val="nil"/>
          <w:insideH w:val="nil"/>
          <w:insideV w:val="nil"/>
        </w:tcBorders>
        <w:shd w:val="clear" w:color="auto" w:fill="ADD09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920D8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2294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2294B" w:themeFill="accent4"/>
      </w:tcPr>
    </w:tblStylePr>
    <w:tblStylePr w:type="lastCol">
      <w:rPr>
        <w:b/>
        <w:bCs/>
        <w:color w:val="FFFFFF" w:themeColor="background1"/>
      </w:rPr>
      <w:tblPr/>
      <w:tcPr>
        <w:tcBorders>
          <w:left w:val="nil"/>
          <w:right w:val="nil"/>
          <w:insideH w:val="nil"/>
          <w:insideV w:val="nil"/>
        </w:tcBorders>
        <w:shd w:val="clear" w:color="auto" w:fill="62294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920D8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885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8855" w:themeFill="accent5"/>
      </w:tcPr>
    </w:tblStylePr>
    <w:tblStylePr w:type="lastCol">
      <w:rPr>
        <w:b/>
        <w:bCs/>
        <w:color w:val="FFFFFF" w:themeColor="background1"/>
      </w:rPr>
      <w:tblPr/>
      <w:tcPr>
        <w:tcBorders>
          <w:left w:val="nil"/>
          <w:right w:val="nil"/>
          <w:insideH w:val="nil"/>
          <w:insideV w:val="nil"/>
        </w:tcBorders>
        <w:shd w:val="clear" w:color="auto" w:fill="FF885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920D8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3E1D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3E1D8" w:themeFill="accent6"/>
      </w:tcPr>
    </w:tblStylePr>
    <w:tblStylePr w:type="lastCol">
      <w:rPr>
        <w:b/>
        <w:bCs/>
        <w:color w:val="FFFFFF" w:themeColor="background1"/>
      </w:rPr>
      <w:tblPr/>
      <w:tcPr>
        <w:tcBorders>
          <w:left w:val="nil"/>
          <w:right w:val="nil"/>
          <w:insideH w:val="nil"/>
          <w:insideV w:val="nil"/>
        </w:tcBorders>
        <w:shd w:val="clear" w:color="auto" w:fill="E3E1D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rsid w:val="00920D86"/>
    <w:rPr>
      <w:color w:val="2B579A"/>
      <w:shd w:val="clear" w:color="auto" w:fill="E6E6E6"/>
      <w:lang w:val="en-US"/>
    </w:rPr>
  </w:style>
  <w:style w:type="paragraph" w:styleId="MessageHeader">
    <w:name w:val="Message Header"/>
    <w:basedOn w:val="Normal"/>
    <w:link w:val="MessageHeaderChar"/>
    <w:uiPriority w:val="99"/>
    <w:semiHidden/>
    <w:rsid w:val="00920D86"/>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920D86"/>
    <w:rPr>
      <w:rFonts w:asciiTheme="majorHAnsi" w:eastAsiaTheme="majorEastAsia" w:hAnsiTheme="majorHAnsi" w:cstheme="majorBidi"/>
      <w:sz w:val="24"/>
      <w:szCs w:val="24"/>
      <w:shd w:val="pct20" w:color="auto" w:fill="auto"/>
      <w:lang w:val="en-US"/>
    </w:rPr>
  </w:style>
  <w:style w:type="paragraph" w:styleId="NormalWeb">
    <w:name w:val="Normal (Web)"/>
    <w:basedOn w:val="Normal"/>
    <w:uiPriority w:val="99"/>
    <w:semiHidden/>
    <w:rsid w:val="00920D86"/>
    <w:rPr>
      <w:rFonts w:ascii="Times New Roman" w:hAnsi="Times New Roman" w:cs="Times New Roman"/>
      <w:sz w:val="24"/>
      <w:szCs w:val="24"/>
    </w:rPr>
  </w:style>
  <w:style w:type="paragraph" w:styleId="NoteHeading">
    <w:name w:val="Note Heading"/>
    <w:basedOn w:val="Normal"/>
    <w:next w:val="Normal"/>
    <w:link w:val="NoteHeadingChar"/>
    <w:uiPriority w:val="99"/>
    <w:semiHidden/>
    <w:rsid w:val="00920D86"/>
    <w:pPr>
      <w:spacing w:line="240" w:lineRule="auto"/>
    </w:pPr>
  </w:style>
  <w:style w:type="character" w:customStyle="1" w:styleId="NoteHeadingChar">
    <w:name w:val="Note Heading Char"/>
    <w:basedOn w:val="DefaultParagraphFont"/>
    <w:link w:val="NoteHeading"/>
    <w:uiPriority w:val="99"/>
    <w:semiHidden/>
    <w:rsid w:val="00920D86"/>
    <w:rPr>
      <w:lang w:val="en-US"/>
    </w:rPr>
  </w:style>
  <w:style w:type="table" w:styleId="PlainTable1">
    <w:name w:val="Plain Table 1"/>
    <w:basedOn w:val="TableNormal"/>
    <w:uiPriority w:val="41"/>
    <w:rsid w:val="00920D86"/>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20D86"/>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20D86"/>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20D86"/>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920D86"/>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920D86"/>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920D86"/>
    <w:rPr>
      <w:rFonts w:ascii="Consolas" w:hAnsi="Consolas"/>
      <w:sz w:val="21"/>
      <w:szCs w:val="21"/>
      <w:lang w:val="en-US"/>
    </w:rPr>
  </w:style>
  <w:style w:type="paragraph" w:styleId="Salutation">
    <w:name w:val="Salutation"/>
    <w:basedOn w:val="Normal"/>
    <w:next w:val="Normal"/>
    <w:link w:val="SalutationChar"/>
    <w:uiPriority w:val="99"/>
    <w:semiHidden/>
    <w:rsid w:val="00920D86"/>
  </w:style>
  <w:style w:type="character" w:customStyle="1" w:styleId="SalutationChar">
    <w:name w:val="Salutation Char"/>
    <w:basedOn w:val="DefaultParagraphFont"/>
    <w:link w:val="Salutation"/>
    <w:uiPriority w:val="99"/>
    <w:semiHidden/>
    <w:rsid w:val="00920D86"/>
    <w:rPr>
      <w:lang w:val="en-US"/>
    </w:rPr>
  </w:style>
  <w:style w:type="character" w:styleId="SmartHyperlink">
    <w:name w:val="Smart Hyperlink"/>
    <w:basedOn w:val="DefaultParagraphFont"/>
    <w:uiPriority w:val="99"/>
    <w:semiHidden/>
    <w:rsid w:val="00920D86"/>
    <w:rPr>
      <w:u w:val="dotted"/>
      <w:lang w:val="en-US"/>
    </w:rPr>
  </w:style>
  <w:style w:type="table" w:styleId="Table3Deffects1">
    <w:name w:val="Table 3D effects 1"/>
    <w:basedOn w:val="TableNormal"/>
    <w:uiPriority w:val="99"/>
    <w:semiHidden/>
    <w:unhideWhenUsed/>
    <w:rsid w:val="00920D86"/>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920D86"/>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920D86"/>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920D86"/>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920D86"/>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920D86"/>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920D86"/>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920D86"/>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920D86"/>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920D86"/>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920D86"/>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920D86"/>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920D86"/>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920D86"/>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920D86"/>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920D86"/>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920D86"/>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920D8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920D86"/>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920D86"/>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920D86"/>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920D86"/>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920D86"/>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920D86"/>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920D86"/>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920D86"/>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920D86"/>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920D86"/>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920D86"/>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920D86"/>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920D86"/>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920D86"/>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920D86"/>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920D86"/>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920D8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920D86"/>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920D86"/>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920D86"/>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920D86"/>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920D86"/>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920D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920D86"/>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920D86"/>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920D86"/>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UnresolvedMention">
    <w:name w:val="Unresolved Mention"/>
    <w:basedOn w:val="DefaultParagraphFont"/>
    <w:uiPriority w:val="99"/>
    <w:semiHidden/>
    <w:rsid w:val="00920D86"/>
    <w:rPr>
      <w:color w:val="808080"/>
      <w:shd w:val="clear" w:color="auto" w:fill="E6E6E6"/>
      <w:lang w:val="en-US"/>
    </w:rPr>
  </w:style>
  <w:style w:type="paragraph" w:customStyle="1" w:styleId="DocumentInfo">
    <w:name w:val="Document Info"/>
    <w:basedOn w:val="Normal"/>
    <w:uiPriority w:val="6"/>
    <w:semiHidden/>
    <w:rsid w:val="00920D86"/>
    <w:pPr>
      <w:spacing w:line="200" w:lineRule="atLeast"/>
    </w:pPr>
    <w:rPr>
      <w:sz w:val="14"/>
    </w:rPr>
  </w:style>
  <w:style w:type="paragraph" w:customStyle="1" w:styleId="DearRow">
    <w:name w:val="DearRow"/>
    <w:basedOn w:val="Normal"/>
    <w:uiPriority w:val="99"/>
    <w:semiHidden/>
    <w:rsid w:val="00920D86"/>
    <w:pPr>
      <w:spacing w:after="40"/>
      <w:contextualSpacing/>
    </w:pPr>
    <w:rPr>
      <w:rFonts w:eastAsia="Times New Roman" w:cs="Times New Roman"/>
    </w:rPr>
  </w:style>
  <w:style w:type="paragraph" w:customStyle="1" w:styleId="Template-CompanyInfo">
    <w:name w:val="Template - Company Info"/>
    <w:basedOn w:val="Template"/>
    <w:uiPriority w:val="8"/>
    <w:semiHidden/>
    <w:rsid w:val="00920D86"/>
    <w:rPr>
      <w:sz w:val="12"/>
    </w:rPr>
  </w:style>
  <w:style w:type="paragraph" w:customStyle="1" w:styleId="Template-FilePath">
    <w:name w:val="Template - File Path"/>
    <w:basedOn w:val="Template"/>
    <w:uiPriority w:val="8"/>
    <w:semiHidden/>
    <w:rsid w:val="00920D86"/>
    <w:pPr>
      <w:spacing w:line="160" w:lineRule="atLeast"/>
    </w:pPr>
    <w:rPr>
      <w:sz w:val="10"/>
    </w:rPr>
  </w:style>
  <w:style w:type="paragraph" w:customStyle="1" w:styleId="Template-DocId">
    <w:name w:val="Template - Doc Id"/>
    <w:basedOn w:val="Template"/>
    <w:uiPriority w:val="8"/>
    <w:semiHidden/>
    <w:rsid w:val="00920D86"/>
    <w:rPr>
      <w:sz w:val="12"/>
    </w:rPr>
  </w:style>
  <w:style w:type="table" w:customStyle="1" w:styleId="Ramboll-Table">
    <w:name w:val="Ramboll - Table"/>
    <w:basedOn w:val="TableNormal"/>
    <w:uiPriority w:val="99"/>
    <w:rsid w:val="00920D86"/>
    <w:pPr>
      <w:spacing w:before="20" w:after="20" w:line="200" w:lineRule="atLeast"/>
      <w:ind w:left="57" w:right="113"/>
    </w:pPr>
    <w:rPr>
      <w:sz w:val="14"/>
    </w:rPr>
    <w:tblPr>
      <w:tblStyleColBandSize w:val="1"/>
      <w:tblBorders>
        <w:bottom w:val="single" w:sz="4" w:space="0" w:color="6D6E71"/>
        <w:insideH w:val="single" w:sz="2" w:space="0" w:color="CAC9BC"/>
      </w:tblBorders>
      <w:tblCellMar>
        <w:left w:w="0" w:type="dxa"/>
        <w:right w:w="0" w:type="dxa"/>
      </w:tblCellMar>
    </w:tblPr>
    <w:tblStylePr w:type="firstRow">
      <w:rPr>
        <w:color w:val="auto"/>
      </w:rPr>
      <w:tblPr/>
      <w:tcPr>
        <w:tcBorders>
          <w:bottom w:val="single" w:sz="4" w:space="0" w:color="6D6E71"/>
        </w:tcBorders>
        <w:shd w:val="clear" w:color="auto" w:fill="F1F1ED"/>
      </w:tcPr>
    </w:tblStylePr>
    <w:tblStylePr w:type="band2Vert">
      <w:tblPr/>
      <w:tcPr>
        <w:shd w:val="clear" w:color="auto" w:fill="F1F1ED"/>
      </w:tcPr>
    </w:tblStylePr>
  </w:style>
  <w:style w:type="paragraph" w:customStyle="1" w:styleId="DocumentInfo-Bold">
    <w:name w:val="Document Info - Bold"/>
    <w:basedOn w:val="DocumentInfo"/>
    <w:uiPriority w:val="6"/>
    <w:semiHidden/>
    <w:rsid w:val="00920D86"/>
    <w:rPr>
      <w:b/>
    </w:rPr>
  </w:style>
  <w:style w:type="character" w:customStyle="1" w:styleId="TOC4Char">
    <w:name w:val="TOC 4 Char"/>
    <w:basedOn w:val="DefaultParagraphFont"/>
    <w:link w:val="TOC4"/>
    <w:uiPriority w:val="39"/>
    <w:semiHidden/>
    <w:rsid w:val="00920D86"/>
    <w:rPr>
      <w:rFonts w:eastAsia="Times New Roman" w:cs="Times New Roman"/>
      <w:lang w:val="en-US"/>
    </w:rPr>
  </w:style>
  <w:style w:type="paragraph" w:customStyle="1" w:styleId="Documentdataleadtext">
    <w:name w:val="Document data leadtext"/>
    <w:basedOn w:val="Normal"/>
    <w:uiPriority w:val="8"/>
    <w:semiHidden/>
    <w:rsid w:val="00920D86"/>
    <w:rPr>
      <w:rFonts w:eastAsia="Times New Roman" w:cs="Times New Roman"/>
      <w:sz w:val="14"/>
    </w:rPr>
  </w:style>
  <w:style w:type="paragraph" w:customStyle="1" w:styleId="Documentdatatext">
    <w:name w:val="Document data text"/>
    <w:basedOn w:val="Normal"/>
    <w:uiPriority w:val="8"/>
    <w:semiHidden/>
    <w:rsid w:val="00920D86"/>
    <w:rPr>
      <w:rFonts w:eastAsia="Times New Roman" w:cs="Times New Roman"/>
      <w:b/>
    </w:rPr>
  </w:style>
  <w:style w:type="paragraph" w:customStyle="1" w:styleId="FrontpageHeading1">
    <w:name w:val="Frontpage Heading 1"/>
    <w:basedOn w:val="Normal"/>
    <w:link w:val="FrontpageHeading1Char"/>
    <w:uiPriority w:val="8"/>
    <w:rsid w:val="00053E7C"/>
    <w:pPr>
      <w:spacing w:after="500" w:line="1080" w:lineRule="exact"/>
      <w:contextualSpacing/>
    </w:pPr>
    <w:rPr>
      <w:rFonts w:eastAsia="Times New Roman" w:cs="Times New Roman"/>
      <w:color w:val="FFFFFF"/>
      <w:sz w:val="102"/>
    </w:rPr>
  </w:style>
  <w:style w:type="paragraph" w:customStyle="1" w:styleId="H1-NOTTOC">
    <w:name w:val="H1 - NOT TOC"/>
    <w:basedOn w:val="Heading1"/>
    <w:next w:val="Normal"/>
    <w:uiPriority w:val="4"/>
    <w:rsid w:val="00920D86"/>
    <w:pPr>
      <w:numPr>
        <w:numId w:val="1"/>
      </w:numPr>
      <w:outlineLvl w:val="9"/>
    </w:pPr>
  </w:style>
  <w:style w:type="character" w:customStyle="1" w:styleId="FrontpageHeading1Char">
    <w:name w:val="Frontpage Heading 1 Char"/>
    <w:basedOn w:val="DefaultParagraphFont"/>
    <w:link w:val="FrontpageHeading1"/>
    <w:uiPriority w:val="8"/>
    <w:rsid w:val="00053E7C"/>
    <w:rPr>
      <w:rFonts w:eastAsia="Times New Roman" w:cs="Times New Roman"/>
      <w:color w:val="FFFFFF"/>
      <w:sz w:val="102"/>
      <w:lang w:val="en-US"/>
    </w:rPr>
  </w:style>
  <w:style w:type="character" w:customStyle="1" w:styleId="Caption-Header">
    <w:name w:val="Caption - Header"/>
    <w:basedOn w:val="DefaultParagraphFont"/>
    <w:uiPriority w:val="6"/>
    <w:qFormat/>
    <w:rsid w:val="00920D86"/>
    <w:rPr>
      <w:rFonts w:ascii="Verdana" w:hAnsi="Verdana" w:cs="Times New Roman"/>
      <w:color w:val="009DE0"/>
      <w:sz w:val="13"/>
      <w:lang w:val="en-US"/>
    </w:rPr>
  </w:style>
  <w:style w:type="paragraph" w:customStyle="1" w:styleId="Template-ReftoFrontpageheading2">
    <w:name w:val="Template - Ref to Frontpage heading 2"/>
    <w:basedOn w:val="Normal"/>
    <w:link w:val="Template-ReftoFrontpageheading2Char"/>
    <w:uiPriority w:val="8"/>
    <w:semiHidden/>
    <w:rsid w:val="00920D86"/>
    <w:pPr>
      <w:tabs>
        <w:tab w:val="left" w:pos="198"/>
      </w:tabs>
      <w:spacing w:line="280" w:lineRule="atLeast"/>
    </w:pPr>
    <w:rPr>
      <w:rFonts w:eastAsia="Times New Roman" w:cs="Times New Roman"/>
      <w:b/>
      <w:caps/>
      <w:noProof/>
      <w:color w:val="009DE0"/>
      <w:sz w:val="22"/>
      <w:szCs w:val="24"/>
    </w:rPr>
  </w:style>
  <w:style w:type="character" w:customStyle="1" w:styleId="Template-ReftoFrontpageheading2Char">
    <w:name w:val="Template - Ref to Frontpage heading 2 Char"/>
    <w:basedOn w:val="DefaultParagraphFont"/>
    <w:link w:val="Template-ReftoFrontpageheading2"/>
    <w:uiPriority w:val="8"/>
    <w:semiHidden/>
    <w:rsid w:val="00920D86"/>
    <w:rPr>
      <w:rFonts w:eastAsia="Times New Roman" w:cs="Times New Roman"/>
      <w:b/>
      <w:caps/>
      <w:noProof/>
      <w:color w:val="009DE0"/>
      <w:sz w:val="22"/>
      <w:szCs w:val="24"/>
      <w:lang w:val="en-US"/>
    </w:rPr>
  </w:style>
  <w:style w:type="paragraph" w:customStyle="1" w:styleId="RevisionData">
    <w:name w:val="Revision Data"/>
    <w:basedOn w:val="Normal"/>
    <w:uiPriority w:val="7"/>
    <w:semiHidden/>
    <w:rsid w:val="00920D86"/>
    <w:rPr>
      <w:rFonts w:eastAsia="Times New Roman" w:cs="Times New Roman"/>
      <w:sz w:val="14"/>
    </w:rPr>
  </w:style>
  <w:style w:type="paragraph" w:customStyle="1" w:styleId="RevisionDataText">
    <w:name w:val="Revision Data Text"/>
    <w:basedOn w:val="Normal"/>
    <w:uiPriority w:val="7"/>
    <w:semiHidden/>
    <w:rsid w:val="00920D86"/>
    <w:rPr>
      <w:rFonts w:eastAsia="Times New Roman" w:cs="Times New Roman"/>
      <w:b/>
    </w:rPr>
  </w:style>
  <w:style w:type="paragraph" w:customStyle="1" w:styleId="Optional1">
    <w:name w:val="Optional 1"/>
    <w:basedOn w:val="RevisionDataText"/>
    <w:uiPriority w:val="7"/>
    <w:semiHidden/>
    <w:rsid w:val="00920D86"/>
  </w:style>
  <w:style w:type="paragraph" w:customStyle="1" w:styleId="Optional2">
    <w:name w:val="Optional 2"/>
    <w:basedOn w:val="RevisionDataText"/>
    <w:uiPriority w:val="7"/>
    <w:semiHidden/>
    <w:rsid w:val="00920D86"/>
  </w:style>
  <w:style w:type="paragraph" w:customStyle="1" w:styleId="Normal-Optional1leadtext">
    <w:name w:val="Normal - Optional 1 leadtext"/>
    <w:basedOn w:val="Documentdataleadtext"/>
    <w:uiPriority w:val="99"/>
    <w:semiHidden/>
    <w:rsid w:val="00920D86"/>
  </w:style>
  <w:style w:type="paragraph" w:customStyle="1" w:styleId="Optional2leadtext">
    <w:name w:val="Optional 2 leadtext"/>
    <w:basedOn w:val="Normal-Optional1leadtext"/>
    <w:uiPriority w:val="7"/>
    <w:semiHidden/>
    <w:rsid w:val="00920D86"/>
  </w:style>
  <w:style w:type="paragraph" w:customStyle="1" w:styleId="Template-Disclaimer">
    <w:name w:val="Template - Disclaimer"/>
    <w:basedOn w:val="Normal"/>
    <w:uiPriority w:val="8"/>
    <w:semiHidden/>
    <w:rsid w:val="00920D86"/>
    <w:pPr>
      <w:spacing w:line="200" w:lineRule="atLeast"/>
    </w:pPr>
    <w:rPr>
      <w:sz w:val="14"/>
    </w:rPr>
  </w:style>
  <w:style w:type="paragraph" w:customStyle="1" w:styleId="FactBoxHeading1">
    <w:name w:val="Fact Box Heading 1"/>
    <w:basedOn w:val="Normal"/>
    <w:next w:val="Normal"/>
    <w:uiPriority w:val="7"/>
    <w:rsid w:val="00920D86"/>
    <w:pPr>
      <w:spacing w:line="320" w:lineRule="atLeast"/>
    </w:pPr>
    <w:rPr>
      <w:rFonts w:eastAsia="Times New Roman" w:cs="Times New Roman"/>
      <w:b/>
      <w:color w:val="FFFFFF"/>
      <w:sz w:val="30"/>
    </w:rPr>
  </w:style>
  <w:style w:type="paragraph" w:customStyle="1" w:styleId="FactBoxHeading3">
    <w:name w:val="Fact Box Heading 3"/>
    <w:basedOn w:val="Normal"/>
    <w:next w:val="FactBoxBodytext"/>
    <w:uiPriority w:val="7"/>
    <w:rsid w:val="00920D86"/>
    <w:pPr>
      <w:spacing w:after="100" w:line="220" w:lineRule="atLeast"/>
    </w:pPr>
    <w:rPr>
      <w:rFonts w:eastAsia="Times New Roman" w:cs="Times New Roman"/>
      <w:b/>
      <w:color w:val="FFFFFF"/>
    </w:rPr>
  </w:style>
  <w:style w:type="paragraph" w:customStyle="1" w:styleId="FactBoxBodytext">
    <w:name w:val="Fact Box Body text"/>
    <w:basedOn w:val="Normal"/>
    <w:uiPriority w:val="7"/>
    <w:rsid w:val="00920D86"/>
    <w:pPr>
      <w:spacing w:after="120" w:line="280" w:lineRule="atLeast"/>
      <w:contextualSpacing/>
    </w:pPr>
    <w:rPr>
      <w:rFonts w:eastAsia="Times New Roman" w:cs="Times New Roman"/>
      <w:color w:val="FFFFFF"/>
    </w:rPr>
  </w:style>
  <w:style w:type="paragraph" w:customStyle="1" w:styleId="Caption-Text">
    <w:name w:val="Caption - Text"/>
    <w:basedOn w:val="Normal"/>
    <w:next w:val="Normal"/>
    <w:uiPriority w:val="6"/>
    <w:rsid w:val="00920D86"/>
    <w:pPr>
      <w:spacing w:after="260" w:line="200" w:lineRule="atLeast"/>
    </w:pPr>
    <w:rPr>
      <w:rFonts w:eastAsia="Times New Roman" w:cs="Times New Roman"/>
      <w:sz w:val="14"/>
    </w:rPr>
  </w:style>
  <w:style w:type="paragraph" w:customStyle="1" w:styleId="SupplementNumber">
    <w:name w:val="Supplement Number"/>
    <w:basedOn w:val="Normal"/>
    <w:next w:val="Supplementtitle"/>
    <w:uiPriority w:val="7"/>
    <w:semiHidden/>
    <w:rsid w:val="00920D86"/>
    <w:pPr>
      <w:keepNext/>
      <w:keepLines/>
      <w:tabs>
        <w:tab w:val="num" w:pos="1209"/>
      </w:tabs>
      <w:spacing w:before="2400" w:line="280" w:lineRule="exact"/>
      <w:outlineLvl w:val="6"/>
    </w:pPr>
    <w:rPr>
      <w:rFonts w:eastAsia="Times New Roman" w:cs="Times New Roman"/>
      <w:b/>
      <w:caps/>
      <w:color w:val="009DE0"/>
      <w:sz w:val="22"/>
    </w:rPr>
  </w:style>
  <w:style w:type="paragraph" w:customStyle="1" w:styleId="Supplementtitle">
    <w:name w:val="Supplement title"/>
    <w:basedOn w:val="SupplementNumber"/>
    <w:next w:val="Normal"/>
    <w:uiPriority w:val="7"/>
    <w:semiHidden/>
    <w:rsid w:val="00920D86"/>
    <w:pPr>
      <w:keepNext w:val="0"/>
      <w:keepLines w:val="0"/>
      <w:numPr>
        <w:numId w:val="13"/>
      </w:numPr>
      <w:spacing w:before="0"/>
      <w:outlineLvl w:val="7"/>
    </w:pPr>
  </w:style>
  <w:style w:type="paragraph" w:customStyle="1" w:styleId="TOCHeading-Indent">
    <w:name w:val="TOC Heading - Indent"/>
    <w:basedOn w:val="TOCHeading"/>
    <w:uiPriority w:val="39"/>
    <w:semiHidden/>
    <w:rsid w:val="00920D86"/>
    <w:pPr>
      <w:ind w:left="-567"/>
    </w:pPr>
  </w:style>
  <w:style w:type="paragraph" w:customStyle="1" w:styleId="FactBoxHeading2">
    <w:name w:val="Fact Box Heading 2"/>
    <w:basedOn w:val="Normal"/>
    <w:uiPriority w:val="7"/>
    <w:rsid w:val="00920D86"/>
    <w:pPr>
      <w:spacing w:after="160"/>
    </w:pPr>
    <w:rPr>
      <w:rFonts w:eastAsia="Times New Roman" w:cs="Times New Roman"/>
      <w:b/>
      <w:color w:val="FFFFFF"/>
      <w:sz w:val="22"/>
    </w:rPr>
  </w:style>
  <w:style w:type="paragraph" w:customStyle="1" w:styleId="FrontpageInfo">
    <w:name w:val="Frontpage Info"/>
    <w:basedOn w:val="Normal"/>
    <w:uiPriority w:val="8"/>
    <w:rsid w:val="00053E7C"/>
    <w:pPr>
      <w:spacing w:line="360" w:lineRule="atLeast"/>
    </w:pPr>
    <w:rPr>
      <w:color w:val="FFFFFF"/>
      <w:sz w:val="30"/>
    </w:rPr>
  </w:style>
  <w:style w:type="paragraph" w:customStyle="1" w:styleId="H2-NOTTOC">
    <w:name w:val="H2 - NOT TOC"/>
    <w:basedOn w:val="Heading2"/>
    <w:next w:val="Normal"/>
    <w:uiPriority w:val="4"/>
    <w:rsid w:val="00920D86"/>
    <w:pPr>
      <w:outlineLvl w:val="9"/>
    </w:pPr>
  </w:style>
  <w:style w:type="paragraph" w:customStyle="1" w:styleId="H3-NOTTOC">
    <w:name w:val="H3 - NOT TOC"/>
    <w:basedOn w:val="Heading3"/>
    <w:next w:val="Normal"/>
    <w:uiPriority w:val="4"/>
    <w:rsid w:val="00920D86"/>
    <w:pPr>
      <w:numPr>
        <w:numId w:val="1"/>
      </w:numPr>
      <w:outlineLvl w:val="9"/>
    </w:pPr>
  </w:style>
  <w:style w:type="paragraph" w:customStyle="1" w:styleId="H4-NOTTOC">
    <w:name w:val="H4 - NOT TOC"/>
    <w:basedOn w:val="Heading4"/>
    <w:next w:val="Normal"/>
    <w:uiPriority w:val="4"/>
    <w:rsid w:val="00920D86"/>
    <w:pPr>
      <w:numPr>
        <w:numId w:val="1"/>
      </w:numPr>
      <w:outlineLvl w:val="9"/>
    </w:pPr>
  </w:style>
  <w:style w:type="paragraph" w:customStyle="1" w:styleId="Titlepage">
    <w:name w:val="Titlepage"/>
    <w:basedOn w:val="Subtitle"/>
    <w:uiPriority w:val="8"/>
    <w:semiHidden/>
    <w:qFormat/>
    <w:rsid w:val="00920D86"/>
    <w:pPr>
      <w:framePr w:wrap="around" w:vAnchor="page" w:hAnchor="page" w:x="1163" w:y="4310"/>
      <w:numPr>
        <w:ilvl w:val="0"/>
      </w:numPr>
      <w:contextualSpacing w:val="0"/>
    </w:pPr>
    <w:rPr>
      <w:rFonts w:eastAsia="Times New Roman" w:cs="Times New Roman"/>
      <w:b/>
      <w:iCs w:val="0"/>
      <w:color w:val="009DF0" w:themeColor="text2"/>
    </w:rPr>
  </w:style>
  <w:style w:type="paragraph" w:customStyle="1" w:styleId="Headnote">
    <w:name w:val="Head note"/>
    <w:basedOn w:val="Normal"/>
    <w:uiPriority w:val="2"/>
    <w:rsid w:val="00920D86"/>
    <w:pPr>
      <w:spacing w:after="280" w:line="280" w:lineRule="atLeast"/>
    </w:pPr>
    <w:rPr>
      <w:rFonts w:eastAsia="Times New Roman" w:cs="Times New Roman"/>
      <w:b/>
      <w:color w:val="4D4D4D"/>
      <w:sz w:val="21"/>
    </w:rPr>
  </w:style>
  <w:style w:type="paragraph" w:customStyle="1" w:styleId="FigureHeading">
    <w:name w:val="Figure Heading"/>
    <w:basedOn w:val="Normal"/>
    <w:uiPriority w:val="5"/>
    <w:rsid w:val="00920D86"/>
    <w:rPr>
      <w:b/>
      <w:color w:val="009DF0" w:themeColor="text2"/>
    </w:rPr>
  </w:style>
  <w:style w:type="paragraph" w:customStyle="1" w:styleId="OrgName">
    <w:name w:val="Org Name"/>
    <w:basedOn w:val="Normal"/>
    <w:uiPriority w:val="5"/>
    <w:rsid w:val="00920D86"/>
    <w:pPr>
      <w:spacing w:line="200" w:lineRule="atLeast"/>
    </w:pPr>
    <w:rPr>
      <w:rFonts w:eastAsia="Times New Roman" w:cs="Times New Roman"/>
      <w:b/>
      <w:color w:val="FFFFFF"/>
      <w:sz w:val="16"/>
    </w:rPr>
  </w:style>
  <w:style w:type="paragraph" w:customStyle="1" w:styleId="BackpageWeb">
    <w:name w:val="Backpage Web"/>
    <w:basedOn w:val="Normal"/>
    <w:uiPriority w:val="8"/>
    <w:rsid w:val="00E37AEE"/>
    <w:pPr>
      <w:spacing w:line="290" w:lineRule="atLeast"/>
    </w:pPr>
    <w:rPr>
      <w:color w:val="009DF0" w:themeColor="text2"/>
      <w:sz w:val="24"/>
    </w:rPr>
  </w:style>
  <w:style w:type="paragraph" w:customStyle="1" w:styleId="Default">
    <w:name w:val="Default"/>
    <w:rsid w:val="00964042"/>
    <w:pPr>
      <w:autoSpaceDE w:val="0"/>
      <w:autoSpaceDN w:val="0"/>
      <w:adjustRightInd w:val="0"/>
      <w:spacing w:line="240" w:lineRule="auto"/>
    </w:pPr>
    <w:rPr>
      <w:rFonts w:ascii="Calibri" w:hAnsi="Calibri" w:cs="Calibri"/>
      <w:color w:val="000000"/>
      <w:sz w:val="24"/>
      <w:szCs w:val="24"/>
      <w:lang w:val="ro-RO"/>
    </w:rPr>
  </w:style>
  <w:style w:type="character" w:customStyle="1" w:styleId="ListParagraphChar">
    <w:name w:val="List Paragraph Char"/>
    <w:aliases w:val="Heading1 Char,body 2 Char,List Paragraph1 Char,Header bold Char,heading 7 Char,List Paragraph11 Char,bullets Char,Arial Char,Normal bullet 2 Char,Forth level Char,List_Paragraph Char,Multilevel para_II Char,Bullet Char,EU Char"/>
    <w:link w:val="ListParagraph"/>
    <w:qFormat/>
    <w:locked/>
    <w:rsid w:val="00964042"/>
    <w:rPr>
      <w:lang w:val="en-US"/>
    </w:rPr>
  </w:style>
  <w:style w:type="character" w:customStyle="1" w:styleId="CaptionChar">
    <w:name w:val="Caption Char"/>
    <w:link w:val="Caption"/>
    <w:locked/>
    <w:rsid w:val="00BC1CD7"/>
    <w:rPr>
      <w:b/>
      <w:bCs/>
      <w:color w:val="009DF0" w:themeColor="text2"/>
      <w:sz w:val="14"/>
      <w:lang w:val="en-US"/>
    </w:rPr>
  </w:style>
  <w:style w:type="paragraph" w:styleId="Revision">
    <w:name w:val="Revision"/>
    <w:hidden/>
    <w:uiPriority w:val="99"/>
    <w:semiHidden/>
    <w:rsid w:val="00693554"/>
    <w:pPr>
      <w:spacing w:line="240" w:lineRule="auto"/>
    </w:pPr>
    <w:rPr>
      <w:lang w:val="en-US"/>
    </w:rPr>
  </w:style>
  <w:style w:type="table" w:customStyle="1" w:styleId="Rambolltebel11">
    <w:name w:val="Ramboll tebel 11"/>
    <w:basedOn w:val="TableNormal"/>
    <w:next w:val="GridTable5Dark-Accent1"/>
    <w:uiPriority w:val="50"/>
    <w:rsid w:val="00FD4EE4"/>
    <w:pPr>
      <w:spacing w:before="60" w:after="60" w:line="276" w:lineRule="auto"/>
    </w:pPr>
    <w:rPr>
      <w:sz w:val="16"/>
    </w:rPr>
    <w:tblPr>
      <w:tblStyleRowBandSize w:val="1"/>
      <w:tblStyleColBandSize w:val="1"/>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cPr>
      <w:shd w:val="clear" w:color="auto" w:fill="FFFFFF"/>
      <w:vAlign w:val="center"/>
    </w:tcPr>
    <w:tblStylePr w:type="firstRow">
      <w:rPr>
        <w:rFonts w:ascii="Verdana" w:hAnsi="Verdana"/>
        <w:b/>
        <w:bCs/>
        <w:color w:val="FFFFFF"/>
        <w:sz w:val="18"/>
      </w:rPr>
      <w:tblPr/>
      <w:tcPr>
        <w:shd w:val="clear" w:color="auto" w:fill="009DF0"/>
      </w:tcPr>
    </w:tblStylePr>
    <w:tblStylePr w:type="lastRow">
      <w:rPr>
        <w:rFonts w:ascii="Verdana" w:hAnsi="Verdana"/>
        <w:b/>
        <w:bCs/>
        <w:color w:val="auto"/>
        <w:sz w:val="18"/>
      </w:rPr>
      <w:tblPr/>
      <w:tcPr>
        <w:shd w:val="clear" w:color="auto" w:fill="BFBFBF"/>
      </w:tcPr>
    </w:tblStylePr>
    <w:tblStylePr w:type="firstCol">
      <w:pPr>
        <w:wordWrap/>
        <w:jc w:val="center"/>
      </w:pPr>
      <w:rPr>
        <w:rFonts w:ascii="Verdana" w:hAnsi="Verdana"/>
        <w:b/>
        <w:bCs/>
        <w:color w:val="FFFFFF"/>
        <w:sz w:val="16"/>
      </w:rPr>
      <w:tblPr/>
      <w:tcPr>
        <w:shd w:val="clear" w:color="auto" w:fill="009DF0"/>
      </w:tcPr>
    </w:tblStylePr>
    <w:tblStylePr w:type="lastCol">
      <w:rPr>
        <w:rFonts w:ascii="Verdana" w:hAnsi="Verdana"/>
        <w:b w:val="0"/>
        <w:bCs/>
        <w:color w:val="FFFFFF"/>
        <w:sz w:val="16"/>
      </w:rPr>
      <w:tblPr/>
      <w:tcPr>
        <w:shd w:val="clear" w:color="auto" w:fill="FFFFFF"/>
      </w:tcPr>
    </w:tblStylePr>
    <w:tblStylePr w:type="band1Vert">
      <w:rPr>
        <w:rFonts w:ascii="Verdana" w:hAnsi="Verdana"/>
        <w:sz w:val="16"/>
      </w:rPr>
      <w:tblPr/>
      <w:tcPr>
        <w:shd w:val="clear" w:color="auto" w:fill="FFFFFF"/>
      </w:tcPr>
    </w:tblStylePr>
    <w:tblStylePr w:type="band2Vert">
      <w:rPr>
        <w:rFonts w:ascii="Verdana" w:hAnsi="Verdana"/>
        <w:sz w:val="16"/>
      </w:rPr>
      <w:tblPr/>
      <w:tcPr>
        <w:shd w:val="clear" w:color="auto" w:fill="FFFFFF"/>
      </w:tcPr>
    </w:tblStylePr>
    <w:tblStylePr w:type="band1Horz">
      <w:rPr>
        <w:rFonts w:ascii="Verdana" w:hAnsi="Verdana"/>
        <w:sz w:val="16"/>
      </w:rPr>
    </w:tblStylePr>
    <w:tblStylePr w:type="band2Horz">
      <w:rPr>
        <w:rFonts w:ascii="Verdana" w:hAnsi="Verdana"/>
        <w:sz w:val="16"/>
      </w:rPr>
    </w:tblStylePr>
  </w:style>
  <w:style w:type="paragraph" w:customStyle="1" w:styleId="text-start">
    <w:name w:val="text-start"/>
    <w:basedOn w:val="Normal"/>
    <w:rsid w:val="00AF32D5"/>
    <w:pPr>
      <w:spacing w:before="100" w:beforeAutospacing="1" w:after="100" w:afterAutospacing="1" w:line="240" w:lineRule="auto"/>
    </w:pPr>
    <w:rPr>
      <w:rFonts w:ascii="Times New Roman" w:eastAsia="Times New Roman" w:hAnsi="Times New Roman" w:cs="Times New Roman"/>
      <w:sz w:val="24"/>
      <w:szCs w:val="24"/>
      <w:lang w:val="ro-RO" w:eastAsia="ro-RO"/>
    </w:rPr>
  </w:style>
  <w:style w:type="paragraph" w:customStyle="1" w:styleId="msonormal0">
    <w:name w:val="msonormal"/>
    <w:basedOn w:val="Normal"/>
    <w:rsid w:val="00FC3738"/>
    <w:pPr>
      <w:spacing w:before="100" w:beforeAutospacing="1" w:after="100" w:afterAutospacing="1" w:line="240" w:lineRule="auto"/>
    </w:pPr>
    <w:rPr>
      <w:rFonts w:ascii="Times New Roman" w:eastAsia="Times New Roman" w:hAnsi="Times New Roman" w:cs="Times New Roman"/>
      <w:sz w:val="24"/>
      <w:szCs w:val="24"/>
      <w:lang w:val="ro-RO" w:eastAsia="ro-RO"/>
    </w:rPr>
  </w:style>
  <w:style w:type="paragraph" w:customStyle="1" w:styleId="xl64">
    <w:name w:val="xl64"/>
    <w:basedOn w:val="Normal"/>
    <w:rsid w:val="00FC3738"/>
    <w:pPr>
      <w:spacing w:before="100" w:beforeAutospacing="1" w:after="100" w:afterAutospacing="1" w:line="240" w:lineRule="auto"/>
      <w:textAlignment w:val="center"/>
    </w:pPr>
    <w:rPr>
      <w:rFonts w:ascii="Times New Roman" w:eastAsia="Times New Roman" w:hAnsi="Times New Roman" w:cs="Times New Roman"/>
      <w:sz w:val="24"/>
      <w:szCs w:val="24"/>
      <w:lang w:val="ro-RO" w:eastAsia="ro-RO"/>
    </w:rPr>
  </w:style>
  <w:style w:type="paragraph" w:customStyle="1" w:styleId="xl65">
    <w:name w:val="xl65"/>
    <w:basedOn w:val="Normal"/>
    <w:rsid w:val="00FC3738"/>
    <w:pPr>
      <w:spacing w:before="100" w:beforeAutospacing="1" w:after="100" w:afterAutospacing="1" w:line="240" w:lineRule="auto"/>
      <w:jc w:val="center"/>
      <w:textAlignment w:val="center"/>
    </w:pPr>
    <w:rPr>
      <w:rFonts w:ascii="Times New Roman" w:eastAsia="Times New Roman" w:hAnsi="Times New Roman" w:cs="Times New Roman"/>
      <w:sz w:val="24"/>
      <w:szCs w:val="24"/>
      <w:lang w:val="ro-RO"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99286">
      <w:bodyDiv w:val="1"/>
      <w:marLeft w:val="0"/>
      <w:marRight w:val="0"/>
      <w:marTop w:val="0"/>
      <w:marBottom w:val="0"/>
      <w:divBdr>
        <w:top w:val="none" w:sz="0" w:space="0" w:color="auto"/>
        <w:left w:val="none" w:sz="0" w:space="0" w:color="auto"/>
        <w:bottom w:val="none" w:sz="0" w:space="0" w:color="auto"/>
        <w:right w:val="none" w:sz="0" w:space="0" w:color="auto"/>
      </w:divBdr>
    </w:div>
    <w:div w:id="69355409">
      <w:bodyDiv w:val="1"/>
      <w:marLeft w:val="0"/>
      <w:marRight w:val="0"/>
      <w:marTop w:val="0"/>
      <w:marBottom w:val="0"/>
      <w:divBdr>
        <w:top w:val="none" w:sz="0" w:space="0" w:color="auto"/>
        <w:left w:val="none" w:sz="0" w:space="0" w:color="auto"/>
        <w:bottom w:val="none" w:sz="0" w:space="0" w:color="auto"/>
        <w:right w:val="none" w:sz="0" w:space="0" w:color="auto"/>
      </w:divBdr>
    </w:div>
    <w:div w:id="179439379">
      <w:bodyDiv w:val="1"/>
      <w:marLeft w:val="0"/>
      <w:marRight w:val="0"/>
      <w:marTop w:val="0"/>
      <w:marBottom w:val="0"/>
      <w:divBdr>
        <w:top w:val="none" w:sz="0" w:space="0" w:color="auto"/>
        <w:left w:val="none" w:sz="0" w:space="0" w:color="auto"/>
        <w:bottom w:val="none" w:sz="0" w:space="0" w:color="auto"/>
        <w:right w:val="none" w:sz="0" w:space="0" w:color="auto"/>
      </w:divBdr>
    </w:div>
    <w:div w:id="219950637">
      <w:bodyDiv w:val="1"/>
      <w:marLeft w:val="0"/>
      <w:marRight w:val="0"/>
      <w:marTop w:val="0"/>
      <w:marBottom w:val="0"/>
      <w:divBdr>
        <w:top w:val="none" w:sz="0" w:space="0" w:color="auto"/>
        <w:left w:val="none" w:sz="0" w:space="0" w:color="auto"/>
        <w:bottom w:val="none" w:sz="0" w:space="0" w:color="auto"/>
        <w:right w:val="none" w:sz="0" w:space="0" w:color="auto"/>
      </w:divBdr>
    </w:div>
    <w:div w:id="306008830">
      <w:bodyDiv w:val="1"/>
      <w:marLeft w:val="0"/>
      <w:marRight w:val="0"/>
      <w:marTop w:val="0"/>
      <w:marBottom w:val="0"/>
      <w:divBdr>
        <w:top w:val="none" w:sz="0" w:space="0" w:color="auto"/>
        <w:left w:val="none" w:sz="0" w:space="0" w:color="auto"/>
        <w:bottom w:val="none" w:sz="0" w:space="0" w:color="auto"/>
        <w:right w:val="none" w:sz="0" w:space="0" w:color="auto"/>
      </w:divBdr>
    </w:div>
    <w:div w:id="437992385">
      <w:bodyDiv w:val="1"/>
      <w:marLeft w:val="0"/>
      <w:marRight w:val="0"/>
      <w:marTop w:val="0"/>
      <w:marBottom w:val="0"/>
      <w:divBdr>
        <w:top w:val="none" w:sz="0" w:space="0" w:color="auto"/>
        <w:left w:val="none" w:sz="0" w:space="0" w:color="auto"/>
        <w:bottom w:val="none" w:sz="0" w:space="0" w:color="auto"/>
        <w:right w:val="none" w:sz="0" w:space="0" w:color="auto"/>
      </w:divBdr>
    </w:div>
    <w:div w:id="485780448">
      <w:bodyDiv w:val="1"/>
      <w:marLeft w:val="0"/>
      <w:marRight w:val="0"/>
      <w:marTop w:val="0"/>
      <w:marBottom w:val="0"/>
      <w:divBdr>
        <w:top w:val="none" w:sz="0" w:space="0" w:color="auto"/>
        <w:left w:val="none" w:sz="0" w:space="0" w:color="auto"/>
        <w:bottom w:val="none" w:sz="0" w:space="0" w:color="auto"/>
        <w:right w:val="none" w:sz="0" w:space="0" w:color="auto"/>
      </w:divBdr>
      <w:divsChild>
        <w:div w:id="120660124">
          <w:marLeft w:val="0"/>
          <w:marRight w:val="0"/>
          <w:marTop w:val="0"/>
          <w:marBottom w:val="0"/>
          <w:divBdr>
            <w:top w:val="none" w:sz="0" w:space="0" w:color="auto"/>
            <w:left w:val="none" w:sz="0" w:space="0" w:color="auto"/>
            <w:bottom w:val="none" w:sz="0" w:space="0" w:color="auto"/>
            <w:right w:val="none" w:sz="0" w:space="0" w:color="auto"/>
          </w:divBdr>
        </w:div>
      </w:divsChild>
    </w:div>
    <w:div w:id="524101729">
      <w:bodyDiv w:val="1"/>
      <w:marLeft w:val="0"/>
      <w:marRight w:val="0"/>
      <w:marTop w:val="0"/>
      <w:marBottom w:val="0"/>
      <w:divBdr>
        <w:top w:val="none" w:sz="0" w:space="0" w:color="auto"/>
        <w:left w:val="none" w:sz="0" w:space="0" w:color="auto"/>
        <w:bottom w:val="none" w:sz="0" w:space="0" w:color="auto"/>
        <w:right w:val="none" w:sz="0" w:space="0" w:color="auto"/>
      </w:divBdr>
    </w:div>
    <w:div w:id="575015896">
      <w:bodyDiv w:val="1"/>
      <w:marLeft w:val="0"/>
      <w:marRight w:val="0"/>
      <w:marTop w:val="0"/>
      <w:marBottom w:val="0"/>
      <w:divBdr>
        <w:top w:val="none" w:sz="0" w:space="0" w:color="auto"/>
        <w:left w:val="none" w:sz="0" w:space="0" w:color="auto"/>
        <w:bottom w:val="none" w:sz="0" w:space="0" w:color="auto"/>
        <w:right w:val="none" w:sz="0" w:space="0" w:color="auto"/>
      </w:divBdr>
    </w:div>
    <w:div w:id="744841612">
      <w:bodyDiv w:val="1"/>
      <w:marLeft w:val="0"/>
      <w:marRight w:val="0"/>
      <w:marTop w:val="0"/>
      <w:marBottom w:val="0"/>
      <w:divBdr>
        <w:top w:val="none" w:sz="0" w:space="0" w:color="auto"/>
        <w:left w:val="none" w:sz="0" w:space="0" w:color="auto"/>
        <w:bottom w:val="none" w:sz="0" w:space="0" w:color="auto"/>
        <w:right w:val="none" w:sz="0" w:space="0" w:color="auto"/>
      </w:divBdr>
    </w:div>
    <w:div w:id="772551189">
      <w:bodyDiv w:val="1"/>
      <w:marLeft w:val="0"/>
      <w:marRight w:val="0"/>
      <w:marTop w:val="0"/>
      <w:marBottom w:val="0"/>
      <w:divBdr>
        <w:top w:val="none" w:sz="0" w:space="0" w:color="auto"/>
        <w:left w:val="none" w:sz="0" w:space="0" w:color="auto"/>
        <w:bottom w:val="none" w:sz="0" w:space="0" w:color="auto"/>
        <w:right w:val="none" w:sz="0" w:space="0" w:color="auto"/>
      </w:divBdr>
    </w:div>
    <w:div w:id="796610543">
      <w:bodyDiv w:val="1"/>
      <w:marLeft w:val="0"/>
      <w:marRight w:val="0"/>
      <w:marTop w:val="0"/>
      <w:marBottom w:val="0"/>
      <w:divBdr>
        <w:top w:val="none" w:sz="0" w:space="0" w:color="auto"/>
        <w:left w:val="none" w:sz="0" w:space="0" w:color="auto"/>
        <w:bottom w:val="none" w:sz="0" w:space="0" w:color="auto"/>
        <w:right w:val="none" w:sz="0" w:space="0" w:color="auto"/>
      </w:divBdr>
    </w:div>
    <w:div w:id="844589142">
      <w:bodyDiv w:val="1"/>
      <w:marLeft w:val="0"/>
      <w:marRight w:val="0"/>
      <w:marTop w:val="0"/>
      <w:marBottom w:val="0"/>
      <w:divBdr>
        <w:top w:val="none" w:sz="0" w:space="0" w:color="auto"/>
        <w:left w:val="none" w:sz="0" w:space="0" w:color="auto"/>
        <w:bottom w:val="none" w:sz="0" w:space="0" w:color="auto"/>
        <w:right w:val="none" w:sz="0" w:space="0" w:color="auto"/>
      </w:divBdr>
    </w:div>
    <w:div w:id="845250324">
      <w:bodyDiv w:val="1"/>
      <w:marLeft w:val="0"/>
      <w:marRight w:val="0"/>
      <w:marTop w:val="0"/>
      <w:marBottom w:val="0"/>
      <w:divBdr>
        <w:top w:val="none" w:sz="0" w:space="0" w:color="auto"/>
        <w:left w:val="none" w:sz="0" w:space="0" w:color="auto"/>
        <w:bottom w:val="none" w:sz="0" w:space="0" w:color="auto"/>
        <w:right w:val="none" w:sz="0" w:space="0" w:color="auto"/>
      </w:divBdr>
    </w:div>
    <w:div w:id="847258411">
      <w:bodyDiv w:val="1"/>
      <w:marLeft w:val="0"/>
      <w:marRight w:val="0"/>
      <w:marTop w:val="0"/>
      <w:marBottom w:val="0"/>
      <w:divBdr>
        <w:top w:val="none" w:sz="0" w:space="0" w:color="auto"/>
        <w:left w:val="none" w:sz="0" w:space="0" w:color="auto"/>
        <w:bottom w:val="none" w:sz="0" w:space="0" w:color="auto"/>
        <w:right w:val="none" w:sz="0" w:space="0" w:color="auto"/>
      </w:divBdr>
    </w:div>
    <w:div w:id="908347972">
      <w:bodyDiv w:val="1"/>
      <w:marLeft w:val="0"/>
      <w:marRight w:val="0"/>
      <w:marTop w:val="0"/>
      <w:marBottom w:val="0"/>
      <w:divBdr>
        <w:top w:val="none" w:sz="0" w:space="0" w:color="auto"/>
        <w:left w:val="none" w:sz="0" w:space="0" w:color="auto"/>
        <w:bottom w:val="none" w:sz="0" w:space="0" w:color="auto"/>
        <w:right w:val="none" w:sz="0" w:space="0" w:color="auto"/>
      </w:divBdr>
    </w:div>
    <w:div w:id="962886031">
      <w:bodyDiv w:val="1"/>
      <w:marLeft w:val="0"/>
      <w:marRight w:val="0"/>
      <w:marTop w:val="0"/>
      <w:marBottom w:val="0"/>
      <w:divBdr>
        <w:top w:val="none" w:sz="0" w:space="0" w:color="auto"/>
        <w:left w:val="none" w:sz="0" w:space="0" w:color="auto"/>
        <w:bottom w:val="none" w:sz="0" w:space="0" w:color="auto"/>
        <w:right w:val="none" w:sz="0" w:space="0" w:color="auto"/>
      </w:divBdr>
    </w:div>
    <w:div w:id="1042628898">
      <w:bodyDiv w:val="1"/>
      <w:marLeft w:val="0"/>
      <w:marRight w:val="0"/>
      <w:marTop w:val="0"/>
      <w:marBottom w:val="0"/>
      <w:divBdr>
        <w:top w:val="none" w:sz="0" w:space="0" w:color="auto"/>
        <w:left w:val="none" w:sz="0" w:space="0" w:color="auto"/>
        <w:bottom w:val="none" w:sz="0" w:space="0" w:color="auto"/>
        <w:right w:val="none" w:sz="0" w:space="0" w:color="auto"/>
      </w:divBdr>
    </w:div>
    <w:div w:id="1067143826">
      <w:bodyDiv w:val="1"/>
      <w:marLeft w:val="0"/>
      <w:marRight w:val="0"/>
      <w:marTop w:val="0"/>
      <w:marBottom w:val="0"/>
      <w:divBdr>
        <w:top w:val="none" w:sz="0" w:space="0" w:color="auto"/>
        <w:left w:val="none" w:sz="0" w:space="0" w:color="auto"/>
        <w:bottom w:val="none" w:sz="0" w:space="0" w:color="auto"/>
        <w:right w:val="none" w:sz="0" w:space="0" w:color="auto"/>
      </w:divBdr>
    </w:div>
    <w:div w:id="1070536772">
      <w:bodyDiv w:val="1"/>
      <w:marLeft w:val="0"/>
      <w:marRight w:val="0"/>
      <w:marTop w:val="0"/>
      <w:marBottom w:val="0"/>
      <w:divBdr>
        <w:top w:val="none" w:sz="0" w:space="0" w:color="auto"/>
        <w:left w:val="none" w:sz="0" w:space="0" w:color="auto"/>
        <w:bottom w:val="none" w:sz="0" w:space="0" w:color="auto"/>
        <w:right w:val="none" w:sz="0" w:space="0" w:color="auto"/>
      </w:divBdr>
    </w:div>
    <w:div w:id="1107651467">
      <w:bodyDiv w:val="1"/>
      <w:marLeft w:val="0"/>
      <w:marRight w:val="0"/>
      <w:marTop w:val="0"/>
      <w:marBottom w:val="0"/>
      <w:divBdr>
        <w:top w:val="none" w:sz="0" w:space="0" w:color="auto"/>
        <w:left w:val="none" w:sz="0" w:space="0" w:color="auto"/>
        <w:bottom w:val="none" w:sz="0" w:space="0" w:color="auto"/>
        <w:right w:val="none" w:sz="0" w:space="0" w:color="auto"/>
      </w:divBdr>
    </w:div>
    <w:div w:id="1179390687">
      <w:bodyDiv w:val="1"/>
      <w:marLeft w:val="0"/>
      <w:marRight w:val="0"/>
      <w:marTop w:val="0"/>
      <w:marBottom w:val="0"/>
      <w:divBdr>
        <w:top w:val="none" w:sz="0" w:space="0" w:color="auto"/>
        <w:left w:val="none" w:sz="0" w:space="0" w:color="auto"/>
        <w:bottom w:val="none" w:sz="0" w:space="0" w:color="auto"/>
        <w:right w:val="none" w:sz="0" w:space="0" w:color="auto"/>
      </w:divBdr>
    </w:div>
    <w:div w:id="1197432036">
      <w:bodyDiv w:val="1"/>
      <w:marLeft w:val="0"/>
      <w:marRight w:val="0"/>
      <w:marTop w:val="0"/>
      <w:marBottom w:val="0"/>
      <w:divBdr>
        <w:top w:val="none" w:sz="0" w:space="0" w:color="auto"/>
        <w:left w:val="none" w:sz="0" w:space="0" w:color="auto"/>
        <w:bottom w:val="none" w:sz="0" w:space="0" w:color="auto"/>
        <w:right w:val="none" w:sz="0" w:space="0" w:color="auto"/>
      </w:divBdr>
    </w:div>
    <w:div w:id="1200627983">
      <w:bodyDiv w:val="1"/>
      <w:marLeft w:val="0"/>
      <w:marRight w:val="0"/>
      <w:marTop w:val="0"/>
      <w:marBottom w:val="0"/>
      <w:divBdr>
        <w:top w:val="none" w:sz="0" w:space="0" w:color="auto"/>
        <w:left w:val="none" w:sz="0" w:space="0" w:color="auto"/>
        <w:bottom w:val="none" w:sz="0" w:space="0" w:color="auto"/>
        <w:right w:val="none" w:sz="0" w:space="0" w:color="auto"/>
      </w:divBdr>
    </w:div>
    <w:div w:id="1228878081">
      <w:bodyDiv w:val="1"/>
      <w:marLeft w:val="0"/>
      <w:marRight w:val="0"/>
      <w:marTop w:val="0"/>
      <w:marBottom w:val="0"/>
      <w:divBdr>
        <w:top w:val="none" w:sz="0" w:space="0" w:color="auto"/>
        <w:left w:val="none" w:sz="0" w:space="0" w:color="auto"/>
        <w:bottom w:val="none" w:sz="0" w:space="0" w:color="auto"/>
        <w:right w:val="none" w:sz="0" w:space="0" w:color="auto"/>
      </w:divBdr>
    </w:div>
    <w:div w:id="1278869699">
      <w:bodyDiv w:val="1"/>
      <w:marLeft w:val="0"/>
      <w:marRight w:val="0"/>
      <w:marTop w:val="0"/>
      <w:marBottom w:val="0"/>
      <w:divBdr>
        <w:top w:val="none" w:sz="0" w:space="0" w:color="auto"/>
        <w:left w:val="none" w:sz="0" w:space="0" w:color="auto"/>
        <w:bottom w:val="none" w:sz="0" w:space="0" w:color="auto"/>
        <w:right w:val="none" w:sz="0" w:space="0" w:color="auto"/>
      </w:divBdr>
    </w:div>
    <w:div w:id="1305432530">
      <w:bodyDiv w:val="1"/>
      <w:marLeft w:val="0"/>
      <w:marRight w:val="0"/>
      <w:marTop w:val="0"/>
      <w:marBottom w:val="0"/>
      <w:divBdr>
        <w:top w:val="none" w:sz="0" w:space="0" w:color="auto"/>
        <w:left w:val="none" w:sz="0" w:space="0" w:color="auto"/>
        <w:bottom w:val="none" w:sz="0" w:space="0" w:color="auto"/>
        <w:right w:val="none" w:sz="0" w:space="0" w:color="auto"/>
      </w:divBdr>
    </w:div>
    <w:div w:id="1397776182">
      <w:bodyDiv w:val="1"/>
      <w:marLeft w:val="0"/>
      <w:marRight w:val="0"/>
      <w:marTop w:val="0"/>
      <w:marBottom w:val="0"/>
      <w:divBdr>
        <w:top w:val="none" w:sz="0" w:space="0" w:color="auto"/>
        <w:left w:val="none" w:sz="0" w:space="0" w:color="auto"/>
        <w:bottom w:val="none" w:sz="0" w:space="0" w:color="auto"/>
        <w:right w:val="none" w:sz="0" w:space="0" w:color="auto"/>
      </w:divBdr>
    </w:div>
    <w:div w:id="1451390707">
      <w:bodyDiv w:val="1"/>
      <w:marLeft w:val="0"/>
      <w:marRight w:val="0"/>
      <w:marTop w:val="0"/>
      <w:marBottom w:val="0"/>
      <w:divBdr>
        <w:top w:val="none" w:sz="0" w:space="0" w:color="auto"/>
        <w:left w:val="none" w:sz="0" w:space="0" w:color="auto"/>
        <w:bottom w:val="none" w:sz="0" w:space="0" w:color="auto"/>
        <w:right w:val="none" w:sz="0" w:space="0" w:color="auto"/>
      </w:divBdr>
    </w:div>
    <w:div w:id="1458530495">
      <w:bodyDiv w:val="1"/>
      <w:marLeft w:val="0"/>
      <w:marRight w:val="0"/>
      <w:marTop w:val="0"/>
      <w:marBottom w:val="0"/>
      <w:divBdr>
        <w:top w:val="none" w:sz="0" w:space="0" w:color="auto"/>
        <w:left w:val="none" w:sz="0" w:space="0" w:color="auto"/>
        <w:bottom w:val="none" w:sz="0" w:space="0" w:color="auto"/>
        <w:right w:val="none" w:sz="0" w:space="0" w:color="auto"/>
      </w:divBdr>
    </w:div>
    <w:div w:id="1496721669">
      <w:bodyDiv w:val="1"/>
      <w:marLeft w:val="0"/>
      <w:marRight w:val="0"/>
      <w:marTop w:val="0"/>
      <w:marBottom w:val="0"/>
      <w:divBdr>
        <w:top w:val="none" w:sz="0" w:space="0" w:color="auto"/>
        <w:left w:val="none" w:sz="0" w:space="0" w:color="auto"/>
        <w:bottom w:val="none" w:sz="0" w:space="0" w:color="auto"/>
        <w:right w:val="none" w:sz="0" w:space="0" w:color="auto"/>
      </w:divBdr>
    </w:div>
    <w:div w:id="1637444491">
      <w:bodyDiv w:val="1"/>
      <w:marLeft w:val="0"/>
      <w:marRight w:val="0"/>
      <w:marTop w:val="0"/>
      <w:marBottom w:val="0"/>
      <w:divBdr>
        <w:top w:val="none" w:sz="0" w:space="0" w:color="auto"/>
        <w:left w:val="none" w:sz="0" w:space="0" w:color="auto"/>
        <w:bottom w:val="none" w:sz="0" w:space="0" w:color="auto"/>
        <w:right w:val="none" w:sz="0" w:space="0" w:color="auto"/>
      </w:divBdr>
    </w:div>
    <w:div w:id="1669601416">
      <w:bodyDiv w:val="1"/>
      <w:marLeft w:val="0"/>
      <w:marRight w:val="0"/>
      <w:marTop w:val="0"/>
      <w:marBottom w:val="0"/>
      <w:divBdr>
        <w:top w:val="none" w:sz="0" w:space="0" w:color="auto"/>
        <w:left w:val="none" w:sz="0" w:space="0" w:color="auto"/>
        <w:bottom w:val="none" w:sz="0" w:space="0" w:color="auto"/>
        <w:right w:val="none" w:sz="0" w:space="0" w:color="auto"/>
      </w:divBdr>
    </w:div>
    <w:div w:id="1740251595">
      <w:bodyDiv w:val="1"/>
      <w:marLeft w:val="0"/>
      <w:marRight w:val="0"/>
      <w:marTop w:val="0"/>
      <w:marBottom w:val="0"/>
      <w:divBdr>
        <w:top w:val="none" w:sz="0" w:space="0" w:color="auto"/>
        <w:left w:val="none" w:sz="0" w:space="0" w:color="auto"/>
        <w:bottom w:val="none" w:sz="0" w:space="0" w:color="auto"/>
        <w:right w:val="none" w:sz="0" w:space="0" w:color="auto"/>
      </w:divBdr>
    </w:div>
    <w:div w:id="1801613136">
      <w:bodyDiv w:val="1"/>
      <w:marLeft w:val="0"/>
      <w:marRight w:val="0"/>
      <w:marTop w:val="0"/>
      <w:marBottom w:val="0"/>
      <w:divBdr>
        <w:top w:val="none" w:sz="0" w:space="0" w:color="auto"/>
        <w:left w:val="none" w:sz="0" w:space="0" w:color="auto"/>
        <w:bottom w:val="none" w:sz="0" w:space="0" w:color="auto"/>
        <w:right w:val="none" w:sz="0" w:space="0" w:color="auto"/>
      </w:divBdr>
    </w:div>
    <w:div w:id="1876501862">
      <w:bodyDiv w:val="1"/>
      <w:marLeft w:val="0"/>
      <w:marRight w:val="0"/>
      <w:marTop w:val="0"/>
      <w:marBottom w:val="0"/>
      <w:divBdr>
        <w:top w:val="none" w:sz="0" w:space="0" w:color="auto"/>
        <w:left w:val="none" w:sz="0" w:space="0" w:color="auto"/>
        <w:bottom w:val="none" w:sz="0" w:space="0" w:color="auto"/>
        <w:right w:val="none" w:sz="0" w:space="0" w:color="auto"/>
      </w:divBdr>
    </w:div>
    <w:div w:id="1936667938">
      <w:bodyDiv w:val="1"/>
      <w:marLeft w:val="0"/>
      <w:marRight w:val="0"/>
      <w:marTop w:val="0"/>
      <w:marBottom w:val="0"/>
      <w:divBdr>
        <w:top w:val="none" w:sz="0" w:space="0" w:color="auto"/>
        <w:left w:val="none" w:sz="0" w:space="0" w:color="auto"/>
        <w:bottom w:val="none" w:sz="0" w:space="0" w:color="auto"/>
        <w:right w:val="none" w:sz="0" w:space="0" w:color="auto"/>
      </w:divBdr>
    </w:div>
    <w:div w:id="1976332325">
      <w:bodyDiv w:val="1"/>
      <w:marLeft w:val="0"/>
      <w:marRight w:val="0"/>
      <w:marTop w:val="0"/>
      <w:marBottom w:val="0"/>
      <w:divBdr>
        <w:top w:val="none" w:sz="0" w:space="0" w:color="auto"/>
        <w:left w:val="none" w:sz="0" w:space="0" w:color="auto"/>
        <w:bottom w:val="none" w:sz="0" w:space="0" w:color="auto"/>
        <w:right w:val="none" w:sz="0" w:space="0" w:color="auto"/>
      </w:divBdr>
    </w:div>
    <w:div w:id="2001040855">
      <w:bodyDiv w:val="1"/>
      <w:marLeft w:val="0"/>
      <w:marRight w:val="0"/>
      <w:marTop w:val="0"/>
      <w:marBottom w:val="0"/>
      <w:divBdr>
        <w:top w:val="none" w:sz="0" w:space="0" w:color="auto"/>
        <w:left w:val="none" w:sz="0" w:space="0" w:color="auto"/>
        <w:bottom w:val="none" w:sz="0" w:space="0" w:color="auto"/>
        <w:right w:val="none" w:sz="0" w:space="0" w:color="auto"/>
      </w:divBdr>
    </w:div>
    <w:div w:id="2017687333">
      <w:bodyDiv w:val="1"/>
      <w:marLeft w:val="0"/>
      <w:marRight w:val="0"/>
      <w:marTop w:val="0"/>
      <w:marBottom w:val="0"/>
      <w:divBdr>
        <w:top w:val="none" w:sz="0" w:space="0" w:color="auto"/>
        <w:left w:val="none" w:sz="0" w:space="0" w:color="auto"/>
        <w:bottom w:val="none" w:sz="0" w:space="0" w:color="auto"/>
        <w:right w:val="none" w:sz="0" w:space="0" w:color="auto"/>
      </w:divBdr>
    </w:div>
    <w:div w:id="2118286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sv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3.png"/><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musat\AppData\Local\Temp\Templafy\WordVsto\Cover%20and%20Content,%20narrow%20tex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A924C4FEE404661BEAA2B6087F83325"/>
        <w:category>
          <w:name w:val="General"/>
          <w:gallery w:val="placeholder"/>
        </w:category>
        <w:types>
          <w:type w:val="bbPlcHdr"/>
        </w:types>
        <w:behaviors>
          <w:behavior w:val="content"/>
        </w:behaviors>
        <w:guid w:val="{90B7F422-CD8F-47B9-A197-D9B4BD9828BE}"/>
      </w:docPartPr>
      <w:docPartBody>
        <w:p w:rsidR="00E71A12" w:rsidRDefault="00440C60" w:rsidP="00440C60">
          <w:pPr>
            <w:pStyle w:val="1A924C4FEE404661BEAA2B6087F83325"/>
          </w:pPr>
          <w:r w:rsidRPr="008F2C12">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 w:name="Nunito Light">
    <w:charset w:val="00"/>
    <w:family w:val="auto"/>
    <w:pitch w:val="variable"/>
    <w:sig w:usb0="A00002FF" w:usb1="5000204B" w:usb2="00000000" w:usb3="00000000" w:csb0="00000197"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B5A"/>
    <w:rsid w:val="000150A8"/>
    <w:rsid w:val="00036DC4"/>
    <w:rsid w:val="0005351C"/>
    <w:rsid w:val="00065C32"/>
    <w:rsid w:val="00085AD7"/>
    <w:rsid w:val="000A1547"/>
    <w:rsid w:val="000A4502"/>
    <w:rsid w:val="000B4FE1"/>
    <w:rsid w:val="000B5E9B"/>
    <w:rsid w:val="00131209"/>
    <w:rsid w:val="00132877"/>
    <w:rsid w:val="001439A5"/>
    <w:rsid w:val="00157E67"/>
    <w:rsid w:val="001818F6"/>
    <w:rsid w:val="001A43CE"/>
    <w:rsid w:val="001A6577"/>
    <w:rsid w:val="001B1099"/>
    <w:rsid w:val="001E4161"/>
    <w:rsid w:val="001F7511"/>
    <w:rsid w:val="00206EC3"/>
    <w:rsid w:val="00241870"/>
    <w:rsid w:val="00260C8B"/>
    <w:rsid w:val="00275827"/>
    <w:rsid w:val="002A3A45"/>
    <w:rsid w:val="002D5983"/>
    <w:rsid w:val="002F2474"/>
    <w:rsid w:val="00311C1E"/>
    <w:rsid w:val="00330543"/>
    <w:rsid w:val="003338E9"/>
    <w:rsid w:val="0035186E"/>
    <w:rsid w:val="00374432"/>
    <w:rsid w:val="00390AA1"/>
    <w:rsid w:val="00390F87"/>
    <w:rsid w:val="0039325F"/>
    <w:rsid w:val="00397024"/>
    <w:rsid w:val="003A4740"/>
    <w:rsid w:val="00400499"/>
    <w:rsid w:val="00413BE2"/>
    <w:rsid w:val="004201E5"/>
    <w:rsid w:val="00431347"/>
    <w:rsid w:val="00440C60"/>
    <w:rsid w:val="0044755E"/>
    <w:rsid w:val="00447646"/>
    <w:rsid w:val="00463E39"/>
    <w:rsid w:val="004B1F63"/>
    <w:rsid w:val="004E1ED9"/>
    <w:rsid w:val="0053206F"/>
    <w:rsid w:val="00546C25"/>
    <w:rsid w:val="00546E5C"/>
    <w:rsid w:val="0055126D"/>
    <w:rsid w:val="005529C6"/>
    <w:rsid w:val="005A2F0A"/>
    <w:rsid w:val="005A6E82"/>
    <w:rsid w:val="005D0003"/>
    <w:rsid w:val="005D7416"/>
    <w:rsid w:val="005F590E"/>
    <w:rsid w:val="00602299"/>
    <w:rsid w:val="006401AE"/>
    <w:rsid w:val="0064315A"/>
    <w:rsid w:val="00647752"/>
    <w:rsid w:val="0066535D"/>
    <w:rsid w:val="00673917"/>
    <w:rsid w:val="006927F8"/>
    <w:rsid w:val="006A67FD"/>
    <w:rsid w:val="006C4834"/>
    <w:rsid w:val="006D66F7"/>
    <w:rsid w:val="006E02AC"/>
    <w:rsid w:val="00716392"/>
    <w:rsid w:val="0072569B"/>
    <w:rsid w:val="007272BE"/>
    <w:rsid w:val="00735086"/>
    <w:rsid w:val="0074544F"/>
    <w:rsid w:val="00775AA7"/>
    <w:rsid w:val="007768F4"/>
    <w:rsid w:val="007B2129"/>
    <w:rsid w:val="007C5840"/>
    <w:rsid w:val="00844872"/>
    <w:rsid w:val="00852A02"/>
    <w:rsid w:val="008650FE"/>
    <w:rsid w:val="00877775"/>
    <w:rsid w:val="008A3C92"/>
    <w:rsid w:val="008B17C8"/>
    <w:rsid w:val="008B49F4"/>
    <w:rsid w:val="008B565F"/>
    <w:rsid w:val="008F0EBB"/>
    <w:rsid w:val="00902528"/>
    <w:rsid w:val="00931FA7"/>
    <w:rsid w:val="009360A7"/>
    <w:rsid w:val="00936B17"/>
    <w:rsid w:val="009451F6"/>
    <w:rsid w:val="009616DC"/>
    <w:rsid w:val="009761D0"/>
    <w:rsid w:val="00987DB5"/>
    <w:rsid w:val="009E0946"/>
    <w:rsid w:val="009E2FB1"/>
    <w:rsid w:val="009F08B4"/>
    <w:rsid w:val="00A04056"/>
    <w:rsid w:val="00A0516C"/>
    <w:rsid w:val="00A523D4"/>
    <w:rsid w:val="00A524AB"/>
    <w:rsid w:val="00A9069E"/>
    <w:rsid w:val="00A95295"/>
    <w:rsid w:val="00AE5D41"/>
    <w:rsid w:val="00AF1AF3"/>
    <w:rsid w:val="00AF7F37"/>
    <w:rsid w:val="00B0209D"/>
    <w:rsid w:val="00B16D31"/>
    <w:rsid w:val="00B21A38"/>
    <w:rsid w:val="00B531DF"/>
    <w:rsid w:val="00B616C0"/>
    <w:rsid w:val="00B932A1"/>
    <w:rsid w:val="00BB372E"/>
    <w:rsid w:val="00BE4835"/>
    <w:rsid w:val="00BF515D"/>
    <w:rsid w:val="00C06526"/>
    <w:rsid w:val="00C11955"/>
    <w:rsid w:val="00C37FC6"/>
    <w:rsid w:val="00C4780A"/>
    <w:rsid w:val="00C55022"/>
    <w:rsid w:val="00C55AB9"/>
    <w:rsid w:val="00C56685"/>
    <w:rsid w:val="00C76CBC"/>
    <w:rsid w:val="00CC3AEE"/>
    <w:rsid w:val="00CE7425"/>
    <w:rsid w:val="00CF00A1"/>
    <w:rsid w:val="00D042A8"/>
    <w:rsid w:val="00D068CC"/>
    <w:rsid w:val="00D2151D"/>
    <w:rsid w:val="00D244C2"/>
    <w:rsid w:val="00D87148"/>
    <w:rsid w:val="00DA0B7F"/>
    <w:rsid w:val="00DC156E"/>
    <w:rsid w:val="00DD0408"/>
    <w:rsid w:val="00DD5AAD"/>
    <w:rsid w:val="00DE1C8C"/>
    <w:rsid w:val="00DF5AE7"/>
    <w:rsid w:val="00E10740"/>
    <w:rsid w:val="00E14B12"/>
    <w:rsid w:val="00E33B5A"/>
    <w:rsid w:val="00E53838"/>
    <w:rsid w:val="00E60815"/>
    <w:rsid w:val="00E71A12"/>
    <w:rsid w:val="00EC188B"/>
    <w:rsid w:val="00ED2B4A"/>
    <w:rsid w:val="00ED45FA"/>
    <w:rsid w:val="00EF1A8A"/>
    <w:rsid w:val="00FC27A9"/>
    <w:rsid w:val="00FE2E82"/>
    <w:rsid w:val="00FE30FF"/>
    <w:rsid w:val="00FF112A"/>
  </w:rsids>
  <m:mathPr>
    <m:mathFont m:val="Cambria Math"/>
    <m:brkBin m:val="before"/>
    <m:brkBinSub m:val="--"/>
    <m:smallFrac m:val="0"/>
    <m:dispDef/>
    <m:lMargin m:val="0"/>
    <m:rMargin m:val="0"/>
    <m:defJc m:val="centerGroup"/>
    <m:wrapIndent m:val="1440"/>
    <m:intLim m:val="subSup"/>
    <m:naryLim m:val="undOvr"/>
  </m:mathPr>
  <w:themeFontLang w:val="ro-RO"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ro-RO" w:eastAsia="ro-RO"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auto"/>
    </w:rPr>
  </w:style>
  <w:style w:type="paragraph" w:customStyle="1" w:styleId="1A924C4FEE404661BEAA2B6087F83325">
    <w:name w:val="1A924C4FEE404661BEAA2B6087F83325"/>
    <w:rsid w:val="00440C60"/>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Ramboll">
  <a:themeElements>
    <a:clrScheme name="Rambøll_2021">
      <a:dk1>
        <a:srgbClr val="000000"/>
      </a:dk1>
      <a:lt1>
        <a:srgbClr val="FFFFFF"/>
      </a:lt1>
      <a:dk2>
        <a:srgbClr val="009DF0"/>
      </a:dk2>
      <a:lt2>
        <a:srgbClr val="273943"/>
      </a:lt2>
      <a:accent1>
        <a:srgbClr val="05326E"/>
      </a:accent1>
      <a:accent2>
        <a:srgbClr val="125A40"/>
      </a:accent2>
      <a:accent3>
        <a:srgbClr val="ADD095"/>
      </a:accent3>
      <a:accent4>
        <a:srgbClr val="62294B"/>
      </a:accent4>
      <a:accent5>
        <a:srgbClr val="FF8855"/>
      </a:accent5>
      <a:accent6>
        <a:srgbClr val="E3E1D8"/>
      </a:accent6>
      <a:hlink>
        <a:srgbClr val="009DF0"/>
      </a:hlink>
      <a:folHlink>
        <a:srgbClr val="CCEBFD"/>
      </a:folHlink>
    </a:clrScheme>
    <a:fontScheme name="Ramboll">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custClrLst>
    <a:custClr name="Black">
      <a:srgbClr val="000000"/>
    </a:custClr>
    <a:custClr name="Mountain 100%">
      <a:srgbClr val="273943"/>
    </a:custClr>
    <a:custClr name="Cyan 100%">
      <a:srgbClr val="009DF0"/>
    </a:custClr>
    <a:custClr name="Ocean 100%">
      <a:srgbClr val="05326E"/>
    </a:custClr>
    <a:custClr name="Forest 100%">
      <a:srgbClr val="125A40"/>
    </a:custClr>
    <a:custClr name="Grass 100%">
      <a:srgbClr val="ADD095"/>
    </a:custClr>
    <a:custClr name="Heath 100%">
      <a:srgbClr val="61294B"/>
    </a:custClr>
    <a:custClr name="Field 100%">
      <a:srgbClr val="FF8855"/>
    </a:custClr>
    <a:custClr name="Pebble 100%">
      <a:srgbClr val="E3E1D8"/>
    </a:custClr>
    <a:custClr name="Sand 100%">
      <a:srgbClr val="FFE682"/>
    </a:custClr>
    <a:custClr name="Text color">
      <a:srgbClr val="333333"/>
    </a:custClr>
    <a:custClr name="Mountain 80%">
      <a:srgbClr val="47525A"/>
    </a:custClr>
    <a:custClr name="Cyan 80%">
      <a:srgbClr val="33B1F3"/>
    </a:custClr>
    <a:custClr name="Ocean 80%">
      <a:srgbClr val="375B8B"/>
    </a:custClr>
    <a:custClr name="Forest 80%">
      <a:srgbClr val="417B66"/>
    </a:custClr>
    <a:custClr name="Grass 80%">
      <a:srgbClr val="BDD9AA"/>
    </a:custClr>
    <a:custClr name="Heath 80%">
      <a:srgbClr val="794B62"/>
    </a:custClr>
    <a:custClr name="Field 80%">
      <a:srgbClr val="F89D73"/>
    </a:custClr>
    <a:custClr name="Pebble 80%">
      <a:srgbClr val="E9E7E0"/>
    </a:custClr>
    <a:custClr name="Sand 80%">
      <a:srgbClr val="FCE783"/>
    </a:custClr>
    <a:custClr name="White">
      <a:srgbClr val="FFFFFF"/>
    </a:custClr>
    <a:custClr name="Mountain 60%">
      <a:srgbClr val="7D888E"/>
    </a:custClr>
    <a:custClr name="Cyan 60%">
      <a:srgbClr val="66C4F6"/>
    </a:custClr>
    <a:custClr name="Ocean 60%">
      <a:srgbClr val="6984A8"/>
    </a:custClr>
    <a:custClr name="Forest 60%">
      <a:srgbClr val="719C8C"/>
    </a:custClr>
    <a:custClr name="Grass 60%">
      <a:srgbClr val="CEE3BF"/>
    </a:custClr>
    <a:custClr name="Heath 60%">
      <a:srgbClr val="A17F93"/>
    </a:custClr>
    <a:custClr name="Field 60%">
      <a:srgbClr val="FFB899"/>
    </a:custClr>
    <a:custClr name="Pebble 60%">
      <a:srgbClr val="EEEDE8"/>
    </a:custClr>
    <a:custClr name="Sand 60%">
      <a:srgbClr val="FFFAB4"/>
    </a:custClr>
    <a:custClr name="White">
      <a:srgbClr val="FFFFFF"/>
    </a:custClr>
    <a:custClr name="Mountain 40%">
      <a:srgbClr val="D3D7D9"/>
    </a:custClr>
    <a:custClr name="Cyan 40%">
      <a:srgbClr val="CCEBFD"/>
    </a:custClr>
    <a:custClr name="Ocean 40%">
      <a:srgbClr val="CED6E3"/>
    </a:custClr>
    <a:custClr name="Forest 40%">
      <a:srgbClr val="CFDED9"/>
    </a:custClr>
    <a:custClr name="Grass 40%">
      <a:srgbClr val="EFF7EA"/>
    </a:custClr>
    <a:custClr name="Heath 40%">
      <a:srgbClr val="DFD4DA"/>
    </a:custClr>
    <a:custClr name="Field 40%">
      <a:srgbClr val="FFE7DD"/>
    </a:custClr>
    <a:custClr name="Pebble 40%">
      <a:srgbClr val="F9F9F7"/>
    </a:custClr>
    <a:custClr name="Sand 40%">
      <a:srgbClr val="FFFAE6"/>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TemplafyTemplateConfiguration><![CDATA[{"elementsMetadata":[{"elementConfiguration":{"binding":"{{Translate(\"ProjectName\")}}","promptAiService":false,"visibility":"","removeAndKeepContent":false,"disableUpdates":false,"type":"text"},"type":"richTextContentControl","id":"88958f1b-2fd1-4a0f-a91f-5564b6dbf8a6"},{"elementConfiguration":{"binding":"{{Translate(\"ClientName\")}}","promptAiService":false,"visibility":"","removeAndKeepContent":false,"disableUpdates":false,"type":"text"},"type":"richTextContentControl","id":"0ca994c5-e279-4b3a-bf1b-8436622ea3ec"},{"elementConfiguration":{"binding":"{{Translate(\"PreparedBy\")}}","promptAiService":false,"visibility":"","removeAndKeepContent":false,"disableUpdates":false,"type":"text"},"type":"richTextContentControl","id":"a1b60c01-5927-4a20-a241-17f72813e87b"},{"elementConfiguration":{"binding":"{{Translate(\"Checkedby\")}}","promptAiService":false,"visibility":"","removeAndKeepContent":false,"disableUpdates":false,"type":"text"},"type":"richTextContentControl","id":"f0141311-fc6c-45c6-9129-212bafdb5c2e"},{"elementConfiguration":{"binding":"{{Translate(\"Approvedby\")}}","promptAiService":false,"visibility":"","removeAndKeepContent":false,"disableUpdates":false,"type":"text"},"type":"richTextContentControl","id":"cb73afe2-cc2f-41d8-bca4-6c95d505c659"},{"elementConfiguration":{"binding":"{{Translate(\"TypeOfProposal\")}}","promptAiService":false,"visibility":"","removeAndKeepContent":false,"disableUpdates":false,"type":"text"},"type":"richTextContentControl","id":"bf2a6679-18cb-4834-9f3f-122b270dc084"},{"elementConfiguration":{"binding":"{{Translate(\"Date\")}}","promptAiService":false,"visibility":"","removeAndKeepContent":false,"disableUpdates":false,"type":"text"},"type":"richTextContentControl","id":"d31364c2-7446-414c-b5c3-080ba40ccc6e"},{"elementConfiguration":{"binding":"{{Translate(\"BidderTender\")}}","promptAiService":false,"visibility":"","removeAndKeepContent":false,"disableUpdates":false,"type":"text"},"type":"richTextContentControl","id":"db5cae09-a890-4699-b9c4-d5d95c5b86fc"},{"elementConfiguration":{"binding":"{{Translate(\"Contents\")}}","promptAiService":false,"visibility":"","removeAndKeepContent":false,"disableUpdates":false,"type":"text"},"type":"richTextContentControl","id":"a3a0a0e1-d2dd-412a-af24-2b0b326f6eef"},{"elementConfiguration":{"binding":"{{Switch(UserProfile.DocumentLanguage.Language, \"da-DK\", UserProfile.Office.CompanyNameLocal, \"en-GB\", UserProfile.Office.CompanyNameEnglish, \"en-US\", UserProfile.Office.CompanyNameEnglish, \"et-EE\", UserProfile.Office.CompanyNameLocal, \"fo-FO\", UserProfile.Office.CompanyNameLocal, \"fi-FI\", UserProfile.Office.CompanyNameLocal, \"fr-FR\", UserProfile.Office.CompanyNameLocal, \"de-DE\", UserProfile.Office.CompanyNameLocal, \"it-IT\", UserProfile.Office.CompanyNameLocal, \"ja-JP\", UserProfile.Office.CompanyNameLocal, \"mi-NZ\", UserProfile.Office.CompanyNameLocal, \"nb-NO\", UserProfile.Office.CompanyNameLocal, \"nn-NO\", UserProfile.Office.CompanyNameLocal, \"pl-PL\", UserProfile.Office.CompanyNameLocal, \"ru-RU\", UserProfile.Office.CompanyNameLocal, \"es-ES\", UserProfile.Office.CompanyNameLocal, \"sv-SE\", UserProfile.Office.CompanyNameLocal,UserProfile.Office.CompanyNameLocal)}}","promptAiService":false,"visibility":"","removeAndKeepContent":false,"disableUpdates":false,"type":"text"},"type":"richTextContentControl","id":"e9fc2e7d-f9ab-45c8-a6a8-51ae0e6c1fc5"},{"elementConfiguration":{"binding":"{{Switch(UserProfile.DocumentLanguage.Language, \"da-DK\", UserProfile.Office.CompanyNameLocal, \"en-GB\", UserProfile.Office.CompanyNameEnglish, \"en-US\", UserProfile.Office.CompanyNameEnglish, \"et-EE\", UserProfile.Office.CompanyNameLocal, \"fo-FO\", UserProfile.Office.CompanyNameLocal, \"fi-FI\", UserProfile.Office.CompanyNameLocal, \"fr-FR\", UserProfile.Office.CompanyNameLocal, \"de-DE\", UserProfile.Office.CompanyNameLocal, \"it-IT\", UserProfile.Office.CompanyNameLocal, \"ja-JP\", UserProfile.Office.CompanyNameLocal, \"mi-NZ\", UserProfile.Office.CompanyNameLocal, \"nb-NO\", UserProfile.Office.CompanyNameLocal, \"nn-NO\", UserProfile.Office.CompanyNameLocal, \"pl-PL\", UserProfile.Office.CompanyNameLocal, \"ru-RU\", UserProfile.Office.CompanyNameLocal, \"es-ES\", UserProfile.Office.CompanyNameLocal, \"sv-SE\", UserProfile.Office.CompanyNameLocal,UserProfile.Office.CompanyNameLocal)}}","promptAiService":false,"visibility":"","removeAndKeepContent":false,"disableUpdates":false,"type":"text"},"type":"richTextContentControl","id":"93b35a16-eb92-4f02-a58d-14de74921cb4"},{"elementConfiguration":{"binding":"{{Switch(UserProfile.DocumentLanguage.Language, \"da-DK\", UserProfile.Office.CompanyNameLocal, \"en-GB\", UserProfile.Office.CompanyNameEnglish, \"en-US\", UserProfile.Office.CompanyNameEnglish, \"et-EE\", UserProfile.Office.CompanyNameLocal, \"fo-FO\", UserProfile.Office.CompanyNameLocal, \"fi-FI\", UserProfile.Office.CompanyNameLocal, \"fr-FR\", UserProfile.Office.CompanyNameLocal, \"de-DE\", UserProfile.Office.CompanyNameLocal, \"it-IT\", UserProfile.Office.CompanyNameLocal, \"ja-JP\", UserProfile.Office.CompanyNameLocal, \"mi-NZ\", UserProfile.Office.CompanyNameLocal, \"nb-NO\", UserProfile.Office.CompanyNameLocal, \"nn-NO\", UserProfile.Office.CompanyNameLocal, \"pl-PL\", UserProfile.Office.CompanyNameLocal, \"ru-RU\", UserProfile.Office.CompanyNameLocal, \"es-ES\", UserProfile.Office.CompanyNameLocal, \"sv-SE\", UserProfile.Office.CompanyNameLocal,UserProfile.Office.CompanyNameLocal)}}","promptAiService":false,"visibility":"","removeAndKeepContent":false,"disableUpdates":false,"type":"text"},"type":"richTextContentControl","id":"7b7ccf6f-3a97-4579-8532-1560cbcaa7ef"},{"elementConfiguration":{"binding":"{{Switch(UserProfile.DocumentLanguage.Language, \"da-DK\", UserProfile.Office.AddressLocal, \"en-GB\", UserProfile.Office.AddressEnglish, \"en-US\", UserProfile.Office.AddressEnglish, \"et-EE\", UserProfile.Office.AddressLocal, \"fo-FO\", UserProfile.Office.AddressLocal, \"fi-FI\", UserProfile.Office.AddressLocal, \"fr-FR\", UserProfile.Office.AddressLocal, \"de-DE\", UserProfile.Office.AddressLocal, \"it-IT\", UserProfile.Office.AddressLocal, \"ja-JP\", UserProfile.Office.AddressLocal, \"mi-NZ\", UserProfile.Office.AddressLocal, \"nb-NO\", UserProfile.Office.AddressLocal, \"nn-NO\", UserProfile.Office.AddressLocal, \"pl-PL\", UserProfile.Office.AddressLocal, \"ru-RU\", UserProfile.Office.AddressLocal, \"es-ES\", UserProfile.Office.AddressLocal, \"sv-SE\", UserProfile.Office.AddressLocal,\"da-DK\")}}","promptAiService":false,"visibility":"","removeAndKeepContent":false,"disableUpdates":false,"type":"text"},"type":"richTextContentControl","id":"6eb60b7b-2a9d-44e8-958d-78cf4cb3c4bc"},{"elementConfiguration":{"visibility":"{{IfElse(Equals(UserProfile.Office.Phone, \"\"), VisibilityType.Hidden, VisibilityType.Visible)}}","disableUpdates":false,"type":"group"},"type":"richTextContentControl","id":"96f6d9e1-727c-4c67-b7a9-1f4b5fae4de5"},{"elementConfiguration":{"binding":"{{Translate(\"T\")}}","promptAiService":false,"removeAndKeepContent":false,"disableUpdates":false,"type":"text"},"type":"richTextContentControl","id":"73cd7f23-a96b-4419-b07d-00b3d6b07ca8"},{"elementConfiguration":{"binding":"{{UserProfile.Office.Phone}}","promptAiService":false,"visibility":"","removeAndKeepContent":false,"disableUpdates":false,"type":"text"},"type":"richTextContentControl","id":"f3cbd38e-db8e-4638-82ae-5c1678e8403f"},{"elementConfiguration":{"visibility":"{{IfElse(Equals(UserProfile.Office.Fax, \"\"), VisibilityType.Hidden, VisibilityType.Visible)}}","disableUpdates":false,"type":"group"},"type":"richTextContentControl","id":"7ed455e6-08fe-494e-97ef-a8d7018dfe2c"},{"elementConfiguration":{"binding":"{{Translate(\"F\")}}","promptAiService":false,"removeAndKeepContent":false,"disableUpdates":false,"type":"text"},"type":"richTextContentControl","id":"0eb7b62b-f0df-4a76-971a-82b6a1ba1da0"},{"elementConfiguration":{"binding":"{{UserProfile.Office.Fax}}","promptAiService":false,"visibility":"","removeAndKeepContent":false,"disableUpdates":false,"type":"text"},"type":"richTextContentControl","id":"622dd437-b611-447a-94ab-4567187c07df"},{"elementConfiguration":{"binding":"{{Switch(UserProfile.DocumentLanguage.Language,\"en-US\", UserProfile.Office.WebEnglish,\"en-GB\", UserProfile.Office.WebLocal,\"de-DE\", UserProfile.Office.WebLocal,\"es-ES\", UserProfile.Office.WebLocal,\"et-EE\", UserProfile.Office.WebLocal,\"fr-FR\", UserProfile.Office.WebLocal,\"fo-FO\", UserProfile.Office.WebLocal,\"it-IT\", UserProfile.Office.WebLocal,\"nb-NO\", UserProfile.Office.WebLocal,\"nn-NO\", UserProfile.Office.WebLocal,\"pl-PL\", UserProfile.Office.WebLocal,\"ru-RU\", UserProfile.Office.WebLocal,\"sv-SE\",UserProfile.Office.WebLocal,UserProfile.Office.WebLocal)}}","promptAiService":false,"visibility":"","removeAndKeepContent":false,"disableUpdates":false,"type":"text"},"type":"richTextContentControl","id":"1af4992a-c2b3-4dbd-ad0a-ff0dcab3172b"},{"elementConfiguration":{"binding":"{{Switch(UserProfile.DocumentLanguage.Language, \"da-DK\", UserProfile.Office.CompanyNameLocal, \"en-GB\", UserProfile.Office.CompanyNameEnglish, \"en-US\", UserProfile.Office.CompanyNameEnglish, \"et-EE\", UserProfile.Office.CompanyNameLocal, \"fo-FO\", UserProfile.Office.CompanyNameLocal, \"fi-FI\", UserProfile.Office.CompanyNameLocal, \"fr-FR\", UserProfile.Office.CompanyNameLocal, \"de-DE\", UserProfile.Office.CompanyNameLocal, \"it-IT\", UserProfile.Office.CompanyNameLocal, \"ja-JP\", UserProfile.Office.CompanyNameLocal, \"mi-NZ\", UserProfile.Office.CompanyNameLocal, \"nb-NO\", UserProfile.Office.CompanyNameLocal, \"nn-NO\", UserProfile.Office.CompanyNameLocal, \"pl-PL\", UserProfile.Office.CompanyNameLocal, \"ru-RU\", UserProfile.Office.CompanyNameLocal, \"es-ES\", UserProfile.Office.CompanyNameLocal, \"sv-SE\", UserProfile.Office.CompanyNameLocal,UserProfile.Office.CompanyNameLocal)}}","promptAiService":false,"visibility":"","removeAndKeepContent":false,"disableUpdates":false,"type":"text"},"type":"richTextContentControl","id":"a175b555-f159-4e99-b70d-b5a104e5b490"},{"elementConfiguration":{"binding":"{{Switch(UserProfile.DocumentLanguage.Language, \"da-DK\", UserProfile.Office.AddressLocal, \"en-GB\", UserProfile.Office.AddressEnglish, \"en-US\", UserProfile.Office.AddressEnglish, \"et-EE\", UserProfile.Office.AddressLocal, \"fo-FO\", UserProfile.Office.AddressLocal, \"fi-FI\", UserProfile.Office.AddressLocal, \"fr-FR\", UserProfile.Office.AddressLocal, \"de-DE\", UserProfile.Office.AddressLocal, \"it-IT\", UserProfile.Office.AddressLocal, \"ja-JP\", UserProfile.Office.AddressLocal, \"mi-NZ\", UserProfile.Office.AddressLocal, \"nb-NO\", UserProfile.Office.AddressLocal, \"nn-NO\", UserProfile.Office.AddressLocal, \"pl-PL\", UserProfile.Office.AddressLocal, \"ru-RU\", UserProfile.Office.AddressLocal, \"es-ES\", UserProfile.Office.AddressLocal, \"sv-SE\", UserProfile.Office.AddressLocal,\"da-DK\")}}","promptAiService":false,"visibility":"","removeAndKeepContent":false,"disableUpdates":false,"type":"text"},"type":"richTextContentControl","id":"532dd737-ae3b-452d-aedb-b31857ce3e03"},{"elementConfiguration":{"visibility":"{{IfElse(Equals(UserProfile.Office.Phone, \"\"), VisibilityType.Hidden, VisibilityType.Visible)}}","disableUpdates":false,"type":"group"},"type":"richTextContentControl","id":"e96527c1-574f-4796-aa52-fcef5290427e"},{"elementConfiguration":{"binding":"{{Translate(\"T\")}}","promptAiService":false,"removeAndKeepContent":false,"disableUpdates":false,"type":"text"},"type":"richTextContentControl","id":"de55d772-de5e-40cb-a19d-48f8eb44cfb9"},{"elementConfiguration":{"binding":"{{UserProfile.Office.Phone}}","promptAiService":false,"visibility":"","removeAndKeepContent":false,"disableUpdates":false,"type":"text"},"type":"richTextContentControl","id":"f6fb2989-2b1c-4378-9844-d44a7c28cacc"},{"elementConfiguration":{"visibility":"{{IfElse(Equals(UserProfile.Office.Fax, \"\"), VisibilityType.Hidden, VisibilityType.Visible)}}","disableUpdates":false,"type":"group"},"type":"richTextContentControl","id":"7abd2dea-d451-4659-9dc0-8b502ce09a24"},{"elementConfiguration":{"binding":"{{Translate(\"F\")}}","promptAiService":false,"removeAndKeepContent":false,"disableUpdates":false,"type":"text"},"type":"richTextContentControl","id":"e80c302e-4df2-478d-913e-b69e28690acb"},{"elementConfiguration":{"binding":"{{UserProfile.Office.Fax}}","promptAiService":false,"visibility":"","removeAndKeepContent":false,"disableUpdates":false,"type":"text"},"type":"richTextContentControl","id":"be280105-98d7-475f-aaf2-22ecb2e5cb4a"},{"elementConfiguration":{"binding":"{{Switch(UserProfile.DocumentLanguage.Language,\"en-US\", UserProfile.Office.WebEnglish,\"en-GB\", UserProfile.Office.WebLocal,\"de-DE\", UserProfile.Office.WebLocal,\"es-ES\", UserProfile.Office.WebLocal,\"et-EE\", UserProfile.Office.WebLocal,\"fr-FR\", UserProfile.Office.WebLocal,\"fo-FO\", UserProfile.Office.WebLocal,\"it-IT\", UserProfile.Office.WebLocal,\"nb-NO\", UserProfile.Office.WebLocal,\"nn-NO\", UserProfile.Office.WebLocal,\"pl-PL\", UserProfile.Office.WebLocal,\"ru-RU\", UserProfile.Office.WebLocal,\"sv-SE\",UserProfile.Office.WebLocal,UserProfile.Office.WebLocal)}}","promptAiService":false,"visibility":"","removeAndKeepContent":false,"disableUpdates":false,"type":"text"},"type":"richTextContentControl","id":"3fec30a7-2e25-46d5-b530-f32c15ec9bd0"},{"elementConfiguration":{"binding":"{{Switch(UserProfile.DocumentLanguage.Language,\"en-US\", UserProfile.Office.LegalNameEnglish,\"en-GB\", UserProfile.Office.LegalNameLocal,\"de-DE\", UserProfile.Office.LegalNameLocal,\"es-ES\", UserProfile.Office.LegalNameLocal,\"et-EE\", UserProfile.Office.LegalNameLocal,\"fr-FR\", UserProfile.Office.LegalNameLocal,\"fo-FO\", UserProfile.Office.LegalNameLocal,\"it-IT\", UserProfile.Office.LegalNameLocal,\"nb-NO\", UserProfile.Office.LegalNameLocal,\"nn-NO\", UserProfile.Office.LegalNameLocal,\"pl-PL\", UserProfile.Office.LegalNameLocal,\"ru-RU\", UserProfile.Office.LegalNameLocal,\"sv-SE\",UserProfile.Office.LegalNameLocal,UserProfile.Office.LegalNameLocal)}}","promptAiService":false,"visibility":"","removeAndKeepContent":false,"disableUpdates":false,"type":"text"},"type":"richTextContentControl","id":"4b371d69-f070-4ff4-aba6-438d72ce10e5"},{"elementConfiguration":{"binding":"{{Switch(UserProfile.DocumentLanguage.Language,\"en-US\", UserProfile.Office.CvrEnglish,\"en-GB\", UserProfile.Office.CvrLocal,\"de-DE\", UserProfile.Office.CvrLocal,\"es-ES\", UserProfile.Office.CvrLocal,\"et-EE\", UserProfile.Office.CvrLocal,\"fr-FR\", UserProfile.Office.CvrLocal,\"fo-FO\", UserProfile.Office.CvrLocal,\"it-IT\", UserProfile.Office.CvrLocal,\"nb-NO\", UserProfile.Office.CvrLocal,\"nn-NO\", UserProfile.Office.CvrLocal,\"pl-PL\", UserProfile.Office.CvrLocal,\"ru-RU\", UserProfile.Office.CvrLocal,\"sv-SE\",UserProfile.Office.CvrLocal,UserProfile.Office.CvrLocal)}}","promptAiService":false,"visibility":"","removeAndKeepContent":false,"disableUpdates":false,"type":"text"},"type":"richTextContentControl","id":"baa9a91c-9345-45df-a1b1-e022ba846b44"},{"elementConfiguration":{"binding":"{{Switch(UserProfile.DocumentLanguage.Language,\"en-US\", UserProfile.Office.LegalNameEnglish,\"en-GB\", UserProfile.Office.LegalNameLocal,\"de-DE\", UserProfile.Office.LegalNameLocal,\"es-ES\", UserProfile.Office.LegalNameLocal,\"et-EE\", UserProfile.Office.LegalNameLocal,\"fr-FR\", UserProfile.Office.LegalNameLocal,\"fo-FO\", UserProfile.Office.LegalNameLocal,\"it-IT\", UserProfile.Office.LegalNameLocal,\"nb-NO\", UserProfile.Office.LegalNameLocal,\"nn-NO\", UserProfile.Office.LegalNameLocal,\"pl-PL\", UserProfile.Office.LegalNameLocal,\"ru-RU\", UserProfile.Office.LegalNameLocal,\"sv-SE\",UserProfile.Office.LegalNameLocal,UserProfile.Office.LegalNameLocal)}}","promptAiService":false,"visibility":"","removeAndKeepContent":false,"disableUpdates":false,"type":"text"},"type":"richTextContentControl","id":"b0a6ee81-aceb-48c5-a781-9a15d1dc504c"},{"elementConfiguration":{"binding":"{{Switch(UserProfile.DocumentLanguage.Language,\"en-US\", UserProfile.Office.CvrEnglish,\"en-GB\", UserProfile.Office.CvrLocal,\"de-DE\", UserProfile.Office.CvrLocal,\"es-ES\", UserProfile.Office.CvrLocal,\"et-EE\", UserProfile.Office.CvrLocal,\"fr-FR\", UserProfile.Office.CvrLocal,\"fo-FO\", UserProfile.Office.CvrLocal,\"it-IT\", UserProfile.Office.CvrLocal,\"nb-NO\", UserProfile.Office.CvrLocal,\"nn-NO\", UserProfile.Office.CvrLocal,\"pl-PL\", UserProfile.Office.CvrLocal,\"ru-RU\", UserProfile.Office.CvrLocal,\"sv-SE\",UserProfile.Office.CvrLocal,UserProfile.Office.CvrLocal)}}","promptAiService":false,"visibility":"","removeAndKeepContent":false,"disableUpdates":false,"type":"text"},"type":"richTextContentControl","id":"dc0f2c2d-99d8-49c1-8b86-9a467087b821"},{"elementConfiguration":{"visibility":"{{IfElse(Equals(Form.FilePath.Filename, \"Exclude\"), VisibilityType.Hidden, VisibilityType.Visible)}}","disableUpdates":false,"type":"group"},"type":"richTextContentControl","id":"aa43fd63-ad5b-4535-9f99-9df62477479d"},{"elementConfiguration":{"visibility":"{{IfElse(Equals(Form.FilePath.Filename, \"Exclude\"), VisibilityType.Hidden, VisibilityType.Visible)}}","disableUpdates":false,"type":"group"},"type":"richTextContentControl","id":"55a2c2cf-4462-4ede-a1e1-d86299c017a1"},{"elementConfiguration":{"visibility":"{{IfElse(Equals(Form.FilePath.Filename, \"Exclude\"), VisibilityType.Hidden, VisibilityType.Visible)}}","disableUpdates":false,"type":"group"},"type":"richTextContentControl","id":"d0a5646a-1610-4830-8f6c-868e492a9074"},{"elementConfiguration":{"visibility":"{{IfElse(Equals(Form.FilePath.Filename, \"Exclude\"), VisibilityType.Hidden, VisibilityType.Visible)}}","disableUpdates":false,"type":"group"},"type":"richTextContentControl","id":"2394fdb2-24f9-4f93-92bb-9ed6b26b8460"},{"elementConfiguration":{"visibility":"{{IfElse(Equals(Form.FilePath.Filename, \"Exclude\"), VisibilityType.Hidden, VisibilityType.Visible)}}","disableUpdates":false,"type":"group"},"type":"richTextContentControl","id":"6e43c3f8-6b6b-4b29-ba5a-8803f7dbfac3"},{"elementConfiguration":{"visibility":"{{IfElse(Equals(Form.FilePath.Filename, \"Exclude\"), VisibilityType.Hidden, VisibilityType.Visible)}}","disableUpdates":false,"type":"group"},"type":"richTextContentControl","id":"efe0fa0d-2619-4db6-bb15-57f384347c38"}],"transformationConfigurations":[{"language":"{{DocumentLanguage}}","disableUpdates":false,"type":"proofingLanguage"},{"colorTheme":"{{UserProfile.Office.ColorThemeRef.ColorTheme}}","disableUpdates":false,"originalColorThemeXml":"<a:clrScheme name=\"Ramboll\" xmlns:a=\"http://schemas.openxmlformats.org/drawingml/2006/main\"><a:dk1><a:srgbClr val=\"333333\" /></a:dk1><a:lt1><a:srgbClr val=\"FFFFFF\" /></a:lt1><a:dk2><a:srgbClr val=\"009DF0\" /></a:dk2><a:lt2><a:srgbClr val=\"797766\" /></a:lt2><a:accent1><a:srgbClr val=\"ADDDFF\" /></a:accent1><a:accent2><a:srgbClr val=\"3AA551\" /></a:accent2><a:accent3><a:srgbClr val=\"A8D100\" /></a:accent3><a:accent4><a:srgbClr val=\"C40079\" /></a:accent4><a:accent5><a:srgbClr val=\"C63418\" /></a:accent5><a:accent6><a:srgbClr val=\"D0CFC9\" /></a:accent6><a:hlink><a:srgbClr val=\"009DF0\" /></a:hlink><a:folHlink><a:srgbClr val=\"ADDDFF\" /></a:folHlink></a:clrScheme>","type":"colorTheme"},{"propertyName":"Ram_Document_Date","propertyValue":"{{FormatDateTime(Form.Date,Translate(\"DateCustomA\"),DocumentLanguage)}}","disableUpdates":false,"type":"customDocumentProperty"}],"templateName":"Cover and Content, narrow text","templateDescription":"","enableDocumentContentUpdater":true,"version":"2.0"}]]></TemplafyTemplateConfiguration>
</file>

<file path=customXml/item2.xml><?xml version="1.0" encoding="utf-8"?>
<TemplafyFormConfiguration><![CDATA[{"formFields":[{"required":true,"helpTexts":{},"spacing":{},"shareValue":false,"type":"datePicker","name":"Date","label":"Date"},{"distinct":false,"hideIfNoUserInteractionRequired":false,"required":true,"defaultValue":"Exclude","autoSelectFirstOption":false,"helpTexts":{},"spacing":{},"shareValue":false,"type":"dropDown","dataSourceName":"Filename","dataSourceFieldName":"Filename","name":"FilePath","label":"File Path"}],"formDataEntries":[{"name":"Date","value":"krZ8ZpOil6vw/DwGsFvYUQ=="},{"name":"FilePath","value":"bU6CliS5PQ96wPysEIuDxM9wxSC5U6AtqAVekLmyXrY="}]}]]></TemplafyFormConfiguration>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EC4ECF-2763-464C-AD61-D274C4536F32}">
  <ds:schemaRefs/>
</ds:datastoreItem>
</file>

<file path=customXml/itemProps2.xml><?xml version="1.0" encoding="utf-8"?>
<ds:datastoreItem xmlns:ds="http://schemas.openxmlformats.org/officeDocument/2006/customXml" ds:itemID="{05CFEE0F-62A4-4FEB-86F4-6D0D8E9653B3}">
  <ds:schemaRefs/>
</ds:datastoreItem>
</file>

<file path=customXml/itemProps3.xml><?xml version="1.0" encoding="utf-8"?>
<ds:datastoreItem xmlns:ds="http://schemas.openxmlformats.org/officeDocument/2006/customXml" ds:itemID="{BA0F4E66-68B3-4BA9-9FB3-36EF3CC0D7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Cover and Content, narrow text.dotx</Template>
  <TotalTime>32</TotalTime>
  <Pages>11</Pages>
  <Words>5714</Words>
  <Characters>32574</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Raport de Mediu – PLANUL NAȚIONAL DE GESTIUNEA DEȘEURILOR</vt:lpstr>
    </vt:vector>
  </TitlesOfParts>
  <Company/>
  <LinksUpToDate>false</LinksUpToDate>
  <CharactersWithSpaces>38212</CharactersWithSpaces>
  <SharedDoc>false</SharedDoc>
  <HLinks>
    <vt:vector size="546" baseType="variant">
      <vt:variant>
        <vt:i4>6357091</vt:i4>
      </vt:variant>
      <vt:variant>
        <vt:i4>903</vt:i4>
      </vt:variant>
      <vt:variant>
        <vt:i4>0</vt:i4>
      </vt:variant>
      <vt:variant>
        <vt:i4>5</vt:i4>
      </vt:variant>
      <vt:variant>
        <vt:lpwstr>https://atlas.anpm.ro/atlas</vt:lpwstr>
      </vt:variant>
      <vt:variant>
        <vt:lpwstr/>
      </vt:variant>
      <vt:variant>
        <vt:i4>6357091</vt:i4>
      </vt:variant>
      <vt:variant>
        <vt:i4>897</vt:i4>
      </vt:variant>
      <vt:variant>
        <vt:i4>0</vt:i4>
      </vt:variant>
      <vt:variant>
        <vt:i4>5</vt:i4>
      </vt:variant>
      <vt:variant>
        <vt:lpwstr>https://atlas.anpm.ro/atlas</vt:lpwstr>
      </vt:variant>
      <vt:variant>
        <vt:lpwstr/>
      </vt:variant>
      <vt:variant>
        <vt:i4>5242903</vt:i4>
      </vt:variant>
      <vt:variant>
        <vt:i4>891</vt:i4>
      </vt:variant>
      <vt:variant>
        <vt:i4>0</vt:i4>
      </vt:variant>
      <vt:variant>
        <vt:i4>5</vt:i4>
      </vt:variant>
      <vt:variant>
        <vt:lpwstr>https://cestrin.maps.arcgis.com/</vt:lpwstr>
      </vt:variant>
      <vt:variant>
        <vt:lpwstr/>
      </vt:variant>
      <vt:variant>
        <vt:i4>5242903</vt:i4>
      </vt:variant>
      <vt:variant>
        <vt:i4>885</vt:i4>
      </vt:variant>
      <vt:variant>
        <vt:i4>0</vt:i4>
      </vt:variant>
      <vt:variant>
        <vt:i4>5</vt:i4>
      </vt:variant>
      <vt:variant>
        <vt:lpwstr>https://cestrin.maps.arcgis.com/</vt:lpwstr>
      </vt:variant>
      <vt:variant>
        <vt:lpwstr/>
      </vt:variant>
      <vt:variant>
        <vt:i4>3014752</vt:i4>
      </vt:variant>
      <vt:variant>
        <vt:i4>855</vt:i4>
      </vt:variant>
      <vt:variant>
        <vt:i4>0</vt:i4>
      </vt:variant>
      <vt:variant>
        <vt:i4>5</vt:i4>
      </vt:variant>
      <vt:variant>
        <vt:lpwstr>https://invazive.ccmesi.ro/</vt:lpwstr>
      </vt:variant>
      <vt:variant>
        <vt:lpwstr/>
      </vt:variant>
      <vt:variant>
        <vt:i4>3014752</vt:i4>
      </vt:variant>
      <vt:variant>
        <vt:i4>849</vt:i4>
      </vt:variant>
      <vt:variant>
        <vt:i4>0</vt:i4>
      </vt:variant>
      <vt:variant>
        <vt:i4>5</vt:i4>
      </vt:variant>
      <vt:variant>
        <vt:lpwstr>https://invazive.ccmesi.ro/</vt:lpwstr>
      </vt:variant>
      <vt:variant>
        <vt:lpwstr/>
      </vt:variant>
      <vt:variant>
        <vt:i4>3014752</vt:i4>
      </vt:variant>
      <vt:variant>
        <vt:i4>843</vt:i4>
      </vt:variant>
      <vt:variant>
        <vt:i4>0</vt:i4>
      </vt:variant>
      <vt:variant>
        <vt:i4>5</vt:i4>
      </vt:variant>
      <vt:variant>
        <vt:lpwstr>https://invazive.ccmesi.ro/</vt:lpwstr>
      </vt:variant>
      <vt:variant>
        <vt:lpwstr/>
      </vt:variant>
      <vt:variant>
        <vt:i4>3014752</vt:i4>
      </vt:variant>
      <vt:variant>
        <vt:i4>837</vt:i4>
      </vt:variant>
      <vt:variant>
        <vt:i4>0</vt:i4>
      </vt:variant>
      <vt:variant>
        <vt:i4>5</vt:i4>
      </vt:variant>
      <vt:variant>
        <vt:lpwstr>https://invazive.ccmesi.ro/</vt:lpwstr>
      </vt:variant>
      <vt:variant>
        <vt:lpwstr/>
      </vt:variant>
      <vt:variant>
        <vt:i4>7471144</vt:i4>
      </vt:variant>
      <vt:variant>
        <vt:i4>831</vt:i4>
      </vt:variant>
      <vt:variant>
        <vt:i4>0</vt:i4>
      </vt:variant>
      <vt:variant>
        <vt:i4>5</vt:i4>
      </vt:variant>
      <vt:variant>
        <vt:lpwstr>https://invazive.ccmesi.ro/publicatii/</vt:lpwstr>
      </vt:variant>
      <vt:variant>
        <vt:lpwstr/>
      </vt:variant>
      <vt:variant>
        <vt:i4>7274600</vt:i4>
      </vt:variant>
      <vt:variant>
        <vt:i4>783</vt:i4>
      </vt:variant>
      <vt:variant>
        <vt:i4>0</vt:i4>
      </vt:variant>
      <vt:variant>
        <vt:i4>5</vt:i4>
      </vt:variant>
      <vt:variant>
        <vt:lpwstr>https://map.cimec.ro/Mapserver/</vt:lpwstr>
      </vt:variant>
      <vt:variant>
        <vt:lpwstr/>
      </vt:variant>
      <vt:variant>
        <vt:i4>7274600</vt:i4>
      </vt:variant>
      <vt:variant>
        <vt:i4>774</vt:i4>
      </vt:variant>
      <vt:variant>
        <vt:i4>0</vt:i4>
      </vt:variant>
      <vt:variant>
        <vt:i4>5</vt:i4>
      </vt:variant>
      <vt:variant>
        <vt:lpwstr>https://map.cimec.ro/Mapserver/</vt:lpwstr>
      </vt:variant>
      <vt:variant>
        <vt:lpwstr/>
      </vt:variant>
      <vt:variant>
        <vt:i4>1245251</vt:i4>
      </vt:variant>
      <vt:variant>
        <vt:i4>762</vt:i4>
      </vt:variant>
      <vt:variant>
        <vt:i4>0</vt:i4>
      </vt:variant>
      <vt:variant>
        <vt:i4>5</vt:i4>
      </vt:variant>
      <vt:variant>
        <vt:lpwstr>https://ran.cimec.ro/</vt:lpwstr>
      </vt:variant>
      <vt:variant>
        <vt:lpwstr/>
      </vt:variant>
      <vt:variant>
        <vt:i4>7274600</vt:i4>
      </vt:variant>
      <vt:variant>
        <vt:i4>759</vt:i4>
      </vt:variant>
      <vt:variant>
        <vt:i4>0</vt:i4>
      </vt:variant>
      <vt:variant>
        <vt:i4>5</vt:i4>
      </vt:variant>
      <vt:variant>
        <vt:lpwstr>https://map.cimec.ro/Mapserver/</vt:lpwstr>
      </vt:variant>
      <vt:variant>
        <vt:lpwstr/>
      </vt:variant>
      <vt:variant>
        <vt:i4>7274600</vt:i4>
      </vt:variant>
      <vt:variant>
        <vt:i4>747</vt:i4>
      </vt:variant>
      <vt:variant>
        <vt:i4>0</vt:i4>
      </vt:variant>
      <vt:variant>
        <vt:i4>5</vt:i4>
      </vt:variant>
      <vt:variant>
        <vt:lpwstr>https://map.cimec.ro/Mapserver/</vt:lpwstr>
      </vt:variant>
      <vt:variant>
        <vt:lpwstr/>
      </vt:variant>
      <vt:variant>
        <vt:i4>5963867</vt:i4>
      </vt:variant>
      <vt:variant>
        <vt:i4>600</vt:i4>
      </vt:variant>
      <vt:variant>
        <vt:i4>0</vt:i4>
      </vt:variant>
      <vt:variant>
        <vt:i4>5</vt:i4>
      </vt:variant>
      <vt:variant>
        <vt:lpwstr>https://observator.mdlpa.ro/</vt:lpwstr>
      </vt:variant>
      <vt:variant>
        <vt:lpwstr/>
      </vt:variant>
      <vt:variant>
        <vt:i4>1769522</vt:i4>
      </vt:variant>
      <vt:variant>
        <vt:i4>395</vt:i4>
      </vt:variant>
      <vt:variant>
        <vt:i4>0</vt:i4>
      </vt:variant>
      <vt:variant>
        <vt:i4>5</vt:i4>
      </vt:variant>
      <vt:variant>
        <vt:lpwstr/>
      </vt:variant>
      <vt:variant>
        <vt:lpwstr>_Toc222903245</vt:lpwstr>
      </vt:variant>
      <vt:variant>
        <vt:i4>1769522</vt:i4>
      </vt:variant>
      <vt:variant>
        <vt:i4>389</vt:i4>
      </vt:variant>
      <vt:variant>
        <vt:i4>0</vt:i4>
      </vt:variant>
      <vt:variant>
        <vt:i4>5</vt:i4>
      </vt:variant>
      <vt:variant>
        <vt:lpwstr/>
      </vt:variant>
      <vt:variant>
        <vt:lpwstr>_Toc222903244</vt:lpwstr>
      </vt:variant>
      <vt:variant>
        <vt:i4>1769522</vt:i4>
      </vt:variant>
      <vt:variant>
        <vt:i4>383</vt:i4>
      </vt:variant>
      <vt:variant>
        <vt:i4>0</vt:i4>
      </vt:variant>
      <vt:variant>
        <vt:i4>5</vt:i4>
      </vt:variant>
      <vt:variant>
        <vt:lpwstr/>
      </vt:variant>
      <vt:variant>
        <vt:lpwstr>_Toc222903243</vt:lpwstr>
      </vt:variant>
      <vt:variant>
        <vt:i4>1769522</vt:i4>
      </vt:variant>
      <vt:variant>
        <vt:i4>377</vt:i4>
      </vt:variant>
      <vt:variant>
        <vt:i4>0</vt:i4>
      </vt:variant>
      <vt:variant>
        <vt:i4>5</vt:i4>
      </vt:variant>
      <vt:variant>
        <vt:lpwstr/>
      </vt:variant>
      <vt:variant>
        <vt:lpwstr>_Toc222903242</vt:lpwstr>
      </vt:variant>
      <vt:variant>
        <vt:i4>1769522</vt:i4>
      </vt:variant>
      <vt:variant>
        <vt:i4>371</vt:i4>
      </vt:variant>
      <vt:variant>
        <vt:i4>0</vt:i4>
      </vt:variant>
      <vt:variant>
        <vt:i4>5</vt:i4>
      </vt:variant>
      <vt:variant>
        <vt:lpwstr/>
      </vt:variant>
      <vt:variant>
        <vt:lpwstr>_Toc222903241</vt:lpwstr>
      </vt:variant>
      <vt:variant>
        <vt:i4>1769522</vt:i4>
      </vt:variant>
      <vt:variant>
        <vt:i4>365</vt:i4>
      </vt:variant>
      <vt:variant>
        <vt:i4>0</vt:i4>
      </vt:variant>
      <vt:variant>
        <vt:i4>5</vt:i4>
      </vt:variant>
      <vt:variant>
        <vt:lpwstr/>
      </vt:variant>
      <vt:variant>
        <vt:lpwstr>_Toc222903240</vt:lpwstr>
      </vt:variant>
      <vt:variant>
        <vt:i4>1835058</vt:i4>
      </vt:variant>
      <vt:variant>
        <vt:i4>359</vt:i4>
      </vt:variant>
      <vt:variant>
        <vt:i4>0</vt:i4>
      </vt:variant>
      <vt:variant>
        <vt:i4>5</vt:i4>
      </vt:variant>
      <vt:variant>
        <vt:lpwstr/>
      </vt:variant>
      <vt:variant>
        <vt:lpwstr>_Toc222903239</vt:lpwstr>
      </vt:variant>
      <vt:variant>
        <vt:i4>1835058</vt:i4>
      </vt:variant>
      <vt:variant>
        <vt:i4>353</vt:i4>
      </vt:variant>
      <vt:variant>
        <vt:i4>0</vt:i4>
      </vt:variant>
      <vt:variant>
        <vt:i4>5</vt:i4>
      </vt:variant>
      <vt:variant>
        <vt:lpwstr/>
      </vt:variant>
      <vt:variant>
        <vt:lpwstr>_Toc222903238</vt:lpwstr>
      </vt:variant>
      <vt:variant>
        <vt:i4>1835058</vt:i4>
      </vt:variant>
      <vt:variant>
        <vt:i4>347</vt:i4>
      </vt:variant>
      <vt:variant>
        <vt:i4>0</vt:i4>
      </vt:variant>
      <vt:variant>
        <vt:i4>5</vt:i4>
      </vt:variant>
      <vt:variant>
        <vt:lpwstr/>
      </vt:variant>
      <vt:variant>
        <vt:lpwstr>_Toc222903237</vt:lpwstr>
      </vt:variant>
      <vt:variant>
        <vt:i4>1835058</vt:i4>
      </vt:variant>
      <vt:variant>
        <vt:i4>341</vt:i4>
      </vt:variant>
      <vt:variant>
        <vt:i4>0</vt:i4>
      </vt:variant>
      <vt:variant>
        <vt:i4>5</vt:i4>
      </vt:variant>
      <vt:variant>
        <vt:lpwstr/>
      </vt:variant>
      <vt:variant>
        <vt:lpwstr>_Toc222903236</vt:lpwstr>
      </vt:variant>
      <vt:variant>
        <vt:i4>1835058</vt:i4>
      </vt:variant>
      <vt:variant>
        <vt:i4>335</vt:i4>
      </vt:variant>
      <vt:variant>
        <vt:i4>0</vt:i4>
      </vt:variant>
      <vt:variant>
        <vt:i4>5</vt:i4>
      </vt:variant>
      <vt:variant>
        <vt:lpwstr/>
      </vt:variant>
      <vt:variant>
        <vt:lpwstr>_Toc222903235</vt:lpwstr>
      </vt:variant>
      <vt:variant>
        <vt:i4>1835058</vt:i4>
      </vt:variant>
      <vt:variant>
        <vt:i4>329</vt:i4>
      </vt:variant>
      <vt:variant>
        <vt:i4>0</vt:i4>
      </vt:variant>
      <vt:variant>
        <vt:i4>5</vt:i4>
      </vt:variant>
      <vt:variant>
        <vt:lpwstr/>
      </vt:variant>
      <vt:variant>
        <vt:lpwstr>_Toc222903234</vt:lpwstr>
      </vt:variant>
      <vt:variant>
        <vt:i4>1835058</vt:i4>
      </vt:variant>
      <vt:variant>
        <vt:i4>323</vt:i4>
      </vt:variant>
      <vt:variant>
        <vt:i4>0</vt:i4>
      </vt:variant>
      <vt:variant>
        <vt:i4>5</vt:i4>
      </vt:variant>
      <vt:variant>
        <vt:lpwstr/>
      </vt:variant>
      <vt:variant>
        <vt:lpwstr>_Toc222903233</vt:lpwstr>
      </vt:variant>
      <vt:variant>
        <vt:i4>1835058</vt:i4>
      </vt:variant>
      <vt:variant>
        <vt:i4>317</vt:i4>
      </vt:variant>
      <vt:variant>
        <vt:i4>0</vt:i4>
      </vt:variant>
      <vt:variant>
        <vt:i4>5</vt:i4>
      </vt:variant>
      <vt:variant>
        <vt:lpwstr/>
      </vt:variant>
      <vt:variant>
        <vt:lpwstr>_Toc222903232</vt:lpwstr>
      </vt:variant>
      <vt:variant>
        <vt:i4>1835058</vt:i4>
      </vt:variant>
      <vt:variant>
        <vt:i4>311</vt:i4>
      </vt:variant>
      <vt:variant>
        <vt:i4>0</vt:i4>
      </vt:variant>
      <vt:variant>
        <vt:i4>5</vt:i4>
      </vt:variant>
      <vt:variant>
        <vt:lpwstr/>
      </vt:variant>
      <vt:variant>
        <vt:lpwstr>_Toc222903231</vt:lpwstr>
      </vt:variant>
      <vt:variant>
        <vt:i4>1835058</vt:i4>
      </vt:variant>
      <vt:variant>
        <vt:i4>305</vt:i4>
      </vt:variant>
      <vt:variant>
        <vt:i4>0</vt:i4>
      </vt:variant>
      <vt:variant>
        <vt:i4>5</vt:i4>
      </vt:variant>
      <vt:variant>
        <vt:lpwstr/>
      </vt:variant>
      <vt:variant>
        <vt:lpwstr>_Toc222903230</vt:lpwstr>
      </vt:variant>
      <vt:variant>
        <vt:i4>1900594</vt:i4>
      </vt:variant>
      <vt:variant>
        <vt:i4>299</vt:i4>
      </vt:variant>
      <vt:variant>
        <vt:i4>0</vt:i4>
      </vt:variant>
      <vt:variant>
        <vt:i4>5</vt:i4>
      </vt:variant>
      <vt:variant>
        <vt:lpwstr/>
      </vt:variant>
      <vt:variant>
        <vt:lpwstr>_Toc222903229</vt:lpwstr>
      </vt:variant>
      <vt:variant>
        <vt:i4>1900594</vt:i4>
      </vt:variant>
      <vt:variant>
        <vt:i4>293</vt:i4>
      </vt:variant>
      <vt:variant>
        <vt:i4>0</vt:i4>
      </vt:variant>
      <vt:variant>
        <vt:i4>5</vt:i4>
      </vt:variant>
      <vt:variant>
        <vt:lpwstr/>
      </vt:variant>
      <vt:variant>
        <vt:lpwstr>_Toc222903228</vt:lpwstr>
      </vt:variant>
      <vt:variant>
        <vt:i4>1900594</vt:i4>
      </vt:variant>
      <vt:variant>
        <vt:i4>287</vt:i4>
      </vt:variant>
      <vt:variant>
        <vt:i4>0</vt:i4>
      </vt:variant>
      <vt:variant>
        <vt:i4>5</vt:i4>
      </vt:variant>
      <vt:variant>
        <vt:lpwstr/>
      </vt:variant>
      <vt:variant>
        <vt:lpwstr>_Toc222903227</vt:lpwstr>
      </vt:variant>
      <vt:variant>
        <vt:i4>1900594</vt:i4>
      </vt:variant>
      <vt:variant>
        <vt:i4>281</vt:i4>
      </vt:variant>
      <vt:variant>
        <vt:i4>0</vt:i4>
      </vt:variant>
      <vt:variant>
        <vt:i4>5</vt:i4>
      </vt:variant>
      <vt:variant>
        <vt:lpwstr/>
      </vt:variant>
      <vt:variant>
        <vt:lpwstr>_Toc222903226</vt:lpwstr>
      </vt:variant>
      <vt:variant>
        <vt:i4>1900594</vt:i4>
      </vt:variant>
      <vt:variant>
        <vt:i4>275</vt:i4>
      </vt:variant>
      <vt:variant>
        <vt:i4>0</vt:i4>
      </vt:variant>
      <vt:variant>
        <vt:i4>5</vt:i4>
      </vt:variant>
      <vt:variant>
        <vt:lpwstr/>
      </vt:variant>
      <vt:variant>
        <vt:lpwstr>_Toc222903225</vt:lpwstr>
      </vt:variant>
      <vt:variant>
        <vt:i4>1900594</vt:i4>
      </vt:variant>
      <vt:variant>
        <vt:i4>269</vt:i4>
      </vt:variant>
      <vt:variant>
        <vt:i4>0</vt:i4>
      </vt:variant>
      <vt:variant>
        <vt:i4>5</vt:i4>
      </vt:variant>
      <vt:variant>
        <vt:lpwstr/>
      </vt:variant>
      <vt:variant>
        <vt:lpwstr>_Toc222903224</vt:lpwstr>
      </vt:variant>
      <vt:variant>
        <vt:i4>1900594</vt:i4>
      </vt:variant>
      <vt:variant>
        <vt:i4>263</vt:i4>
      </vt:variant>
      <vt:variant>
        <vt:i4>0</vt:i4>
      </vt:variant>
      <vt:variant>
        <vt:i4>5</vt:i4>
      </vt:variant>
      <vt:variant>
        <vt:lpwstr/>
      </vt:variant>
      <vt:variant>
        <vt:lpwstr>_Toc222903223</vt:lpwstr>
      </vt:variant>
      <vt:variant>
        <vt:i4>1900594</vt:i4>
      </vt:variant>
      <vt:variant>
        <vt:i4>257</vt:i4>
      </vt:variant>
      <vt:variant>
        <vt:i4>0</vt:i4>
      </vt:variant>
      <vt:variant>
        <vt:i4>5</vt:i4>
      </vt:variant>
      <vt:variant>
        <vt:lpwstr/>
      </vt:variant>
      <vt:variant>
        <vt:lpwstr>_Toc222903222</vt:lpwstr>
      </vt:variant>
      <vt:variant>
        <vt:i4>1900594</vt:i4>
      </vt:variant>
      <vt:variant>
        <vt:i4>251</vt:i4>
      </vt:variant>
      <vt:variant>
        <vt:i4>0</vt:i4>
      </vt:variant>
      <vt:variant>
        <vt:i4>5</vt:i4>
      </vt:variant>
      <vt:variant>
        <vt:lpwstr/>
      </vt:variant>
      <vt:variant>
        <vt:lpwstr>_Toc222903221</vt:lpwstr>
      </vt:variant>
      <vt:variant>
        <vt:i4>1900594</vt:i4>
      </vt:variant>
      <vt:variant>
        <vt:i4>245</vt:i4>
      </vt:variant>
      <vt:variant>
        <vt:i4>0</vt:i4>
      </vt:variant>
      <vt:variant>
        <vt:i4>5</vt:i4>
      </vt:variant>
      <vt:variant>
        <vt:lpwstr/>
      </vt:variant>
      <vt:variant>
        <vt:lpwstr>_Toc222903220</vt:lpwstr>
      </vt:variant>
      <vt:variant>
        <vt:i4>1966130</vt:i4>
      </vt:variant>
      <vt:variant>
        <vt:i4>239</vt:i4>
      </vt:variant>
      <vt:variant>
        <vt:i4>0</vt:i4>
      </vt:variant>
      <vt:variant>
        <vt:i4>5</vt:i4>
      </vt:variant>
      <vt:variant>
        <vt:lpwstr/>
      </vt:variant>
      <vt:variant>
        <vt:lpwstr>_Toc222903219</vt:lpwstr>
      </vt:variant>
      <vt:variant>
        <vt:i4>1966130</vt:i4>
      </vt:variant>
      <vt:variant>
        <vt:i4>233</vt:i4>
      </vt:variant>
      <vt:variant>
        <vt:i4>0</vt:i4>
      </vt:variant>
      <vt:variant>
        <vt:i4>5</vt:i4>
      </vt:variant>
      <vt:variant>
        <vt:lpwstr/>
      </vt:variant>
      <vt:variant>
        <vt:lpwstr>_Toc222903218</vt:lpwstr>
      </vt:variant>
      <vt:variant>
        <vt:i4>1966130</vt:i4>
      </vt:variant>
      <vt:variant>
        <vt:i4>227</vt:i4>
      </vt:variant>
      <vt:variant>
        <vt:i4>0</vt:i4>
      </vt:variant>
      <vt:variant>
        <vt:i4>5</vt:i4>
      </vt:variant>
      <vt:variant>
        <vt:lpwstr/>
      </vt:variant>
      <vt:variant>
        <vt:lpwstr>_Toc222903217</vt:lpwstr>
      </vt:variant>
      <vt:variant>
        <vt:i4>1966130</vt:i4>
      </vt:variant>
      <vt:variant>
        <vt:i4>221</vt:i4>
      </vt:variant>
      <vt:variant>
        <vt:i4>0</vt:i4>
      </vt:variant>
      <vt:variant>
        <vt:i4>5</vt:i4>
      </vt:variant>
      <vt:variant>
        <vt:lpwstr/>
      </vt:variant>
      <vt:variant>
        <vt:lpwstr>_Toc222903216</vt:lpwstr>
      </vt:variant>
      <vt:variant>
        <vt:i4>1966130</vt:i4>
      </vt:variant>
      <vt:variant>
        <vt:i4>215</vt:i4>
      </vt:variant>
      <vt:variant>
        <vt:i4>0</vt:i4>
      </vt:variant>
      <vt:variant>
        <vt:i4>5</vt:i4>
      </vt:variant>
      <vt:variant>
        <vt:lpwstr/>
      </vt:variant>
      <vt:variant>
        <vt:lpwstr>_Toc222903215</vt:lpwstr>
      </vt:variant>
      <vt:variant>
        <vt:i4>1966130</vt:i4>
      </vt:variant>
      <vt:variant>
        <vt:i4>209</vt:i4>
      </vt:variant>
      <vt:variant>
        <vt:i4>0</vt:i4>
      </vt:variant>
      <vt:variant>
        <vt:i4>5</vt:i4>
      </vt:variant>
      <vt:variant>
        <vt:lpwstr/>
      </vt:variant>
      <vt:variant>
        <vt:lpwstr>_Toc222903214</vt:lpwstr>
      </vt:variant>
      <vt:variant>
        <vt:i4>1966130</vt:i4>
      </vt:variant>
      <vt:variant>
        <vt:i4>203</vt:i4>
      </vt:variant>
      <vt:variant>
        <vt:i4>0</vt:i4>
      </vt:variant>
      <vt:variant>
        <vt:i4>5</vt:i4>
      </vt:variant>
      <vt:variant>
        <vt:lpwstr/>
      </vt:variant>
      <vt:variant>
        <vt:lpwstr>_Toc222903213</vt:lpwstr>
      </vt:variant>
      <vt:variant>
        <vt:i4>1966130</vt:i4>
      </vt:variant>
      <vt:variant>
        <vt:i4>197</vt:i4>
      </vt:variant>
      <vt:variant>
        <vt:i4>0</vt:i4>
      </vt:variant>
      <vt:variant>
        <vt:i4>5</vt:i4>
      </vt:variant>
      <vt:variant>
        <vt:lpwstr/>
      </vt:variant>
      <vt:variant>
        <vt:lpwstr>_Toc222903212</vt:lpwstr>
      </vt:variant>
      <vt:variant>
        <vt:i4>1966130</vt:i4>
      </vt:variant>
      <vt:variant>
        <vt:i4>191</vt:i4>
      </vt:variant>
      <vt:variant>
        <vt:i4>0</vt:i4>
      </vt:variant>
      <vt:variant>
        <vt:i4>5</vt:i4>
      </vt:variant>
      <vt:variant>
        <vt:lpwstr/>
      </vt:variant>
      <vt:variant>
        <vt:lpwstr>_Toc222903211</vt:lpwstr>
      </vt:variant>
      <vt:variant>
        <vt:i4>1966130</vt:i4>
      </vt:variant>
      <vt:variant>
        <vt:i4>185</vt:i4>
      </vt:variant>
      <vt:variant>
        <vt:i4>0</vt:i4>
      </vt:variant>
      <vt:variant>
        <vt:i4>5</vt:i4>
      </vt:variant>
      <vt:variant>
        <vt:lpwstr/>
      </vt:variant>
      <vt:variant>
        <vt:lpwstr>_Toc222903210</vt:lpwstr>
      </vt:variant>
      <vt:variant>
        <vt:i4>2031666</vt:i4>
      </vt:variant>
      <vt:variant>
        <vt:i4>179</vt:i4>
      </vt:variant>
      <vt:variant>
        <vt:i4>0</vt:i4>
      </vt:variant>
      <vt:variant>
        <vt:i4>5</vt:i4>
      </vt:variant>
      <vt:variant>
        <vt:lpwstr/>
      </vt:variant>
      <vt:variant>
        <vt:lpwstr>_Toc222903209</vt:lpwstr>
      </vt:variant>
      <vt:variant>
        <vt:i4>2031666</vt:i4>
      </vt:variant>
      <vt:variant>
        <vt:i4>173</vt:i4>
      </vt:variant>
      <vt:variant>
        <vt:i4>0</vt:i4>
      </vt:variant>
      <vt:variant>
        <vt:i4>5</vt:i4>
      </vt:variant>
      <vt:variant>
        <vt:lpwstr/>
      </vt:variant>
      <vt:variant>
        <vt:lpwstr>_Toc222903208</vt:lpwstr>
      </vt:variant>
      <vt:variant>
        <vt:i4>2031666</vt:i4>
      </vt:variant>
      <vt:variant>
        <vt:i4>167</vt:i4>
      </vt:variant>
      <vt:variant>
        <vt:i4>0</vt:i4>
      </vt:variant>
      <vt:variant>
        <vt:i4>5</vt:i4>
      </vt:variant>
      <vt:variant>
        <vt:lpwstr/>
      </vt:variant>
      <vt:variant>
        <vt:lpwstr>_Toc222903207</vt:lpwstr>
      </vt:variant>
      <vt:variant>
        <vt:i4>2031666</vt:i4>
      </vt:variant>
      <vt:variant>
        <vt:i4>161</vt:i4>
      </vt:variant>
      <vt:variant>
        <vt:i4>0</vt:i4>
      </vt:variant>
      <vt:variant>
        <vt:i4>5</vt:i4>
      </vt:variant>
      <vt:variant>
        <vt:lpwstr/>
      </vt:variant>
      <vt:variant>
        <vt:lpwstr>_Toc222903206</vt:lpwstr>
      </vt:variant>
      <vt:variant>
        <vt:i4>2031666</vt:i4>
      </vt:variant>
      <vt:variant>
        <vt:i4>155</vt:i4>
      </vt:variant>
      <vt:variant>
        <vt:i4>0</vt:i4>
      </vt:variant>
      <vt:variant>
        <vt:i4>5</vt:i4>
      </vt:variant>
      <vt:variant>
        <vt:lpwstr/>
      </vt:variant>
      <vt:variant>
        <vt:lpwstr>_Toc222903205</vt:lpwstr>
      </vt:variant>
      <vt:variant>
        <vt:i4>2031666</vt:i4>
      </vt:variant>
      <vt:variant>
        <vt:i4>149</vt:i4>
      </vt:variant>
      <vt:variant>
        <vt:i4>0</vt:i4>
      </vt:variant>
      <vt:variant>
        <vt:i4>5</vt:i4>
      </vt:variant>
      <vt:variant>
        <vt:lpwstr/>
      </vt:variant>
      <vt:variant>
        <vt:lpwstr>_Toc222903204</vt:lpwstr>
      </vt:variant>
      <vt:variant>
        <vt:i4>2031666</vt:i4>
      </vt:variant>
      <vt:variant>
        <vt:i4>143</vt:i4>
      </vt:variant>
      <vt:variant>
        <vt:i4>0</vt:i4>
      </vt:variant>
      <vt:variant>
        <vt:i4>5</vt:i4>
      </vt:variant>
      <vt:variant>
        <vt:lpwstr/>
      </vt:variant>
      <vt:variant>
        <vt:lpwstr>_Toc222903203</vt:lpwstr>
      </vt:variant>
      <vt:variant>
        <vt:i4>2031666</vt:i4>
      </vt:variant>
      <vt:variant>
        <vt:i4>137</vt:i4>
      </vt:variant>
      <vt:variant>
        <vt:i4>0</vt:i4>
      </vt:variant>
      <vt:variant>
        <vt:i4>5</vt:i4>
      </vt:variant>
      <vt:variant>
        <vt:lpwstr/>
      </vt:variant>
      <vt:variant>
        <vt:lpwstr>_Toc222903202</vt:lpwstr>
      </vt:variant>
      <vt:variant>
        <vt:i4>2031666</vt:i4>
      </vt:variant>
      <vt:variant>
        <vt:i4>131</vt:i4>
      </vt:variant>
      <vt:variant>
        <vt:i4>0</vt:i4>
      </vt:variant>
      <vt:variant>
        <vt:i4>5</vt:i4>
      </vt:variant>
      <vt:variant>
        <vt:lpwstr/>
      </vt:variant>
      <vt:variant>
        <vt:lpwstr>_Toc222903201</vt:lpwstr>
      </vt:variant>
      <vt:variant>
        <vt:i4>2031666</vt:i4>
      </vt:variant>
      <vt:variant>
        <vt:i4>125</vt:i4>
      </vt:variant>
      <vt:variant>
        <vt:i4>0</vt:i4>
      </vt:variant>
      <vt:variant>
        <vt:i4>5</vt:i4>
      </vt:variant>
      <vt:variant>
        <vt:lpwstr/>
      </vt:variant>
      <vt:variant>
        <vt:lpwstr>_Toc222903200</vt:lpwstr>
      </vt:variant>
      <vt:variant>
        <vt:i4>1441841</vt:i4>
      </vt:variant>
      <vt:variant>
        <vt:i4>119</vt:i4>
      </vt:variant>
      <vt:variant>
        <vt:i4>0</vt:i4>
      </vt:variant>
      <vt:variant>
        <vt:i4>5</vt:i4>
      </vt:variant>
      <vt:variant>
        <vt:lpwstr/>
      </vt:variant>
      <vt:variant>
        <vt:lpwstr>_Toc222903199</vt:lpwstr>
      </vt:variant>
      <vt:variant>
        <vt:i4>1441841</vt:i4>
      </vt:variant>
      <vt:variant>
        <vt:i4>113</vt:i4>
      </vt:variant>
      <vt:variant>
        <vt:i4>0</vt:i4>
      </vt:variant>
      <vt:variant>
        <vt:i4>5</vt:i4>
      </vt:variant>
      <vt:variant>
        <vt:lpwstr/>
      </vt:variant>
      <vt:variant>
        <vt:lpwstr>_Toc222903198</vt:lpwstr>
      </vt:variant>
      <vt:variant>
        <vt:i4>1441841</vt:i4>
      </vt:variant>
      <vt:variant>
        <vt:i4>107</vt:i4>
      </vt:variant>
      <vt:variant>
        <vt:i4>0</vt:i4>
      </vt:variant>
      <vt:variant>
        <vt:i4>5</vt:i4>
      </vt:variant>
      <vt:variant>
        <vt:lpwstr/>
      </vt:variant>
      <vt:variant>
        <vt:lpwstr>_Toc222903197</vt:lpwstr>
      </vt:variant>
      <vt:variant>
        <vt:i4>1441841</vt:i4>
      </vt:variant>
      <vt:variant>
        <vt:i4>101</vt:i4>
      </vt:variant>
      <vt:variant>
        <vt:i4>0</vt:i4>
      </vt:variant>
      <vt:variant>
        <vt:i4>5</vt:i4>
      </vt:variant>
      <vt:variant>
        <vt:lpwstr/>
      </vt:variant>
      <vt:variant>
        <vt:lpwstr>_Toc222903196</vt:lpwstr>
      </vt:variant>
      <vt:variant>
        <vt:i4>1441841</vt:i4>
      </vt:variant>
      <vt:variant>
        <vt:i4>95</vt:i4>
      </vt:variant>
      <vt:variant>
        <vt:i4>0</vt:i4>
      </vt:variant>
      <vt:variant>
        <vt:i4>5</vt:i4>
      </vt:variant>
      <vt:variant>
        <vt:lpwstr/>
      </vt:variant>
      <vt:variant>
        <vt:lpwstr>_Toc222903195</vt:lpwstr>
      </vt:variant>
      <vt:variant>
        <vt:i4>1441841</vt:i4>
      </vt:variant>
      <vt:variant>
        <vt:i4>89</vt:i4>
      </vt:variant>
      <vt:variant>
        <vt:i4>0</vt:i4>
      </vt:variant>
      <vt:variant>
        <vt:i4>5</vt:i4>
      </vt:variant>
      <vt:variant>
        <vt:lpwstr/>
      </vt:variant>
      <vt:variant>
        <vt:lpwstr>_Toc222903193</vt:lpwstr>
      </vt:variant>
      <vt:variant>
        <vt:i4>1507377</vt:i4>
      </vt:variant>
      <vt:variant>
        <vt:i4>83</vt:i4>
      </vt:variant>
      <vt:variant>
        <vt:i4>0</vt:i4>
      </vt:variant>
      <vt:variant>
        <vt:i4>5</vt:i4>
      </vt:variant>
      <vt:variant>
        <vt:lpwstr/>
      </vt:variant>
      <vt:variant>
        <vt:lpwstr>_Toc222903189</vt:lpwstr>
      </vt:variant>
      <vt:variant>
        <vt:i4>1507377</vt:i4>
      </vt:variant>
      <vt:variant>
        <vt:i4>77</vt:i4>
      </vt:variant>
      <vt:variant>
        <vt:i4>0</vt:i4>
      </vt:variant>
      <vt:variant>
        <vt:i4>5</vt:i4>
      </vt:variant>
      <vt:variant>
        <vt:lpwstr/>
      </vt:variant>
      <vt:variant>
        <vt:lpwstr>_Toc222903188</vt:lpwstr>
      </vt:variant>
      <vt:variant>
        <vt:i4>1507377</vt:i4>
      </vt:variant>
      <vt:variant>
        <vt:i4>71</vt:i4>
      </vt:variant>
      <vt:variant>
        <vt:i4>0</vt:i4>
      </vt:variant>
      <vt:variant>
        <vt:i4>5</vt:i4>
      </vt:variant>
      <vt:variant>
        <vt:lpwstr/>
      </vt:variant>
      <vt:variant>
        <vt:lpwstr>_Toc222903187</vt:lpwstr>
      </vt:variant>
      <vt:variant>
        <vt:i4>1507377</vt:i4>
      </vt:variant>
      <vt:variant>
        <vt:i4>65</vt:i4>
      </vt:variant>
      <vt:variant>
        <vt:i4>0</vt:i4>
      </vt:variant>
      <vt:variant>
        <vt:i4>5</vt:i4>
      </vt:variant>
      <vt:variant>
        <vt:lpwstr/>
      </vt:variant>
      <vt:variant>
        <vt:lpwstr>_Toc222903186</vt:lpwstr>
      </vt:variant>
      <vt:variant>
        <vt:i4>1507377</vt:i4>
      </vt:variant>
      <vt:variant>
        <vt:i4>59</vt:i4>
      </vt:variant>
      <vt:variant>
        <vt:i4>0</vt:i4>
      </vt:variant>
      <vt:variant>
        <vt:i4>5</vt:i4>
      </vt:variant>
      <vt:variant>
        <vt:lpwstr/>
      </vt:variant>
      <vt:variant>
        <vt:lpwstr>_Toc222903184</vt:lpwstr>
      </vt:variant>
      <vt:variant>
        <vt:i4>1507377</vt:i4>
      </vt:variant>
      <vt:variant>
        <vt:i4>53</vt:i4>
      </vt:variant>
      <vt:variant>
        <vt:i4>0</vt:i4>
      </vt:variant>
      <vt:variant>
        <vt:i4>5</vt:i4>
      </vt:variant>
      <vt:variant>
        <vt:lpwstr/>
      </vt:variant>
      <vt:variant>
        <vt:lpwstr>_Toc222903183</vt:lpwstr>
      </vt:variant>
      <vt:variant>
        <vt:i4>1507377</vt:i4>
      </vt:variant>
      <vt:variant>
        <vt:i4>47</vt:i4>
      </vt:variant>
      <vt:variant>
        <vt:i4>0</vt:i4>
      </vt:variant>
      <vt:variant>
        <vt:i4>5</vt:i4>
      </vt:variant>
      <vt:variant>
        <vt:lpwstr/>
      </vt:variant>
      <vt:variant>
        <vt:lpwstr>_Toc222903182</vt:lpwstr>
      </vt:variant>
      <vt:variant>
        <vt:i4>1507377</vt:i4>
      </vt:variant>
      <vt:variant>
        <vt:i4>41</vt:i4>
      </vt:variant>
      <vt:variant>
        <vt:i4>0</vt:i4>
      </vt:variant>
      <vt:variant>
        <vt:i4>5</vt:i4>
      </vt:variant>
      <vt:variant>
        <vt:lpwstr/>
      </vt:variant>
      <vt:variant>
        <vt:lpwstr>_Toc222903181</vt:lpwstr>
      </vt:variant>
      <vt:variant>
        <vt:i4>1507377</vt:i4>
      </vt:variant>
      <vt:variant>
        <vt:i4>35</vt:i4>
      </vt:variant>
      <vt:variant>
        <vt:i4>0</vt:i4>
      </vt:variant>
      <vt:variant>
        <vt:i4>5</vt:i4>
      </vt:variant>
      <vt:variant>
        <vt:lpwstr/>
      </vt:variant>
      <vt:variant>
        <vt:lpwstr>_Toc222903180</vt:lpwstr>
      </vt:variant>
      <vt:variant>
        <vt:i4>1572913</vt:i4>
      </vt:variant>
      <vt:variant>
        <vt:i4>29</vt:i4>
      </vt:variant>
      <vt:variant>
        <vt:i4>0</vt:i4>
      </vt:variant>
      <vt:variant>
        <vt:i4>5</vt:i4>
      </vt:variant>
      <vt:variant>
        <vt:lpwstr/>
      </vt:variant>
      <vt:variant>
        <vt:lpwstr>_Toc222903179</vt:lpwstr>
      </vt:variant>
      <vt:variant>
        <vt:i4>1572913</vt:i4>
      </vt:variant>
      <vt:variant>
        <vt:i4>23</vt:i4>
      </vt:variant>
      <vt:variant>
        <vt:i4>0</vt:i4>
      </vt:variant>
      <vt:variant>
        <vt:i4>5</vt:i4>
      </vt:variant>
      <vt:variant>
        <vt:lpwstr/>
      </vt:variant>
      <vt:variant>
        <vt:lpwstr>_Toc222903178</vt:lpwstr>
      </vt:variant>
      <vt:variant>
        <vt:i4>1572913</vt:i4>
      </vt:variant>
      <vt:variant>
        <vt:i4>17</vt:i4>
      </vt:variant>
      <vt:variant>
        <vt:i4>0</vt:i4>
      </vt:variant>
      <vt:variant>
        <vt:i4>5</vt:i4>
      </vt:variant>
      <vt:variant>
        <vt:lpwstr/>
      </vt:variant>
      <vt:variant>
        <vt:lpwstr>_Toc222903177</vt:lpwstr>
      </vt:variant>
      <vt:variant>
        <vt:i4>1572913</vt:i4>
      </vt:variant>
      <vt:variant>
        <vt:i4>11</vt:i4>
      </vt:variant>
      <vt:variant>
        <vt:i4>0</vt:i4>
      </vt:variant>
      <vt:variant>
        <vt:i4>5</vt:i4>
      </vt:variant>
      <vt:variant>
        <vt:lpwstr/>
      </vt:variant>
      <vt:variant>
        <vt:lpwstr>_Toc222903176</vt:lpwstr>
      </vt:variant>
      <vt:variant>
        <vt:i4>1572913</vt:i4>
      </vt:variant>
      <vt:variant>
        <vt:i4>5</vt:i4>
      </vt:variant>
      <vt:variant>
        <vt:i4>0</vt:i4>
      </vt:variant>
      <vt:variant>
        <vt:i4>5</vt:i4>
      </vt:variant>
      <vt:variant>
        <vt:lpwstr/>
      </vt:variant>
      <vt:variant>
        <vt:lpwstr>_Toc222903174</vt:lpwstr>
      </vt:variant>
      <vt:variant>
        <vt:i4>2031667</vt:i4>
      </vt:variant>
      <vt:variant>
        <vt:i4>27</vt:i4>
      </vt:variant>
      <vt:variant>
        <vt:i4>0</vt:i4>
      </vt:variant>
      <vt:variant>
        <vt:i4>5</vt:i4>
      </vt:variant>
      <vt:variant>
        <vt:lpwstr>mailto:GVLAD@ramboll.com</vt:lpwstr>
      </vt:variant>
      <vt:variant>
        <vt:lpwstr/>
      </vt:variant>
      <vt:variant>
        <vt:i4>6946883</vt:i4>
      </vt:variant>
      <vt:variant>
        <vt:i4>24</vt:i4>
      </vt:variant>
      <vt:variant>
        <vt:i4>0</vt:i4>
      </vt:variant>
      <vt:variant>
        <vt:i4>5</vt:i4>
      </vt:variant>
      <vt:variant>
        <vt:lpwstr>mailto:NDAVID@ramboll.com</vt:lpwstr>
      </vt:variant>
      <vt:variant>
        <vt:lpwstr/>
      </vt:variant>
      <vt:variant>
        <vt:i4>2031667</vt:i4>
      </vt:variant>
      <vt:variant>
        <vt:i4>21</vt:i4>
      </vt:variant>
      <vt:variant>
        <vt:i4>0</vt:i4>
      </vt:variant>
      <vt:variant>
        <vt:i4>5</vt:i4>
      </vt:variant>
      <vt:variant>
        <vt:lpwstr>mailto:GVLAD@ramboll.com</vt:lpwstr>
      </vt:variant>
      <vt:variant>
        <vt:lpwstr/>
      </vt:variant>
      <vt:variant>
        <vt:i4>6946883</vt:i4>
      </vt:variant>
      <vt:variant>
        <vt:i4>18</vt:i4>
      </vt:variant>
      <vt:variant>
        <vt:i4>0</vt:i4>
      </vt:variant>
      <vt:variant>
        <vt:i4>5</vt:i4>
      </vt:variant>
      <vt:variant>
        <vt:lpwstr>mailto:NDAVID@ramboll.com</vt:lpwstr>
      </vt:variant>
      <vt:variant>
        <vt:lpwstr/>
      </vt:variant>
      <vt:variant>
        <vt:i4>6946883</vt:i4>
      </vt:variant>
      <vt:variant>
        <vt:i4>15</vt:i4>
      </vt:variant>
      <vt:variant>
        <vt:i4>0</vt:i4>
      </vt:variant>
      <vt:variant>
        <vt:i4>5</vt:i4>
      </vt:variant>
      <vt:variant>
        <vt:lpwstr>mailto:NDAVID@ramboll.com</vt:lpwstr>
      </vt:variant>
      <vt:variant>
        <vt:lpwstr/>
      </vt:variant>
      <vt:variant>
        <vt:i4>2031667</vt:i4>
      </vt:variant>
      <vt:variant>
        <vt:i4>12</vt:i4>
      </vt:variant>
      <vt:variant>
        <vt:i4>0</vt:i4>
      </vt:variant>
      <vt:variant>
        <vt:i4>5</vt:i4>
      </vt:variant>
      <vt:variant>
        <vt:lpwstr>mailto:GVLAD@ramboll.com</vt:lpwstr>
      </vt:variant>
      <vt:variant>
        <vt:lpwstr/>
      </vt:variant>
      <vt:variant>
        <vt:i4>6946883</vt:i4>
      </vt:variant>
      <vt:variant>
        <vt:i4>9</vt:i4>
      </vt:variant>
      <vt:variant>
        <vt:i4>0</vt:i4>
      </vt:variant>
      <vt:variant>
        <vt:i4>5</vt:i4>
      </vt:variant>
      <vt:variant>
        <vt:lpwstr>mailto:NDAVID@ramboll.com</vt:lpwstr>
      </vt:variant>
      <vt:variant>
        <vt:lpwstr/>
      </vt:variant>
      <vt:variant>
        <vt:i4>2031667</vt:i4>
      </vt:variant>
      <vt:variant>
        <vt:i4>6</vt:i4>
      </vt:variant>
      <vt:variant>
        <vt:i4>0</vt:i4>
      </vt:variant>
      <vt:variant>
        <vt:i4>5</vt:i4>
      </vt:variant>
      <vt:variant>
        <vt:lpwstr>mailto:GVLAD@ramboll.com</vt:lpwstr>
      </vt:variant>
      <vt:variant>
        <vt:lpwstr/>
      </vt:variant>
      <vt:variant>
        <vt:i4>6946883</vt:i4>
      </vt:variant>
      <vt:variant>
        <vt:i4>3</vt:i4>
      </vt:variant>
      <vt:variant>
        <vt:i4>0</vt:i4>
      </vt:variant>
      <vt:variant>
        <vt:i4>5</vt:i4>
      </vt:variant>
      <vt:variant>
        <vt:lpwstr>mailto:NDAVID@ramboll.com</vt:lpwstr>
      </vt:variant>
      <vt:variant>
        <vt:lpwstr/>
      </vt:variant>
      <vt:variant>
        <vt:i4>6946883</vt:i4>
      </vt:variant>
      <vt:variant>
        <vt:i4>0</vt:i4>
      </vt:variant>
      <vt:variant>
        <vt:i4>0</vt:i4>
      </vt:variant>
      <vt:variant>
        <vt:i4>5</vt:i4>
      </vt:variant>
      <vt:variant>
        <vt:lpwstr>mailto:NDAVID@ramboll.com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Raport de Mediu – PLANUL NAȚIONAL DE GESTIUNEA DEȘEURILOR</dc:title>
  <dc:subject/>
  <dc:creator>Nicoleta Gabriela Musat</dc:creator>
  <cp:keywords/>
  <dc:description/>
  <cp:lastModifiedBy>Nicoleta Gabriela Musat</cp:lastModifiedBy>
  <cp:revision>3</cp:revision>
  <dcterms:created xsi:type="dcterms:W3CDTF">2026-06-30T18:37:00Z</dcterms:created>
  <dcterms:modified xsi:type="dcterms:W3CDTF">2026-06-30T21:37:00Z</dcterms:modified>
  <cp:category>PLANUL NAȚIONAL DE GESTIONARE A DEȘEURILOR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actbox">
    <vt:lpwstr>True</vt:lpwstr>
  </property>
  <property fmtid="{D5CDD505-2E9C-101B-9397-08002B2CF9AE}" pid="3" name="TenderInsertImage">
    <vt:lpwstr>True</vt:lpwstr>
  </property>
  <property fmtid="{D5CDD505-2E9C-101B-9397-08002B2CF9AE}" pid="4" name="TenderWhiteBorder">
    <vt:lpwstr>True</vt:lpwstr>
  </property>
  <property fmtid="{D5CDD505-2E9C-101B-9397-08002B2CF9AE}" pid="5" name="templatetype">
    <vt:lpwstr>coverandcontent</vt:lpwstr>
  </property>
  <property fmtid="{D5CDD505-2E9C-101B-9397-08002B2CF9AE}" pid="6" name="Doc_AcceptedBy">
    <vt:lpwstr/>
  </property>
  <property fmtid="{D5CDD505-2E9C-101B-9397-08002B2CF9AE}" pid="7" name="Doc_AcceptedDate">
    <vt:lpwstr/>
  </property>
  <property fmtid="{D5CDD505-2E9C-101B-9397-08002B2CF9AE}" pid="8" name="Doc_ApprovedPublicationBy">
    <vt:lpwstr/>
  </property>
  <property fmtid="{D5CDD505-2E9C-101B-9397-08002B2CF9AE}" pid="9" name="Doc_ApprovedPublicationDate">
    <vt:lpwstr/>
  </property>
  <property fmtid="{D5CDD505-2E9C-101B-9397-08002B2CF9AE}" pid="10" name="Doc_ApprovedSharingBy">
    <vt:lpwstr/>
  </property>
  <property fmtid="{D5CDD505-2E9C-101B-9397-08002B2CF9AE}" pid="11" name="Doc_ApprovedSharingDate">
    <vt:lpwstr/>
  </property>
  <property fmtid="{D5CDD505-2E9C-101B-9397-08002B2CF9AE}" pid="12" name="Doc_CheckedBy">
    <vt:lpwstr/>
  </property>
  <property fmtid="{D5CDD505-2E9C-101B-9397-08002B2CF9AE}" pid="13" name="Doc_CheckedDate">
    <vt:lpwstr/>
  </property>
  <property fmtid="{D5CDD505-2E9C-101B-9397-08002B2CF9AE}" pid="14" name="Doc_Client">
    <vt:lpwstr/>
  </property>
  <property fmtid="{D5CDD505-2E9C-101B-9397-08002B2CF9AE}" pid="15" name="Doc_DesignStatus">
    <vt:lpwstr/>
  </property>
  <property fmtid="{D5CDD505-2E9C-101B-9397-08002B2CF9AE}" pid="16" name="Doc_DocNumber">
    <vt:lpwstr/>
  </property>
  <property fmtid="{D5CDD505-2E9C-101B-9397-08002B2CF9AE}" pid="17" name="Doc_DocTitle1">
    <vt:lpwstr/>
  </property>
  <property fmtid="{D5CDD505-2E9C-101B-9397-08002B2CF9AE}" pid="18" name="Doc_DocTitle2">
    <vt:lpwstr/>
  </property>
  <property fmtid="{D5CDD505-2E9C-101B-9397-08002B2CF9AE}" pid="19" name="Doc_DocTitle3">
    <vt:lpwstr/>
  </property>
  <property fmtid="{D5CDD505-2E9C-101B-9397-08002B2CF9AE}" pid="20" name="Doc_DocTitle4">
    <vt:lpwstr/>
  </property>
  <property fmtid="{D5CDD505-2E9C-101B-9397-08002B2CF9AE}" pid="21" name="Doc_MaconomyID">
    <vt:lpwstr/>
  </property>
  <property fmtid="{D5CDD505-2E9C-101B-9397-08002B2CF9AE}" pid="22" name="Doc_Originator">
    <vt:lpwstr/>
  </property>
  <property fmtid="{D5CDD505-2E9C-101B-9397-08002B2CF9AE}" pid="23" name="Doc_PreparedBy">
    <vt:lpwstr/>
  </property>
  <property fmtid="{D5CDD505-2E9C-101B-9397-08002B2CF9AE}" pid="24" name="Doc_PreparedDate">
    <vt:lpwstr/>
  </property>
  <property fmtid="{D5CDD505-2E9C-101B-9397-08002B2CF9AE}" pid="25" name="Doc_ProjectName">
    <vt:lpwstr/>
  </property>
  <property fmtid="{D5CDD505-2E9C-101B-9397-08002B2CF9AE}" pid="26" name="Doc_Revision">
    <vt:lpwstr/>
  </property>
  <property fmtid="{D5CDD505-2E9C-101B-9397-08002B2CF9AE}" pid="27" name="Doc_Revision1">
    <vt:lpwstr/>
  </property>
  <property fmtid="{D5CDD505-2E9C-101B-9397-08002B2CF9AE}" pid="28" name="Doc_Revision10">
    <vt:lpwstr/>
  </property>
  <property fmtid="{D5CDD505-2E9C-101B-9397-08002B2CF9AE}" pid="29" name="Doc_Revision10ApprovedBy">
    <vt:lpwstr/>
  </property>
  <property fmtid="{D5CDD505-2E9C-101B-9397-08002B2CF9AE}" pid="30" name="Doc_Revision10CheckedBy">
    <vt:lpwstr/>
  </property>
  <property fmtid="{D5CDD505-2E9C-101B-9397-08002B2CF9AE}" pid="31" name="Doc_Revision10Date">
    <vt:lpwstr/>
  </property>
  <property fmtid="{D5CDD505-2E9C-101B-9397-08002B2CF9AE}" pid="32" name="Doc_Revision10DesignedBy">
    <vt:lpwstr/>
  </property>
  <property fmtid="{D5CDD505-2E9C-101B-9397-08002B2CF9AE}" pid="33" name="Doc_Revision10Note">
    <vt:lpwstr/>
  </property>
  <property fmtid="{D5CDD505-2E9C-101B-9397-08002B2CF9AE}" pid="34" name="Doc_Revision10PreparedBy">
    <vt:lpwstr/>
  </property>
  <property fmtid="{D5CDD505-2E9C-101B-9397-08002B2CF9AE}" pid="35" name="Doc_Revision11">
    <vt:lpwstr/>
  </property>
  <property fmtid="{D5CDD505-2E9C-101B-9397-08002B2CF9AE}" pid="36" name="Doc_Revision11ApprovedBy">
    <vt:lpwstr/>
  </property>
  <property fmtid="{D5CDD505-2E9C-101B-9397-08002B2CF9AE}" pid="37" name="Doc_Revision11CheckedBy">
    <vt:lpwstr/>
  </property>
  <property fmtid="{D5CDD505-2E9C-101B-9397-08002B2CF9AE}" pid="38" name="Doc_Revision11Date">
    <vt:lpwstr/>
  </property>
  <property fmtid="{D5CDD505-2E9C-101B-9397-08002B2CF9AE}" pid="39" name="Doc_Revision11DesignedBy">
    <vt:lpwstr/>
  </property>
  <property fmtid="{D5CDD505-2E9C-101B-9397-08002B2CF9AE}" pid="40" name="Doc_Revision11Note">
    <vt:lpwstr/>
  </property>
  <property fmtid="{D5CDD505-2E9C-101B-9397-08002B2CF9AE}" pid="41" name="Doc_Revision11PreparedBy">
    <vt:lpwstr/>
  </property>
  <property fmtid="{D5CDD505-2E9C-101B-9397-08002B2CF9AE}" pid="42" name="Doc_Revision12">
    <vt:lpwstr/>
  </property>
  <property fmtid="{D5CDD505-2E9C-101B-9397-08002B2CF9AE}" pid="43" name="Doc_Revision12ApprovedBy">
    <vt:lpwstr/>
  </property>
  <property fmtid="{D5CDD505-2E9C-101B-9397-08002B2CF9AE}" pid="44" name="Doc_Revision12CheckedBy">
    <vt:lpwstr/>
  </property>
  <property fmtid="{D5CDD505-2E9C-101B-9397-08002B2CF9AE}" pid="45" name="Doc_Revision12Date">
    <vt:lpwstr/>
  </property>
  <property fmtid="{D5CDD505-2E9C-101B-9397-08002B2CF9AE}" pid="46" name="Doc_Revision12DesignedBy">
    <vt:lpwstr/>
  </property>
  <property fmtid="{D5CDD505-2E9C-101B-9397-08002B2CF9AE}" pid="47" name="Doc_Revision12Note">
    <vt:lpwstr/>
  </property>
  <property fmtid="{D5CDD505-2E9C-101B-9397-08002B2CF9AE}" pid="48" name="Doc_Revision12PreparedBy">
    <vt:lpwstr/>
  </property>
  <property fmtid="{D5CDD505-2E9C-101B-9397-08002B2CF9AE}" pid="49" name="Doc_Revision1ApprovedBy">
    <vt:lpwstr/>
  </property>
  <property fmtid="{D5CDD505-2E9C-101B-9397-08002B2CF9AE}" pid="50" name="Doc_Revision1CheckedBy">
    <vt:lpwstr/>
  </property>
  <property fmtid="{D5CDD505-2E9C-101B-9397-08002B2CF9AE}" pid="51" name="Doc_Revision1Date">
    <vt:lpwstr/>
  </property>
  <property fmtid="{D5CDD505-2E9C-101B-9397-08002B2CF9AE}" pid="52" name="Doc_Revision1DesignedBy">
    <vt:lpwstr/>
  </property>
  <property fmtid="{D5CDD505-2E9C-101B-9397-08002B2CF9AE}" pid="53" name="Doc_Revision1Note">
    <vt:lpwstr/>
  </property>
  <property fmtid="{D5CDD505-2E9C-101B-9397-08002B2CF9AE}" pid="54" name="Doc_Revision1PreparedBy">
    <vt:lpwstr/>
  </property>
  <property fmtid="{D5CDD505-2E9C-101B-9397-08002B2CF9AE}" pid="55" name="Doc_Revision2">
    <vt:lpwstr/>
  </property>
  <property fmtid="{D5CDD505-2E9C-101B-9397-08002B2CF9AE}" pid="56" name="Doc_Revision2ApprovedBy">
    <vt:lpwstr/>
  </property>
  <property fmtid="{D5CDD505-2E9C-101B-9397-08002B2CF9AE}" pid="57" name="Doc_Revision2CheckedBy">
    <vt:lpwstr/>
  </property>
  <property fmtid="{D5CDD505-2E9C-101B-9397-08002B2CF9AE}" pid="58" name="Doc_Revision2Date">
    <vt:lpwstr/>
  </property>
  <property fmtid="{D5CDD505-2E9C-101B-9397-08002B2CF9AE}" pid="59" name="Doc_Revision2DesignedBy">
    <vt:lpwstr/>
  </property>
  <property fmtid="{D5CDD505-2E9C-101B-9397-08002B2CF9AE}" pid="60" name="Doc_Revision2Note">
    <vt:lpwstr/>
  </property>
  <property fmtid="{D5CDD505-2E9C-101B-9397-08002B2CF9AE}" pid="61" name="Doc_Revision2PreparedBy">
    <vt:lpwstr/>
  </property>
  <property fmtid="{D5CDD505-2E9C-101B-9397-08002B2CF9AE}" pid="62" name="Doc_Revision3">
    <vt:lpwstr/>
  </property>
  <property fmtid="{D5CDD505-2E9C-101B-9397-08002B2CF9AE}" pid="63" name="Doc_Revision3ApprovedBy">
    <vt:lpwstr/>
  </property>
  <property fmtid="{D5CDD505-2E9C-101B-9397-08002B2CF9AE}" pid="64" name="Doc_Revision3CheckedBy">
    <vt:lpwstr/>
  </property>
  <property fmtid="{D5CDD505-2E9C-101B-9397-08002B2CF9AE}" pid="65" name="Doc_Revision3Date">
    <vt:lpwstr/>
  </property>
  <property fmtid="{D5CDD505-2E9C-101B-9397-08002B2CF9AE}" pid="66" name="Doc_Revision3DesignedBy">
    <vt:lpwstr/>
  </property>
  <property fmtid="{D5CDD505-2E9C-101B-9397-08002B2CF9AE}" pid="67" name="Doc_Revision3Note">
    <vt:lpwstr/>
  </property>
  <property fmtid="{D5CDD505-2E9C-101B-9397-08002B2CF9AE}" pid="68" name="Doc_Revision3PreparedBy">
    <vt:lpwstr/>
  </property>
  <property fmtid="{D5CDD505-2E9C-101B-9397-08002B2CF9AE}" pid="69" name="Doc_Revision4">
    <vt:lpwstr/>
  </property>
  <property fmtid="{D5CDD505-2E9C-101B-9397-08002B2CF9AE}" pid="70" name="Doc_Revision4ApprovedBy">
    <vt:lpwstr/>
  </property>
  <property fmtid="{D5CDD505-2E9C-101B-9397-08002B2CF9AE}" pid="71" name="Doc_Revision4CheckedBy">
    <vt:lpwstr/>
  </property>
  <property fmtid="{D5CDD505-2E9C-101B-9397-08002B2CF9AE}" pid="72" name="Doc_Revision4Date">
    <vt:lpwstr/>
  </property>
  <property fmtid="{D5CDD505-2E9C-101B-9397-08002B2CF9AE}" pid="73" name="Doc_Revision4DesignedBy">
    <vt:lpwstr/>
  </property>
  <property fmtid="{D5CDD505-2E9C-101B-9397-08002B2CF9AE}" pid="74" name="Doc_Revision4Note">
    <vt:lpwstr/>
  </property>
  <property fmtid="{D5CDD505-2E9C-101B-9397-08002B2CF9AE}" pid="75" name="Doc_Revision4PreparedBy">
    <vt:lpwstr/>
  </property>
  <property fmtid="{D5CDD505-2E9C-101B-9397-08002B2CF9AE}" pid="76" name="Doc_Revision5">
    <vt:lpwstr/>
  </property>
  <property fmtid="{D5CDD505-2E9C-101B-9397-08002B2CF9AE}" pid="77" name="Doc_Revision5ApprovedBy">
    <vt:lpwstr/>
  </property>
  <property fmtid="{D5CDD505-2E9C-101B-9397-08002B2CF9AE}" pid="78" name="Doc_Revision5CheckedBy">
    <vt:lpwstr/>
  </property>
  <property fmtid="{D5CDD505-2E9C-101B-9397-08002B2CF9AE}" pid="79" name="Doc_Revision5Date">
    <vt:lpwstr/>
  </property>
  <property fmtid="{D5CDD505-2E9C-101B-9397-08002B2CF9AE}" pid="80" name="Doc_Revision5DesignedBy">
    <vt:lpwstr/>
  </property>
  <property fmtid="{D5CDD505-2E9C-101B-9397-08002B2CF9AE}" pid="81" name="Doc_Revision5Note">
    <vt:lpwstr/>
  </property>
  <property fmtid="{D5CDD505-2E9C-101B-9397-08002B2CF9AE}" pid="82" name="Doc_Revision5PreparedBy">
    <vt:lpwstr/>
  </property>
  <property fmtid="{D5CDD505-2E9C-101B-9397-08002B2CF9AE}" pid="83" name="Doc_Revision6">
    <vt:lpwstr/>
  </property>
  <property fmtid="{D5CDD505-2E9C-101B-9397-08002B2CF9AE}" pid="84" name="Doc_Revision6ApprovedBy">
    <vt:lpwstr/>
  </property>
  <property fmtid="{D5CDD505-2E9C-101B-9397-08002B2CF9AE}" pid="85" name="Doc_Revision6CheckedBy">
    <vt:lpwstr/>
  </property>
  <property fmtid="{D5CDD505-2E9C-101B-9397-08002B2CF9AE}" pid="86" name="Doc_Revision6Date">
    <vt:lpwstr/>
  </property>
  <property fmtid="{D5CDD505-2E9C-101B-9397-08002B2CF9AE}" pid="87" name="Doc_Revision6DesignedBy">
    <vt:lpwstr/>
  </property>
  <property fmtid="{D5CDD505-2E9C-101B-9397-08002B2CF9AE}" pid="88" name="Doc_Revision6Note">
    <vt:lpwstr/>
  </property>
  <property fmtid="{D5CDD505-2E9C-101B-9397-08002B2CF9AE}" pid="89" name="Doc_Revision6PreparedBy">
    <vt:lpwstr/>
  </property>
  <property fmtid="{D5CDD505-2E9C-101B-9397-08002B2CF9AE}" pid="90" name="Doc_Revision7">
    <vt:lpwstr/>
  </property>
  <property fmtid="{D5CDD505-2E9C-101B-9397-08002B2CF9AE}" pid="91" name="Doc_Revision7ApprovedBy">
    <vt:lpwstr/>
  </property>
  <property fmtid="{D5CDD505-2E9C-101B-9397-08002B2CF9AE}" pid="92" name="Doc_Revision7CheckedBy">
    <vt:lpwstr/>
  </property>
  <property fmtid="{D5CDD505-2E9C-101B-9397-08002B2CF9AE}" pid="93" name="Doc_Revision7Date">
    <vt:lpwstr/>
  </property>
  <property fmtid="{D5CDD505-2E9C-101B-9397-08002B2CF9AE}" pid="94" name="Doc_Revision7DesignedBy">
    <vt:lpwstr/>
  </property>
  <property fmtid="{D5CDD505-2E9C-101B-9397-08002B2CF9AE}" pid="95" name="Doc_Revision7Note">
    <vt:lpwstr/>
  </property>
  <property fmtid="{D5CDD505-2E9C-101B-9397-08002B2CF9AE}" pid="96" name="Doc_Revision7PreparedBy">
    <vt:lpwstr/>
  </property>
  <property fmtid="{D5CDD505-2E9C-101B-9397-08002B2CF9AE}" pid="97" name="Doc_Revision8">
    <vt:lpwstr/>
  </property>
  <property fmtid="{D5CDD505-2E9C-101B-9397-08002B2CF9AE}" pid="98" name="Doc_Revision8ApprovedBy">
    <vt:lpwstr/>
  </property>
  <property fmtid="{D5CDD505-2E9C-101B-9397-08002B2CF9AE}" pid="99" name="Doc_Revision8CheckedBy">
    <vt:lpwstr/>
  </property>
  <property fmtid="{D5CDD505-2E9C-101B-9397-08002B2CF9AE}" pid="100" name="Doc_Revision8Date">
    <vt:lpwstr/>
  </property>
  <property fmtid="{D5CDD505-2E9C-101B-9397-08002B2CF9AE}" pid="101" name="Doc_Revision8DesignedBy">
    <vt:lpwstr/>
  </property>
  <property fmtid="{D5CDD505-2E9C-101B-9397-08002B2CF9AE}" pid="102" name="Doc_Revision8Note">
    <vt:lpwstr/>
  </property>
  <property fmtid="{D5CDD505-2E9C-101B-9397-08002B2CF9AE}" pid="103" name="Doc_Revision8PreparedBy">
    <vt:lpwstr/>
  </property>
  <property fmtid="{D5CDD505-2E9C-101B-9397-08002B2CF9AE}" pid="104" name="Doc_Revision9">
    <vt:lpwstr/>
  </property>
  <property fmtid="{D5CDD505-2E9C-101B-9397-08002B2CF9AE}" pid="105" name="Doc_Revision9ApprovedBy">
    <vt:lpwstr/>
  </property>
  <property fmtid="{D5CDD505-2E9C-101B-9397-08002B2CF9AE}" pid="106" name="Doc_Revision9CheckedBy">
    <vt:lpwstr/>
  </property>
  <property fmtid="{D5CDD505-2E9C-101B-9397-08002B2CF9AE}" pid="107" name="Doc_Revision9Date">
    <vt:lpwstr/>
  </property>
  <property fmtid="{D5CDD505-2E9C-101B-9397-08002B2CF9AE}" pid="108" name="Doc_Revision9DesignedBy">
    <vt:lpwstr/>
  </property>
  <property fmtid="{D5CDD505-2E9C-101B-9397-08002B2CF9AE}" pid="109" name="Doc_Revision9Note">
    <vt:lpwstr/>
  </property>
  <property fmtid="{D5CDD505-2E9C-101B-9397-08002B2CF9AE}" pid="110" name="Doc_Revision9PreparedBy">
    <vt:lpwstr/>
  </property>
  <property fmtid="{D5CDD505-2E9C-101B-9397-08002B2CF9AE}" pid="111" name="Doc_RevisionNote">
    <vt:lpwstr/>
  </property>
  <property fmtid="{D5CDD505-2E9C-101B-9397-08002B2CF9AE}" pid="112" name="Doc_SecurityClassification">
    <vt:lpwstr/>
  </property>
  <property fmtid="{D5CDD505-2E9C-101B-9397-08002B2CF9AE}" pid="113" name="Doc_Suitability">
    <vt:lpwstr/>
  </property>
  <property fmtid="{D5CDD505-2E9C-101B-9397-08002B2CF9AE}" pid="114" name="Doc_Unique_ProjectID">
    <vt:lpwstr/>
  </property>
  <property fmtid="{D5CDD505-2E9C-101B-9397-08002B2CF9AE}" pid="115" name="Document_FileName">
    <vt:lpwstr/>
  </property>
  <property fmtid="{D5CDD505-2E9C-101B-9397-08002B2CF9AE}" pid="116" name="Document_Name">
    <vt:lpwstr/>
  </property>
  <property fmtid="{D5CDD505-2E9C-101B-9397-08002B2CF9AE}" pid="117" name="Document_Number">
    <vt:lpwstr/>
  </property>
  <property fmtid="{D5CDD505-2E9C-101B-9397-08002B2CF9AE}" pid="118" name="Document_Version">
    <vt:lpwstr/>
  </property>
  <property fmtid="{D5CDD505-2E9C-101B-9397-08002B2CF9AE}" pid="119" name="Document_VersionSeq">
    <vt:lpwstr/>
  </property>
  <property fmtid="{D5CDD505-2E9C-101B-9397-08002B2CF9AE}" pid="120" name="Folder_Code">
    <vt:lpwstr/>
  </property>
  <property fmtid="{D5CDD505-2E9C-101B-9397-08002B2CF9AE}" pid="121" name="Folder_CreateDate">
    <vt:lpwstr/>
  </property>
  <property fmtid="{D5CDD505-2E9C-101B-9397-08002B2CF9AE}" pid="122" name="Folder_Creator">
    <vt:lpwstr/>
  </property>
  <property fmtid="{D5CDD505-2E9C-101B-9397-08002B2CF9AE}" pid="123" name="Folder_CreatorDesc">
    <vt:lpwstr/>
  </property>
  <property fmtid="{D5CDD505-2E9C-101B-9397-08002B2CF9AE}" pid="124" name="Folder_Description">
    <vt:lpwstr/>
  </property>
  <property fmtid="{D5CDD505-2E9C-101B-9397-08002B2CF9AE}" pid="125" name="Folder_Manager">
    <vt:lpwstr/>
  </property>
  <property fmtid="{D5CDD505-2E9C-101B-9397-08002B2CF9AE}" pid="126" name="Folder_ManagerDesc">
    <vt:lpwstr/>
  </property>
  <property fmtid="{D5CDD505-2E9C-101B-9397-08002B2CF9AE}" pid="127" name="Folder_Name">
    <vt:lpwstr/>
  </property>
  <property fmtid="{D5CDD505-2E9C-101B-9397-08002B2CF9AE}" pid="128" name="Folder_Number">
    <vt:lpwstr/>
  </property>
  <property fmtid="{D5CDD505-2E9C-101B-9397-08002B2CF9AE}" pid="129" name="Folder_Storage">
    <vt:lpwstr/>
  </property>
  <property fmtid="{D5CDD505-2E9C-101B-9397-08002B2CF9AE}" pid="130" name="Folder_StorageDesc">
    <vt:lpwstr/>
  </property>
  <property fmtid="{D5CDD505-2E9C-101B-9397-08002B2CF9AE}" pid="131" name="Folder_UpdateDate">
    <vt:lpwstr/>
  </property>
  <property fmtid="{D5CDD505-2E9C-101B-9397-08002B2CF9AE}" pid="132" name="Folder_UpdateDesc">
    <vt:lpwstr/>
  </property>
  <property fmtid="{D5CDD505-2E9C-101B-9397-08002B2CF9AE}" pid="133" name="Folder_Updater">
    <vt:lpwstr/>
  </property>
  <property fmtid="{D5CDD505-2E9C-101B-9397-08002B2CF9AE}" pid="134" name="Ram_Document_AltName_AltName">
    <vt:lpwstr/>
  </property>
  <property fmtid="{D5CDD505-2E9C-101B-9397-08002B2CF9AE}" pid="135" name="Ram_Document_AltName_DocName">
    <vt:lpwstr/>
  </property>
  <property fmtid="{D5CDD505-2E9C-101B-9397-08002B2CF9AE}" pid="136" name="Ram_Document_AltName_Part1">
    <vt:lpwstr/>
  </property>
  <property fmtid="{D5CDD505-2E9C-101B-9397-08002B2CF9AE}" pid="137" name="Ram_Document_AltName_Part2">
    <vt:lpwstr/>
  </property>
  <property fmtid="{D5CDD505-2E9C-101B-9397-08002B2CF9AE}" pid="138" name="Ram_Document_AltName_Part3">
    <vt:lpwstr/>
  </property>
  <property fmtid="{D5CDD505-2E9C-101B-9397-08002B2CF9AE}" pid="139" name="Ram_Document_AltName_Part4">
    <vt:lpwstr/>
  </property>
  <property fmtid="{D5CDD505-2E9C-101B-9397-08002B2CF9AE}" pid="140" name="Ram_Document_AltName_Part5">
    <vt:lpwstr/>
  </property>
  <property fmtid="{D5CDD505-2E9C-101B-9397-08002B2CF9AE}" pid="141" name="Ram_Document_AltName_Part6">
    <vt:lpwstr/>
  </property>
  <property fmtid="{D5CDD505-2E9C-101B-9397-08002B2CF9AE}" pid="142" name="Ram_Document_AltName_Part7">
    <vt:lpwstr/>
  </property>
  <property fmtid="{D5CDD505-2E9C-101B-9397-08002B2CF9AE}" pid="143" name="Ram_Document_AltName_Part8">
    <vt:lpwstr/>
  </property>
  <property fmtid="{D5CDD505-2E9C-101B-9397-08002B2CF9AE}" pid="144" name="Ram_Document_AltName_Part9">
    <vt:lpwstr/>
  </property>
  <property fmtid="{D5CDD505-2E9C-101B-9397-08002B2CF9AE}" pid="145" name="Ram_Document_CustomerDocName">
    <vt:lpwstr/>
  </property>
  <property fmtid="{D5CDD505-2E9C-101B-9397-08002B2CF9AE}" pid="146" name="Ram_Document_CustomerDocNumber">
    <vt:lpwstr/>
  </property>
  <property fmtid="{D5CDD505-2E9C-101B-9397-08002B2CF9AE}" pid="147" name="Ram_Project_ClientName">
    <vt:lpwstr/>
  </property>
  <property fmtid="{D5CDD505-2E9C-101B-9397-08002B2CF9AE}" pid="148" name="Ram_WorkArea_Client">
    <vt:lpwstr/>
  </property>
  <property fmtid="{D5CDD505-2E9C-101B-9397-08002B2CF9AE}" pid="149" name="Ram_WorkArea_ProjectName">
    <vt:lpwstr/>
  </property>
  <property fmtid="{D5CDD505-2E9C-101B-9397-08002B2CF9AE}" pid="150" name="Ram_Document_ApprovedBy">
    <vt:lpwstr/>
  </property>
  <property fmtid="{D5CDD505-2E9C-101B-9397-08002B2CF9AE}" pid="151" name="Ram_Document_CheckedBy">
    <vt:lpwstr/>
  </property>
  <property fmtid="{D5CDD505-2E9C-101B-9397-08002B2CF9AE}" pid="152" name="Ram_Document_Date">
    <vt:lpwstr>February 17, 2025</vt:lpwstr>
  </property>
  <property fmtid="{D5CDD505-2E9C-101B-9397-08002B2CF9AE}" pid="153" name="Ram_Document_DocID">
    <vt:lpwstr/>
  </property>
  <property fmtid="{D5CDD505-2E9C-101B-9397-08002B2CF9AE}" pid="154" name="Ram_Document_DocStructureID">
    <vt:lpwstr/>
  </property>
  <property fmtid="{D5CDD505-2E9C-101B-9397-08002B2CF9AE}" pid="155" name="Ram_Document_PreparedBy">
    <vt:lpwstr/>
  </property>
  <property fmtid="{D5CDD505-2E9C-101B-9397-08002B2CF9AE}" pid="156" name="Ram_Document_Title1">
    <vt:lpwstr/>
  </property>
  <property fmtid="{D5CDD505-2E9C-101B-9397-08002B2CF9AE}" pid="157" name="Ram_Document_Title2">
    <vt:lpwstr/>
  </property>
  <property fmtid="{D5CDD505-2E9C-101B-9397-08002B2CF9AE}" pid="158" name="Ram_Document_Version">
    <vt:lpwstr/>
  </property>
  <property fmtid="{D5CDD505-2E9C-101B-9397-08002B2CF9AE}" pid="159" name="Ram_Document_VersionDescription">
    <vt:lpwstr/>
  </property>
  <property fmtid="{D5CDD505-2E9C-101B-9397-08002B2CF9AE}" pid="160" name="Ram_Project_Name">
    <vt:lpwstr/>
  </property>
  <property fmtid="{D5CDD505-2E9C-101B-9397-08002B2CF9AE}" pid="161" name="Ram_Project_Number">
    <vt:lpwstr/>
  </property>
  <property fmtid="{D5CDD505-2E9C-101B-9397-08002B2CF9AE}" pid="162" name="Ram_Document_Project_Field1">
    <vt:lpwstr/>
  </property>
  <property fmtid="{D5CDD505-2E9C-101B-9397-08002B2CF9AE}" pid="163" name="Ram_Document_Project_Field2">
    <vt:lpwstr/>
  </property>
  <property fmtid="{D5CDD505-2E9C-101B-9397-08002B2CF9AE}" pid="164" name="Ram_Document_Project_Field3">
    <vt:lpwstr/>
  </property>
  <property fmtid="{D5CDD505-2E9C-101B-9397-08002B2CF9AE}" pid="165" name="Ram_Document_PreparedBy_FullName">
    <vt:lpwstr/>
  </property>
  <property fmtid="{D5CDD505-2E9C-101B-9397-08002B2CF9AE}" pid="166" name="Ram_Document_Client_Version">
    <vt:lpwstr/>
  </property>
  <property fmtid="{D5CDD505-2E9C-101B-9397-08002B2CF9AE}" pid="167" name="Ram_Document_Client_Version_Description">
    <vt:lpwstr/>
  </property>
  <property fmtid="{D5CDD505-2E9C-101B-9397-08002B2CF9AE}" pid="168" name="Ram_Document_URN">
    <vt:lpwstr/>
  </property>
  <property fmtid="{D5CDD505-2E9C-101B-9397-08002B2CF9AE}" pid="169" name="Doc_CreatedDate">
    <vt:lpwstr/>
  </property>
  <property fmtid="{D5CDD505-2E9C-101B-9397-08002B2CF9AE}" pid="170" name="InsertImageBackpage">
    <vt:lpwstr>True</vt:lpwstr>
  </property>
  <property fmtid="{D5CDD505-2E9C-101B-9397-08002B2CF9AE}" pid="171" name="TenderCoverpage">
    <vt:lpwstr>True</vt:lpwstr>
  </property>
  <property fmtid="{D5CDD505-2E9C-101B-9397-08002B2CF9AE}" pid="172" name="ExtraLogo">
    <vt:lpwstr>True</vt:lpwstr>
  </property>
  <property fmtid="{D5CDD505-2E9C-101B-9397-08002B2CF9AE}" pid="173" name="UpdateDocument">
    <vt:lpwstr>true</vt:lpwstr>
  </property>
  <property fmtid="{D5CDD505-2E9C-101B-9397-08002B2CF9AE}" pid="174" name="TemplafyTenantId">
    <vt:lpwstr>ramboll</vt:lpwstr>
  </property>
  <property fmtid="{D5CDD505-2E9C-101B-9397-08002B2CF9AE}" pid="175" name="TemplafyTemplateId">
    <vt:lpwstr>636452954907126925</vt:lpwstr>
  </property>
  <property fmtid="{D5CDD505-2E9C-101B-9397-08002B2CF9AE}" pid="176" name="TemplafyUserProfileId">
    <vt:lpwstr>637835489890785528</vt:lpwstr>
  </property>
  <property fmtid="{D5CDD505-2E9C-101B-9397-08002B2CF9AE}" pid="177" name="TemplafyLanguageCode">
    <vt:lpwstr>en-US</vt:lpwstr>
  </property>
  <property fmtid="{D5CDD505-2E9C-101B-9397-08002B2CF9AE}" pid="178" name="TemplafyFromBlank">
    <vt:bool>false</vt:bool>
  </property>
  <property fmtid="{D5CDD505-2E9C-101B-9397-08002B2CF9AE}" pid="179" name="Ram_Project_Manager">
    <vt:lpwstr/>
  </property>
  <property fmtid="{D5CDD505-2E9C-101B-9397-08002B2CF9AE}" pid="180" name="Ram_WorkArea_MaconomyProjectID">
    <vt:lpwstr/>
  </property>
  <property fmtid="{D5CDD505-2E9C-101B-9397-08002B2CF9AE}" pid="181" name="ClassificationContentMarkingFooterShapeIds">
    <vt:lpwstr>559068d4,177483f1,5b1f643f,478dd4c9,6fcb78c4,5469637d,75a54544,5e11480a,6a275e29,7e99c93b,6f23c499,568ddf07</vt:lpwstr>
  </property>
  <property fmtid="{D5CDD505-2E9C-101B-9397-08002B2CF9AE}" pid="182" name="ClassificationContentMarkingFooterFontProps">
    <vt:lpwstr>#000000,7,Verdana</vt:lpwstr>
  </property>
  <property fmtid="{D5CDD505-2E9C-101B-9397-08002B2CF9AE}" pid="183" name="ClassificationContentMarkingFooterText">
    <vt:lpwstr>Confidential</vt:lpwstr>
  </property>
  <property fmtid="{D5CDD505-2E9C-101B-9397-08002B2CF9AE}" pid="184" name="MSIP_Label_20ea7001-5c24-4702-a3ac-e436ccb02747_Enabled">
    <vt:lpwstr>true</vt:lpwstr>
  </property>
  <property fmtid="{D5CDD505-2E9C-101B-9397-08002B2CF9AE}" pid="185" name="MSIP_Label_20ea7001-5c24-4702-a3ac-e436ccb02747_SetDate">
    <vt:lpwstr>2025-02-17T15:31:52Z</vt:lpwstr>
  </property>
  <property fmtid="{D5CDD505-2E9C-101B-9397-08002B2CF9AE}" pid="186" name="MSIP_Label_20ea7001-5c24-4702-a3ac-e436ccb02747_Method">
    <vt:lpwstr>Standard</vt:lpwstr>
  </property>
  <property fmtid="{D5CDD505-2E9C-101B-9397-08002B2CF9AE}" pid="187" name="MSIP_Label_20ea7001-5c24-4702-a3ac-e436ccb02747_Name">
    <vt:lpwstr>Confidential</vt:lpwstr>
  </property>
  <property fmtid="{D5CDD505-2E9C-101B-9397-08002B2CF9AE}" pid="188" name="MSIP_Label_20ea7001-5c24-4702-a3ac-e436ccb02747_SiteId">
    <vt:lpwstr>c8823c91-be81-4f89-b024-6c3dd789c106</vt:lpwstr>
  </property>
  <property fmtid="{D5CDD505-2E9C-101B-9397-08002B2CF9AE}" pid="189" name="MSIP_Label_20ea7001-5c24-4702-a3ac-e436ccb02747_ActionId">
    <vt:lpwstr>2a488d5b-d9b7-4032-b03d-6fd4538dab35</vt:lpwstr>
  </property>
  <property fmtid="{D5CDD505-2E9C-101B-9397-08002B2CF9AE}" pid="190" name="MSIP_Label_20ea7001-5c24-4702-a3ac-e436ccb02747_ContentBits">
    <vt:lpwstr>2</vt:lpwstr>
  </property>
</Properties>
</file>