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D2CD4" w14:textId="77777777" w:rsidR="00546C46" w:rsidRDefault="00033451" w:rsidP="00B9444A">
      <w:pPr>
        <w:pStyle w:val="footnotedescription"/>
      </w:pPr>
      <w:bookmarkStart w:id="0" w:name="_Toc206071186"/>
      <w:r>
        <w:rPr>
          <w:noProof/>
        </w:rPr>
        <w:drawing>
          <wp:anchor distT="0" distB="0" distL="114300" distR="114300" simplePos="0" relativeHeight="251657223" behindDoc="1" locked="0" layoutInCell="1" allowOverlap="1" wp14:anchorId="50AE6050" wp14:editId="648307F9">
            <wp:simplePos x="0" y="0"/>
            <wp:positionH relativeFrom="page">
              <wp:posOffset>45227</wp:posOffset>
            </wp:positionH>
            <wp:positionV relativeFrom="paragraph">
              <wp:posOffset>-895928</wp:posOffset>
            </wp:positionV>
            <wp:extent cx="7562215" cy="4438650"/>
            <wp:effectExtent l="0" t="0" r="635" b="0"/>
            <wp:wrapNone/>
            <wp:docPr id="1152404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62215" cy="443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2DADBD" w14:textId="77777777" w:rsidR="00546C46" w:rsidRDefault="00546C46" w:rsidP="00546C46">
      <w:pPr>
        <w:spacing w:after="120" w:line="360" w:lineRule="auto"/>
        <w:jc w:val="both"/>
        <w:rPr>
          <w:lang w:val="ro-RO"/>
        </w:rPr>
      </w:pPr>
    </w:p>
    <w:p w14:paraId="1D6EF4A5" w14:textId="77777777" w:rsidR="00546C46" w:rsidRDefault="00546C46" w:rsidP="00546C46">
      <w:pPr>
        <w:spacing w:after="120" w:line="360" w:lineRule="auto"/>
        <w:jc w:val="both"/>
        <w:rPr>
          <w:lang w:val="ro-RO"/>
        </w:rPr>
      </w:pPr>
    </w:p>
    <w:p w14:paraId="44AC0E45" w14:textId="77777777" w:rsidR="00546C46" w:rsidRDefault="00546C46" w:rsidP="00546C46">
      <w:pPr>
        <w:spacing w:after="120" w:line="360" w:lineRule="auto"/>
        <w:jc w:val="both"/>
        <w:rPr>
          <w:lang w:val="ro-RO"/>
        </w:rPr>
      </w:pPr>
    </w:p>
    <w:p w14:paraId="17AC4CFA" w14:textId="77777777" w:rsidR="00546C46" w:rsidRDefault="00546C46" w:rsidP="00546C46">
      <w:pPr>
        <w:spacing w:after="120" w:line="360" w:lineRule="auto"/>
        <w:jc w:val="both"/>
        <w:rPr>
          <w:lang w:val="ro-RO"/>
        </w:rPr>
      </w:pPr>
    </w:p>
    <w:p w14:paraId="4811D97A" w14:textId="77777777" w:rsidR="00546C46" w:rsidRDefault="00546C46" w:rsidP="00546C46">
      <w:pPr>
        <w:spacing w:after="120" w:line="360" w:lineRule="auto"/>
        <w:jc w:val="both"/>
        <w:rPr>
          <w:lang w:val="ro-RO"/>
        </w:rPr>
      </w:pPr>
    </w:p>
    <w:p w14:paraId="6FD1022C" w14:textId="77777777" w:rsidR="00546C46" w:rsidRDefault="00546C46" w:rsidP="00546C46">
      <w:pPr>
        <w:spacing w:after="120" w:line="360" w:lineRule="auto"/>
        <w:jc w:val="both"/>
        <w:rPr>
          <w:lang w:val="ro-RO"/>
        </w:rPr>
      </w:pPr>
    </w:p>
    <w:p w14:paraId="404D3E8E" w14:textId="77777777" w:rsidR="00546C46" w:rsidRDefault="00546C46" w:rsidP="00546C46">
      <w:pPr>
        <w:spacing w:after="120" w:line="360" w:lineRule="auto"/>
        <w:jc w:val="both"/>
        <w:rPr>
          <w:lang w:val="ro-RO"/>
        </w:rPr>
      </w:pPr>
    </w:p>
    <w:p w14:paraId="6E65AF11" w14:textId="77777777" w:rsidR="00546C46" w:rsidRDefault="00546C46" w:rsidP="00546C46">
      <w:pPr>
        <w:spacing w:after="120" w:line="360" w:lineRule="auto"/>
        <w:jc w:val="both"/>
        <w:rPr>
          <w:lang w:val="ro-RO"/>
        </w:rPr>
      </w:pPr>
    </w:p>
    <w:p w14:paraId="4DFA0514" w14:textId="77777777" w:rsidR="00546C46" w:rsidRDefault="00546C46" w:rsidP="00546C46">
      <w:pPr>
        <w:spacing w:after="120" w:line="360" w:lineRule="auto"/>
        <w:jc w:val="both"/>
        <w:rPr>
          <w:lang w:val="ro-RO"/>
        </w:rPr>
      </w:pPr>
    </w:p>
    <w:p w14:paraId="0BA1AB4F" w14:textId="77777777" w:rsidR="00546C46" w:rsidRDefault="00546C46" w:rsidP="00546C46">
      <w:pPr>
        <w:spacing w:after="120" w:line="360" w:lineRule="auto"/>
        <w:jc w:val="both"/>
        <w:rPr>
          <w:lang w:val="ro-RO"/>
        </w:rPr>
      </w:pPr>
    </w:p>
    <w:p w14:paraId="54359D69" w14:textId="77777777" w:rsidR="00546C46" w:rsidRDefault="00546C46" w:rsidP="00546C46">
      <w:pPr>
        <w:spacing w:after="120" w:line="360" w:lineRule="auto"/>
        <w:jc w:val="both"/>
        <w:rPr>
          <w:lang w:val="ro-RO"/>
        </w:rPr>
      </w:pPr>
    </w:p>
    <w:bookmarkEnd w:id="0"/>
    <w:p w14:paraId="27E4A953" w14:textId="77777777" w:rsidR="00B10C6D" w:rsidRPr="00491F55" w:rsidRDefault="00B10C6D" w:rsidP="00B10C6D">
      <w:pPr>
        <w:rPr>
          <w:lang w:val="ro-RO"/>
        </w:rPr>
      </w:pPr>
    </w:p>
    <w:p w14:paraId="0A40A960" w14:textId="77777777" w:rsidR="00B10C6D" w:rsidRPr="00491F55" w:rsidRDefault="00B10C6D" w:rsidP="00B10C6D">
      <w:pPr>
        <w:rPr>
          <w:lang w:val="ro-RO"/>
        </w:rPr>
      </w:pPr>
    </w:p>
    <w:p w14:paraId="6DAE81A4" w14:textId="77777777" w:rsidR="00B10C6D" w:rsidRPr="00491F55" w:rsidRDefault="00B10C6D" w:rsidP="00B10C6D">
      <w:pPr>
        <w:rPr>
          <w:lang w:val="ro-RO"/>
        </w:rPr>
      </w:pPr>
    </w:p>
    <w:p w14:paraId="5AB07281" w14:textId="77777777" w:rsidR="002C6059" w:rsidRDefault="00036D38" w:rsidP="00B03DEF">
      <w:pPr>
        <w:pStyle w:val="Heading1"/>
        <w:numPr>
          <w:ilvl w:val="0"/>
          <w:numId w:val="0"/>
        </w:numPr>
        <w:jc w:val="both"/>
        <w:rPr>
          <w:rFonts w:ascii="Nunito" w:hAnsi="Nunito"/>
          <w:b w:val="0"/>
          <w:color w:val="00B0F0"/>
          <w:lang w:val="ro-RO"/>
        </w:rPr>
      </w:pPr>
      <w:bookmarkStart w:id="1" w:name="_Toc206071195"/>
      <w:r>
        <w:rPr>
          <w:rFonts w:ascii="Nunito" w:hAnsi="Nunito"/>
          <w:b w:val="0"/>
          <w:color w:val="00B0F0"/>
          <w:lang w:val="ro-RO"/>
        </w:rPr>
        <w:t>10.EXPUNEREA MOTIVELOR CARE AU CONDUS LA SELECTAREA ALTERNATIVELOR ALESE</w:t>
      </w:r>
      <w:bookmarkEnd w:id="1"/>
    </w:p>
    <w:p w14:paraId="3E259781" w14:textId="77777777" w:rsidR="00B03DEF" w:rsidRPr="00B03DEF" w:rsidRDefault="00B03DEF" w:rsidP="00B03DEF">
      <w:pPr>
        <w:rPr>
          <w:color w:val="00B0F0"/>
          <w:lang w:val="ro-RO"/>
        </w:rPr>
      </w:pPr>
      <w:r>
        <w:rPr>
          <w:color w:val="00B0F0"/>
          <w:lang w:val="ro-RO"/>
        </w:rPr>
        <w:t>___________________________________________________________________________________</w:t>
      </w:r>
    </w:p>
    <w:p w14:paraId="43320522" w14:textId="77777777" w:rsidR="009B6916" w:rsidRDefault="009B6916" w:rsidP="009B6916">
      <w:pPr>
        <w:rPr>
          <w:lang w:val="ro-RO"/>
        </w:rPr>
      </w:pPr>
    </w:p>
    <w:p w14:paraId="70FBB7F3" w14:textId="77777777" w:rsidR="009B6916" w:rsidRDefault="009B6916" w:rsidP="009B6916">
      <w:pPr>
        <w:rPr>
          <w:lang w:val="ro-RO"/>
        </w:rPr>
      </w:pPr>
    </w:p>
    <w:p w14:paraId="03CCD3E0" w14:textId="77777777" w:rsidR="009B6916" w:rsidRDefault="009B6916" w:rsidP="009B6916">
      <w:pPr>
        <w:rPr>
          <w:lang w:val="ro-RO"/>
        </w:rPr>
      </w:pPr>
    </w:p>
    <w:p w14:paraId="63E8EFBF" w14:textId="77777777" w:rsidR="009B6916" w:rsidRDefault="009B6916" w:rsidP="009B6916">
      <w:pPr>
        <w:rPr>
          <w:lang w:val="ro-RO"/>
        </w:rPr>
      </w:pPr>
    </w:p>
    <w:p w14:paraId="7A425524" w14:textId="77777777" w:rsidR="009B6916" w:rsidRDefault="009B6916" w:rsidP="009B6916">
      <w:pPr>
        <w:rPr>
          <w:lang w:val="ro-RO"/>
        </w:rPr>
      </w:pPr>
    </w:p>
    <w:p w14:paraId="5DC92F5A" w14:textId="77777777" w:rsidR="00B03DEF" w:rsidRDefault="00B03DEF" w:rsidP="009B6916">
      <w:pPr>
        <w:rPr>
          <w:lang w:val="ro-RO"/>
        </w:rPr>
      </w:pPr>
    </w:p>
    <w:p w14:paraId="0A2A717B" w14:textId="77777777" w:rsidR="00B03DEF" w:rsidRDefault="00B03DEF" w:rsidP="009B6916">
      <w:pPr>
        <w:rPr>
          <w:lang w:val="ro-RO"/>
        </w:rPr>
      </w:pPr>
    </w:p>
    <w:p w14:paraId="195030BC" w14:textId="77777777" w:rsidR="00B03DEF" w:rsidRDefault="00B03DEF" w:rsidP="009B6916">
      <w:pPr>
        <w:rPr>
          <w:lang w:val="ro-RO"/>
        </w:rPr>
      </w:pPr>
    </w:p>
    <w:p w14:paraId="346A66DA" w14:textId="77777777" w:rsidR="009B6916" w:rsidRDefault="009B6916" w:rsidP="009B6916">
      <w:pPr>
        <w:rPr>
          <w:lang w:val="ro-RO"/>
        </w:rPr>
      </w:pPr>
    </w:p>
    <w:p w14:paraId="70F888C4" w14:textId="77777777" w:rsidR="009B6916" w:rsidRDefault="009B6916" w:rsidP="009B6916">
      <w:pPr>
        <w:rPr>
          <w:lang w:val="ro-RO"/>
        </w:rPr>
      </w:pPr>
    </w:p>
    <w:p w14:paraId="09A3C3AA" w14:textId="77777777" w:rsidR="009B6916" w:rsidRDefault="009B6916" w:rsidP="009B6916">
      <w:pPr>
        <w:rPr>
          <w:lang w:val="ro-RO"/>
        </w:rPr>
      </w:pPr>
    </w:p>
    <w:p w14:paraId="6A95F8FE" w14:textId="77777777" w:rsidR="009B6916" w:rsidRDefault="009B6916" w:rsidP="009B6916">
      <w:pPr>
        <w:rPr>
          <w:lang w:val="ro-RO"/>
        </w:rPr>
      </w:pPr>
    </w:p>
    <w:p w14:paraId="167E16DF" w14:textId="77777777" w:rsidR="009B6916" w:rsidRDefault="009B6916" w:rsidP="009B6916">
      <w:pPr>
        <w:rPr>
          <w:lang w:val="ro-RO"/>
        </w:rPr>
      </w:pPr>
    </w:p>
    <w:p w14:paraId="7E402061" w14:textId="77777777" w:rsidR="009B6916" w:rsidRDefault="009B6916" w:rsidP="009B6916">
      <w:pPr>
        <w:rPr>
          <w:lang w:val="ro-RO"/>
        </w:rPr>
      </w:pPr>
    </w:p>
    <w:p w14:paraId="7D27325B" w14:textId="77777777" w:rsidR="009B6916" w:rsidRDefault="009B6916" w:rsidP="009B6916">
      <w:pPr>
        <w:rPr>
          <w:lang w:val="ro-RO"/>
        </w:rPr>
      </w:pPr>
    </w:p>
    <w:p w14:paraId="63C3B67B" w14:textId="77777777" w:rsidR="009B6916" w:rsidRDefault="009B6916" w:rsidP="009B6916">
      <w:pPr>
        <w:rPr>
          <w:lang w:val="ro-RO"/>
        </w:rPr>
      </w:pPr>
    </w:p>
    <w:p w14:paraId="663C7C66" w14:textId="77777777" w:rsidR="009B6916" w:rsidRDefault="009B6916" w:rsidP="009B6916">
      <w:pPr>
        <w:rPr>
          <w:lang w:val="ro-RO"/>
        </w:rPr>
      </w:pPr>
    </w:p>
    <w:p w14:paraId="397D4E97" w14:textId="77777777" w:rsidR="009B6916" w:rsidRDefault="009B6916" w:rsidP="009B6916">
      <w:pPr>
        <w:rPr>
          <w:lang w:val="ro-RO"/>
        </w:rPr>
      </w:pPr>
    </w:p>
    <w:p w14:paraId="173CC229" w14:textId="77777777" w:rsidR="009B6916" w:rsidRDefault="009B6916" w:rsidP="009B6916">
      <w:pPr>
        <w:rPr>
          <w:lang w:val="ro-RO"/>
        </w:rPr>
      </w:pPr>
    </w:p>
    <w:p w14:paraId="10F1676E" w14:textId="77777777" w:rsidR="009B6916" w:rsidRDefault="009B6916" w:rsidP="009B6916">
      <w:pPr>
        <w:rPr>
          <w:lang w:val="ro-RO"/>
        </w:rPr>
      </w:pPr>
    </w:p>
    <w:p w14:paraId="181993D9" w14:textId="77777777" w:rsidR="009B6916" w:rsidRDefault="009B6916" w:rsidP="009B6916">
      <w:pPr>
        <w:rPr>
          <w:lang w:val="ro-RO"/>
        </w:rPr>
      </w:pPr>
    </w:p>
    <w:p w14:paraId="284997BE" w14:textId="77777777" w:rsidR="009B6916" w:rsidRDefault="009B6916" w:rsidP="009B6916">
      <w:pPr>
        <w:rPr>
          <w:lang w:val="ro-RO"/>
        </w:rPr>
      </w:pPr>
    </w:p>
    <w:p w14:paraId="2A4F186F" w14:textId="77777777" w:rsidR="009B6916" w:rsidRPr="00B9444A" w:rsidRDefault="00033451" w:rsidP="00B9444A">
      <w:pPr>
        <w:pStyle w:val="Heading1"/>
        <w:numPr>
          <w:ilvl w:val="0"/>
          <w:numId w:val="0"/>
        </w:numPr>
        <w:rPr>
          <w:rFonts w:ascii="Nunito" w:hAnsi="Nunito"/>
          <w:b w:val="0"/>
          <w:bCs w:val="0"/>
          <w:sz w:val="20"/>
          <w:szCs w:val="20"/>
          <w:lang w:val="ro-RO"/>
        </w:rPr>
      </w:pPr>
      <w:r>
        <w:rPr>
          <w:rFonts w:ascii="Nunito" w:hAnsi="Nunito"/>
          <w:b w:val="0"/>
          <w:bCs w:val="0"/>
          <w:sz w:val="20"/>
          <w:szCs w:val="20"/>
          <w:lang w:val="ro-RO"/>
        </w:rPr>
        <w:lastRenderedPageBreak/>
        <w:t>10.1 Criterii care au stat la baza definirii alternativelor</w:t>
      </w:r>
    </w:p>
    <w:p w14:paraId="37692DF2" w14:textId="77777777" w:rsidR="009B6916" w:rsidRPr="00B03DEF" w:rsidRDefault="009B6916" w:rsidP="00B03DEF">
      <w:pPr>
        <w:spacing w:after="120" w:line="240" w:lineRule="auto"/>
        <w:jc w:val="both"/>
        <w:rPr>
          <w:rFonts w:ascii="Nunito" w:hAnsi="Nunito"/>
          <w:lang w:val="ro-RO"/>
        </w:rPr>
      </w:pPr>
      <w:r>
        <w:rPr>
          <w:rFonts w:ascii="Nunito" w:hAnsi="Nunito"/>
          <w:lang w:val="ro-RO"/>
        </w:rPr>
        <w:t>Definirea alternativelor a urmărit să construiască două variante de implementare comparabile, formulate la nivel național pentru perioada 2026–2035, care să permită estimarea investițiilor necesare și evaluarea performanței sistemului în raport cu obiectivele planului. În acest scop, criteriile de definire au combinat, pe de o parte, cerințe de rezultat (ținte și termene) și, pe de altă parte, ipoteze tehnice și operaționale comune, astfel încât diferențele dintre alternative să fie generate în principal de modul de organizare a infrastructurii de tratare și eliminare, nu de premise diferite privind colectarea sau fluxurile.</w:t>
      </w:r>
    </w:p>
    <w:p w14:paraId="59146BAA" w14:textId="77777777" w:rsidR="009B6916" w:rsidRPr="00B03DEF" w:rsidRDefault="009B6916" w:rsidP="00B03DEF">
      <w:pPr>
        <w:spacing w:after="120" w:line="240" w:lineRule="auto"/>
        <w:jc w:val="both"/>
        <w:rPr>
          <w:rFonts w:ascii="Nunito" w:hAnsi="Nunito"/>
          <w:lang w:val="ro-RO"/>
        </w:rPr>
      </w:pPr>
      <w:r>
        <w:rPr>
          <w:rFonts w:ascii="Nunito" w:hAnsi="Nunito"/>
          <w:lang w:val="ro-RO"/>
        </w:rPr>
        <w:t>Un criteriu de bază a fost capacitatea alternativelor de a susține atingerea țintelor pentru deșeurile municipale, în special menținerea acoperirii cu serviciul de salubrizare la 100% (permanent), reducerea cantității de deșeuri menajere și similare generate în 2035 cu cel puțin 10% față de 2022, creșterea pregătirii pentru reutilizare și reciclare (55% în 2025, 60% în 2030 și 65% în 2035 pentru fracțiile relevante) și reducerea depozitării la 10% din masa totală generată până în 2035. Alternativele au fost astfel construite încât să permită verificarea îndeplinirii acestor ținte prin modelarea fluxurilor și prin estimarea capacităților necesare.</w:t>
      </w:r>
    </w:p>
    <w:p w14:paraId="7F732EEC" w14:textId="77777777" w:rsidR="009B6916" w:rsidRPr="00B03DEF" w:rsidRDefault="009B6916" w:rsidP="00B03DEF">
      <w:pPr>
        <w:spacing w:after="120" w:line="240" w:lineRule="auto"/>
        <w:jc w:val="both"/>
        <w:rPr>
          <w:rFonts w:ascii="Nunito" w:hAnsi="Nunito"/>
          <w:lang w:val="ro-RO"/>
        </w:rPr>
      </w:pPr>
      <w:r>
        <w:rPr>
          <w:rFonts w:ascii="Nunito" w:hAnsi="Nunito"/>
          <w:lang w:val="ro-RO"/>
        </w:rPr>
        <w:t>Pentru comparabilitate, un al doilea criteriu l-a constituit utilizarea unui set comun de premise privind organizarea colectării separate și captarea fluxurilor. Alternativele pornesc de la aceeași arhitectură a colectării separate, care include fracțiile reciclabile (hârtie/carton, plastic/metal, sticlă), biodeșeurile și fracția reziduală, completate de colectări dedicate pentru fluxuri specifice cu relevanță pentru performanța sistemului (textile, deșeuri periculoase din fluxul menajer, voluminoase). În aceeași logică, au fost utilizate ipoteze comune privind necesarul de capacități, astfel încât întreaga cantitate colectată separat să poată fi sortată și tratată corespunzător (sortare pentru fracțiile reciclabile, tratare biologică pentru biodeșeuri), iar deșeurile reziduale să fie tratate înainte de eliminare. În plus, modelarea a avut în vedere parametri operaționali care influențează performanța, precum niveluri de impurificare ale fluxurilor colectate separat și randamente/reziduuri rezultate din tratare (inclusiv proporții de materiale direcționate spre reciclare, RDF și reziduuri destinate depozitării).</w:t>
      </w:r>
    </w:p>
    <w:p w14:paraId="00DC0F98" w14:textId="77777777" w:rsidR="009B6916" w:rsidRPr="00B03DEF" w:rsidRDefault="009B6916" w:rsidP="00B03DEF">
      <w:pPr>
        <w:spacing w:after="120" w:line="240" w:lineRule="auto"/>
        <w:jc w:val="both"/>
        <w:rPr>
          <w:rFonts w:ascii="Nunito" w:hAnsi="Nunito"/>
          <w:lang w:val="ro-RO"/>
        </w:rPr>
      </w:pPr>
      <w:r>
        <w:rPr>
          <w:rFonts w:ascii="Nunito" w:hAnsi="Nunito"/>
          <w:lang w:val="ro-RO"/>
        </w:rPr>
        <w:t>Un criteriu distinct a fost definirea alternativelor în jurul diferenței esențiale dintre două moduri de organizare a infrastructurii. Alternativa 1 este construită pe extinderea și modernizarea infrastructurii existente prin dezvoltarea separată a stațiilor de sortare, a instalațiilor de compostare/digestie anaerobă și a instalațiilor de tratare mecano-biologică, completată de asigurarea capacităților de depozitare necesare, corelată cu planificarea județeană. Alternativa 2 este construită pe o abordare integrată, prin transformarea instalațiilor existente de tratare mecano-biologică în instalații integrate de tratare a deșeurilor și realizarea de instalații noi, astfel încât tratarea fluxurilor (reciclabile, biodeșeuri, rezidual, precum și fluxuri precum textile și voluminoase) să fie organizată unitar, concomitent cu optimizarea capacităților de depozitare existente. Această diferențiere a fost introdusă tocmai pentru a permite evaluarea comparativă a efectelor asupra mediului, a eficienței tehnologice și a robusteții conformării în condițiile aceleiași cereri de performanță la nivel de ținte.</w:t>
      </w:r>
    </w:p>
    <w:p w14:paraId="154EF770" w14:textId="77777777" w:rsidR="009B6916" w:rsidRPr="00B03DEF" w:rsidRDefault="009B6916" w:rsidP="00B03DEF">
      <w:pPr>
        <w:spacing w:after="120" w:line="240" w:lineRule="auto"/>
        <w:jc w:val="both"/>
        <w:rPr>
          <w:rFonts w:ascii="Nunito" w:hAnsi="Nunito"/>
          <w:lang w:val="ro-RO"/>
        </w:rPr>
      </w:pPr>
      <w:r>
        <w:rPr>
          <w:rFonts w:ascii="Nunito" w:hAnsi="Nunito"/>
          <w:lang w:val="ro-RO"/>
        </w:rPr>
        <w:t>Un criteriu practic care a condiționat definirea alternativelor a fost continuitatea operațională a eliminării în instalații conforme. Întrucât atingerea țintelor și funcționarea sistemului depind de existența unor capacități de depozitare adecvate pentru reziduuri, alternativele au fost construite astfel încât să includă, acolo unde este necesar, extinderea celulelor conforme sau dezvoltarea de noi capacități, pe baza evaluării gradului de epuizare a capacităților existente la nivel teritorial. În mod deliberat, aceste considerente au fost tratate ca element de siguranță operațională, nu ca opțiune de politică, întrucât depozitarea este limitată prin ținta de 10% și este rezervată reziduurilor după tratare.</w:t>
      </w:r>
    </w:p>
    <w:p w14:paraId="11774687" w14:textId="77777777" w:rsidR="009B6916" w:rsidRPr="00B03DEF" w:rsidRDefault="009B6916" w:rsidP="00B03DEF">
      <w:pPr>
        <w:spacing w:after="120" w:line="240" w:lineRule="auto"/>
        <w:jc w:val="both"/>
        <w:rPr>
          <w:rFonts w:ascii="Nunito" w:hAnsi="Nunito"/>
          <w:lang w:val="ro-RO"/>
        </w:rPr>
      </w:pPr>
      <w:r>
        <w:rPr>
          <w:rFonts w:ascii="Nunito" w:hAnsi="Nunito"/>
          <w:lang w:val="ro-RO"/>
        </w:rPr>
        <w:t>Definirea alternativelor a fost completată de criterii legate de amplasarea viitoarelor instalații, utilizate ca set minim de condiționări încă din faza de plan. În această logică, amplasamentele pentru instalațiile planificate trebuie selectate astfel încât să asigure protecția mediului și a sănătății populației, prin evitarea amplasării în interiorul ariilor naturale protejate și prin respectarea cerințelor privind distanțele față de așezările umane și față de sursele de apă, precum și a regulilor relevante privind zonele de protecție. Pentru zona locuită, criteriile au fost corelate cu cerințe de sănătate publică (inclusiv evaluarea impactului asupra sănătății în cazurile aplicabile), astfel încât alternativa aleasă să fie implementabilă fără a transfera presiuni nejustificate asupra comunităților.</w:t>
      </w:r>
    </w:p>
    <w:p w14:paraId="27D968EC" w14:textId="77777777" w:rsidR="009B6916" w:rsidRPr="00B03DEF" w:rsidRDefault="009B6916" w:rsidP="00B03DEF">
      <w:pPr>
        <w:spacing w:after="120" w:line="240" w:lineRule="auto"/>
        <w:jc w:val="both"/>
        <w:rPr>
          <w:rFonts w:ascii="Nunito" w:hAnsi="Nunito"/>
          <w:lang w:val="ro-RO"/>
        </w:rPr>
      </w:pPr>
      <w:r>
        <w:rPr>
          <w:rFonts w:ascii="Nunito" w:hAnsi="Nunito"/>
          <w:lang w:val="ro-RO"/>
        </w:rPr>
        <w:t xml:space="preserve">În fine, pentru a asigura că alternativele sunt definite într-un mod care permite selecția justificată, a fost utilizat un criteriu metodologic: evaluarea comparativă pe baza unei analize multicriteriale. În această etapă, alternativele au fost structurate astfel încât să poată fi punctate pe factori care reflectă obiectivele planului și cerințele de implementare: impactul de mediu și social, caracterul practic și tehnologic, conformarea legislativă, sustenabilitatea pe termen lung și costurile investiționale. Ponderile au fost stabilite diferențiat (cu accent prioritar pe impactul de mediu și social, urmat de criterii tehnologice, sustenabilitate și costuri), iar aprecierea a fost realizată pe o scară de la 1 la 5, de la soluții </w:t>
      </w:r>
      <w:r>
        <w:rPr>
          <w:rFonts w:ascii="Nunito" w:hAnsi="Nunito"/>
          <w:lang w:val="ro-RO"/>
        </w:rPr>
        <w:lastRenderedPageBreak/>
        <w:t>neadecvate/ cu funcționalitate limitată până la soluții optime, complet conforme și sustenabile. Un element important al acestui criteriu a fost faptul că analiza comparativă a vizat preponderent elementele care diferențiază alternativele, presupunând că investițiile comune nu modifică diferențierea de performanță.</w:t>
      </w:r>
    </w:p>
    <w:p w14:paraId="5A9AE695" w14:textId="77777777" w:rsidR="0061557E" w:rsidRPr="00B03DEF" w:rsidRDefault="009B6916" w:rsidP="00B03DEF">
      <w:pPr>
        <w:spacing w:after="120" w:line="240" w:lineRule="auto"/>
        <w:jc w:val="both"/>
        <w:rPr>
          <w:rFonts w:ascii="Nunito" w:hAnsi="Nunito"/>
          <w:lang w:val="ro-RO"/>
        </w:rPr>
      </w:pPr>
      <w:r>
        <w:rPr>
          <w:rFonts w:ascii="Nunito" w:hAnsi="Nunito"/>
          <w:lang w:val="ro-RO"/>
        </w:rPr>
        <w:t>Prin aplicarea acestor criterii, alternativele au fost definite ca scenarii coerente, implementabile și comparabile, capabile să susțină modelarea fluxurilor și a investițiilor, să evidențieze diferențele reale de performanță între o abordare fragmentată și una integrată și să permită selectarea variantei cu cel mai bun echilibru între atingerea țintelor, presiunea asupra mediului, robustețea conformării și eficiența investițională.</w:t>
      </w:r>
    </w:p>
    <w:p w14:paraId="038CD735" w14:textId="77777777" w:rsidR="002542A8" w:rsidRPr="00B9444A" w:rsidRDefault="00033451" w:rsidP="00B9444A">
      <w:pPr>
        <w:pStyle w:val="Heading1"/>
        <w:numPr>
          <w:ilvl w:val="0"/>
          <w:numId w:val="0"/>
        </w:numPr>
        <w:rPr>
          <w:rFonts w:ascii="Nunito" w:hAnsi="Nunito"/>
          <w:b w:val="0"/>
          <w:bCs w:val="0"/>
          <w:sz w:val="20"/>
          <w:szCs w:val="20"/>
          <w:lang w:val="ro-RO"/>
        </w:rPr>
      </w:pPr>
      <w:r>
        <w:rPr>
          <w:rFonts w:ascii="Nunito" w:hAnsi="Nunito"/>
          <w:b w:val="0"/>
          <w:bCs w:val="0"/>
          <w:sz w:val="20"/>
          <w:szCs w:val="20"/>
          <w:lang w:val="ro-RO"/>
        </w:rPr>
        <w:t>10.2 Descrierea alternativelor</w:t>
      </w:r>
    </w:p>
    <w:p w14:paraId="4D28CBCB" w14:textId="77777777" w:rsidR="002542A8" w:rsidRPr="00B03DEF" w:rsidRDefault="006F655C" w:rsidP="00B03DEF">
      <w:pPr>
        <w:spacing w:after="120" w:line="240" w:lineRule="auto"/>
        <w:jc w:val="both"/>
        <w:rPr>
          <w:rFonts w:ascii="Nunito" w:hAnsi="Nunito"/>
          <w:lang w:val="ro-RO"/>
        </w:rPr>
      </w:pPr>
      <w:r>
        <w:rPr>
          <w:rFonts w:ascii="Nunito" w:hAnsi="Nunito"/>
          <w:lang w:val="ro-RO"/>
        </w:rPr>
        <w:t>Pentru a asigura o comparație coerentă între opțiunile de implementare, alternativele sunt construite pe un set comun de premise privind organizarea colectării separate și fluxurile gestionate. Astfel, în ambele alternative se are în vedere funcționarea colectării separate pentru fracțiile reciclabile (hârtie/carton, plastic/metal, sticlă), biodeșeuri și fracția reziduală, completate de colectări dedicate pentru fluxuri specifice (deșeuri textile, deșeuri periculoase din fluxul menajer, deșeuri voluminoase). Diferențierea dintre alternative este dată în principal de modul de organizare și dezvoltare a infrastructurii de tratare (abordare modulară, cu instalații separate, versus abordare integrată).</w:t>
      </w:r>
    </w:p>
    <w:p w14:paraId="311F05C9" w14:textId="77777777" w:rsidR="00A15625" w:rsidRPr="00B03DEF" w:rsidRDefault="00A15625" w:rsidP="00B03DEF">
      <w:pPr>
        <w:spacing w:after="120" w:line="240" w:lineRule="auto"/>
        <w:jc w:val="both"/>
        <w:rPr>
          <w:rFonts w:ascii="Nunito" w:hAnsi="Nunito"/>
          <w:lang w:val="ro-RO"/>
        </w:rPr>
      </w:pPr>
      <w:r>
        <w:rPr>
          <w:rFonts w:ascii="Nunito" w:hAnsi="Nunito"/>
          <w:lang w:val="ro-RO"/>
        </w:rPr>
        <w:t xml:space="preserve">În vederea estimării investițiilor necesare pentru atingerea obiectivelor și țintelor PNGD au fost definite, pentru analiză, </w:t>
      </w:r>
      <w:r>
        <w:rPr>
          <w:rFonts w:ascii="Nunito" w:hAnsi="Nunito"/>
          <w:b/>
          <w:bCs/>
          <w:lang w:val="ro-RO"/>
        </w:rPr>
        <w:t>două alternative</w:t>
      </w:r>
      <w:r>
        <w:rPr>
          <w:rFonts w:ascii="Nunito" w:hAnsi="Nunito"/>
          <w:lang w:val="ro-RO"/>
        </w:rPr>
        <w:t>:</w:t>
      </w:r>
    </w:p>
    <w:p w14:paraId="0E2DBE19" w14:textId="77777777" w:rsidR="00A15625" w:rsidRPr="00B03DEF" w:rsidRDefault="00A15625">
      <w:pPr>
        <w:pStyle w:val="ListParagraph"/>
        <w:numPr>
          <w:ilvl w:val="0"/>
          <w:numId w:val="14"/>
        </w:numPr>
        <w:spacing w:after="120" w:line="240" w:lineRule="auto"/>
        <w:ind w:left="426" w:hanging="426"/>
        <w:jc w:val="both"/>
        <w:rPr>
          <w:rFonts w:ascii="Nunito" w:hAnsi="Nunito"/>
          <w:lang w:val="ro-RO"/>
        </w:rPr>
      </w:pPr>
      <w:r>
        <w:rPr>
          <w:rFonts w:ascii="Nunito" w:hAnsi="Nunito"/>
          <w:b/>
          <w:bCs/>
          <w:lang w:val="ro-RO"/>
        </w:rPr>
        <w:t>Alternativa „zero”</w:t>
      </w:r>
      <w:r>
        <w:rPr>
          <w:rFonts w:ascii="Nunito" w:hAnsi="Nunito"/>
          <w:lang w:val="ro-RO"/>
        </w:rPr>
        <w:t xml:space="preserve"> – scenariul de referință, care presupune menținerea funcționării sistemului pe baza infrastructurii existente și a intervențiilor punctuale aflate deja în derulare sau prevăzute prin proiecte inițiate la nivel local/județean, fără implementarea coordonată a unui pachet național de investiții și măsuri care să asigure în mod sistematic atingerea țintelor PNGD.</w:t>
      </w:r>
    </w:p>
    <w:p w14:paraId="0BE282E7" w14:textId="77777777" w:rsidR="00B03DEF" w:rsidRPr="00B03DEF" w:rsidRDefault="00B03DEF">
      <w:pPr>
        <w:pStyle w:val="ListParagraph"/>
        <w:numPr>
          <w:ilvl w:val="0"/>
          <w:numId w:val="14"/>
        </w:numPr>
        <w:spacing w:after="120" w:line="240" w:lineRule="auto"/>
        <w:ind w:left="426" w:hanging="426"/>
        <w:jc w:val="both"/>
        <w:rPr>
          <w:rFonts w:ascii="Nunito" w:hAnsi="Nunito"/>
          <w:lang w:val="ro-RO"/>
        </w:rPr>
      </w:pPr>
      <w:r>
        <w:rPr>
          <w:rFonts w:ascii="Nunito" w:hAnsi="Nunito"/>
          <w:b/>
          <w:bCs/>
          <w:lang w:val="ro-RO"/>
        </w:rPr>
        <w:t>Alternativa cu PNGD pentru care s-au analizat 2 alternative</w:t>
      </w:r>
    </w:p>
    <w:p w14:paraId="0BC485C7" w14:textId="77777777" w:rsidR="00A15625" w:rsidRPr="00B03DEF" w:rsidRDefault="00A15625">
      <w:pPr>
        <w:pStyle w:val="ListParagraph"/>
        <w:numPr>
          <w:ilvl w:val="2"/>
          <w:numId w:val="14"/>
        </w:numPr>
        <w:spacing w:after="120" w:line="240" w:lineRule="auto"/>
        <w:ind w:left="709" w:hanging="142"/>
        <w:jc w:val="both"/>
        <w:rPr>
          <w:rFonts w:ascii="Nunito" w:hAnsi="Nunito"/>
          <w:lang w:val="ro-RO"/>
        </w:rPr>
      </w:pPr>
      <w:r>
        <w:rPr>
          <w:rFonts w:ascii="Nunito" w:hAnsi="Nunito"/>
          <w:b/>
          <w:bCs/>
          <w:lang w:val="ro-RO"/>
        </w:rPr>
        <w:t>Alternativa 1</w:t>
      </w:r>
      <w:r>
        <w:rPr>
          <w:rFonts w:ascii="Nunito" w:hAnsi="Nunito"/>
          <w:lang w:val="ro-RO"/>
        </w:rPr>
        <w:t xml:space="preserve"> – scenariu de dezvoltare prin </w:t>
      </w:r>
      <w:r>
        <w:rPr>
          <w:rFonts w:ascii="Nunito" w:hAnsi="Nunito"/>
          <w:b/>
          <w:bCs/>
          <w:lang w:val="ro-RO"/>
        </w:rPr>
        <w:t>investiții separate (modulare)</w:t>
      </w:r>
      <w:r>
        <w:rPr>
          <w:rFonts w:ascii="Nunito" w:hAnsi="Nunito"/>
          <w:lang w:val="ro-RO"/>
        </w:rPr>
        <w:t>, care urmărește atingerea țintelor PNGD prin extinderea și/sau modernizarea distinctă a componentelor de infrastructură: stații de sortare pentru fracțiile reciclabile colectate separat, instalații dedicate pentru tratarea biodeșeurilor (compostare și/sau digestie anaerobă) și instalații de tratare mecano-biologică pentru fracția reziduală, completate de asigurarea capacităților de depozitare necesare pentru reziduuri.</w:t>
      </w:r>
    </w:p>
    <w:p w14:paraId="0D4CDD11" w14:textId="77777777" w:rsidR="00E12732" w:rsidRPr="00B03DEF" w:rsidRDefault="00A15625">
      <w:pPr>
        <w:pStyle w:val="ListParagraph"/>
        <w:numPr>
          <w:ilvl w:val="2"/>
          <w:numId w:val="14"/>
        </w:numPr>
        <w:spacing w:after="120" w:line="240" w:lineRule="auto"/>
        <w:ind w:left="709" w:hanging="142"/>
        <w:jc w:val="both"/>
        <w:rPr>
          <w:rFonts w:ascii="Nunito" w:hAnsi="Nunito"/>
          <w:lang w:val="ro-RO"/>
        </w:rPr>
      </w:pPr>
      <w:r>
        <w:rPr>
          <w:rFonts w:ascii="Nunito" w:hAnsi="Nunito"/>
          <w:b/>
          <w:bCs/>
          <w:lang w:val="ro-RO"/>
        </w:rPr>
        <w:t>Alternativa 2</w:t>
      </w:r>
      <w:r>
        <w:rPr>
          <w:rFonts w:ascii="Nunito" w:hAnsi="Nunito"/>
          <w:lang w:val="ro-RO"/>
        </w:rPr>
        <w:t xml:space="preserve"> – scenariu de dezvoltare prin </w:t>
      </w:r>
      <w:r>
        <w:rPr>
          <w:rFonts w:ascii="Nunito" w:hAnsi="Nunito"/>
          <w:b/>
          <w:bCs/>
          <w:lang w:val="ro-RO"/>
        </w:rPr>
        <w:t>investiții integrate</w:t>
      </w:r>
      <w:r>
        <w:rPr>
          <w:rFonts w:ascii="Nunito" w:hAnsi="Nunito"/>
          <w:lang w:val="ro-RO"/>
        </w:rPr>
        <w:t xml:space="preserve">, care urmărește atingerea țintelor PNGD prin transformarea instalațiilor TMB existente în </w:t>
      </w:r>
      <w:r>
        <w:rPr>
          <w:rFonts w:ascii="Nunito" w:hAnsi="Nunito"/>
          <w:b/>
          <w:bCs/>
          <w:lang w:val="ro-RO"/>
        </w:rPr>
        <w:t>instalații integrate de tratare a deșeurilor (IITD)</w:t>
      </w:r>
      <w:r>
        <w:rPr>
          <w:rFonts w:ascii="Nunito" w:hAnsi="Nunito"/>
          <w:lang w:val="ro-RO"/>
        </w:rPr>
        <w:t xml:space="preserve"> și realizarea de noi capacități IITD acolo unde este necesar, cu integrarea într-un sistem unitar a proceselor de sortare, tratare biologică și pregătire pentru valorificare, concomitent cu optimizarea capacităților de depozitare pentru reziduuri.</w:t>
      </w:r>
    </w:p>
    <w:p w14:paraId="58C98A60" w14:textId="77777777" w:rsidR="0027404D" w:rsidRPr="0027404D" w:rsidRDefault="0027404D" w:rsidP="0027404D">
      <w:pPr>
        <w:spacing w:after="120" w:line="240" w:lineRule="auto"/>
        <w:jc w:val="both"/>
        <w:rPr>
          <w:rFonts w:ascii="Nunito" w:hAnsi="Nunito"/>
          <w:lang w:val="ro-RO"/>
        </w:rPr>
      </w:pPr>
      <w:r>
        <w:rPr>
          <w:rFonts w:ascii="Nunito" w:hAnsi="Nunito"/>
          <w:lang w:val="ro-RO"/>
        </w:rPr>
        <w:t>Alternativa 0 modelează continuarea tendințelor actuale în absența investițiilor și reformelor prevăzute de PNGD. Acest scenariu nu constituie o opțiune de planificare, ci servește drept contrafactual — punctul de referință față de care se cuantifică beneficiile și costurile de mediu ale celorlalte alternative. Conform calculelor din secțiunea 7.4.1 a Raportului de Mediu, scenariul fără plan generează emisii nete medii anuale de aproximativ 226.000 tone CO₂e din sectorul deșeurilor menajere.</w:t>
      </w:r>
    </w:p>
    <w:p w14:paraId="46CE5D5D" w14:textId="77777777" w:rsidR="0027404D" w:rsidRPr="0027404D" w:rsidRDefault="0027404D" w:rsidP="0027404D">
      <w:pPr>
        <w:spacing w:after="120" w:line="240" w:lineRule="auto"/>
        <w:jc w:val="both"/>
        <w:rPr>
          <w:rFonts w:ascii="Nunito" w:hAnsi="Nunito"/>
          <w:lang w:val="ro-RO"/>
        </w:rPr>
      </w:pPr>
      <w:r>
        <w:rPr>
          <w:rFonts w:ascii="Nunito" w:hAnsi="Nunito"/>
          <w:lang w:val="ro-RO"/>
        </w:rPr>
        <w:t>Caracteristicile definitorii ale Alternativei 0 includ: menținerea ratei de depozitare de circa 42% din deșeurile municipale generate (față de ținta UE de maximum 10% în 2035); colectare separată sub 20%; rate de reciclare de 10–15% (față de 55% obligatoriu din 2025); perpetuarea operării depozitelor neconforme cu emisii de levigat necaptat și metan nears (factorul de emisie: 833 kg CO₂e/tonă, conform tabelului de factori JASPERS din secțiunea 7.2.1.5); și expunerea la proceduri de infringement în temeiul articolelor 258–260 TFUE, cu penalități estimate la 200.000–800.000 EUR/zi.</w:t>
      </w:r>
    </w:p>
    <w:p w14:paraId="75E0A67A" w14:textId="77777777" w:rsidR="0027404D" w:rsidRPr="0027404D" w:rsidRDefault="0027404D" w:rsidP="0027404D">
      <w:pPr>
        <w:spacing w:after="120" w:line="240" w:lineRule="auto"/>
        <w:jc w:val="both"/>
        <w:rPr>
          <w:rFonts w:ascii="Nunito" w:hAnsi="Nunito"/>
          <w:lang w:val="ro-RO"/>
        </w:rPr>
      </w:pPr>
      <w:r>
        <w:rPr>
          <w:rFonts w:ascii="Nunito" w:hAnsi="Nunito"/>
          <w:lang w:val="ro-RO"/>
        </w:rPr>
        <w:t>Alternativa 1 presupune dezvoltarea de instalații distincte, specializate pe fluxuri, distribuite la nivel județean: stații de sortare pentru deșeuri reciclabile, instalații de compostare și/sau digestie anaerobă pentru biodeșeuri, și instalații de tratare mecanico-biologică (TMB) pentru deșeurile reziduale. Fiecare componentă funcționează independent, cu transfer fizic de materiale între amplasamente.</w:t>
      </w:r>
    </w:p>
    <w:p w14:paraId="465F9387" w14:textId="77777777" w:rsidR="0027404D" w:rsidRPr="0027404D" w:rsidRDefault="0027404D" w:rsidP="0027404D">
      <w:pPr>
        <w:spacing w:after="120" w:line="240" w:lineRule="auto"/>
        <w:jc w:val="both"/>
        <w:rPr>
          <w:rFonts w:ascii="Nunito" w:hAnsi="Nunito"/>
          <w:lang w:val="ro-RO"/>
        </w:rPr>
      </w:pPr>
      <w:r>
        <w:rPr>
          <w:rFonts w:ascii="Nunito" w:hAnsi="Nunito"/>
          <w:lang w:val="ro-RO"/>
        </w:rPr>
        <w:t xml:space="preserve">Acest model presupune un cost de investiții estimat la 2.596 milioane EUR, cu 42+ amplasamente suplimentare la nivel național. Fluxul tipic al deșeurilor traversează 2–3 amplasamente succesive (colectare </w:t>
      </w:r>
      <w:r>
        <w:rPr>
          <w:rFonts w:ascii="Times New Roman" w:hAnsi="Times New Roman" w:cs="Times New Roman"/>
          <w:lang w:val="ro-RO"/>
        </w:rPr>
        <w:t>→</w:t>
      </w:r>
      <w:r>
        <w:rPr>
          <w:rFonts w:ascii="Nunito" w:hAnsi="Nunito"/>
          <w:lang w:val="ro-RO"/>
        </w:rPr>
        <w:t xml:space="preserve"> sta</w:t>
      </w:r>
      <w:r>
        <w:rPr>
          <w:rFonts w:ascii="Nunito" w:hAnsi="Nunito" w:cs="Nunito"/>
          <w:lang w:val="ro-RO"/>
        </w:rPr>
        <w:t>ț</w:t>
      </w:r>
      <w:r>
        <w:rPr>
          <w:rFonts w:ascii="Nunito" w:hAnsi="Nunito"/>
          <w:lang w:val="ro-RO"/>
        </w:rPr>
        <w:t xml:space="preserve">ie de sortare </w:t>
      </w:r>
      <w:r>
        <w:rPr>
          <w:rFonts w:ascii="Times New Roman" w:hAnsi="Times New Roman" w:cs="Times New Roman"/>
          <w:lang w:val="ro-RO"/>
        </w:rPr>
        <w:t>→</w:t>
      </w:r>
      <w:r>
        <w:rPr>
          <w:rFonts w:ascii="Nunito" w:hAnsi="Nunito"/>
          <w:lang w:val="ro-RO"/>
        </w:rPr>
        <w:t xml:space="preserve"> instala</w:t>
      </w:r>
      <w:r>
        <w:rPr>
          <w:rFonts w:ascii="Nunito" w:hAnsi="Nunito" w:cs="Nunito"/>
          <w:lang w:val="ro-RO"/>
        </w:rPr>
        <w:t>ț</w:t>
      </w:r>
      <w:r>
        <w:rPr>
          <w:rFonts w:ascii="Nunito" w:hAnsi="Nunito"/>
          <w:lang w:val="ro-RO"/>
        </w:rPr>
        <w:t>ie biologic</w:t>
      </w:r>
      <w:r>
        <w:rPr>
          <w:rFonts w:ascii="Nunito" w:hAnsi="Nunito" w:cs="Nunito"/>
          <w:lang w:val="ro-RO"/>
        </w:rPr>
        <w:t>ă</w:t>
      </w:r>
      <w:r>
        <w:rPr>
          <w:rFonts w:ascii="Nunito" w:hAnsi="Nunito"/>
          <w:lang w:val="ro-RO"/>
        </w:rPr>
        <w:t xml:space="preserve"> </w:t>
      </w:r>
      <w:r>
        <w:rPr>
          <w:rFonts w:ascii="Times New Roman" w:hAnsi="Times New Roman" w:cs="Times New Roman"/>
          <w:lang w:val="ro-RO"/>
        </w:rPr>
        <w:t>→</w:t>
      </w:r>
      <w:r>
        <w:rPr>
          <w:rFonts w:ascii="Nunito" w:hAnsi="Nunito"/>
          <w:lang w:val="ro-RO"/>
        </w:rPr>
        <w:t xml:space="preserve"> depozit), gener</w:t>
      </w:r>
      <w:r>
        <w:rPr>
          <w:rFonts w:ascii="Nunito" w:hAnsi="Nunito" w:cs="Nunito"/>
          <w:lang w:val="ro-RO"/>
        </w:rPr>
        <w:t>â</w:t>
      </w:r>
      <w:r>
        <w:rPr>
          <w:rFonts w:ascii="Nunito" w:hAnsi="Nunito"/>
          <w:lang w:val="ro-RO"/>
        </w:rPr>
        <w:t>nd transport intermediar suplimentar estimat la 15</w:t>
      </w:r>
      <w:r>
        <w:rPr>
          <w:rFonts w:ascii="Nunito" w:hAnsi="Nunito" w:cs="Nunito"/>
          <w:lang w:val="ro-RO"/>
        </w:rPr>
        <w:t>–</w:t>
      </w:r>
      <w:r>
        <w:rPr>
          <w:rFonts w:ascii="Nunito" w:hAnsi="Nunito"/>
          <w:lang w:val="ro-RO"/>
        </w:rPr>
        <w:t>25% din tonajul-kilometru total al sistemului. Fiecare instala</w:t>
      </w:r>
      <w:r>
        <w:rPr>
          <w:rFonts w:ascii="Nunito" w:hAnsi="Nunito" w:cs="Nunito"/>
          <w:lang w:val="ro-RO"/>
        </w:rPr>
        <w:t>ț</w:t>
      </w:r>
      <w:r>
        <w:rPr>
          <w:rFonts w:ascii="Nunito" w:hAnsi="Nunito"/>
          <w:lang w:val="ro-RO"/>
        </w:rPr>
        <w:t>ie aplic</w:t>
      </w:r>
      <w:r>
        <w:rPr>
          <w:rFonts w:ascii="Nunito" w:hAnsi="Nunito" w:cs="Nunito"/>
          <w:lang w:val="ro-RO"/>
        </w:rPr>
        <w:t>ă</w:t>
      </w:r>
      <w:r>
        <w:rPr>
          <w:rFonts w:ascii="Nunito" w:hAnsi="Nunito"/>
          <w:lang w:val="ro-RO"/>
        </w:rPr>
        <w:t xml:space="preserve"> individual cerin</w:t>
      </w:r>
      <w:r>
        <w:rPr>
          <w:rFonts w:ascii="Nunito" w:hAnsi="Nunito" w:cs="Nunito"/>
          <w:lang w:val="ro-RO"/>
        </w:rPr>
        <w:t>ț</w:t>
      </w:r>
      <w:r>
        <w:rPr>
          <w:rFonts w:ascii="Nunito" w:hAnsi="Nunito"/>
          <w:lang w:val="ro-RO"/>
        </w:rPr>
        <w:t xml:space="preserve">ele BAT conform Deciziei de punere </w:t>
      </w:r>
      <w:r>
        <w:rPr>
          <w:rFonts w:ascii="Nunito" w:hAnsi="Nunito" w:cs="Nunito"/>
          <w:lang w:val="ro-RO"/>
        </w:rPr>
        <w:t>î</w:t>
      </w:r>
      <w:r>
        <w:rPr>
          <w:rFonts w:ascii="Nunito" w:hAnsi="Nunito"/>
          <w:lang w:val="ro-RO"/>
        </w:rPr>
        <w:t>n aplicare (UE) 2018/1147.</w:t>
      </w:r>
    </w:p>
    <w:p w14:paraId="5BAB6999" w14:textId="77777777" w:rsidR="0027404D" w:rsidRPr="0027404D" w:rsidRDefault="0027404D" w:rsidP="0027404D">
      <w:pPr>
        <w:spacing w:after="120" w:line="240" w:lineRule="auto"/>
        <w:jc w:val="both"/>
        <w:rPr>
          <w:rFonts w:ascii="Nunito" w:hAnsi="Nunito"/>
          <w:lang w:val="ro-RO"/>
        </w:rPr>
      </w:pPr>
      <w:r>
        <w:rPr>
          <w:rFonts w:ascii="Nunito" w:hAnsi="Nunito"/>
          <w:lang w:val="ro-RO"/>
        </w:rPr>
        <w:lastRenderedPageBreak/>
        <w:t>Alternativa 2 propune consolidarea proceselor de sortare, tratare biologică și pregătire pentru valorificare energetică într-un singur amplasament per unitate administrativă de delegare, sub forma Instalațiilor Integrate de Tratare a Deșeurilor (IITD). Conceptul IITD corespunde tendinței europene de integrare a proceselor documentată în BREF pentru Tratarea Deșeurilor (JRC, 2018, secțiunea 5.2 — Integrated waste treatment installations).</w:t>
      </w:r>
    </w:p>
    <w:p w14:paraId="59FEFE54" w14:textId="77777777" w:rsidR="0027404D" w:rsidRPr="0027404D" w:rsidRDefault="0027404D" w:rsidP="0027404D">
      <w:pPr>
        <w:spacing w:after="120" w:line="240" w:lineRule="auto"/>
        <w:jc w:val="both"/>
        <w:rPr>
          <w:rFonts w:ascii="Nunito" w:hAnsi="Nunito"/>
          <w:lang w:val="ro-RO"/>
        </w:rPr>
      </w:pPr>
      <w:r>
        <w:rPr>
          <w:rFonts w:ascii="Nunito" w:hAnsi="Nunito"/>
          <w:lang w:val="ro-RO"/>
        </w:rPr>
        <w:t>Costul de investiții estimat este de 2.023 milioane EUR — cu 22% mai redus decât Alternativa 1, datorită economiilor de scară și eliminării infrastructurii intermediare duplicate. Reducerea transportului intermediar cu 30–40% rezultă din eliminarea transferului fizic între amplasamente separate. Controlul emisiilor se realizează printr-un singur sistem centralizat de captare și tratare a gazelor, cu monitorizare unitară conform Directivei IED 2010/75/UE.</w:t>
      </w:r>
    </w:p>
    <w:p w14:paraId="266FBE00" w14:textId="77777777" w:rsidR="0027404D" w:rsidRDefault="0027404D" w:rsidP="0027404D">
      <w:pPr>
        <w:spacing w:after="120" w:line="240" w:lineRule="auto"/>
        <w:jc w:val="both"/>
        <w:rPr>
          <w:rFonts w:ascii="Nunito" w:hAnsi="Nunito"/>
          <w:lang w:val="ro-RO"/>
        </w:rPr>
      </w:pPr>
      <w:r>
        <w:rPr>
          <w:rFonts w:ascii="Nunito" w:hAnsi="Nunito"/>
          <w:lang w:val="ro-RO"/>
        </w:rPr>
        <w:t>Elementul diferențiator esențial al IITD este integrarea proceselor: linia de sortare automatizată (tehnologii NIR, senzori AI) direcționează fracțiile direct către tratarea biologică sau pregătirea RDF, fără manipulare intermediară care degradează calitatea materialelor recuperate. Această configurație atinge rate de recuperare a materialelor cu 10–15 puncte procentuale superioare sistemelor modulare, conform datelor de performanță din instalațiile integrate operaționale în Austria (Zistersdorf), Germania (Kassel) și Danemarca (Amager Bakke).</w:t>
      </w:r>
    </w:p>
    <w:p w14:paraId="27D8C58A" w14:textId="77777777" w:rsidR="006F655C" w:rsidRPr="002542A8" w:rsidRDefault="00E12732" w:rsidP="00B03DEF">
      <w:pPr>
        <w:spacing w:after="120" w:line="240" w:lineRule="auto"/>
        <w:jc w:val="both"/>
        <w:rPr>
          <w:lang w:val="ro-RO"/>
        </w:rPr>
      </w:pPr>
      <w:r>
        <w:rPr>
          <w:rFonts w:ascii="Nunito" w:hAnsi="Nunito"/>
          <w:lang w:val="ro-RO"/>
        </w:rPr>
        <w:t>În tabelul de mai jos sunt prezentate, în sinteză, cele două alternative propuse spre analiză</w:t>
      </w:r>
      <w:r>
        <w:rPr>
          <w:lang w:val="ro-RO"/>
        </w:rPr>
        <w:t>.</w:t>
      </w:r>
    </w:p>
    <w:tbl>
      <w:tblPr>
        <w:tblStyle w:val="Ramboll-Table"/>
        <w:tblW w:w="0" w:type="auto"/>
        <w:tblLook w:val="04A0" w:firstRow="1" w:lastRow="0" w:firstColumn="1" w:lastColumn="0" w:noHBand="0" w:noVBand="1"/>
      </w:tblPr>
      <w:tblGrid>
        <w:gridCol w:w="1029"/>
        <w:gridCol w:w="1186"/>
        <w:gridCol w:w="1698"/>
        <w:gridCol w:w="3546"/>
        <w:gridCol w:w="2123"/>
      </w:tblGrid>
      <w:tr w:rsidR="00B03DEF" w:rsidRPr="006639FB" w14:paraId="7C7156E2" w14:textId="77777777" w:rsidTr="00B03DEF">
        <w:trPr>
          <w:cnfStyle w:val="100000000000" w:firstRow="1" w:lastRow="0" w:firstColumn="0" w:lastColumn="0" w:oddVBand="0" w:evenVBand="0" w:oddHBand="0" w:evenHBand="0" w:firstRowFirstColumn="0" w:firstRowLastColumn="0" w:lastRowFirstColumn="0" w:lastRowLastColumn="0"/>
          <w:tblHeader/>
        </w:trPr>
        <w:tc>
          <w:tcPr>
            <w:tcW w:w="0" w:type="auto"/>
            <w:gridSpan w:val="2"/>
            <w:shd w:val="clear" w:color="auto" w:fill="D9D9D9" w:themeFill="background1" w:themeFillShade="D9"/>
          </w:tcPr>
          <w:p w14:paraId="421F1A2C" w14:textId="77777777" w:rsidR="00B03DEF" w:rsidRPr="00B03DEF" w:rsidRDefault="00B03DEF" w:rsidP="00B03DEF">
            <w:pPr>
              <w:spacing w:before="0" w:after="0" w:line="240" w:lineRule="auto"/>
              <w:rPr>
                <w:rFonts w:eastAsia="Times New Roman" w:cs="Times New Roman"/>
                <w:b/>
                <w:bCs/>
                <w:color w:val="00B0F0"/>
                <w:sz w:val="16"/>
                <w:szCs w:val="16"/>
                <w:lang w:val="ro-RO" w:eastAsia="ro-RO"/>
              </w:rPr>
            </w:pPr>
            <w:r>
              <w:rPr>
                <w:rFonts w:eastAsia="Times New Roman" w:cs="Times New Roman"/>
                <w:b/>
                <w:bCs/>
                <w:color w:val="00B0F0"/>
                <w:sz w:val="16"/>
                <w:szCs w:val="16"/>
                <w:lang w:val="ro-RO" w:eastAsia="ro-RO"/>
              </w:rPr>
              <w:t>Alternativă</w:t>
            </w:r>
          </w:p>
        </w:tc>
        <w:tc>
          <w:tcPr>
            <w:tcW w:w="0" w:type="auto"/>
            <w:shd w:val="clear" w:color="auto" w:fill="D9D9D9" w:themeFill="background1" w:themeFillShade="D9"/>
            <w:hideMark/>
          </w:tcPr>
          <w:p w14:paraId="3E3BD80F" w14:textId="77777777" w:rsidR="00B03DEF" w:rsidRPr="00B03DEF" w:rsidRDefault="00B03DEF" w:rsidP="00B03DEF">
            <w:pPr>
              <w:spacing w:before="0" w:after="0" w:line="240" w:lineRule="auto"/>
              <w:rPr>
                <w:rFonts w:eastAsia="Times New Roman" w:cs="Times New Roman"/>
                <w:b/>
                <w:bCs/>
                <w:color w:val="00B0F0"/>
                <w:sz w:val="16"/>
                <w:szCs w:val="16"/>
                <w:lang w:val="ro-RO" w:eastAsia="ro-RO"/>
              </w:rPr>
            </w:pPr>
            <w:r>
              <w:rPr>
                <w:rFonts w:eastAsia="Times New Roman" w:cs="Times New Roman"/>
                <w:b/>
                <w:bCs/>
                <w:color w:val="00B0F0"/>
                <w:sz w:val="16"/>
                <w:szCs w:val="16"/>
                <w:lang w:val="ro-RO" w:eastAsia="ro-RO"/>
              </w:rPr>
              <w:t>Elemente comune</w:t>
            </w:r>
          </w:p>
        </w:tc>
        <w:tc>
          <w:tcPr>
            <w:tcW w:w="0" w:type="auto"/>
            <w:shd w:val="clear" w:color="auto" w:fill="D9D9D9" w:themeFill="background1" w:themeFillShade="D9"/>
            <w:hideMark/>
          </w:tcPr>
          <w:p w14:paraId="18DC9BA2" w14:textId="77777777" w:rsidR="00B03DEF" w:rsidRPr="00B03DEF" w:rsidRDefault="00B03DEF" w:rsidP="00B03DEF">
            <w:pPr>
              <w:spacing w:before="0" w:after="0" w:line="240" w:lineRule="auto"/>
              <w:rPr>
                <w:rFonts w:eastAsia="Times New Roman" w:cs="Times New Roman"/>
                <w:b/>
                <w:bCs/>
                <w:color w:val="00B0F0"/>
                <w:sz w:val="16"/>
                <w:szCs w:val="16"/>
                <w:lang w:val="ro-RO" w:eastAsia="ro-RO"/>
              </w:rPr>
            </w:pPr>
            <w:r>
              <w:rPr>
                <w:rFonts w:eastAsia="Times New Roman" w:cs="Times New Roman"/>
                <w:b/>
                <w:bCs/>
                <w:color w:val="00B0F0"/>
                <w:sz w:val="16"/>
                <w:szCs w:val="16"/>
                <w:lang w:val="ro-RO" w:eastAsia="ro-RO"/>
              </w:rPr>
              <w:t>Investiții / componente definitorii</w:t>
            </w:r>
          </w:p>
        </w:tc>
        <w:tc>
          <w:tcPr>
            <w:tcW w:w="0" w:type="auto"/>
            <w:shd w:val="clear" w:color="auto" w:fill="D9D9D9" w:themeFill="background1" w:themeFillShade="D9"/>
            <w:hideMark/>
          </w:tcPr>
          <w:p w14:paraId="624B43B5" w14:textId="77777777" w:rsidR="00B03DEF" w:rsidRPr="00B03DEF" w:rsidRDefault="00B03DEF" w:rsidP="00B03DEF">
            <w:pPr>
              <w:spacing w:before="0" w:after="0" w:line="240" w:lineRule="auto"/>
              <w:rPr>
                <w:rFonts w:eastAsia="Times New Roman" w:cs="Times New Roman"/>
                <w:b/>
                <w:bCs/>
                <w:color w:val="00B0F0"/>
                <w:sz w:val="16"/>
                <w:szCs w:val="16"/>
                <w:lang w:val="ro-RO" w:eastAsia="ro-RO"/>
              </w:rPr>
            </w:pPr>
            <w:r>
              <w:rPr>
                <w:rFonts w:eastAsia="Times New Roman" w:cs="Times New Roman"/>
                <w:b/>
                <w:bCs/>
                <w:color w:val="00B0F0"/>
                <w:sz w:val="16"/>
                <w:szCs w:val="16"/>
                <w:lang w:val="ro-RO" w:eastAsia="ro-RO"/>
              </w:rPr>
              <w:t>Rezultatul urmărit (logică de intervenție)</w:t>
            </w:r>
          </w:p>
        </w:tc>
      </w:tr>
      <w:tr w:rsidR="00B03DEF" w:rsidRPr="006639FB" w14:paraId="70EF8615" w14:textId="77777777" w:rsidTr="00B03DEF">
        <w:tc>
          <w:tcPr>
            <w:tcW w:w="0" w:type="auto"/>
            <w:gridSpan w:val="2"/>
          </w:tcPr>
          <w:p w14:paraId="231F1E08"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Scenariul de referință (alternativa „zero” – comparație)</w:t>
            </w:r>
          </w:p>
        </w:tc>
        <w:tc>
          <w:tcPr>
            <w:tcW w:w="0" w:type="auto"/>
            <w:hideMark/>
          </w:tcPr>
          <w:p w14:paraId="7BCFCB2E"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Aceleași obligații generale și funcționarea curentă a sistemelor existente</w:t>
            </w:r>
          </w:p>
        </w:tc>
        <w:tc>
          <w:tcPr>
            <w:tcW w:w="0" w:type="auto"/>
            <w:hideMark/>
          </w:tcPr>
          <w:p w14:paraId="6DB29F57"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Nu presupune dezvoltări suplimentare față de nivelul de infrastructură și capacitate care ar rezulta în lipsa investițiilor noi/modernizărilor planificate</w:t>
            </w:r>
          </w:p>
        </w:tc>
        <w:tc>
          <w:tcPr>
            <w:tcW w:w="0" w:type="auto"/>
            <w:hideMark/>
          </w:tcPr>
          <w:p w14:paraId="7897C1B7"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Servește exclusiv ca bază de comparație pentru a evidenția beneficiile și diferențele dintre alternativele de dezvoltare</w:t>
            </w:r>
          </w:p>
        </w:tc>
      </w:tr>
      <w:tr w:rsidR="00B03DEF" w:rsidRPr="00083566" w14:paraId="0A23BD33" w14:textId="77777777" w:rsidTr="00B03DEF">
        <w:tc>
          <w:tcPr>
            <w:tcW w:w="0" w:type="auto"/>
            <w:vMerge w:val="restart"/>
          </w:tcPr>
          <w:p w14:paraId="2FF7D688"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Alternativa cu PNGD </w:t>
            </w:r>
          </w:p>
        </w:tc>
        <w:tc>
          <w:tcPr>
            <w:tcW w:w="0" w:type="auto"/>
            <w:hideMark/>
          </w:tcPr>
          <w:p w14:paraId="51EDDF78"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Alternativa 1 – dezvoltare separată (modulară)</w:t>
            </w:r>
          </w:p>
        </w:tc>
        <w:tc>
          <w:tcPr>
            <w:tcW w:w="0" w:type="auto"/>
            <w:hideMark/>
          </w:tcPr>
          <w:p w14:paraId="2DA2E40C"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Colectare separată pe fracții și tratare corespunzătoare pe fluxuri</w:t>
            </w:r>
          </w:p>
        </w:tc>
        <w:tc>
          <w:tcPr>
            <w:tcW w:w="0" w:type="auto"/>
            <w:hideMark/>
          </w:tcPr>
          <w:p w14:paraId="5D1377F3"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Extindere/modernizare și realizare de </w:t>
            </w:r>
            <w:r>
              <w:rPr>
                <w:rFonts w:ascii="Nunito" w:eastAsia="Times New Roman" w:hAnsi="Nunito" w:cs="Times New Roman"/>
                <w:b/>
                <w:bCs/>
                <w:sz w:val="16"/>
                <w:szCs w:val="16"/>
                <w:lang w:val="ro-RO" w:eastAsia="ro-RO"/>
              </w:rPr>
              <w:t>stații de sortare</w:t>
            </w:r>
            <w:r>
              <w:rPr>
                <w:rFonts w:ascii="Nunito" w:eastAsia="Times New Roman" w:hAnsi="Nunito" w:cs="Times New Roman"/>
                <w:sz w:val="16"/>
                <w:szCs w:val="16"/>
                <w:lang w:val="ro-RO" w:eastAsia="ro-RO"/>
              </w:rPr>
              <w:t xml:space="preserve">; extindere/realizare de </w:t>
            </w:r>
            <w:r>
              <w:rPr>
                <w:rFonts w:ascii="Nunito" w:eastAsia="Times New Roman" w:hAnsi="Nunito" w:cs="Times New Roman"/>
                <w:b/>
                <w:bCs/>
                <w:sz w:val="16"/>
                <w:szCs w:val="16"/>
                <w:lang w:val="ro-RO" w:eastAsia="ro-RO"/>
              </w:rPr>
              <w:t>instalații de compostare</w:t>
            </w:r>
            <w:r>
              <w:rPr>
                <w:rFonts w:ascii="Nunito" w:eastAsia="Times New Roman" w:hAnsi="Nunito" w:cs="Times New Roman"/>
                <w:sz w:val="16"/>
                <w:szCs w:val="16"/>
                <w:lang w:val="ro-RO" w:eastAsia="ro-RO"/>
              </w:rPr>
              <w:t xml:space="preserve"> și </w:t>
            </w:r>
            <w:r>
              <w:rPr>
                <w:rFonts w:ascii="Nunito" w:eastAsia="Times New Roman" w:hAnsi="Nunito" w:cs="Times New Roman"/>
                <w:b/>
                <w:bCs/>
                <w:sz w:val="16"/>
                <w:szCs w:val="16"/>
                <w:lang w:val="ro-RO" w:eastAsia="ro-RO"/>
              </w:rPr>
              <w:t>instalații noi de digestie anaerobă</w:t>
            </w:r>
            <w:r>
              <w:rPr>
                <w:rFonts w:ascii="Nunito" w:eastAsia="Times New Roman" w:hAnsi="Nunito" w:cs="Times New Roman"/>
                <w:sz w:val="16"/>
                <w:szCs w:val="16"/>
                <w:lang w:val="ro-RO" w:eastAsia="ro-RO"/>
              </w:rPr>
              <w:t xml:space="preserve"> pentru biodeșeuri; extindere/modernizare și realizare de </w:t>
            </w:r>
            <w:r>
              <w:rPr>
                <w:rFonts w:ascii="Nunito" w:eastAsia="Times New Roman" w:hAnsi="Nunito" w:cs="Times New Roman"/>
                <w:b/>
                <w:bCs/>
                <w:sz w:val="16"/>
                <w:szCs w:val="16"/>
                <w:lang w:val="ro-RO" w:eastAsia="ro-RO"/>
              </w:rPr>
              <w:t>instalații TMB</w:t>
            </w:r>
            <w:r>
              <w:rPr>
                <w:rFonts w:ascii="Nunito" w:eastAsia="Times New Roman" w:hAnsi="Nunito" w:cs="Times New Roman"/>
                <w:sz w:val="16"/>
                <w:szCs w:val="16"/>
                <w:lang w:val="ro-RO" w:eastAsia="ro-RO"/>
              </w:rPr>
              <w:t xml:space="preserve"> pentru deșeuri reziduale (inclusiv variante TMB care includ tratarea biodeșeurilor colectate separat)</w:t>
            </w:r>
          </w:p>
        </w:tc>
        <w:tc>
          <w:tcPr>
            <w:tcW w:w="0" w:type="auto"/>
            <w:hideMark/>
          </w:tcPr>
          <w:p w14:paraId="4EED8C14"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Consolidare graduală, pe tipuri de instalații; flexibilitate prin dezvoltare pe module și aliniere cu planificarea județeană</w:t>
            </w:r>
          </w:p>
        </w:tc>
      </w:tr>
      <w:tr w:rsidR="00B03DEF" w:rsidRPr="006639FB" w14:paraId="343DB891" w14:textId="77777777" w:rsidTr="00B03DEF">
        <w:tc>
          <w:tcPr>
            <w:tcW w:w="0" w:type="auto"/>
            <w:vMerge/>
          </w:tcPr>
          <w:p w14:paraId="181E1084"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p>
        </w:tc>
        <w:tc>
          <w:tcPr>
            <w:tcW w:w="0" w:type="auto"/>
            <w:hideMark/>
          </w:tcPr>
          <w:p w14:paraId="546C5A44"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Alternativa 2 – abordare integrată (IITD)</w:t>
            </w:r>
          </w:p>
        </w:tc>
        <w:tc>
          <w:tcPr>
            <w:tcW w:w="0" w:type="auto"/>
            <w:hideMark/>
          </w:tcPr>
          <w:p w14:paraId="5BCFB306"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Colectare separată pe fracții și tratare corespunzătoare pe fluxuri</w:t>
            </w:r>
          </w:p>
        </w:tc>
        <w:tc>
          <w:tcPr>
            <w:tcW w:w="0" w:type="auto"/>
            <w:hideMark/>
          </w:tcPr>
          <w:p w14:paraId="4A13E298"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 xml:space="preserve">Transformarea instalațiilor </w:t>
            </w:r>
            <w:r>
              <w:rPr>
                <w:rFonts w:ascii="Nunito" w:eastAsia="Times New Roman" w:hAnsi="Nunito" w:cs="Times New Roman"/>
                <w:b/>
                <w:bCs/>
                <w:sz w:val="16"/>
                <w:szCs w:val="16"/>
                <w:lang w:val="ro-RO" w:eastAsia="ro-RO"/>
              </w:rPr>
              <w:t>TMB existente în IITD</w:t>
            </w:r>
            <w:r>
              <w:rPr>
                <w:rFonts w:ascii="Nunito" w:eastAsia="Times New Roman" w:hAnsi="Nunito" w:cs="Times New Roman"/>
                <w:sz w:val="16"/>
                <w:szCs w:val="16"/>
                <w:lang w:val="ro-RO" w:eastAsia="ro-RO"/>
              </w:rPr>
              <w:t xml:space="preserve"> și realizarea de </w:t>
            </w:r>
            <w:r>
              <w:rPr>
                <w:rFonts w:ascii="Nunito" w:eastAsia="Times New Roman" w:hAnsi="Nunito" w:cs="Times New Roman"/>
                <w:b/>
                <w:bCs/>
                <w:sz w:val="16"/>
                <w:szCs w:val="16"/>
                <w:lang w:val="ro-RO" w:eastAsia="ro-RO"/>
              </w:rPr>
              <w:t>noi instalații IITD</w:t>
            </w:r>
            <w:r>
              <w:rPr>
                <w:rFonts w:ascii="Nunito" w:eastAsia="Times New Roman" w:hAnsi="Nunito" w:cs="Times New Roman"/>
                <w:sz w:val="16"/>
                <w:szCs w:val="16"/>
                <w:lang w:val="ro-RO" w:eastAsia="ro-RO"/>
              </w:rPr>
              <w:t xml:space="preserve"> acolo unde capacitățile sunt insuficiente; integrarea sortării, tratării biologice (aerobă și/sau anaerobă) și pregătirii pentru valorificare energetică într-un sistem unic</w:t>
            </w:r>
          </w:p>
        </w:tc>
        <w:tc>
          <w:tcPr>
            <w:tcW w:w="0" w:type="auto"/>
            <w:hideMark/>
          </w:tcPr>
          <w:p w14:paraId="77E8ACE5" w14:textId="77777777" w:rsidR="00B03DEF" w:rsidRPr="00B03DEF" w:rsidRDefault="00B03DEF" w:rsidP="00B03DEF">
            <w:pPr>
              <w:spacing w:before="0" w:after="0" w:line="240" w:lineRule="auto"/>
              <w:rPr>
                <w:rFonts w:ascii="Nunito" w:eastAsia="Times New Roman" w:hAnsi="Nunito" w:cs="Times New Roman"/>
                <w:sz w:val="16"/>
                <w:szCs w:val="16"/>
                <w:lang w:val="ro-RO" w:eastAsia="ro-RO"/>
              </w:rPr>
            </w:pPr>
            <w:r>
              <w:rPr>
                <w:rFonts w:ascii="Nunito" w:eastAsia="Times New Roman" w:hAnsi="Nunito" w:cs="Times New Roman"/>
                <w:sz w:val="16"/>
                <w:szCs w:val="16"/>
                <w:lang w:val="ro-RO" w:eastAsia="ro-RO"/>
              </w:rPr>
              <w:t>Integrare tehnologică pentru eficiență operațională, reducerea costurilor de transport/tratare și maximizarea valorificării materiale și energetice</w:t>
            </w:r>
          </w:p>
        </w:tc>
      </w:tr>
    </w:tbl>
    <w:p w14:paraId="3EDE5164" w14:textId="77777777" w:rsidR="00B9444A" w:rsidRDefault="00033451" w:rsidP="00B9444A">
      <w:pPr>
        <w:pStyle w:val="Heading1"/>
        <w:numPr>
          <w:ilvl w:val="0"/>
          <w:numId w:val="0"/>
        </w:numPr>
        <w:rPr>
          <w:rFonts w:ascii="Nunito" w:hAnsi="Nunito"/>
          <w:b w:val="0"/>
          <w:bCs w:val="0"/>
          <w:sz w:val="20"/>
          <w:szCs w:val="20"/>
          <w:lang w:val="ro-RO"/>
        </w:rPr>
      </w:pPr>
      <w:r>
        <w:rPr>
          <w:rFonts w:ascii="Nunito" w:hAnsi="Nunito"/>
          <w:b w:val="0"/>
          <w:bCs w:val="0"/>
          <w:sz w:val="20"/>
          <w:szCs w:val="20"/>
          <w:lang w:val="ro-RO"/>
        </w:rPr>
        <w:t>10.3 Evaluarea alternativelor</w:t>
      </w:r>
    </w:p>
    <w:p w14:paraId="71E54470" w14:textId="77777777" w:rsidR="00B9444A" w:rsidRPr="00B9444A" w:rsidRDefault="00B9444A" w:rsidP="00B9444A">
      <w:pPr>
        <w:spacing w:after="120" w:line="240" w:lineRule="auto"/>
        <w:jc w:val="both"/>
        <w:rPr>
          <w:rFonts w:ascii="Nunito" w:hAnsi="Nunito"/>
          <w:lang w:val="ro-RO"/>
        </w:rPr>
      </w:pPr>
      <w:r>
        <w:rPr>
          <w:rFonts w:ascii="Nunito" w:hAnsi="Nunito"/>
          <w:lang w:val="ro-RO"/>
        </w:rPr>
        <w:t>Evaluarea strategică de mediu (SEA) a Planului Național de Gestionare a Deșeurilor pentru perioada 2026-2035 include analiza comparativă a alternativelor de implementare, în conformitate cu cerințele Directivei 2001/42/CE și ale HG 1076/2004. Această analiză fundamentează alegerea soluției optime de dezvoltare a infrastructurii de gestionare a deșeurilor din perspectiva impactului asupra mediului și a sustenabilității pe termen lung.</w:t>
      </w:r>
    </w:p>
    <w:p w14:paraId="037F7819" w14:textId="77777777" w:rsidR="00B9444A" w:rsidRDefault="00B9444A" w:rsidP="00B9444A">
      <w:pPr>
        <w:spacing w:after="120" w:line="240" w:lineRule="auto"/>
        <w:jc w:val="both"/>
        <w:rPr>
          <w:rFonts w:ascii="Nunito" w:hAnsi="Nunito"/>
          <w:lang w:val="ro-RO"/>
        </w:rPr>
      </w:pPr>
      <w:r>
        <w:rPr>
          <w:rFonts w:ascii="Nunito" w:hAnsi="Nunito"/>
          <w:lang w:val="ro-RO"/>
        </w:rPr>
        <w:t>Analiza comparativă evaluează trei scenarii distincte în raport cu cele 17 obiective de mediu definite în cadrul SEA, utilizând o metodologie sistematică de evaluare a efectelor potențiale și de justificare a semnificației acestora..</w:t>
      </w:r>
    </w:p>
    <w:p w14:paraId="4C2F10DA" w14:textId="77777777" w:rsidR="00B9444A" w:rsidRPr="00EC31E0" w:rsidRDefault="00B9444A" w:rsidP="00B9444A">
      <w:pPr>
        <w:spacing w:after="120" w:line="240" w:lineRule="auto"/>
        <w:jc w:val="both"/>
        <w:rPr>
          <w:rFonts w:ascii="Nunito" w:hAnsi="Nunito"/>
          <w:lang w:val="ro-RO"/>
        </w:rPr>
      </w:pPr>
      <w:r w:rsidRPr="00EC31E0">
        <w:rPr>
          <w:rFonts w:ascii="Nunito" w:hAnsi="Nunito"/>
          <w:lang w:val="ro-RO"/>
        </w:rPr>
        <w:t>Evaluarea comparativă a alternativelor utilizează aceeași metodologie aplicată pentru evaluarea măsurilor PNGD, bazată pe o scară de semnificație cu cinci clase:</w:t>
      </w:r>
    </w:p>
    <w:tbl>
      <w:tblPr>
        <w:tblW w:w="9360" w:type="dxa"/>
        <w:tblBorders>
          <w:top w:val="single" w:sz="2" w:space="0" w:color="999999"/>
          <w:bottom w:val="single" w:sz="2" w:space="0" w:color="999999"/>
          <w:insideH w:val="single" w:sz="2" w:space="0" w:color="999999"/>
        </w:tblBorders>
        <w:tblCellMar>
          <w:left w:w="10" w:type="dxa"/>
          <w:right w:w="10" w:type="dxa"/>
        </w:tblCellMar>
        <w:tblLook w:val="04A0" w:firstRow="1" w:lastRow="0" w:firstColumn="1" w:lastColumn="0" w:noHBand="0" w:noVBand="1"/>
      </w:tblPr>
      <w:tblGrid>
        <w:gridCol w:w="1008"/>
        <w:gridCol w:w="784"/>
        <w:gridCol w:w="2463"/>
        <w:gridCol w:w="5105"/>
      </w:tblGrid>
      <w:tr w:rsidR="0027404D" w14:paraId="2E69B389" w14:textId="77777777" w:rsidTr="0027404D">
        <w:trPr>
          <w:tblHeader/>
        </w:trPr>
        <w:tc>
          <w:tcPr>
            <w:tcW w:w="1008" w:type="dxa"/>
            <w:shd w:val="clear" w:color="auto" w:fill="D9D9D9" w:themeFill="background1" w:themeFillShade="D9"/>
            <w:tcMar>
              <w:top w:w="60" w:type="dxa"/>
              <w:left w:w="100" w:type="dxa"/>
              <w:bottom w:w="60" w:type="dxa"/>
              <w:right w:w="100" w:type="dxa"/>
            </w:tcMar>
            <w:vAlign w:val="center"/>
          </w:tcPr>
          <w:p w14:paraId="44A656C2" w14:textId="77777777" w:rsidR="0027404D" w:rsidRPr="0027404D" w:rsidRDefault="0027404D" w:rsidP="0027404D">
            <w:pPr>
              <w:spacing w:line="240" w:lineRule="auto"/>
              <w:jc w:val="center"/>
              <w:rPr>
                <w:color w:val="00B0F0"/>
                <w:sz w:val="16"/>
                <w:szCs w:val="16"/>
              </w:rPr>
            </w:pPr>
            <w:proofErr w:type="spellStart"/>
            <w:r>
              <w:rPr>
                <w:rFonts w:ascii="Nunito" w:eastAsia="Nunito" w:hAnsi="Nunito" w:cs="Nunito"/>
                <w:b/>
                <w:bCs/>
                <w:color w:val="00B0F0"/>
                <w:sz w:val="16"/>
                <w:szCs w:val="16"/>
              </w:rPr>
              <w:t>Clasă</w:t>
            </w:r>
            <w:proofErr w:type="spellEnd"/>
          </w:p>
        </w:tc>
        <w:tc>
          <w:tcPr>
            <w:tcW w:w="784" w:type="dxa"/>
            <w:shd w:val="clear" w:color="auto" w:fill="D9D9D9" w:themeFill="background1" w:themeFillShade="D9"/>
            <w:tcMar>
              <w:top w:w="60" w:type="dxa"/>
              <w:left w:w="100" w:type="dxa"/>
              <w:bottom w:w="60" w:type="dxa"/>
              <w:right w:w="100" w:type="dxa"/>
            </w:tcMar>
            <w:vAlign w:val="center"/>
          </w:tcPr>
          <w:p w14:paraId="3C5B28F8" w14:textId="77777777" w:rsidR="0027404D" w:rsidRPr="0027404D" w:rsidRDefault="0027404D" w:rsidP="0027404D">
            <w:pPr>
              <w:spacing w:line="240" w:lineRule="auto"/>
              <w:jc w:val="center"/>
              <w:rPr>
                <w:color w:val="00B0F0"/>
                <w:sz w:val="16"/>
                <w:szCs w:val="16"/>
              </w:rPr>
            </w:pPr>
            <w:r>
              <w:rPr>
                <w:rFonts w:ascii="Nunito" w:eastAsia="Nunito" w:hAnsi="Nunito" w:cs="Nunito"/>
                <w:b/>
                <w:bCs/>
                <w:color w:val="00B0F0"/>
                <w:sz w:val="16"/>
                <w:szCs w:val="16"/>
              </w:rPr>
              <w:t>Scor</w:t>
            </w:r>
          </w:p>
        </w:tc>
        <w:tc>
          <w:tcPr>
            <w:tcW w:w="2463" w:type="dxa"/>
            <w:shd w:val="clear" w:color="auto" w:fill="D9D9D9" w:themeFill="background1" w:themeFillShade="D9"/>
            <w:tcMar>
              <w:top w:w="60" w:type="dxa"/>
              <w:left w:w="100" w:type="dxa"/>
              <w:bottom w:w="60" w:type="dxa"/>
              <w:right w:w="100" w:type="dxa"/>
            </w:tcMar>
            <w:vAlign w:val="center"/>
          </w:tcPr>
          <w:p w14:paraId="103F796E" w14:textId="77777777" w:rsidR="0027404D" w:rsidRPr="0027404D" w:rsidRDefault="0027404D" w:rsidP="0027404D">
            <w:pPr>
              <w:spacing w:line="240" w:lineRule="auto"/>
              <w:rPr>
                <w:color w:val="00B0F0"/>
                <w:sz w:val="16"/>
                <w:szCs w:val="16"/>
              </w:rPr>
            </w:pPr>
            <w:proofErr w:type="spellStart"/>
            <w:r>
              <w:rPr>
                <w:rFonts w:ascii="Nunito" w:eastAsia="Nunito" w:hAnsi="Nunito" w:cs="Nunito"/>
                <w:b/>
                <w:bCs/>
                <w:color w:val="00B0F0"/>
                <w:sz w:val="16"/>
                <w:szCs w:val="16"/>
              </w:rPr>
              <w:t>Denumire</w:t>
            </w:r>
            <w:proofErr w:type="spellEnd"/>
          </w:p>
        </w:tc>
        <w:tc>
          <w:tcPr>
            <w:tcW w:w="5105" w:type="dxa"/>
            <w:shd w:val="clear" w:color="auto" w:fill="D9D9D9" w:themeFill="background1" w:themeFillShade="D9"/>
            <w:tcMar>
              <w:top w:w="60" w:type="dxa"/>
              <w:left w:w="100" w:type="dxa"/>
              <w:bottom w:w="60" w:type="dxa"/>
              <w:right w:w="100" w:type="dxa"/>
            </w:tcMar>
            <w:vAlign w:val="center"/>
          </w:tcPr>
          <w:p w14:paraId="6E222170" w14:textId="77777777" w:rsidR="0027404D" w:rsidRPr="0027404D" w:rsidRDefault="0027404D" w:rsidP="0027404D">
            <w:pPr>
              <w:spacing w:line="240" w:lineRule="auto"/>
              <w:rPr>
                <w:color w:val="00B0F0"/>
                <w:sz w:val="16"/>
                <w:szCs w:val="16"/>
              </w:rPr>
            </w:pPr>
            <w:proofErr w:type="spellStart"/>
            <w:r>
              <w:rPr>
                <w:rFonts w:ascii="Nunito" w:eastAsia="Nunito" w:hAnsi="Nunito" w:cs="Nunito"/>
                <w:b/>
                <w:bCs/>
                <w:color w:val="00B0F0"/>
                <w:sz w:val="16"/>
                <w:szCs w:val="16"/>
              </w:rPr>
              <w:t>Semnificație</w:t>
            </w:r>
            <w:proofErr w:type="spellEnd"/>
          </w:p>
        </w:tc>
      </w:tr>
      <w:tr w:rsidR="0027404D" w14:paraId="2AFA1F9D" w14:textId="77777777" w:rsidTr="0027404D">
        <w:trPr>
          <w:trHeight w:val="19"/>
        </w:trPr>
        <w:tc>
          <w:tcPr>
            <w:tcW w:w="1008" w:type="dxa"/>
            <w:shd w:val="clear" w:color="auto" w:fill="D4EDDA"/>
            <w:tcMar>
              <w:top w:w="60" w:type="dxa"/>
              <w:left w:w="100" w:type="dxa"/>
              <w:bottom w:w="60" w:type="dxa"/>
              <w:right w:w="100" w:type="dxa"/>
            </w:tcMar>
            <w:vAlign w:val="center"/>
          </w:tcPr>
          <w:p w14:paraId="28194D56" w14:textId="77777777" w:rsidR="0027404D" w:rsidRPr="0027404D" w:rsidRDefault="0027404D" w:rsidP="0027404D">
            <w:pPr>
              <w:spacing w:line="240" w:lineRule="auto"/>
              <w:jc w:val="center"/>
              <w:rPr>
                <w:sz w:val="16"/>
                <w:szCs w:val="16"/>
              </w:rPr>
            </w:pPr>
            <w:r>
              <w:rPr>
                <w:rFonts w:ascii="Nunito" w:eastAsia="Nunito" w:hAnsi="Nunito" w:cs="Nunito"/>
                <w:b/>
                <w:bCs/>
                <w:color w:val="000000"/>
                <w:sz w:val="16"/>
                <w:szCs w:val="16"/>
              </w:rPr>
              <w:t>EPS</w:t>
            </w:r>
          </w:p>
        </w:tc>
        <w:tc>
          <w:tcPr>
            <w:tcW w:w="784" w:type="dxa"/>
            <w:shd w:val="clear" w:color="auto" w:fill="D4EDDA"/>
            <w:tcMar>
              <w:top w:w="60" w:type="dxa"/>
              <w:left w:w="100" w:type="dxa"/>
              <w:bottom w:w="60" w:type="dxa"/>
              <w:right w:w="100" w:type="dxa"/>
            </w:tcMar>
            <w:vAlign w:val="center"/>
          </w:tcPr>
          <w:p w14:paraId="6DB8A96A" w14:textId="77777777" w:rsidR="0027404D" w:rsidRPr="0027404D" w:rsidRDefault="0027404D" w:rsidP="0027404D">
            <w:pPr>
              <w:spacing w:line="240" w:lineRule="auto"/>
              <w:jc w:val="center"/>
              <w:rPr>
                <w:sz w:val="16"/>
                <w:szCs w:val="16"/>
              </w:rPr>
            </w:pPr>
            <w:r>
              <w:rPr>
                <w:rFonts w:ascii="Nunito" w:eastAsia="Nunito" w:hAnsi="Nunito" w:cs="Nunito"/>
                <w:color w:val="000000"/>
                <w:sz w:val="16"/>
                <w:szCs w:val="16"/>
              </w:rPr>
              <w:t>+2</w:t>
            </w:r>
          </w:p>
        </w:tc>
        <w:tc>
          <w:tcPr>
            <w:tcW w:w="2463" w:type="dxa"/>
            <w:shd w:val="clear" w:color="auto" w:fill="D4EDDA"/>
            <w:tcMar>
              <w:top w:w="60" w:type="dxa"/>
              <w:left w:w="100" w:type="dxa"/>
              <w:bottom w:w="60" w:type="dxa"/>
              <w:right w:w="100" w:type="dxa"/>
            </w:tcMar>
            <w:vAlign w:val="center"/>
          </w:tcPr>
          <w:p w14:paraId="60484B28" w14:textId="77777777" w:rsidR="0027404D" w:rsidRPr="0027404D" w:rsidRDefault="0027404D" w:rsidP="0027404D">
            <w:pPr>
              <w:spacing w:line="240" w:lineRule="auto"/>
              <w:rPr>
                <w:sz w:val="16"/>
                <w:szCs w:val="16"/>
              </w:rPr>
            </w:pPr>
            <w:proofErr w:type="spellStart"/>
            <w:r>
              <w:rPr>
                <w:rFonts w:ascii="Nunito" w:eastAsia="Nunito" w:hAnsi="Nunito" w:cs="Nunito"/>
                <w:color w:val="000000"/>
                <w:sz w:val="16"/>
                <w:szCs w:val="16"/>
              </w:rPr>
              <w:t>Efect</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Pozitiv</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Semnificativ</w:t>
            </w:r>
            <w:proofErr w:type="spellEnd"/>
          </w:p>
        </w:tc>
        <w:tc>
          <w:tcPr>
            <w:tcW w:w="5105" w:type="dxa"/>
            <w:shd w:val="clear" w:color="auto" w:fill="D4EDDA"/>
            <w:tcMar>
              <w:top w:w="60" w:type="dxa"/>
              <w:left w:w="100" w:type="dxa"/>
              <w:bottom w:w="60" w:type="dxa"/>
              <w:right w:w="100" w:type="dxa"/>
            </w:tcMar>
            <w:vAlign w:val="center"/>
          </w:tcPr>
          <w:p w14:paraId="50781CEA" w14:textId="77777777" w:rsidR="0027404D" w:rsidRPr="0027404D" w:rsidRDefault="0027404D" w:rsidP="0027404D">
            <w:pPr>
              <w:spacing w:line="240" w:lineRule="auto"/>
              <w:rPr>
                <w:sz w:val="16"/>
                <w:szCs w:val="16"/>
              </w:rPr>
            </w:pPr>
            <w:proofErr w:type="spellStart"/>
            <w:r>
              <w:rPr>
                <w:rFonts w:ascii="Nunito" w:eastAsia="Nunito" w:hAnsi="Nunito" w:cs="Nunito"/>
                <w:color w:val="000000"/>
                <w:sz w:val="16"/>
                <w:szCs w:val="16"/>
              </w:rPr>
              <w:t>Contribuție</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substanțială</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și</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măsurabilă</w:t>
            </w:r>
            <w:proofErr w:type="spellEnd"/>
            <w:r>
              <w:rPr>
                <w:rFonts w:ascii="Nunito" w:eastAsia="Nunito" w:hAnsi="Nunito" w:cs="Nunito"/>
                <w:color w:val="000000"/>
                <w:sz w:val="16"/>
                <w:szCs w:val="16"/>
              </w:rPr>
              <w:t xml:space="preserve"> la </w:t>
            </w:r>
            <w:proofErr w:type="spellStart"/>
            <w:r>
              <w:rPr>
                <w:rFonts w:ascii="Nunito" w:eastAsia="Nunito" w:hAnsi="Nunito" w:cs="Nunito"/>
                <w:color w:val="000000"/>
                <w:sz w:val="16"/>
                <w:szCs w:val="16"/>
              </w:rPr>
              <w:t>atingerea</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obiectivului</w:t>
            </w:r>
            <w:proofErr w:type="spellEnd"/>
          </w:p>
        </w:tc>
      </w:tr>
      <w:tr w:rsidR="0027404D" w:rsidRPr="006639FB" w14:paraId="06E50BF5" w14:textId="77777777" w:rsidTr="0027404D">
        <w:trPr>
          <w:trHeight w:val="19"/>
        </w:trPr>
        <w:tc>
          <w:tcPr>
            <w:tcW w:w="1008" w:type="dxa"/>
            <w:shd w:val="clear" w:color="auto" w:fill="E8F5E9"/>
            <w:tcMar>
              <w:top w:w="60" w:type="dxa"/>
              <w:left w:w="100" w:type="dxa"/>
              <w:bottom w:w="60" w:type="dxa"/>
              <w:right w:w="100" w:type="dxa"/>
            </w:tcMar>
            <w:vAlign w:val="center"/>
          </w:tcPr>
          <w:p w14:paraId="589BA55F" w14:textId="77777777" w:rsidR="0027404D" w:rsidRPr="0027404D" w:rsidRDefault="0027404D" w:rsidP="0027404D">
            <w:pPr>
              <w:spacing w:line="240" w:lineRule="auto"/>
              <w:jc w:val="center"/>
              <w:rPr>
                <w:sz w:val="16"/>
                <w:szCs w:val="16"/>
              </w:rPr>
            </w:pPr>
            <w:r>
              <w:rPr>
                <w:rFonts w:ascii="Nunito" w:eastAsia="Nunito" w:hAnsi="Nunito" w:cs="Nunito"/>
                <w:b/>
                <w:bCs/>
                <w:color w:val="000000"/>
                <w:sz w:val="16"/>
                <w:szCs w:val="16"/>
              </w:rPr>
              <w:t>EPN</w:t>
            </w:r>
          </w:p>
        </w:tc>
        <w:tc>
          <w:tcPr>
            <w:tcW w:w="784" w:type="dxa"/>
            <w:shd w:val="clear" w:color="auto" w:fill="E8F5E9"/>
            <w:tcMar>
              <w:top w:w="60" w:type="dxa"/>
              <w:left w:w="100" w:type="dxa"/>
              <w:bottom w:w="60" w:type="dxa"/>
              <w:right w:w="100" w:type="dxa"/>
            </w:tcMar>
            <w:vAlign w:val="center"/>
          </w:tcPr>
          <w:p w14:paraId="66241775" w14:textId="77777777" w:rsidR="0027404D" w:rsidRPr="0027404D" w:rsidRDefault="0027404D" w:rsidP="0027404D">
            <w:pPr>
              <w:spacing w:line="240" w:lineRule="auto"/>
              <w:jc w:val="center"/>
              <w:rPr>
                <w:sz w:val="16"/>
                <w:szCs w:val="16"/>
              </w:rPr>
            </w:pPr>
            <w:r>
              <w:rPr>
                <w:rFonts w:ascii="Nunito" w:eastAsia="Nunito" w:hAnsi="Nunito" w:cs="Nunito"/>
                <w:color w:val="000000"/>
                <w:sz w:val="16"/>
                <w:szCs w:val="16"/>
              </w:rPr>
              <w:t>+1</w:t>
            </w:r>
          </w:p>
        </w:tc>
        <w:tc>
          <w:tcPr>
            <w:tcW w:w="2463" w:type="dxa"/>
            <w:shd w:val="clear" w:color="auto" w:fill="E8F5E9"/>
            <w:tcMar>
              <w:top w:w="60" w:type="dxa"/>
              <w:left w:w="100" w:type="dxa"/>
              <w:bottom w:w="60" w:type="dxa"/>
              <w:right w:w="100" w:type="dxa"/>
            </w:tcMar>
            <w:vAlign w:val="center"/>
          </w:tcPr>
          <w:p w14:paraId="11A4DD91" w14:textId="77777777" w:rsidR="0027404D" w:rsidRPr="0027404D" w:rsidRDefault="0027404D" w:rsidP="0027404D">
            <w:pPr>
              <w:spacing w:line="240" w:lineRule="auto"/>
              <w:rPr>
                <w:sz w:val="16"/>
                <w:szCs w:val="16"/>
              </w:rPr>
            </w:pPr>
            <w:proofErr w:type="spellStart"/>
            <w:r>
              <w:rPr>
                <w:rFonts w:ascii="Nunito" w:eastAsia="Nunito" w:hAnsi="Nunito" w:cs="Nunito"/>
                <w:color w:val="000000"/>
                <w:sz w:val="16"/>
                <w:szCs w:val="16"/>
              </w:rPr>
              <w:t>Efect</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Pozitiv</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Nesemnificativ</w:t>
            </w:r>
            <w:proofErr w:type="spellEnd"/>
          </w:p>
        </w:tc>
        <w:tc>
          <w:tcPr>
            <w:tcW w:w="5105" w:type="dxa"/>
            <w:shd w:val="clear" w:color="auto" w:fill="E8F5E9"/>
            <w:tcMar>
              <w:top w:w="60" w:type="dxa"/>
              <w:left w:w="100" w:type="dxa"/>
              <w:bottom w:w="60" w:type="dxa"/>
              <w:right w:w="100" w:type="dxa"/>
            </w:tcMar>
            <w:vAlign w:val="center"/>
          </w:tcPr>
          <w:p w14:paraId="7CD4B307" w14:textId="77777777" w:rsidR="0027404D" w:rsidRPr="00EC31E0" w:rsidRDefault="0027404D" w:rsidP="0027404D">
            <w:pPr>
              <w:spacing w:line="240" w:lineRule="auto"/>
              <w:rPr>
                <w:sz w:val="16"/>
                <w:szCs w:val="16"/>
                <w:lang w:val="pt-PT"/>
              </w:rPr>
            </w:pPr>
            <w:r w:rsidRPr="00EC31E0">
              <w:rPr>
                <w:rFonts w:ascii="Nunito" w:eastAsia="Nunito" w:hAnsi="Nunito" w:cs="Nunito"/>
                <w:color w:val="000000"/>
                <w:sz w:val="16"/>
                <w:szCs w:val="16"/>
                <w:lang w:val="pt-PT"/>
              </w:rPr>
              <w:t>Contribuție reală, sub pragul de semnificație sau indirectă</w:t>
            </w:r>
          </w:p>
        </w:tc>
      </w:tr>
      <w:tr w:rsidR="0027404D" w:rsidRPr="006639FB" w14:paraId="01D729EF" w14:textId="77777777" w:rsidTr="0027404D">
        <w:trPr>
          <w:trHeight w:val="19"/>
        </w:trPr>
        <w:tc>
          <w:tcPr>
            <w:tcW w:w="1008" w:type="dxa"/>
            <w:shd w:val="clear" w:color="auto" w:fill="F5F5F5"/>
            <w:tcMar>
              <w:top w:w="60" w:type="dxa"/>
              <w:left w:w="100" w:type="dxa"/>
              <w:bottom w:w="60" w:type="dxa"/>
              <w:right w:w="100" w:type="dxa"/>
            </w:tcMar>
            <w:vAlign w:val="center"/>
          </w:tcPr>
          <w:p w14:paraId="1C086596" w14:textId="77777777" w:rsidR="0027404D" w:rsidRPr="0027404D" w:rsidRDefault="0027404D" w:rsidP="0027404D">
            <w:pPr>
              <w:spacing w:line="240" w:lineRule="auto"/>
              <w:jc w:val="center"/>
              <w:rPr>
                <w:sz w:val="16"/>
                <w:szCs w:val="16"/>
              </w:rPr>
            </w:pPr>
            <w:r>
              <w:rPr>
                <w:rFonts w:ascii="Nunito" w:eastAsia="Nunito" w:hAnsi="Nunito" w:cs="Nunito"/>
                <w:b/>
                <w:bCs/>
                <w:color w:val="000000"/>
                <w:sz w:val="16"/>
                <w:szCs w:val="16"/>
              </w:rPr>
              <w:t>FE</w:t>
            </w:r>
          </w:p>
        </w:tc>
        <w:tc>
          <w:tcPr>
            <w:tcW w:w="784" w:type="dxa"/>
            <w:shd w:val="clear" w:color="auto" w:fill="F5F5F5"/>
            <w:tcMar>
              <w:top w:w="60" w:type="dxa"/>
              <w:left w:w="100" w:type="dxa"/>
              <w:bottom w:w="60" w:type="dxa"/>
              <w:right w:w="100" w:type="dxa"/>
            </w:tcMar>
            <w:vAlign w:val="center"/>
          </w:tcPr>
          <w:p w14:paraId="092DEC16" w14:textId="77777777" w:rsidR="0027404D" w:rsidRPr="0027404D" w:rsidRDefault="0027404D" w:rsidP="0027404D">
            <w:pPr>
              <w:spacing w:line="240" w:lineRule="auto"/>
              <w:jc w:val="center"/>
              <w:rPr>
                <w:sz w:val="16"/>
                <w:szCs w:val="16"/>
              </w:rPr>
            </w:pPr>
            <w:r>
              <w:rPr>
                <w:rFonts w:ascii="Nunito" w:eastAsia="Nunito" w:hAnsi="Nunito" w:cs="Nunito"/>
                <w:color w:val="000000"/>
                <w:sz w:val="16"/>
                <w:szCs w:val="16"/>
              </w:rPr>
              <w:t>0</w:t>
            </w:r>
          </w:p>
        </w:tc>
        <w:tc>
          <w:tcPr>
            <w:tcW w:w="2463" w:type="dxa"/>
            <w:shd w:val="clear" w:color="auto" w:fill="F5F5F5"/>
            <w:tcMar>
              <w:top w:w="60" w:type="dxa"/>
              <w:left w:w="100" w:type="dxa"/>
              <w:bottom w:w="60" w:type="dxa"/>
              <w:right w:w="100" w:type="dxa"/>
            </w:tcMar>
            <w:vAlign w:val="center"/>
          </w:tcPr>
          <w:p w14:paraId="41C6AB22" w14:textId="77777777" w:rsidR="0027404D" w:rsidRPr="0027404D" w:rsidRDefault="0027404D" w:rsidP="0027404D">
            <w:pPr>
              <w:spacing w:line="240" w:lineRule="auto"/>
              <w:rPr>
                <w:sz w:val="16"/>
                <w:szCs w:val="16"/>
              </w:rPr>
            </w:pPr>
            <w:proofErr w:type="spellStart"/>
            <w:r>
              <w:rPr>
                <w:rFonts w:ascii="Nunito" w:eastAsia="Nunito" w:hAnsi="Nunito" w:cs="Nunito"/>
                <w:color w:val="000000"/>
                <w:sz w:val="16"/>
                <w:szCs w:val="16"/>
              </w:rPr>
              <w:t>Fără</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Efect</w:t>
            </w:r>
            <w:proofErr w:type="spellEnd"/>
          </w:p>
        </w:tc>
        <w:tc>
          <w:tcPr>
            <w:tcW w:w="5105" w:type="dxa"/>
            <w:shd w:val="clear" w:color="auto" w:fill="F5F5F5"/>
            <w:tcMar>
              <w:top w:w="60" w:type="dxa"/>
              <w:left w:w="100" w:type="dxa"/>
              <w:bottom w:w="60" w:type="dxa"/>
              <w:right w:w="100" w:type="dxa"/>
            </w:tcMar>
            <w:vAlign w:val="center"/>
          </w:tcPr>
          <w:p w14:paraId="7DA01875" w14:textId="77777777" w:rsidR="0027404D" w:rsidRPr="00EC31E0" w:rsidRDefault="0027404D" w:rsidP="0027404D">
            <w:pPr>
              <w:spacing w:line="240" w:lineRule="auto"/>
              <w:rPr>
                <w:sz w:val="16"/>
                <w:szCs w:val="16"/>
                <w:lang w:val="pt-PT"/>
              </w:rPr>
            </w:pPr>
            <w:r w:rsidRPr="00EC31E0">
              <w:rPr>
                <w:rFonts w:ascii="Nunito" w:eastAsia="Nunito" w:hAnsi="Nunito" w:cs="Nunito"/>
                <w:color w:val="000000"/>
                <w:sz w:val="16"/>
                <w:szCs w:val="16"/>
                <w:lang w:val="pt-PT"/>
              </w:rPr>
              <w:t>Absența unui mecanism cauzal relevant</w:t>
            </w:r>
          </w:p>
        </w:tc>
      </w:tr>
      <w:tr w:rsidR="0027404D" w14:paraId="60D028D0" w14:textId="77777777" w:rsidTr="0027404D">
        <w:trPr>
          <w:trHeight w:val="19"/>
        </w:trPr>
        <w:tc>
          <w:tcPr>
            <w:tcW w:w="1008" w:type="dxa"/>
            <w:shd w:val="clear" w:color="auto" w:fill="FEF3CD"/>
            <w:tcMar>
              <w:top w:w="60" w:type="dxa"/>
              <w:left w:w="100" w:type="dxa"/>
              <w:bottom w:w="60" w:type="dxa"/>
              <w:right w:w="100" w:type="dxa"/>
            </w:tcMar>
            <w:vAlign w:val="center"/>
          </w:tcPr>
          <w:p w14:paraId="367058D1" w14:textId="77777777" w:rsidR="0027404D" w:rsidRPr="0027404D" w:rsidRDefault="0027404D" w:rsidP="0027404D">
            <w:pPr>
              <w:spacing w:line="240" w:lineRule="auto"/>
              <w:jc w:val="center"/>
              <w:rPr>
                <w:sz w:val="16"/>
                <w:szCs w:val="16"/>
              </w:rPr>
            </w:pPr>
            <w:r>
              <w:rPr>
                <w:rFonts w:ascii="Nunito" w:eastAsia="Nunito" w:hAnsi="Nunito" w:cs="Nunito"/>
                <w:b/>
                <w:bCs/>
                <w:color w:val="000000"/>
                <w:sz w:val="16"/>
                <w:szCs w:val="16"/>
              </w:rPr>
              <w:t>ENN</w:t>
            </w:r>
          </w:p>
        </w:tc>
        <w:tc>
          <w:tcPr>
            <w:tcW w:w="784" w:type="dxa"/>
            <w:shd w:val="clear" w:color="auto" w:fill="FEF3CD"/>
            <w:tcMar>
              <w:top w:w="60" w:type="dxa"/>
              <w:left w:w="100" w:type="dxa"/>
              <w:bottom w:w="60" w:type="dxa"/>
              <w:right w:w="100" w:type="dxa"/>
            </w:tcMar>
            <w:vAlign w:val="center"/>
          </w:tcPr>
          <w:p w14:paraId="0F0C1D1A" w14:textId="77777777" w:rsidR="0027404D" w:rsidRPr="0027404D" w:rsidRDefault="0027404D" w:rsidP="0027404D">
            <w:pPr>
              <w:spacing w:line="240" w:lineRule="auto"/>
              <w:jc w:val="center"/>
              <w:rPr>
                <w:sz w:val="16"/>
                <w:szCs w:val="16"/>
              </w:rPr>
            </w:pPr>
            <w:r>
              <w:rPr>
                <w:rFonts w:ascii="Nunito" w:eastAsia="Nunito" w:hAnsi="Nunito" w:cs="Nunito"/>
                <w:color w:val="000000"/>
                <w:sz w:val="16"/>
                <w:szCs w:val="16"/>
              </w:rPr>
              <w:t>–1</w:t>
            </w:r>
          </w:p>
        </w:tc>
        <w:tc>
          <w:tcPr>
            <w:tcW w:w="2463" w:type="dxa"/>
            <w:shd w:val="clear" w:color="auto" w:fill="FEF3CD"/>
            <w:tcMar>
              <w:top w:w="60" w:type="dxa"/>
              <w:left w:w="100" w:type="dxa"/>
              <w:bottom w:w="60" w:type="dxa"/>
              <w:right w:w="100" w:type="dxa"/>
            </w:tcMar>
            <w:vAlign w:val="center"/>
          </w:tcPr>
          <w:p w14:paraId="5EC52A63" w14:textId="77777777" w:rsidR="0027404D" w:rsidRPr="0027404D" w:rsidRDefault="0027404D" w:rsidP="0027404D">
            <w:pPr>
              <w:spacing w:line="240" w:lineRule="auto"/>
              <w:rPr>
                <w:sz w:val="16"/>
                <w:szCs w:val="16"/>
              </w:rPr>
            </w:pPr>
            <w:proofErr w:type="spellStart"/>
            <w:r>
              <w:rPr>
                <w:rFonts w:ascii="Nunito" w:eastAsia="Nunito" w:hAnsi="Nunito" w:cs="Nunito"/>
                <w:color w:val="000000"/>
                <w:sz w:val="16"/>
                <w:szCs w:val="16"/>
              </w:rPr>
              <w:t>Efect</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Negativ</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Nesemnificativ</w:t>
            </w:r>
            <w:proofErr w:type="spellEnd"/>
          </w:p>
        </w:tc>
        <w:tc>
          <w:tcPr>
            <w:tcW w:w="5105" w:type="dxa"/>
            <w:shd w:val="clear" w:color="auto" w:fill="FEF3CD"/>
            <w:tcMar>
              <w:top w:w="60" w:type="dxa"/>
              <w:left w:w="100" w:type="dxa"/>
              <w:bottom w:w="60" w:type="dxa"/>
              <w:right w:w="100" w:type="dxa"/>
            </w:tcMar>
            <w:vAlign w:val="center"/>
          </w:tcPr>
          <w:p w14:paraId="4CF7FDCB" w14:textId="77777777" w:rsidR="0027404D" w:rsidRPr="0027404D" w:rsidRDefault="0027404D" w:rsidP="0027404D">
            <w:pPr>
              <w:spacing w:line="240" w:lineRule="auto"/>
              <w:rPr>
                <w:sz w:val="16"/>
                <w:szCs w:val="16"/>
              </w:rPr>
            </w:pPr>
            <w:r>
              <w:rPr>
                <w:rFonts w:ascii="Nunito" w:eastAsia="Nunito" w:hAnsi="Nunito" w:cs="Nunito"/>
                <w:color w:val="000000"/>
                <w:sz w:val="16"/>
                <w:szCs w:val="16"/>
              </w:rPr>
              <w:t xml:space="preserve">Impact </w:t>
            </w:r>
            <w:proofErr w:type="spellStart"/>
            <w:r>
              <w:rPr>
                <w:rFonts w:ascii="Nunito" w:eastAsia="Nunito" w:hAnsi="Nunito" w:cs="Nunito"/>
                <w:color w:val="000000"/>
                <w:sz w:val="16"/>
                <w:szCs w:val="16"/>
              </w:rPr>
              <w:t>negativ</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gestionabil</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prin</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practici</w:t>
            </w:r>
            <w:proofErr w:type="spellEnd"/>
            <w:r>
              <w:rPr>
                <w:rFonts w:ascii="Nunito" w:eastAsia="Nunito" w:hAnsi="Nunito" w:cs="Nunito"/>
                <w:color w:val="000000"/>
                <w:sz w:val="16"/>
                <w:szCs w:val="16"/>
              </w:rPr>
              <w:t xml:space="preserve"> standard</w:t>
            </w:r>
          </w:p>
        </w:tc>
      </w:tr>
      <w:tr w:rsidR="0027404D" w14:paraId="597F1E13" w14:textId="77777777" w:rsidTr="0027404D">
        <w:tc>
          <w:tcPr>
            <w:tcW w:w="1008" w:type="dxa"/>
            <w:shd w:val="clear" w:color="auto" w:fill="FDE8E8"/>
            <w:tcMar>
              <w:top w:w="60" w:type="dxa"/>
              <w:left w:w="100" w:type="dxa"/>
              <w:bottom w:w="60" w:type="dxa"/>
              <w:right w:w="100" w:type="dxa"/>
            </w:tcMar>
            <w:vAlign w:val="center"/>
          </w:tcPr>
          <w:p w14:paraId="2CBAAC20" w14:textId="77777777" w:rsidR="0027404D" w:rsidRPr="0027404D" w:rsidRDefault="0027404D" w:rsidP="0027404D">
            <w:pPr>
              <w:spacing w:line="240" w:lineRule="auto"/>
              <w:jc w:val="center"/>
              <w:rPr>
                <w:sz w:val="16"/>
                <w:szCs w:val="16"/>
              </w:rPr>
            </w:pPr>
            <w:r>
              <w:rPr>
                <w:rFonts w:ascii="Nunito" w:eastAsia="Nunito" w:hAnsi="Nunito" w:cs="Nunito"/>
                <w:b/>
                <w:bCs/>
                <w:color w:val="000000"/>
                <w:sz w:val="16"/>
                <w:szCs w:val="16"/>
              </w:rPr>
              <w:lastRenderedPageBreak/>
              <w:t>ENS</w:t>
            </w:r>
          </w:p>
        </w:tc>
        <w:tc>
          <w:tcPr>
            <w:tcW w:w="784" w:type="dxa"/>
            <w:shd w:val="clear" w:color="auto" w:fill="FDE8E8"/>
            <w:tcMar>
              <w:top w:w="60" w:type="dxa"/>
              <w:left w:w="100" w:type="dxa"/>
              <w:bottom w:w="60" w:type="dxa"/>
              <w:right w:w="100" w:type="dxa"/>
            </w:tcMar>
            <w:vAlign w:val="center"/>
          </w:tcPr>
          <w:p w14:paraId="106A0512" w14:textId="77777777" w:rsidR="0027404D" w:rsidRPr="0027404D" w:rsidRDefault="0027404D" w:rsidP="0027404D">
            <w:pPr>
              <w:spacing w:line="240" w:lineRule="auto"/>
              <w:jc w:val="center"/>
              <w:rPr>
                <w:sz w:val="16"/>
                <w:szCs w:val="16"/>
              </w:rPr>
            </w:pPr>
            <w:r>
              <w:rPr>
                <w:rFonts w:ascii="Nunito" w:eastAsia="Nunito" w:hAnsi="Nunito" w:cs="Nunito"/>
                <w:color w:val="000000"/>
                <w:sz w:val="16"/>
                <w:szCs w:val="16"/>
              </w:rPr>
              <w:t>–2</w:t>
            </w:r>
          </w:p>
        </w:tc>
        <w:tc>
          <w:tcPr>
            <w:tcW w:w="2463" w:type="dxa"/>
            <w:shd w:val="clear" w:color="auto" w:fill="FDE8E8"/>
            <w:tcMar>
              <w:top w:w="60" w:type="dxa"/>
              <w:left w:w="100" w:type="dxa"/>
              <w:bottom w:w="60" w:type="dxa"/>
              <w:right w:w="100" w:type="dxa"/>
            </w:tcMar>
            <w:vAlign w:val="center"/>
          </w:tcPr>
          <w:p w14:paraId="4E5134EB" w14:textId="77777777" w:rsidR="0027404D" w:rsidRPr="0027404D" w:rsidRDefault="0027404D" w:rsidP="0027404D">
            <w:pPr>
              <w:spacing w:line="240" w:lineRule="auto"/>
              <w:rPr>
                <w:sz w:val="16"/>
                <w:szCs w:val="16"/>
              </w:rPr>
            </w:pPr>
            <w:proofErr w:type="spellStart"/>
            <w:r>
              <w:rPr>
                <w:rFonts w:ascii="Nunito" w:eastAsia="Nunito" w:hAnsi="Nunito" w:cs="Nunito"/>
                <w:color w:val="000000"/>
                <w:sz w:val="16"/>
                <w:szCs w:val="16"/>
              </w:rPr>
              <w:t>Efect</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Negativ</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Semnificativ</w:t>
            </w:r>
            <w:proofErr w:type="spellEnd"/>
          </w:p>
        </w:tc>
        <w:tc>
          <w:tcPr>
            <w:tcW w:w="5105" w:type="dxa"/>
            <w:shd w:val="clear" w:color="auto" w:fill="FDE8E8"/>
            <w:tcMar>
              <w:top w:w="60" w:type="dxa"/>
              <w:left w:w="100" w:type="dxa"/>
              <w:bottom w:w="60" w:type="dxa"/>
              <w:right w:w="100" w:type="dxa"/>
            </w:tcMar>
            <w:vAlign w:val="center"/>
          </w:tcPr>
          <w:p w14:paraId="1C67E9C0" w14:textId="77777777" w:rsidR="0027404D" w:rsidRPr="0027404D" w:rsidRDefault="0027404D" w:rsidP="0027404D">
            <w:pPr>
              <w:spacing w:line="240" w:lineRule="auto"/>
              <w:rPr>
                <w:sz w:val="16"/>
                <w:szCs w:val="16"/>
              </w:rPr>
            </w:pPr>
            <w:r>
              <w:rPr>
                <w:rFonts w:ascii="Nunito" w:eastAsia="Nunito" w:hAnsi="Nunito" w:cs="Nunito"/>
                <w:color w:val="000000"/>
                <w:sz w:val="16"/>
                <w:szCs w:val="16"/>
              </w:rPr>
              <w:t xml:space="preserve">Impact </w:t>
            </w:r>
            <w:proofErr w:type="spellStart"/>
            <w:r>
              <w:rPr>
                <w:rFonts w:ascii="Nunito" w:eastAsia="Nunito" w:hAnsi="Nunito" w:cs="Nunito"/>
                <w:color w:val="000000"/>
                <w:sz w:val="16"/>
                <w:szCs w:val="16"/>
              </w:rPr>
              <w:t>negativ</w:t>
            </w:r>
            <w:proofErr w:type="spellEnd"/>
            <w:r>
              <w:rPr>
                <w:rFonts w:ascii="Nunito" w:eastAsia="Nunito" w:hAnsi="Nunito" w:cs="Nunito"/>
                <w:color w:val="000000"/>
                <w:sz w:val="16"/>
                <w:szCs w:val="16"/>
              </w:rPr>
              <w:t xml:space="preserve"> major, </w:t>
            </w:r>
            <w:proofErr w:type="spellStart"/>
            <w:r>
              <w:rPr>
                <w:rFonts w:ascii="Nunito" w:eastAsia="Nunito" w:hAnsi="Nunito" w:cs="Nunito"/>
                <w:color w:val="000000"/>
                <w:sz w:val="16"/>
                <w:szCs w:val="16"/>
              </w:rPr>
              <w:t>necesitând</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măsuri</w:t>
            </w:r>
            <w:proofErr w:type="spellEnd"/>
            <w:r>
              <w:rPr>
                <w:rFonts w:ascii="Nunito" w:eastAsia="Nunito" w:hAnsi="Nunito" w:cs="Nunito"/>
                <w:color w:val="000000"/>
                <w:sz w:val="16"/>
                <w:szCs w:val="16"/>
              </w:rPr>
              <w:t xml:space="preserve"> </w:t>
            </w:r>
            <w:proofErr w:type="spellStart"/>
            <w:r>
              <w:rPr>
                <w:rFonts w:ascii="Nunito" w:eastAsia="Nunito" w:hAnsi="Nunito" w:cs="Nunito"/>
                <w:color w:val="000000"/>
                <w:sz w:val="16"/>
                <w:szCs w:val="16"/>
              </w:rPr>
              <w:t>obligatorii</w:t>
            </w:r>
            <w:proofErr w:type="spellEnd"/>
            <w:r>
              <w:rPr>
                <w:rFonts w:ascii="Nunito" w:eastAsia="Nunito" w:hAnsi="Nunito" w:cs="Nunito"/>
                <w:color w:val="000000"/>
                <w:sz w:val="16"/>
                <w:szCs w:val="16"/>
              </w:rPr>
              <w:t xml:space="preserve"> de </w:t>
            </w:r>
            <w:proofErr w:type="spellStart"/>
            <w:r>
              <w:rPr>
                <w:rFonts w:ascii="Nunito" w:eastAsia="Nunito" w:hAnsi="Nunito" w:cs="Nunito"/>
                <w:color w:val="000000"/>
                <w:sz w:val="16"/>
                <w:szCs w:val="16"/>
              </w:rPr>
              <w:t>atenuare</w:t>
            </w:r>
            <w:proofErr w:type="spellEnd"/>
          </w:p>
        </w:tc>
      </w:tr>
    </w:tbl>
    <w:p w14:paraId="7CB1A8FF" w14:textId="77777777" w:rsidR="0027404D" w:rsidRDefault="0027404D" w:rsidP="00B9444A">
      <w:pPr>
        <w:spacing w:after="120" w:line="240" w:lineRule="auto"/>
        <w:jc w:val="both"/>
        <w:rPr>
          <w:rFonts w:ascii="Nunito" w:hAnsi="Nunito"/>
        </w:rPr>
      </w:pPr>
    </w:p>
    <w:p w14:paraId="46AD46A2" w14:textId="77777777" w:rsidR="0027404D" w:rsidRPr="0027404D" w:rsidRDefault="0027404D" w:rsidP="0027404D">
      <w:pPr>
        <w:spacing w:after="120" w:line="240" w:lineRule="auto"/>
        <w:jc w:val="both"/>
        <w:rPr>
          <w:rFonts w:ascii="Nunito" w:hAnsi="Nunito"/>
          <w:lang w:val="ro-RO"/>
        </w:rPr>
      </w:pPr>
      <w:r>
        <w:rPr>
          <w:rFonts w:ascii="Nunito" w:hAnsi="Nunito"/>
          <w:lang w:val="ro-RO"/>
        </w:rPr>
        <w:t>Criteriile de semnificație aplicate sunt cele detaliate în secțiunea 7.1.3: magnitudinea și reversibilitatea efectului, extensia spațială, durata, sensibilitatea receptorilor, caracterul cumulativ și relația cu indicatorii aferenți obiectivului. Atribuirea claselor urmează arborele decizional din secțiunea 7.1.6, asigurând consistență cu evaluarea din Capitolul 7.</w:t>
      </w:r>
    </w:p>
    <w:p w14:paraId="72A724A0" w14:textId="77777777" w:rsidR="00EC31E0" w:rsidRDefault="00EC31E0" w:rsidP="00EE1141">
      <w:pPr>
        <w:spacing w:after="120" w:line="240" w:lineRule="auto"/>
        <w:jc w:val="both"/>
        <w:rPr>
          <w:rFonts w:ascii="Nunito" w:hAnsi="Nunito"/>
          <w:lang w:val="ro-RO"/>
        </w:rPr>
      </w:pPr>
      <w:r w:rsidRPr="00EC31E0">
        <w:rPr>
          <w:rFonts w:ascii="Nunito" w:hAnsi="Nunito"/>
          <w:lang w:val="ro-RO"/>
        </w:rPr>
        <w:t>Tabelul de mai jos prezintă scorurile agregate atribuite fiecărei alternative pe fiecare dintre cele 19 obiective de mediu finale, împreună cu scorul total. Justificarea tehnică detaliată a fiecărui scor este prezentată în secțiunea 10.3.4.</w:t>
      </w:r>
    </w:p>
    <w:p w14:paraId="1D46832F" w14:textId="18759A24" w:rsidR="00EE1141" w:rsidRPr="00033451" w:rsidRDefault="00EE1141" w:rsidP="00EE1141">
      <w:pPr>
        <w:spacing w:after="120" w:line="240" w:lineRule="auto"/>
        <w:jc w:val="both"/>
        <w:rPr>
          <w:rFonts w:ascii="Nunito" w:hAnsi="Nunito"/>
          <w:b/>
          <w:bCs/>
          <w:color w:val="00B0F0"/>
          <w:lang w:val="ro-RO"/>
        </w:rPr>
      </w:pPr>
      <w:r>
        <w:rPr>
          <w:rFonts w:ascii="Nunito" w:hAnsi="Nunito"/>
          <w:b/>
          <w:bCs/>
          <w:color w:val="00B0F0"/>
          <w:lang w:val="ro-RO"/>
        </w:rPr>
        <w:t>MATRICEA COMPARATIVĂ A ALTERNATIVELOR</w:t>
      </w:r>
    </w:p>
    <w:tbl>
      <w:tblPr>
        <w:tblStyle w:val="Ramboll-Table"/>
        <w:tblW w:w="9285" w:type="dxa"/>
        <w:tblLook w:val="04A0" w:firstRow="1" w:lastRow="0" w:firstColumn="1" w:lastColumn="0" w:noHBand="0" w:noVBand="1"/>
      </w:tblPr>
      <w:tblGrid>
        <w:gridCol w:w="1485"/>
        <w:gridCol w:w="3401"/>
        <w:gridCol w:w="1364"/>
        <w:gridCol w:w="1673"/>
        <w:gridCol w:w="1362"/>
      </w:tblGrid>
      <w:tr w:rsidR="00EC31E0" w14:paraId="385D70A4" w14:textId="77777777" w:rsidTr="00EC31E0">
        <w:trPr>
          <w:cnfStyle w:val="100000000000" w:firstRow="1" w:lastRow="0" w:firstColumn="0" w:lastColumn="0" w:oddVBand="0" w:evenVBand="0" w:oddHBand="0" w:evenHBand="0" w:firstRowFirstColumn="0" w:firstRowLastColumn="0" w:lastRowFirstColumn="0" w:lastRowLastColumn="0"/>
          <w:trHeight w:val="713"/>
        </w:trPr>
        <w:tc>
          <w:tcPr>
            <w:tcW w:w="1485" w:type="dxa"/>
            <w:shd w:val="clear" w:color="auto" w:fill="00B0F0"/>
          </w:tcPr>
          <w:p w14:paraId="3E747548" w14:textId="77777777" w:rsidR="00EC31E0" w:rsidRDefault="00EC31E0" w:rsidP="00F12D89">
            <w:pPr>
              <w:jc w:val="center"/>
            </w:pPr>
            <w:r>
              <w:rPr>
                <w:rFonts w:eastAsia="Verdana" w:cs="Verdana"/>
                <w:b/>
                <w:bCs/>
                <w:color w:val="FFFFFF"/>
                <w:sz w:val="17"/>
                <w:szCs w:val="17"/>
              </w:rPr>
              <w:t>Cod OM</w:t>
            </w:r>
          </w:p>
        </w:tc>
        <w:tc>
          <w:tcPr>
            <w:tcW w:w="3401" w:type="dxa"/>
            <w:shd w:val="clear" w:color="auto" w:fill="00B0F0"/>
          </w:tcPr>
          <w:p w14:paraId="14C419FC" w14:textId="77777777" w:rsidR="00EC31E0" w:rsidRDefault="00EC31E0" w:rsidP="00F12D89">
            <w:pPr>
              <w:jc w:val="center"/>
            </w:pPr>
            <w:r>
              <w:rPr>
                <w:rFonts w:eastAsia="Verdana" w:cs="Verdana"/>
                <w:b/>
                <w:bCs/>
                <w:color w:val="FFFFFF"/>
                <w:sz w:val="17"/>
                <w:szCs w:val="17"/>
              </w:rPr>
              <w:t xml:space="preserve">Aspect de </w:t>
            </w:r>
            <w:proofErr w:type="spellStart"/>
            <w:r>
              <w:rPr>
                <w:rFonts w:eastAsia="Verdana" w:cs="Verdana"/>
                <w:b/>
                <w:bCs/>
                <w:color w:val="FFFFFF"/>
                <w:sz w:val="17"/>
                <w:szCs w:val="17"/>
              </w:rPr>
              <w:t>mediu</w:t>
            </w:r>
            <w:proofErr w:type="spellEnd"/>
          </w:p>
        </w:tc>
        <w:tc>
          <w:tcPr>
            <w:tcW w:w="1364" w:type="dxa"/>
            <w:shd w:val="clear" w:color="auto" w:fill="00B0F0"/>
          </w:tcPr>
          <w:p w14:paraId="42258F52" w14:textId="77777777" w:rsidR="00EC31E0" w:rsidRDefault="00EC31E0" w:rsidP="00F12D89">
            <w:pPr>
              <w:jc w:val="center"/>
            </w:pPr>
            <w:r>
              <w:rPr>
                <w:rFonts w:eastAsia="Verdana" w:cs="Verdana"/>
                <w:b/>
                <w:bCs/>
                <w:color w:val="FFFFFF"/>
                <w:sz w:val="17"/>
                <w:szCs w:val="17"/>
              </w:rPr>
              <w:t>Alt. 0 (</w:t>
            </w:r>
            <w:proofErr w:type="spellStart"/>
            <w:r>
              <w:rPr>
                <w:rFonts w:eastAsia="Verdana" w:cs="Verdana"/>
                <w:b/>
                <w:bCs/>
                <w:color w:val="FFFFFF"/>
                <w:sz w:val="17"/>
                <w:szCs w:val="17"/>
              </w:rPr>
              <w:t>fără</w:t>
            </w:r>
            <w:proofErr w:type="spellEnd"/>
            <w:r>
              <w:rPr>
                <w:rFonts w:eastAsia="Verdana" w:cs="Verdana"/>
                <w:b/>
                <w:bCs/>
                <w:color w:val="FFFFFF"/>
                <w:sz w:val="17"/>
                <w:szCs w:val="17"/>
              </w:rPr>
              <w:t xml:space="preserve"> PNGD)</w:t>
            </w:r>
          </w:p>
        </w:tc>
        <w:tc>
          <w:tcPr>
            <w:tcW w:w="1673" w:type="dxa"/>
            <w:shd w:val="clear" w:color="auto" w:fill="00B0F0"/>
          </w:tcPr>
          <w:p w14:paraId="35F80E2A" w14:textId="77777777" w:rsidR="00EC31E0" w:rsidRDefault="00EC31E0" w:rsidP="00F12D89">
            <w:pPr>
              <w:jc w:val="center"/>
            </w:pPr>
            <w:r>
              <w:rPr>
                <w:rFonts w:eastAsia="Verdana" w:cs="Verdana"/>
                <w:b/>
                <w:bCs/>
                <w:color w:val="FFFFFF"/>
                <w:sz w:val="17"/>
                <w:szCs w:val="17"/>
              </w:rPr>
              <w:t>Alt. 1 (</w:t>
            </w:r>
            <w:proofErr w:type="spellStart"/>
            <w:r>
              <w:rPr>
                <w:rFonts w:eastAsia="Verdana" w:cs="Verdana"/>
                <w:b/>
                <w:bCs/>
                <w:color w:val="FFFFFF"/>
                <w:sz w:val="17"/>
                <w:szCs w:val="17"/>
              </w:rPr>
              <w:t>modulară</w:t>
            </w:r>
            <w:proofErr w:type="spellEnd"/>
            <w:r>
              <w:rPr>
                <w:rFonts w:eastAsia="Verdana" w:cs="Verdana"/>
                <w:b/>
                <w:bCs/>
                <w:color w:val="FFFFFF"/>
                <w:sz w:val="17"/>
                <w:szCs w:val="17"/>
              </w:rPr>
              <w:t>)</w:t>
            </w:r>
          </w:p>
        </w:tc>
        <w:tc>
          <w:tcPr>
            <w:tcW w:w="1362" w:type="dxa"/>
            <w:shd w:val="clear" w:color="auto" w:fill="00B0F0"/>
          </w:tcPr>
          <w:p w14:paraId="08441EC7" w14:textId="77777777" w:rsidR="00EC31E0" w:rsidRDefault="00EC31E0" w:rsidP="00F12D89">
            <w:pPr>
              <w:jc w:val="center"/>
            </w:pPr>
            <w:r>
              <w:rPr>
                <w:rFonts w:eastAsia="Verdana" w:cs="Verdana"/>
                <w:b/>
                <w:bCs/>
                <w:color w:val="FFFFFF"/>
                <w:sz w:val="17"/>
                <w:szCs w:val="17"/>
              </w:rPr>
              <w:t>Alt. 2 (IITD)</w:t>
            </w:r>
          </w:p>
        </w:tc>
      </w:tr>
      <w:tr w:rsidR="00EC31E0" w14:paraId="54B908EE" w14:textId="77777777" w:rsidTr="00EC31E0">
        <w:trPr>
          <w:trHeight w:val="232"/>
        </w:trPr>
        <w:tc>
          <w:tcPr>
            <w:tcW w:w="1485" w:type="dxa"/>
          </w:tcPr>
          <w:p w14:paraId="73B70DD4" w14:textId="251F2D5B" w:rsidR="00EC31E0" w:rsidRDefault="00EC31E0" w:rsidP="00EC31E0">
            <w:pPr>
              <w:jc w:val="center"/>
            </w:pPr>
            <w:r w:rsidRPr="00822FF2">
              <w:rPr>
                <w:rFonts w:ascii="Nunito" w:eastAsia="Times New Roman" w:hAnsi="Nunito" w:cs="Calibri"/>
                <w:b/>
                <w:bCs/>
                <w:color w:val="2E75B6"/>
                <w:sz w:val="16"/>
                <w:szCs w:val="16"/>
                <w:lang w:val="ro-RO" w:eastAsia="ro-RO"/>
              </w:rPr>
              <w:t>OM1</w:t>
            </w:r>
          </w:p>
        </w:tc>
        <w:tc>
          <w:tcPr>
            <w:tcW w:w="3401" w:type="dxa"/>
          </w:tcPr>
          <w:p w14:paraId="509A7E71" w14:textId="1A96FC05" w:rsidR="00EC31E0" w:rsidRPr="004A5D70" w:rsidRDefault="00EC31E0" w:rsidP="00EC31E0">
            <w:pPr>
              <w:rPr>
                <w:lang w:val="pt-PT"/>
              </w:rPr>
            </w:pPr>
            <w:r w:rsidRPr="00822FF2">
              <w:rPr>
                <w:rFonts w:ascii="Nunito" w:eastAsia="Times New Roman" w:hAnsi="Nunito" w:cs="Calibri"/>
                <w:b/>
                <w:bCs/>
                <w:sz w:val="16"/>
                <w:szCs w:val="16"/>
                <w:lang w:val="ro-RO" w:eastAsia="ro-RO"/>
              </w:rPr>
              <w:t>Apă</w:t>
            </w:r>
          </w:p>
        </w:tc>
        <w:tc>
          <w:tcPr>
            <w:tcW w:w="1364" w:type="dxa"/>
          </w:tcPr>
          <w:p w14:paraId="51F19BC7" w14:textId="77777777" w:rsidR="00EC31E0" w:rsidRDefault="00EC31E0" w:rsidP="00EC31E0">
            <w:pPr>
              <w:jc w:val="center"/>
            </w:pPr>
            <w:r>
              <w:rPr>
                <w:rFonts w:eastAsia="Verdana" w:cs="Verdana"/>
                <w:b/>
                <w:bCs/>
                <w:color w:val="C0392B"/>
                <w:sz w:val="18"/>
              </w:rPr>
              <w:t>–2</w:t>
            </w:r>
          </w:p>
        </w:tc>
        <w:tc>
          <w:tcPr>
            <w:tcW w:w="1673" w:type="dxa"/>
          </w:tcPr>
          <w:p w14:paraId="3CF1FC42" w14:textId="77777777" w:rsidR="00EC31E0" w:rsidRDefault="00EC31E0" w:rsidP="00EC31E0">
            <w:pPr>
              <w:jc w:val="center"/>
            </w:pPr>
            <w:r>
              <w:rPr>
                <w:rFonts w:eastAsia="Verdana" w:cs="Verdana"/>
                <w:b/>
                <w:bCs/>
                <w:color w:val="27AE60"/>
                <w:sz w:val="18"/>
              </w:rPr>
              <w:t>+1</w:t>
            </w:r>
          </w:p>
        </w:tc>
        <w:tc>
          <w:tcPr>
            <w:tcW w:w="1362" w:type="dxa"/>
          </w:tcPr>
          <w:p w14:paraId="2A673716" w14:textId="77777777" w:rsidR="00EC31E0" w:rsidRDefault="00EC31E0" w:rsidP="00EC31E0">
            <w:pPr>
              <w:jc w:val="center"/>
            </w:pPr>
            <w:r>
              <w:rPr>
                <w:rFonts w:eastAsia="Verdana" w:cs="Verdana"/>
                <w:b/>
                <w:bCs/>
                <w:color w:val="1E8449"/>
                <w:sz w:val="18"/>
              </w:rPr>
              <w:t>+2</w:t>
            </w:r>
          </w:p>
        </w:tc>
      </w:tr>
      <w:tr w:rsidR="00EC31E0" w14:paraId="4861DBC7" w14:textId="77777777" w:rsidTr="00EC31E0">
        <w:trPr>
          <w:trHeight w:val="246"/>
        </w:trPr>
        <w:tc>
          <w:tcPr>
            <w:tcW w:w="1485" w:type="dxa"/>
          </w:tcPr>
          <w:p w14:paraId="5998664E" w14:textId="4CA17B07" w:rsidR="00EC31E0" w:rsidRDefault="00EC31E0" w:rsidP="00EC31E0">
            <w:pPr>
              <w:jc w:val="center"/>
            </w:pPr>
            <w:r w:rsidRPr="00822FF2">
              <w:rPr>
                <w:rFonts w:ascii="Nunito" w:eastAsia="Times New Roman" w:hAnsi="Nunito" w:cs="Calibri"/>
                <w:b/>
                <w:bCs/>
                <w:color w:val="2E75B6"/>
                <w:sz w:val="16"/>
                <w:szCs w:val="16"/>
                <w:lang w:val="ro-RO" w:eastAsia="ro-RO"/>
              </w:rPr>
              <w:t>OM2</w:t>
            </w:r>
          </w:p>
        </w:tc>
        <w:tc>
          <w:tcPr>
            <w:tcW w:w="3401" w:type="dxa"/>
          </w:tcPr>
          <w:p w14:paraId="4699A1FE" w14:textId="26BF43F5" w:rsidR="00EC31E0" w:rsidRPr="004A5D70" w:rsidRDefault="00EC31E0" w:rsidP="00EC31E0">
            <w:pPr>
              <w:rPr>
                <w:lang w:val="pt-PT"/>
              </w:rPr>
            </w:pPr>
            <w:r w:rsidRPr="00822FF2">
              <w:rPr>
                <w:rFonts w:ascii="Nunito" w:eastAsia="Times New Roman" w:hAnsi="Nunito" w:cs="Calibri"/>
                <w:b/>
                <w:bCs/>
                <w:sz w:val="16"/>
                <w:szCs w:val="16"/>
                <w:lang w:val="ro-RO" w:eastAsia="ro-RO"/>
              </w:rPr>
              <w:t>Apă</w:t>
            </w:r>
          </w:p>
        </w:tc>
        <w:tc>
          <w:tcPr>
            <w:tcW w:w="1364" w:type="dxa"/>
          </w:tcPr>
          <w:p w14:paraId="0EE85715" w14:textId="77777777" w:rsidR="00EC31E0" w:rsidRDefault="00EC31E0" w:rsidP="00EC31E0">
            <w:pPr>
              <w:jc w:val="center"/>
            </w:pPr>
            <w:r>
              <w:rPr>
                <w:rFonts w:eastAsia="Verdana" w:cs="Verdana"/>
                <w:b/>
                <w:bCs/>
                <w:color w:val="E67E22"/>
                <w:sz w:val="18"/>
              </w:rPr>
              <w:t>–1</w:t>
            </w:r>
          </w:p>
        </w:tc>
        <w:tc>
          <w:tcPr>
            <w:tcW w:w="1673" w:type="dxa"/>
          </w:tcPr>
          <w:p w14:paraId="026170E3" w14:textId="77777777" w:rsidR="00EC31E0" w:rsidRDefault="00EC31E0" w:rsidP="00EC31E0">
            <w:pPr>
              <w:jc w:val="center"/>
            </w:pPr>
            <w:r>
              <w:rPr>
                <w:rFonts w:eastAsia="Verdana" w:cs="Verdana"/>
                <w:b/>
                <w:bCs/>
                <w:color w:val="27AE60"/>
                <w:sz w:val="18"/>
              </w:rPr>
              <w:t>+1</w:t>
            </w:r>
          </w:p>
        </w:tc>
        <w:tc>
          <w:tcPr>
            <w:tcW w:w="1362" w:type="dxa"/>
          </w:tcPr>
          <w:p w14:paraId="6F34670A" w14:textId="77777777" w:rsidR="00EC31E0" w:rsidRDefault="00EC31E0" w:rsidP="00EC31E0">
            <w:pPr>
              <w:jc w:val="center"/>
            </w:pPr>
            <w:r>
              <w:rPr>
                <w:rFonts w:eastAsia="Verdana" w:cs="Verdana"/>
                <w:b/>
                <w:bCs/>
                <w:color w:val="27AE60"/>
                <w:sz w:val="18"/>
              </w:rPr>
              <w:t>+1</w:t>
            </w:r>
          </w:p>
        </w:tc>
      </w:tr>
      <w:tr w:rsidR="00EC31E0" w14:paraId="4D223706" w14:textId="77777777" w:rsidTr="00EC31E0">
        <w:trPr>
          <w:trHeight w:val="232"/>
        </w:trPr>
        <w:tc>
          <w:tcPr>
            <w:tcW w:w="1485" w:type="dxa"/>
          </w:tcPr>
          <w:p w14:paraId="6D39367C" w14:textId="71A7A3E0" w:rsidR="00EC31E0" w:rsidRDefault="00EC31E0" w:rsidP="00EC31E0">
            <w:pPr>
              <w:jc w:val="center"/>
            </w:pPr>
            <w:r w:rsidRPr="00822FF2">
              <w:rPr>
                <w:rFonts w:ascii="Nunito" w:eastAsia="Times New Roman" w:hAnsi="Nunito" w:cs="Calibri"/>
                <w:b/>
                <w:bCs/>
                <w:color w:val="2E75B6"/>
                <w:sz w:val="16"/>
                <w:szCs w:val="16"/>
                <w:lang w:val="ro-RO" w:eastAsia="ro-RO"/>
              </w:rPr>
              <w:t>OM3</w:t>
            </w:r>
          </w:p>
        </w:tc>
        <w:tc>
          <w:tcPr>
            <w:tcW w:w="3401" w:type="dxa"/>
          </w:tcPr>
          <w:p w14:paraId="46EC210B" w14:textId="0089D31A" w:rsidR="00EC31E0" w:rsidRDefault="00EC31E0" w:rsidP="00EC31E0">
            <w:r w:rsidRPr="00822FF2">
              <w:rPr>
                <w:rFonts w:ascii="Nunito" w:eastAsia="Times New Roman" w:hAnsi="Nunito" w:cs="Calibri"/>
                <w:b/>
                <w:bCs/>
                <w:sz w:val="16"/>
                <w:szCs w:val="16"/>
                <w:lang w:val="ro-RO" w:eastAsia="ro-RO"/>
              </w:rPr>
              <w:t>Aer</w:t>
            </w:r>
          </w:p>
        </w:tc>
        <w:tc>
          <w:tcPr>
            <w:tcW w:w="1364" w:type="dxa"/>
          </w:tcPr>
          <w:p w14:paraId="6BBC6F58" w14:textId="77777777" w:rsidR="00EC31E0" w:rsidRDefault="00EC31E0" w:rsidP="00EC31E0">
            <w:pPr>
              <w:jc w:val="center"/>
            </w:pPr>
            <w:r>
              <w:rPr>
                <w:rFonts w:eastAsia="Verdana" w:cs="Verdana"/>
                <w:b/>
                <w:bCs/>
                <w:color w:val="C0392B"/>
                <w:sz w:val="18"/>
              </w:rPr>
              <w:t>–2</w:t>
            </w:r>
          </w:p>
        </w:tc>
        <w:tc>
          <w:tcPr>
            <w:tcW w:w="1673" w:type="dxa"/>
          </w:tcPr>
          <w:p w14:paraId="370886B2" w14:textId="77777777" w:rsidR="00EC31E0" w:rsidRDefault="00EC31E0" w:rsidP="00EC31E0">
            <w:pPr>
              <w:jc w:val="center"/>
            </w:pPr>
            <w:r>
              <w:rPr>
                <w:rFonts w:eastAsia="Verdana" w:cs="Verdana"/>
                <w:b/>
                <w:bCs/>
                <w:color w:val="27AE60"/>
                <w:sz w:val="18"/>
              </w:rPr>
              <w:t>+1</w:t>
            </w:r>
          </w:p>
        </w:tc>
        <w:tc>
          <w:tcPr>
            <w:tcW w:w="1362" w:type="dxa"/>
          </w:tcPr>
          <w:p w14:paraId="5D241ABA" w14:textId="77777777" w:rsidR="00EC31E0" w:rsidRDefault="00EC31E0" w:rsidP="00EC31E0">
            <w:pPr>
              <w:jc w:val="center"/>
            </w:pPr>
            <w:r>
              <w:rPr>
                <w:rFonts w:eastAsia="Verdana" w:cs="Verdana"/>
                <w:b/>
                <w:bCs/>
                <w:color w:val="1E8449"/>
                <w:sz w:val="18"/>
              </w:rPr>
              <w:t>+2</w:t>
            </w:r>
          </w:p>
        </w:tc>
      </w:tr>
      <w:tr w:rsidR="00EC31E0" w14:paraId="368BED71" w14:textId="77777777" w:rsidTr="00EC31E0">
        <w:trPr>
          <w:trHeight w:val="232"/>
        </w:trPr>
        <w:tc>
          <w:tcPr>
            <w:tcW w:w="1485" w:type="dxa"/>
          </w:tcPr>
          <w:p w14:paraId="34A5B8C6" w14:textId="0043B83B" w:rsidR="00EC31E0" w:rsidRDefault="00EC31E0" w:rsidP="00EC31E0">
            <w:pPr>
              <w:jc w:val="center"/>
            </w:pPr>
            <w:r w:rsidRPr="00822FF2">
              <w:rPr>
                <w:rFonts w:ascii="Nunito" w:eastAsia="Times New Roman" w:hAnsi="Nunito" w:cs="Calibri"/>
                <w:b/>
                <w:bCs/>
                <w:color w:val="2E75B6"/>
                <w:sz w:val="16"/>
                <w:szCs w:val="16"/>
                <w:lang w:val="ro-RO" w:eastAsia="ro-RO"/>
              </w:rPr>
              <w:t>OM4</w:t>
            </w:r>
          </w:p>
        </w:tc>
        <w:tc>
          <w:tcPr>
            <w:tcW w:w="3401" w:type="dxa"/>
          </w:tcPr>
          <w:p w14:paraId="54AE445E" w14:textId="21348E4D" w:rsidR="00EC31E0" w:rsidRDefault="00EC31E0" w:rsidP="00EC31E0">
            <w:r w:rsidRPr="00822FF2">
              <w:rPr>
                <w:rFonts w:ascii="Nunito" w:eastAsia="Times New Roman" w:hAnsi="Nunito" w:cs="Calibri"/>
                <w:b/>
                <w:bCs/>
                <w:sz w:val="16"/>
                <w:szCs w:val="16"/>
                <w:lang w:val="ro-RO" w:eastAsia="ro-RO"/>
              </w:rPr>
              <w:t>Sol</w:t>
            </w:r>
          </w:p>
        </w:tc>
        <w:tc>
          <w:tcPr>
            <w:tcW w:w="1364" w:type="dxa"/>
          </w:tcPr>
          <w:p w14:paraId="3C81AC15" w14:textId="77777777" w:rsidR="00EC31E0" w:rsidRDefault="00EC31E0" w:rsidP="00EC31E0">
            <w:pPr>
              <w:jc w:val="center"/>
            </w:pPr>
            <w:r>
              <w:rPr>
                <w:rFonts w:eastAsia="Verdana" w:cs="Verdana"/>
                <w:b/>
                <w:bCs/>
                <w:color w:val="C0392B"/>
                <w:sz w:val="18"/>
              </w:rPr>
              <w:t>–2</w:t>
            </w:r>
          </w:p>
        </w:tc>
        <w:tc>
          <w:tcPr>
            <w:tcW w:w="1673" w:type="dxa"/>
          </w:tcPr>
          <w:p w14:paraId="55B3649D" w14:textId="77777777" w:rsidR="00EC31E0" w:rsidRDefault="00EC31E0" w:rsidP="00EC31E0">
            <w:pPr>
              <w:jc w:val="center"/>
            </w:pPr>
            <w:r>
              <w:rPr>
                <w:rFonts w:eastAsia="Verdana" w:cs="Verdana"/>
                <w:b/>
                <w:bCs/>
                <w:color w:val="27AE60"/>
                <w:sz w:val="18"/>
              </w:rPr>
              <w:t>+1</w:t>
            </w:r>
          </w:p>
        </w:tc>
        <w:tc>
          <w:tcPr>
            <w:tcW w:w="1362" w:type="dxa"/>
          </w:tcPr>
          <w:p w14:paraId="5E27C3B5" w14:textId="77777777" w:rsidR="00EC31E0" w:rsidRDefault="00EC31E0" w:rsidP="00EC31E0">
            <w:pPr>
              <w:jc w:val="center"/>
            </w:pPr>
            <w:r>
              <w:rPr>
                <w:rFonts w:eastAsia="Verdana" w:cs="Verdana"/>
                <w:b/>
                <w:bCs/>
                <w:color w:val="27AE60"/>
                <w:sz w:val="18"/>
              </w:rPr>
              <w:t>+1</w:t>
            </w:r>
          </w:p>
        </w:tc>
      </w:tr>
      <w:tr w:rsidR="00EC31E0" w14:paraId="3222E28F" w14:textId="77777777" w:rsidTr="00EC31E0">
        <w:trPr>
          <w:trHeight w:val="246"/>
        </w:trPr>
        <w:tc>
          <w:tcPr>
            <w:tcW w:w="1485" w:type="dxa"/>
          </w:tcPr>
          <w:p w14:paraId="3120D71A" w14:textId="611E85E4" w:rsidR="00EC31E0" w:rsidRDefault="00EC31E0" w:rsidP="00EC31E0">
            <w:pPr>
              <w:jc w:val="center"/>
            </w:pPr>
            <w:r w:rsidRPr="00822FF2">
              <w:rPr>
                <w:rFonts w:ascii="Nunito" w:eastAsia="Times New Roman" w:hAnsi="Nunito" w:cs="Calibri"/>
                <w:b/>
                <w:bCs/>
                <w:color w:val="2E75B6"/>
                <w:sz w:val="16"/>
                <w:szCs w:val="16"/>
                <w:lang w:val="ro-RO" w:eastAsia="ro-RO"/>
              </w:rPr>
              <w:t>OM5</w:t>
            </w:r>
          </w:p>
        </w:tc>
        <w:tc>
          <w:tcPr>
            <w:tcW w:w="3401" w:type="dxa"/>
          </w:tcPr>
          <w:p w14:paraId="53E8CC1F" w14:textId="7BD1BD95" w:rsidR="00EC31E0" w:rsidRDefault="00EC31E0" w:rsidP="00EC31E0">
            <w:r w:rsidRPr="00822FF2">
              <w:rPr>
                <w:rFonts w:ascii="Nunito" w:eastAsia="Times New Roman" w:hAnsi="Nunito" w:cs="Calibri"/>
                <w:b/>
                <w:bCs/>
                <w:sz w:val="16"/>
                <w:szCs w:val="16"/>
                <w:lang w:val="ro-RO" w:eastAsia="ro-RO"/>
              </w:rPr>
              <w:t>Schimbări climatice</w:t>
            </w:r>
          </w:p>
        </w:tc>
        <w:tc>
          <w:tcPr>
            <w:tcW w:w="1364" w:type="dxa"/>
          </w:tcPr>
          <w:p w14:paraId="24EBACA3" w14:textId="77777777" w:rsidR="00EC31E0" w:rsidRDefault="00EC31E0" w:rsidP="00EC31E0">
            <w:pPr>
              <w:jc w:val="center"/>
            </w:pPr>
            <w:r>
              <w:rPr>
                <w:rFonts w:eastAsia="Verdana" w:cs="Verdana"/>
                <w:b/>
                <w:bCs/>
                <w:color w:val="C0392B"/>
                <w:sz w:val="18"/>
              </w:rPr>
              <w:t>–2</w:t>
            </w:r>
          </w:p>
        </w:tc>
        <w:tc>
          <w:tcPr>
            <w:tcW w:w="1673" w:type="dxa"/>
          </w:tcPr>
          <w:p w14:paraId="004AA7DC" w14:textId="77777777" w:rsidR="00EC31E0" w:rsidRDefault="00EC31E0" w:rsidP="00EC31E0">
            <w:pPr>
              <w:jc w:val="center"/>
            </w:pPr>
            <w:r>
              <w:rPr>
                <w:rFonts w:eastAsia="Verdana" w:cs="Verdana"/>
                <w:b/>
                <w:bCs/>
                <w:color w:val="27AE60"/>
                <w:sz w:val="18"/>
              </w:rPr>
              <w:t>+1</w:t>
            </w:r>
          </w:p>
        </w:tc>
        <w:tc>
          <w:tcPr>
            <w:tcW w:w="1362" w:type="dxa"/>
          </w:tcPr>
          <w:p w14:paraId="4B1650B4" w14:textId="77777777" w:rsidR="00EC31E0" w:rsidRDefault="00EC31E0" w:rsidP="00EC31E0">
            <w:pPr>
              <w:jc w:val="center"/>
            </w:pPr>
            <w:r>
              <w:rPr>
                <w:rFonts w:eastAsia="Verdana" w:cs="Verdana"/>
                <w:b/>
                <w:bCs/>
                <w:color w:val="1E8449"/>
                <w:sz w:val="18"/>
              </w:rPr>
              <w:t>+2</w:t>
            </w:r>
          </w:p>
        </w:tc>
      </w:tr>
      <w:tr w:rsidR="00EC31E0" w14:paraId="747995A7" w14:textId="77777777" w:rsidTr="00EC31E0">
        <w:trPr>
          <w:trHeight w:val="232"/>
        </w:trPr>
        <w:tc>
          <w:tcPr>
            <w:tcW w:w="1485" w:type="dxa"/>
          </w:tcPr>
          <w:p w14:paraId="7F5A4FA7" w14:textId="4505A103" w:rsidR="00EC31E0" w:rsidRDefault="00EC31E0" w:rsidP="00EC31E0">
            <w:pPr>
              <w:jc w:val="center"/>
            </w:pPr>
            <w:r w:rsidRPr="00822FF2">
              <w:rPr>
                <w:rFonts w:ascii="Nunito" w:eastAsia="Times New Roman" w:hAnsi="Nunito" w:cs="Calibri"/>
                <w:b/>
                <w:bCs/>
                <w:color w:val="2E75B6"/>
                <w:sz w:val="16"/>
                <w:szCs w:val="16"/>
                <w:lang w:val="ro-RO" w:eastAsia="ro-RO"/>
              </w:rPr>
              <w:t>OM6</w:t>
            </w:r>
          </w:p>
        </w:tc>
        <w:tc>
          <w:tcPr>
            <w:tcW w:w="3401" w:type="dxa"/>
          </w:tcPr>
          <w:p w14:paraId="46AEB35A" w14:textId="5DF7BF44" w:rsidR="00EC31E0" w:rsidRDefault="00EC31E0" w:rsidP="00EC31E0">
            <w:r w:rsidRPr="00822FF2">
              <w:rPr>
                <w:rFonts w:ascii="Nunito" w:eastAsia="Times New Roman" w:hAnsi="Nunito" w:cs="Calibri"/>
                <w:b/>
                <w:bCs/>
                <w:sz w:val="16"/>
                <w:szCs w:val="16"/>
                <w:lang w:val="ro-RO" w:eastAsia="ro-RO"/>
              </w:rPr>
              <w:t>Schimbări climatice</w:t>
            </w:r>
          </w:p>
        </w:tc>
        <w:tc>
          <w:tcPr>
            <w:tcW w:w="1364" w:type="dxa"/>
          </w:tcPr>
          <w:p w14:paraId="37235CF0" w14:textId="77777777" w:rsidR="00EC31E0" w:rsidRDefault="00EC31E0" w:rsidP="00EC31E0">
            <w:pPr>
              <w:jc w:val="center"/>
            </w:pPr>
            <w:r>
              <w:rPr>
                <w:rFonts w:eastAsia="Verdana" w:cs="Verdana"/>
                <w:b/>
                <w:bCs/>
                <w:color w:val="E67E22"/>
                <w:sz w:val="18"/>
              </w:rPr>
              <w:t>–1</w:t>
            </w:r>
          </w:p>
        </w:tc>
        <w:tc>
          <w:tcPr>
            <w:tcW w:w="1673" w:type="dxa"/>
          </w:tcPr>
          <w:p w14:paraId="62B12379" w14:textId="77777777" w:rsidR="00EC31E0" w:rsidRDefault="00EC31E0" w:rsidP="00EC31E0">
            <w:pPr>
              <w:jc w:val="center"/>
            </w:pPr>
            <w:r>
              <w:rPr>
                <w:rFonts w:eastAsia="Verdana" w:cs="Verdana"/>
                <w:b/>
                <w:bCs/>
                <w:color w:val="27AE60"/>
                <w:sz w:val="18"/>
              </w:rPr>
              <w:t>+1</w:t>
            </w:r>
          </w:p>
        </w:tc>
        <w:tc>
          <w:tcPr>
            <w:tcW w:w="1362" w:type="dxa"/>
          </w:tcPr>
          <w:p w14:paraId="40AAD351" w14:textId="77777777" w:rsidR="00EC31E0" w:rsidRDefault="00EC31E0" w:rsidP="00EC31E0">
            <w:pPr>
              <w:jc w:val="center"/>
            </w:pPr>
            <w:r>
              <w:rPr>
                <w:rFonts w:eastAsia="Verdana" w:cs="Verdana"/>
                <w:b/>
                <w:bCs/>
                <w:color w:val="27AE60"/>
                <w:sz w:val="18"/>
              </w:rPr>
              <w:t>+1</w:t>
            </w:r>
          </w:p>
        </w:tc>
      </w:tr>
      <w:tr w:rsidR="00EC31E0" w14:paraId="1FE4863B" w14:textId="77777777" w:rsidTr="00EC31E0">
        <w:trPr>
          <w:trHeight w:val="232"/>
        </w:trPr>
        <w:tc>
          <w:tcPr>
            <w:tcW w:w="1485" w:type="dxa"/>
          </w:tcPr>
          <w:p w14:paraId="776F0F97" w14:textId="0E9E1E02" w:rsidR="00EC31E0" w:rsidRDefault="00EC31E0" w:rsidP="00EC31E0">
            <w:pPr>
              <w:jc w:val="center"/>
            </w:pPr>
            <w:r w:rsidRPr="00822FF2">
              <w:rPr>
                <w:rFonts w:ascii="Nunito" w:eastAsia="Times New Roman" w:hAnsi="Nunito" w:cs="Calibri"/>
                <w:b/>
                <w:bCs/>
                <w:color w:val="2E75B6"/>
                <w:sz w:val="16"/>
                <w:szCs w:val="16"/>
                <w:lang w:val="ro-RO" w:eastAsia="ro-RO"/>
              </w:rPr>
              <w:t>OM7</w:t>
            </w:r>
          </w:p>
        </w:tc>
        <w:tc>
          <w:tcPr>
            <w:tcW w:w="3401" w:type="dxa"/>
          </w:tcPr>
          <w:p w14:paraId="7AB611A8" w14:textId="7538C923" w:rsidR="00EC31E0" w:rsidRDefault="00EC31E0" w:rsidP="00EC31E0">
            <w:r w:rsidRPr="00822FF2">
              <w:rPr>
                <w:rFonts w:ascii="Nunito" w:eastAsia="Times New Roman" w:hAnsi="Nunito" w:cs="Calibri"/>
                <w:b/>
                <w:bCs/>
                <w:sz w:val="16"/>
                <w:szCs w:val="16"/>
                <w:lang w:val="ro-RO" w:eastAsia="ro-RO"/>
              </w:rPr>
              <w:t>Biodiversitate</w:t>
            </w:r>
          </w:p>
        </w:tc>
        <w:tc>
          <w:tcPr>
            <w:tcW w:w="1364" w:type="dxa"/>
          </w:tcPr>
          <w:p w14:paraId="35D05956" w14:textId="77777777" w:rsidR="00EC31E0" w:rsidRDefault="00EC31E0" w:rsidP="00EC31E0">
            <w:pPr>
              <w:jc w:val="center"/>
            </w:pPr>
            <w:r>
              <w:rPr>
                <w:rFonts w:eastAsia="Verdana" w:cs="Verdana"/>
                <w:b/>
                <w:bCs/>
                <w:color w:val="E67E22"/>
                <w:sz w:val="18"/>
              </w:rPr>
              <w:t>–1</w:t>
            </w:r>
          </w:p>
        </w:tc>
        <w:tc>
          <w:tcPr>
            <w:tcW w:w="1673" w:type="dxa"/>
          </w:tcPr>
          <w:p w14:paraId="15000319" w14:textId="77777777" w:rsidR="00EC31E0" w:rsidRDefault="00EC31E0" w:rsidP="00EC31E0">
            <w:pPr>
              <w:jc w:val="center"/>
            </w:pPr>
            <w:r>
              <w:rPr>
                <w:rFonts w:eastAsia="Verdana" w:cs="Verdana"/>
                <w:b/>
                <w:bCs/>
                <w:color w:val="27AE60"/>
                <w:sz w:val="18"/>
              </w:rPr>
              <w:t>+1</w:t>
            </w:r>
          </w:p>
        </w:tc>
        <w:tc>
          <w:tcPr>
            <w:tcW w:w="1362" w:type="dxa"/>
          </w:tcPr>
          <w:p w14:paraId="3C839B2B" w14:textId="77777777" w:rsidR="00EC31E0" w:rsidRDefault="00EC31E0" w:rsidP="00EC31E0">
            <w:pPr>
              <w:jc w:val="center"/>
            </w:pPr>
            <w:r>
              <w:rPr>
                <w:rFonts w:eastAsia="Verdana" w:cs="Verdana"/>
                <w:b/>
                <w:bCs/>
                <w:color w:val="27AE60"/>
                <w:sz w:val="18"/>
              </w:rPr>
              <w:t>+1</w:t>
            </w:r>
          </w:p>
        </w:tc>
      </w:tr>
      <w:tr w:rsidR="00EC31E0" w14:paraId="7E1433EF" w14:textId="77777777" w:rsidTr="00EC31E0">
        <w:trPr>
          <w:trHeight w:val="246"/>
        </w:trPr>
        <w:tc>
          <w:tcPr>
            <w:tcW w:w="1485" w:type="dxa"/>
          </w:tcPr>
          <w:p w14:paraId="1CFE5576" w14:textId="11E2CCD9" w:rsidR="00EC31E0" w:rsidRDefault="00EC31E0" w:rsidP="00EC31E0">
            <w:pPr>
              <w:jc w:val="center"/>
            </w:pPr>
            <w:r w:rsidRPr="00822FF2">
              <w:rPr>
                <w:rFonts w:ascii="Nunito" w:eastAsia="Times New Roman" w:hAnsi="Nunito" w:cs="Calibri"/>
                <w:b/>
                <w:bCs/>
                <w:color w:val="2E75B6"/>
                <w:sz w:val="16"/>
                <w:szCs w:val="16"/>
                <w:lang w:val="ro-RO" w:eastAsia="ro-RO"/>
              </w:rPr>
              <w:t>OM8</w:t>
            </w:r>
          </w:p>
        </w:tc>
        <w:tc>
          <w:tcPr>
            <w:tcW w:w="3401" w:type="dxa"/>
          </w:tcPr>
          <w:p w14:paraId="6421430B" w14:textId="6419231D" w:rsidR="00EC31E0" w:rsidRDefault="00EC31E0" w:rsidP="00EC31E0">
            <w:r w:rsidRPr="00822FF2">
              <w:rPr>
                <w:rFonts w:ascii="Nunito" w:eastAsia="Times New Roman" w:hAnsi="Nunito" w:cs="Calibri"/>
                <w:b/>
                <w:bCs/>
                <w:sz w:val="16"/>
                <w:szCs w:val="16"/>
                <w:lang w:val="ro-RO" w:eastAsia="ro-RO"/>
              </w:rPr>
              <w:t>Populație și sănătatea umană</w:t>
            </w:r>
          </w:p>
        </w:tc>
        <w:tc>
          <w:tcPr>
            <w:tcW w:w="1364" w:type="dxa"/>
          </w:tcPr>
          <w:p w14:paraId="6B15D928" w14:textId="77777777" w:rsidR="00EC31E0" w:rsidRDefault="00EC31E0" w:rsidP="00EC31E0">
            <w:pPr>
              <w:jc w:val="center"/>
            </w:pPr>
            <w:r>
              <w:rPr>
                <w:rFonts w:eastAsia="Verdana" w:cs="Verdana"/>
                <w:b/>
                <w:bCs/>
                <w:color w:val="C0392B"/>
                <w:sz w:val="18"/>
              </w:rPr>
              <w:t>–2</w:t>
            </w:r>
          </w:p>
        </w:tc>
        <w:tc>
          <w:tcPr>
            <w:tcW w:w="1673" w:type="dxa"/>
          </w:tcPr>
          <w:p w14:paraId="4038BD68" w14:textId="77777777" w:rsidR="00EC31E0" w:rsidRDefault="00EC31E0" w:rsidP="00EC31E0">
            <w:pPr>
              <w:jc w:val="center"/>
            </w:pPr>
            <w:r>
              <w:rPr>
                <w:rFonts w:eastAsia="Verdana" w:cs="Verdana"/>
                <w:b/>
                <w:bCs/>
                <w:color w:val="1E8449"/>
                <w:sz w:val="18"/>
              </w:rPr>
              <w:t>+2</w:t>
            </w:r>
          </w:p>
        </w:tc>
        <w:tc>
          <w:tcPr>
            <w:tcW w:w="1362" w:type="dxa"/>
          </w:tcPr>
          <w:p w14:paraId="5BC70B95" w14:textId="77777777" w:rsidR="00EC31E0" w:rsidRDefault="00EC31E0" w:rsidP="00EC31E0">
            <w:pPr>
              <w:jc w:val="center"/>
            </w:pPr>
            <w:r>
              <w:rPr>
                <w:rFonts w:eastAsia="Verdana" w:cs="Verdana"/>
                <w:b/>
                <w:bCs/>
                <w:color w:val="1E8449"/>
                <w:sz w:val="18"/>
              </w:rPr>
              <w:t>+2</w:t>
            </w:r>
          </w:p>
        </w:tc>
      </w:tr>
      <w:tr w:rsidR="00EC31E0" w14:paraId="1A5A7212" w14:textId="77777777" w:rsidTr="00EC31E0">
        <w:trPr>
          <w:trHeight w:val="232"/>
        </w:trPr>
        <w:tc>
          <w:tcPr>
            <w:tcW w:w="1485" w:type="dxa"/>
          </w:tcPr>
          <w:p w14:paraId="68194BBC" w14:textId="457E89D3" w:rsidR="00EC31E0" w:rsidRDefault="00EC31E0" w:rsidP="00EC31E0">
            <w:pPr>
              <w:jc w:val="center"/>
            </w:pPr>
            <w:r w:rsidRPr="00822FF2">
              <w:rPr>
                <w:rFonts w:ascii="Nunito" w:eastAsia="Times New Roman" w:hAnsi="Nunito" w:cs="Calibri"/>
                <w:b/>
                <w:bCs/>
                <w:color w:val="2E75B6"/>
                <w:sz w:val="16"/>
                <w:szCs w:val="16"/>
                <w:lang w:val="ro-RO" w:eastAsia="ro-RO"/>
              </w:rPr>
              <w:t>OM9</w:t>
            </w:r>
          </w:p>
        </w:tc>
        <w:tc>
          <w:tcPr>
            <w:tcW w:w="3401" w:type="dxa"/>
          </w:tcPr>
          <w:p w14:paraId="2D7B6B80" w14:textId="4898654C" w:rsidR="00EC31E0" w:rsidRPr="004A5D70" w:rsidRDefault="00EC31E0" w:rsidP="00EC31E0">
            <w:pPr>
              <w:rPr>
                <w:lang w:val="pt-PT"/>
              </w:rPr>
            </w:pPr>
            <w:r w:rsidRPr="00822FF2">
              <w:rPr>
                <w:rFonts w:ascii="Nunito" w:eastAsia="Times New Roman" w:hAnsi="Nunito" w:cs="Calibri"/>
                <w:b/>
                <w:bCs/>
                <w:sz w:val="16"/>
                <w:szCs w:val="16"/>
                <w:lang w:val="ro-RO" w:eastAsia="ro-RO"/>
              </w:rPr>
              <w:t>Mediu economic</w:t>
            </w:r>
          </w:p>
        </w:tc>
        <w:tc>
          <w:tcPr>
            <w:tcW w:w="1364" w:type="dxa"/>
          </w:tcPr>
          <w:p w14:paraId="72D7DF2B" w14:textId="77777777" w:rsidR="00EC31E0" w:rsidRDefault="00EC31E0" w:rsidP="00EC31E0">
            <w:pPr>
              <w:jc w:val="center"/>
            </w:pPr>
            <w:r>
              <w:rPr>
                <w:rFonts w:eastAsia="Verdana" w:cs="Verdana"/>
                <w:b/>
                <w:bCs/>
                <w:color w:val="7F8C8D"/>
                <w:sz w:val="18"/>
              </w:rPr>
              <w:t>0</w:t>
            </w:r>
          </w:p>
        </w:tc>
        <w:tc>
          <w:tcPr>
            <w:tcW w:w="1673" w:type="dxa"/>
          </w:tcPr>
          <w:p w14:paraId="5E99745F" w14:textId="77777777" w:rsidR="00EC31E0" w:rsidRDefault="00EC31E0" w:rsidP="00EC31E0">
            <w:pPr>
              <w:jc w:val="center"/>
            </w:pPr>
            <w:r>
              <w:rPr>
                <w:rFonts w:eastAsia="Verdana" w:cs="Verdana"/>
                <w:b/>
                <w:bCs/>
                <w:color w:val="27AE60"/>
                <w:sz w:val="18"/>
              </w:rPr>
              <w:t>+1</w:t>
            </w:r>
          </w:p>
        </w:tc>
        <w:tc>
          <w:tcPr>
            <w:tcW w:w="1362" w:type="dxa"/>
          </w:tcPr>
          <w:p w14:paraId="4012552D" w14:textId="77777777" w:rsidR="00EC31E0" w:rsidRDefault="00EC31E0" w:rsidP="00EC31E0">
            <w:pPr>
              <w:jc w:val="center"/>
            </w:pPr>
            <w:r>
              <w:rPr>
                <w:rFonts w:eastAsia="Verdana" w:cs="Verdana"/>
                <w:b/>
                <w:bCs/>
                <w:color w:val="1E8449"/>
                <w:sz w:val="18"/>
              </w:rPr>
              <w:t>+2</w:t>
            </w:r>
          </w:p>
        </w:tc>
      </w:tr>
      <w:tr w:rsidR="00EC31E0" w14:paraId="4A5C8F42" w14:textId="77777777" w:rsidTr="00EC31E0">
        <w:trPr>
          <w:trHeight w:val="232"/>
        </w:trPr>
        <w:tc>
          <w:tcPr>
            <w:tcW w:w="1485" w:type="dxa"/>
          </w:tcPr>
          <w:p w14:paraId="1AD6E466" w14:textId="67D0F35B" w:rsidR="00EC31E0" w:rsidRDefault="00EC31E0" w:rsidP="00EC31E0">
            <w:pPr>
              <w:jc w:val="center"/>
            </w:pPr>
            <w:r w:rsidRPr="00822FF2">
              <w:rPr>
                <w:rFonts w:ascii="Nunito" w:eastAsia="Times New Roman" w:hAnsi="Nunito" w:cs="Calibri"/>
                <w:b/>
                <w:bCs/>
                <w:color w:val="2E75B6"/>
                <w:sz w:val="16"/>
                <w:szCs w:val="16"/>
                <w:lang w:val="ro-RO" w:eastAsia="ro-RO"/>
              </w:rPr>
              <w:t>OM10</w:t>
            </w:r>
          </w:p>
        </w:tc>
        <w:tc>
          <w:tcPr>
            <w:tcW w:w="3401" w:type="dxa"/>
          </w:tcPr>
          <w:p w14:paraId="4104D7F3" w14:textId="76D432E7" w:rsidR="00EC31E0" w:rsidRDefault="00EC31E0" w:rsidP="00EC31E0">
            <w:r w:rsidRPr="00822FF2">
              <w:rPr>
                <w:rFonts w:ascii="Nunito" w:eastAsia="Times New Roman" w:hAnsi="Nunito" w:cs="Calibri"/>
                <w:b/>
                <w:bCs/>
                <w:sz w:val="16"/>
                <w:szCs w:val="16"/>
                <w:lang w:val="ro-RO" w:eastAsia="ro-RO"/>
              </w:rPr>
              <w:t>Patrimoniul cultural</w:t>
            </w:r>
          </w:p>
        </w:tc>
        <w:tc>
          <w:tcPr>
            <w:tcW w:w="1364" w:type="dxa"/>
          </w:tcPr>
          <w:p w14:paraId="71DD5646" w14:textId="77777777" w:rsidR="00EC31E0" w:rsidRDefault="00EC31E0" w:rsidP="00EC31E0">
            <w:pPr>
              <w:jc w:val="center"/>
            </w:pPr>
            <w:r>
              <w:rPr>
                <w:rFonts w:eastAsia="Verdana" w:cs="Verdana"/>
                <w:b/>
                <w:bCs/>
                <w:color w:val="7F8C8D"/>
                <w:sz w:val="18"/>
              </w:rPr>
              <w:t>0</w:t>
            </w:r>
          </w:p>
        </w:tc>
        <w:tc>
          <w:tcPr>
            <w:tcW w:w="1673" w:type="dxa"/>
          </w:tcPr>
          <w:p w14:paraId="5343A2D4" w14:textId="77777777" w:rsidR="00EC31E0" w:rsidRDefault="00EC31E0" w:rsidP="00EC31E0">
            <w:pPr>
              <w:jc w:val="center"/>
            </w:pPr>
            <w:r>
              <w:rPr>
                <w:rFonts w:eastAsia="Verdana" w:cs="Verdana"/>
                <w:b/>
                <w:bCs/>
                <w:color w:val="7F8C8D"/>
                <w:sz w:val="18"/>
              </w:rPr>
              <w:t>0</w:t>
            </w:r>
          </w:p>
        </w:tc>
        <w:tc>
          <w:tcPr>
            <w:tcW w:w="1362" w:type="dxa"/>
          </w:tcPr>
          <w:p w14:paraId="64CA9254" w14:textId="77777777" w:rsidR="00EC31E0" w:rsidRDefault="00EC31E0" w:rsidP="00EC31E0">
            <w:pPr>
              <w:jc w:val="center"/>
            </w:pPr>
            <w:r>
              <w:rPr>
                <w:rFonts w:eastAsia="Verdana" w:cs="Verdana"/>
                <w:b/>
                <w:bCs/>
                <w:color w:val="7F8C8D"/>
                <w:sz w:val="18"/>
              </w:rPr>
              <w:t>0</w:t>
            </w:r>
          </w:p>
        </w:tc>
      </w:tr>
      <w:tr w:rsidR="00EC31E0" w14:paraId="4B29563A" w14:textId="77777777" w:rsidTr="00EC31E0">
        <w:trPr>
          <w:trHeight w:val="246"/>
        </w:trPr>
        <w:tc>
          <w:tcPr>
            <w:tcW w:w="1485" w:type="dxa"/>
          </w:tcPr>
          <w:p w14:paraId="5BF0C2A6" w14:textId="4FE703FA" w:rsidR="00EC31E0" w:rsidRDefault="00EC31E0" w:rsidP="00EC31E0">
            <w:pPr>
              <w:jc w:val="center"/>
            </w:pPr>
            <w:r w:rsidRPr="00822FF2">
              <w:rPr>
                <w:rFonts w:ascii="Nunito" w:eastAsia="Times New Roman" w:hAnsi="Nunito" w:cs="Calibri"/>
                <w:b/>
                <w:bCs/>
                <w:color w:val="2E75B6"/>
                <w:sz w:val="16"/>
                <w:szCs w:val="16"/>
                <w:lang w:val="ro-RO" w:eastAsia="ro-RO"/>
              </w:rPr>
              <w:t>OM11</w:t>
            </w:r>
          </w:p>
        </w:tc>
        <w:tc>
          <w:tcPr>
            <w:tcW w:w="3401" w:type="dxa"/>
          </w:tcPr>
          <w:p w14:paraId="3E6834D2" w14:textId="7BEB244B" w:rsidR="00EC31E0" w:rsidRDefault="00EC31E0" w:rsidP="00EC31E0">
            <w:r w:rsidRPr="00822FF2">
              <w:rPr>
                <w:rFonts w:ascii="Nunito" w:eastAsia="Times New Roman" w:hAnsi="Nunito" w:cs="Calibri"/>
                <w:b/>
                <w:bCs/>
                <w:sz w:val="16"/>
                <w:szCs w:val="16"/>
                <w:lang w:val="ro-RO" w:eastAsia="ro-RO"/>
              </w:rPr>
              <w:t>Peisaj</w:t>
            </w:r>
          </w:p>
        </w:tc>
        <w:tc>
          <w:tcPr>
            <w:tcW w:w="1364" w:type="dxa"/>
          </w:tcPr>
          <w:p w14:paraId="3EBF1FF3" w14:textId="77777777" w:rsidR="00EC31E0" w:rsidRDefault="00EC31E0" w:rsidP="00EC31E0">
            <w:pPr>
              <w:jc w:val="center"/>
            </w:pPr>
            <w:r>
              <w:rPr>
                <w:rFonts w:eastAsia="Verdana" w:cs="Verdana"/>
                <w:b/>
                <w:bCs/>
                <w:color w:val="E67E22"/>
                <w:sz w:val="18"/>
              </w:rPr>
              <w:t>–1</w:t>
            </w:r>
          </w:p>
        </w:tc>
        <w:tc>
          <w:tcPr>
            <w:tcW w:w="1673" w:type="dxa"/>
          </w:tcPr>
          <w:p w14:paraId="453987F1" w14:textId="77777777" w:rsidR="00EC31E0" w:rsidRDefault="00EC31E0" w:rsidP="00EC31E0">
            <w:pPr>
              <w:jc w:val="center"/>
            </w:pPr>
            <w:r>
              <w:rPr>
                <w:rFonts w:eastAsia="Verdana" w:cs="Verdana"/>
                <w:b/>
                <w:bCs/>
                <w:color w:val="E67E22"/>
                <w:sz w:val="18"/>
              </w:rPr>
              <w:t>–1</w:t>
            </w:r>
          </w:p>
        </w:tc>
        <w:tc>
          <w:tcPr>
            <w:tcW w:w="1362" w:type="dxa"/>
          </w:tcPr>
          <w:p w14:paraId="4B20FA26" w14:textId="77777777" w:rsidR="00EC31E0" w:rsidRDefault="00EC31E0" w:rsidP="00EC31E0">
            <w:pPr>
              <w:jc w:val="center"/>
            </w:pPr>
            <w:r>
              <w:rPr>
                <w:rFonts w:eastAsia="Verdana" w:cs="Verdana"/>
                <w:b/>
                <w:bCs/>
                <w:color w:val="7F8C8D"/>
                <w:sz w:val="18"/>
              </w:rPr>
              <w:t>0</w:t>
            </w:r>
          </w:p>
        </w:tc>
      </w:tr>
      <w:tr w:rsidR="00EC31E0" w14:paraId="28A5EE12" w14:textId="77777777" w:rsidTr="00EC31E0">
        <w:trPr>
          <w:trHeight w:val="232"/>
        </w:trPr>
        <w:tc>
          <w:tcPr>
            <w:tcW w:w="1485" w:type="dxa"/>
          </w:tcPr>
          <w:p w14:paraId="0BDDC16C" w14:textId="4E69AC4C" w:rsidR="00EC31E0" w:rsidRPr="00A47C60" w:rsidRDefault="00EC31E0" w:rsidP="00EC31E0">
            <w:pPr>
              <w:jc w:val="center"/>
              <w:rPr>
                <w:rFonts w:ascii="Nunito" w:eastAsia="Times New Roman" w:hAnsi="Nunito" w:cs="Calibri"/>
                <w:b/>
                <w:bCs/>
                <w:color w:val="2E75B6"/>
                <w:sz w:val="16"/>
                <w:szCs w:val="16"/>
                <w:lang w:val="ro-RO" w:eastAsia="ro-RO"/>
              </w:rPr>
            </w:pPr>
            <w:r w:rsidRPr="00A47C60">
              <w:rPr>
                <w:rFonts w:ascii="Nunito" w:eastAsia="Times New Roman" w:hAnsi="Nunito" w:cs="Calibri"/>
                <w:b/>
                <w:bCs/>
                <w:color w:val="2E75B6"/>
                <w:sz w:val="16"/>
                <w:szCs w:val="16"/>
                <w:lang w:val="ro-RO" w:eastAsia="ro-RO"/>
              </w:rPr>
              <w:t>OM 12</w:t>
            </w:r>
          </w:p>
        </w:tc>
        <w:tc>
          <w:tcPr>
            <w:tcW w:w="3401" w:type="dxa"/>
          </w:tcPr>
          <w:p w14:paraId="5551F13F" w14:textId="76F68B0A" w:rsidR="00EC31E0" w:rsidRDefault="00EC31E0" w:rsidP="00EC31E0">
            <w:r w:rsidRPr="00822FF2">
              <w:rPr>
                <w:rFonts w:ascii="Nunito" w:eastAsia="Times New Roman" w:hAnsi="Nunito" w:cs="Calibri"/>
                <w:b/>
                <w:bCs/>
                <w:color w:val="00B050"/>
                <w:sz w:val="16"/>
                <w:szCs w:val="16"/>
                <w:lang w:val="ro-RO" w:eastAsia="ro-RO"/>
              </w:rPr>
              <w:t>Valorile materiale</w:t>
            </w:r>
          </w:p>
        </w:tc>
        <w:tc>
          <w:tcPr>
            <w:tcW w:w="1364" w:type="dxa"/>
          </w:tcPr>
          <w:p w14:paraId="43A0F3C0" w14:textId="77777777" w:rsidR="00EC31E0" w:rsidRDefault="00EC31E0" w:rsidP="00EC31E0">
            <w:pPr>
              <w:jc w:val="center"/>
            </w:pPr>
            <w:r>
              <w:rPr>
                <w:rFonts w:eastAsia="Verdana" w:cs="Verdana"/>
                <w:b/>
                <w:bCs/>
                <w:color w:val="C0392B"/>
                <w:sz w:val="18"/>
              </w:rPr>
              <w:t>–2</w:t>
            </w:r>
          </w:p>
        </w:tc>
        <w:tc>
          <w:tcPr>
            <w:tcW w:w="1673" w:type="dxa"/>
          </w:tcPr>
          <w:p w14:paraId="10B3DBE1" w14:textId="77777777" w:rsidR="00EC31E0" w:rsidRDefault="00EC31E0" w:rsidP="00EC31E0">
            <w:pPr>
              <w:jc w:val="center"/>
            </w:pPr>
            <w:r>
              <w:rPr>
                <w:rFonts w:eastAsia="Verdana" w:cs="Verdana"/>
                <w:b/>
                <w:bCs/>
                <w:color w:val="27AE60"/>
                <w:sz w:val="18"/>
              </w:rPr>
              <w:t>+1</w:t>
            </w:r>
          </w:p>
        </w:tc>
        <w:tc>
          <w:tcPr>
            <w:tcW w:w="1362" w:type="dxa"/>
          </w:tcPr>
          <w:p w14:paraId="5F06F305" w14:textId="77777777" w:rsidR="00EC31E0" w:rsidRDefault="00EC31E0" w:rsidP="00EC31E0">
            <w:pPr>
              <w:jc w:val="center"/>
            </w:pPr>
            <w:r>
              <w:rPr>
                <w:rFonts w:eastAsia="Verdana" w:cs="Verdana"/>
                <w:b/>
                <w:bCs/>
                <w:color w:val="1E8449"/>
                <w:sz w:val="18"/>
              </w:rPr>
              <w:t>+2</w:t>
            </w:r>
          </w:p>
        </w:tc>
      </w:tr>
      <w:tr w:rsidR="00EC31E0" w14:paraId="796E1D91" w14:textId="77777777" w:rsidTr="00EC31E0">
        <w:trPr>
          <w:trHeight w:val="232"/>
        </w:trPr>
        <w:tc>
          <w:tcPr>
            <w:tcW w:w="1485" w:type="dxa"/>
          </w:tcPr>
          <w:p w14:paraId="00AAE78F" w14:textId="34DF67B3" w:rsidR="00EC31E0" w:rsidRPr="00A47C60" w:rsidRDefault="00EC31E0" w:rsidP="00EC31E0">
            <w:pPr>
              <w:jc w:val="center"/>
              <w:rPr>
                <w:rFonts w:ascii="Nunito" w:eastAsia="Times New Roman" w:hAnsi="Nunito" w:cs="Calibri"/>
                <w:b/>
                <w:bCs/>
                <w:color w:val="2E75B6"/>
                <w:sz w:val="16"/>
                <w:szCs w:val="16"/>
                <w:lang w:val="ro-RO" w:eastAsia="ro-RO"/>
              </w:rPr>
            </w:pPr>
            <w:r w:rsidRPr="00A47C60">
              <w:rPr>
                <w:rFonts w:ascii="Nunito" w:eastAsia="Times New Roman" w:hAnsi="Nunito" w:cs="Calibri"/>
                <w:b/>
                <w:bCs/>
                <w:color w:val="2E75B6"/>
                <w:sz w:val="16"/>
                <w:szCs w:val="16"/>
                <w:lang w:val="ro-RO" w:eastAsia="ro-RO"/>
              </w:rPr>
              <w:t>OM 13</w:t>
            </w:r>
          </w:p>
        </w:tc>
        <w:tc>
          <w:tcPr>
            <w:tcW w:w="3401" w:type="dxa"/>
          </w:tcPr>
          <w:p w14:paraId="37820336" w14:textId="24061A30" w:rsidR="00EC31E0" w:rsidRPr="004A5D70" w:rsidRDefault="00EC31E0" w:rsidP="00EC31E0">
            <w:pPr>
              <w:rPr>
                <w:lang w:val="pt-PT"/>
              </w:rPr>
            </w:pPr>
            <w:r w:rsidRPr="00822FF2">
              <w:rPr>
                <w:rFonts w:ascii="Nunito" w:eastAsia="Times New Roman" w:hAnsi="Nunito" w:cs="Calibri"/>
                <w:b/>
                <w:bCs/>
                <w:color w:val="00B050"/>
                <w:sz w:val="16"/>
                <w:szCs w:val="16"/>
                <w:lang w:val="ro-RO" w:eastAsia="ro-RO"/>
              </w:rPr>
              <w:t>Valorile materiale</w:t>
            </w:r>
          </w:p>
        </w:tc>
        <w:tc>
          <w:tcPr>
            <w:tcW w:w="1364" w:type="dxa"/>
          </w:tcPr>
          <w:p w14:paraId="11C1F32E" w14:textId="77777777" w:rsidR="00EC31E0" w:rsidRDefault="00EC31E0" w:rsidP="00EC31E0">
            <w:pPr>
              <w:jc w:val="center"/>
            </w:pPr>
            <w:r>
              <w:rPr>
                <w:rFonts w:eastAsia="Verdana" w:cs="Verdana"/>
                <w:b/>
                <w:bCs/>
                <w:color w:val="C0392B"/>
                <w:sz w:val="18"/>
              </w:rPr>
              <w:t>–2</w:t>
            </w:r>
          </w:p>
        </w:tc>
        <w:tc>
          <w:tcPr>
            <w:tcW w:w="1673" w:type="dxa"/>
          </w:tcPr>
          <w:p w14:paraId="589AF25E" w14:textId="77777777" w:rsidR="00EC31E0" w:rsidRDefault="00EC31E0" w:rsidP="00EC31E0">
            <w:pPr>
              <w:jc w:val="center"/>
            </w:pPr>
            <w:r>
              <w:rPr>
                <w:rFonts w:eastAsia="Verdana" w:cs="Verdana"/>
                <w:b/>
                <w:bCs/>
                <w:color w:val="27AE60"/>
                <w:sz w:val="18"/>
              </w:rPr>
              <w:t>+1</w:t>
            </w:r>
          </w:p>
        </w:tc>
        <w:tc>
          <w:tcPr>
            <w:tcW w:w="1362" w:type="dxa"/>
          </w:tcPr>
          <w:p w14:paraId="4B50E500" w14:textId="77777777" w:rsidR="00EC31E0" w:rsidRDefault="00EC31E0" w:rsidP="00EC31E0">
            <w:pPr>
              <w:jc w:val="center"/>
            </w:pPr>
            <w:r>
              <w:rPr>
                <w:rFonts w:eastAsia="Verdana" w:cs="Verdana"/>
                <w:b/>
                <w:bCs/>
                <w:color w:val="1E8449"/>
                <w:sz w:val="18"/>
              </w:rPr>
              <w:t>+2</w:t>
            </w:r>
          </w:p>
        </w:tc>
      </w:tr>
      <w:tr w:rsidR="00EC31E0" w14:paraId="18576DDC" w14:textId="77777777" w:rsidTr="00EC31E0">
        <w:trPr>
          <w:trHeight w:val="246"/>
        </w:trPr>
        <w:tc>
          <w:tcPr>
            <w:tcW w:w="1485" w:type="dxa"/>
          </w:tcPr>
          <w:p w14:paraId="10714B73" w14:textId="1AA1E29B" w:rsidR="00EC31E0" w:rsidRDefault="00EC31E0" w:rsidP="00EC31E0">
            <w:pPr>
              <w:jc w:val="center"/>
            </w:pPr>
            <w:r w:rsidRPr="00822FF2">
              <w:rPr>
                <w:rFonts w:ascii="Nunito" w:eastAsia="Times New Roman" w:hAnsi="Nunito" w:cs="Calibri"/>
                <w:b/>
                <w:bCs/>
                <w:color w:val="2E75B6"/>
                <w:sz w:val="16"/>
                <w:szCs w:val="16"/>
                <w:lang w:val="ro-RO" w:eastAsia="ro-RO"/>
              </w:rPr>
              <w:t>OM14</w:t>
            </w:r>
          </w:p>
        </w:tc>
        <w:tc>
          <w:tcPr>
            <w:tcW w:w="3401" w:type="dxa"/>
          </w:tcPr>
          <w:p w14:paraId="65683359" w14:textId="59CD1F7F" w:rsidR="00EC31E0" w:rsidRPr="004A5D70" w:rsidRDefault="00EC31E0" w:rsidP="00EC31E0">
            <w:pPr>
              <w:rPr>
                <w:lang w:val="pt-PT"/>
              </w:rPr>
            </w:pPr>
            <w:r w:rsidRPr="00822FF2">
              <w:rPr>
                <w:rFonts w:ascii="Nunito" w:eastAsia="Times New Roman" w:hAnsi="Nunito" w:cs="Calibri"/>
                <w:b/>
                <w:bCs/>
                <w:sz w:val="16"/>
                <w:szCs w:val="16"/>
                <w:lang w:val="ro-RO" w:eastAsia="ro-RO"/>
              </w:rPr>
              <w:t>Economie circulară</w:t>
            </w:r>
          </w:p>
        </w:tc>
        <w:tc>
          <w:tcPr>
            <w:tcW w:w="1364" w:type="dxa"/>
          </w:tcPr>
          <w:p w14:paraId="6986BC7D" w14:textId="77777777" w:rsidR="00EC31E0" w:rsidRDefault="00EC31E0" w:rsidP="00EC31E0">
            <w:pPr>
              <w:jc w:val="center"/>
            </w:pPr>
            <w:r>
              <w:rPr>
                <w:rFonts w:eastAsia="Verdana" w:cs="Verdana"/>
                <w:b/>
                <w:bCs/>
                <w:color w:val="C0392B"/>
                <w:sz w:val="18"/>
              </w:rPr>
              <w:t>–2</w:t>
            </w:r>
          </w:p>
        </w:tc>
        <w:tc>
          <w:tcPr>
            <w:tcW w:w="1673" w:type="dxa"/>
          </w:tcPr>
          <w:p w14:paraId="70F9FB79" w14:textId="77777777" w:rsidR="00EC31E0" w:rsidRDefault="00EC31E0" w:rsidP="00EC31E0">
            <w:pPr>
              <w:jc w:val="center"/>
            </w:pPr>
            <w:r>
              <w:rPr>
                <w:rFonts w:eastAsia="Verdana" w:cs="Verdana"/>
                <w:b/>
                <w:bCs/>
                <w:color w:val="27AE60"/>
                <w:sz w:val="18"/>
              </w:rPr>
              <w:t>+1</w:t>
            </w:r>
          </w:p>
        </w:tc>
        <w:tc>
          <w:tcPr>
            <w:tcW w:w="1362" w:type="dxa"/>
          </w:tcPr>
          <w:p w14:paraId="413138A8" w14:textId="77777777" w:rsidR="00EC31E0" w:rsidRDefault="00EC31E0" w:rsidP="00EC31E0">
            <w:pPr>
              <w:jc w:val="center"/>
            </w:pPr>
            <w:r>
              <w:rPr>
                <w:rFonts w:eastAsia="Verdana" w:cs="Verdana"/>
                <w:b/>
                <w:bCs/>
                <w:color w:val="1E8449"/>
                <w:sz w:val="18"/>
              </w:rPr>
              <w:t>+2</w:t>
            </w:r>
          </w:p>
        </w:tc>
      </w:tr>
      <w:tr w:rsidR="00EC31E0" w14:paraId="32CDEB1E" w14:textId="77777777" w:rsidTr="00EC31E0">
        <w:trPr>
          <w:trHeight w:val="232"/>
        </w:trPr>
        <w:tc>
          <w:tcPr>
            <w:tcW w:w="1485" w:type="dxa"/>
          </w:tcPr>
          <w:p w14:paraId="6D1E48D1" w14:textId="4764B6BB" w:rsidR="00EC31E0" w:rsidRDefault="00EC31E0" w:rsidP="00EC31E0">
            <w:pPr>
              <w:jc w:val="center"/>
            </w:pPr>
            <w:r w:rsidRPr="00822FF2">
              <w:rPr>
                <w:rFonts w:ascii="Nunito" w:eastAsia="Times New Roman" w:hAnsi="Nunito" w:cs="Calibri"/>
                <w:b/>
                <w:bCs/>
                <w:color w:val="2E75B6"/>
                <w:sz w:val="16"/>
                <w:szCs w:val="16"/>
                <w:lang w:val="ro-RO" w:eastAsia="ro-RO"/>
              </w:rPr>
              <w:t>OM15</w:t>
            </w:r>
          </w:p>
        </w:tc>
        <w:tc>
          <w:tcPr>
            <w:tcW w:w="3401" w:type="dxa"/>
          </w:tcPr>
          <w:p w14:paraId="3DDC6719" w14:textId="3A60BFB1" w:rsidR="00EC31E0" w:rsidRPr="004A5D70" w:rsidRDefault="00EC31E0" w:rsidP="00EC31E0">
            <w:pPr>
              <w:rPr>
                <w:lang w:val="pt-PT"/>
              </w:rPr>
            </w:pPr>
            <w:r w:rsidRPr="00822FF2">
              <w:rPr>
                <w:rFonts w:ascii="Nunito" w:eastAsia="Times New Roman" w:hAnsi="Nunito" w:cs="Calibri"/>
                <w:b/>
                <w:bCs/>
                <w:sz w:val="16"/>
                <w:szCs w:val="16"/>
                <w:lang w:val="ro-RO" w:eastAsia="ro-RO"/>
              </w:rPr>
              <w:t>Economie circulară</w:t>
            </w:r>
          </w:p>
        </w:tc>
        <w:tc>
          <w:tcPr>
            <w:tcW w:w="1364" w:type="dxa"/>
          </w:tcPr>
          <w:p w14:paraId="4B6BF695" w14:textId="77777777" w:rsidR="00EC31E0" w:rsidRDefault="00EC31E0" w:rsidP="00EC31E0">
            <w:pPr>
              <w:jc w:val="center"/>
            </w:pPr>
            <w:r>
              <w:rPr>
                <w:rFonts w:eastAsia="Verdana" w:cs="Verdana"/>
                <w:b/>
                <w:bCs/>
                <w:color w:val="C0392B"/>
                <w:sz w:val="18"/>
              </w:rPr>
              <w:t>–2</w:t>
            </w:r>
          </w:p>
        </w:tc>
        <w:tc>
          <w:tcPr>
            <w:tcW w:w="1673" w:type="dxa"/>
          </w:tcPr>
          <w:p w14:paraId="07DF9D6E" w14:textId="77777777" w:rsidR="00EC31E0" w:rsidRDefault="00EC31E0" w:rsidP="00EC31E0">
            <w:pPr>
              <w:jc w:val="center"/>
            </w:pPr>
            <w:r>
              <w:rPr>
                <w:rFonts w:eastAsia="Verdana" w:cs="Verdana"/>
                <w:b/>
                <w:bCs/>
                <w:color w:val="27AE60"/>
                <w:sz w:val="18"/>
              </w:rPr>
              <w:t>+1</w:t>
            </w:r>
          </w:p>
        </w:tc>
        <w:tc>
          <w:tcPr>
            <w:tcW w:w="1362" w:type="dxa"/>
          </w:tcPr>
          <w:p w14:paraId="28A73CA2" w14:textId="77777777" w:rsidR="00EC31E0" w:rsidRDefault="00EC31E0" w:rsidP="00EC31E0">
            <w:pPr>
              <w:jc w:val="center"/>
            </w:pPr>
            <w:r>
              <w:rPr>
                <w:rFonts w:eastAsia="Verdana" w:cs="Verdana"/>
                <w:b/>
                <w:bCs/>
                <w:color w:val="1E8449"/>
                <w:sz w:val="18"/>
              </w:rPr>
              <w:t>+2</w:t>
            </w:r>
          </w:p>
        </w:tc>
      </w:tr>
      <w:tr w:rsidR="00EC31E0" w14:paraId="5D80325C" w14:textId="77777777" w:rsidTr="00EC31E0">
        <w:trPr>
          <w:trHeight w:val="232"/>
        </w:trPr>
        <w:tc>
          <w:tcPr>
            <w:tcW w:w="1485" w:type="dxa"/>
          </w:tcPr>
          <w:p w14:paraId="20C1B6B1" w14:textId="139C1922" w:rsidR="00EC31E0" w:rsidRDefault="00EC31E0" w:rsidP="00EC31E0">
            <w:pPr>
              <w:jc w:val="center"/>
            </w:pPr>
            <w:r w:rsidRPr="00822FF2">
              <w:rPr>
                <w:rFonts w:ascii="Nunito" w:eastAsia="Times New Roman" w:hAnsi="Nunito" w:cs="Calibri"/>
                <w:b/>
                <w:bCs/>
                <w:color w:val="2E75B6"/>
                <w:sz w:val="16"/>
                <w:szCs w:val="16"/>
                <w:lang w:val="ro-RO" w:eastAsia="ro-RO"/>
              </w:rPr>
              <w:t>OM16</w:t>
            </w:r>
          </w:p>
        </w:tc>
        <w:tc>
          <w:tcPr>
            <w:tcW w:w="3401" w:type="dxa"/>
          </w:tcPr>
          <w:p w14:paraId="428A6125" w14:textId="62539975" w:rsidR="00EC31E0" w:rsidRDefault="00EC31E0" w:rsidP="00EC31E0">
            <w:r w:rsidRPr="00822FF2">
              <w:rPr>
                <w:rFonts w:ascii="Nunito" w:eastAsia="Times New Roman" w:hAnsi="Nunito" w:cs="Calibri"/>
                <w:b/>
                <w:bCs/>
                <w:sz w:val="16"/>
                <w:szCs w:val="16"/>
                <w:lang w:val="ro-RO" w:eastAsia="ro-RO"/>
              </w:rPr>
              <w:t>Economie circulară</w:t>
            </w:r>
          </w:p>
        </w:tc>
        <w:tc>
          <w:tcPr>
            <w:tcW w:w="1364" w:type="dxa"/>
          </w:tcPr>
          <w:p w14:paraId="51BD8ECC" w14:textId="77777777" w:rsidR="00EC31E0" w:rsidRDefault="00EC31E0" w:rsidP="00EC31E0">
            <w:pPr>
              <w:jc w:val="center"/>
            </w:pPr>
            <w:r>
              <w:rPr>
                <w:rFonts w:eastAsia="Verdana" w:cs="Verdana"/>
                <w:b/>
                <w:bCs/>
                <w:color w:val="C0392B"/>
                <w:sz w:val="18"/>
              </w:rPr>
              <w:t>–2</w:t>
            </w:r>
          </w:p>
        </w:tc>
        <w:tc>
          <w:tcPr>
            <w:tcW w:w="1673" w:type="dxa"/>
          </w:tcPr>
          <w:p w14:paraId="701C1773" w14:textId="77777777" w:rsidR="00EC31E0" w:rsidRDefault="00EC31E0" w:rsidP="00EC31E0">
            <w:pPr>
              <w:jc w:val="center"/>
            </w:pPr>
            <w:r>
              <w:rPr>
                <w:rFonts w:eastAsia="Verdana" w:cs="Verdana"/>
                <w:b/>
                <w:bCs/>
                <w:color w:val="27AE60"/>
                <w:sz w:val="18"/>
              </w:rPr>
              <w:t>+1</w:t>
            </w:r>
          </w:p>
        </w:tc>
        <w:tc>
          <w:tcPr>
            <w:tcW w:w="1362" w:type="dxa"/>
          </w:tcPr>
          <w:p w14:paraId="00BC93D6" w14:textId="77777777" w:rsidR="00EC31E0" w:rsidRDefault="00EC31E0" w:rsidP="00EC31E0">
            <w:pPr>
              <w:jc w:val="center"/>
            </w:pPr>
            <w:r>
              <w:rPr>
                <w:rFonts w:eastAsia="Verdana" w:cs="Verdana"/>
                <w:b/>
                <w:bCs/>
                <w:color w:val="1E8449"/>
                <w:sz w:val="18"/>
              </w:rPr>
              <w:t>+2</w:t>
            </w:r>
          </w:p>
        </w:tc>
      </w:tr>
      <w:tr w:rsidR="00EC31E0" w14:paraId="6D28DDA6" w14:textId="77777777" w:rsidTr="00EC31E0">
        <w:trPr>
          <w:trHeight w:val="246"/>
        </w:trPr>
        <w:tc>
          <w:tcPr>
            <w:tcW w:w="1485" w:type="dxa"/>
          </w:tcPr>
          <w:p w14:paraId="1A18E76A" w14:textId="0E5E0D92" w:rsidR="00EC31E0" w:rsidRDefault="00EC31E0" w:rsidP="00EC31E0">
            <w:pPr>
              <w:jc w:val="center"/>
            </w:pPr>
            <w:r w:rsidRPr="00822FF2">
              <w:rPr>
                <w:rFonts w:ascii="Nunito" w:eastAsia="Times New Roman" w:hAnsi="Nunito" w:cs="Calibri"/>
                <w:b/>
                <w:bCs/>
                <w:color w:val="2E75B6"/>
                <w:sz w:val="16"/>
                <w:szCs w:val="16"/>
                <w:lang w:val="ro-RO" w:eastAsia="ro-RO"/>
              </w:rPr>
              <w:t>OM17</w:t>
            </w:r>
          </w:p>
        </w:tc>
        <w:tc>
          <w:tcPr>
            <w:tcW w:w="3401" w:type="dxa"/>
          </w:tcPr>
          <w:p w14:paraId="48729357" w14:textId="0272DA21" w:rsidR="00EC31E0" w:rsidRDefault="00EC31E0" w:rsidP="00EC31E0">
            <w:r w:rsidRPr="00822FF2">
              <w:rPr>
                <w:rFonts w:ascii="Nunito" w:eastAsia="Times New Roman" w:hAnsi="Nunito" w:cs="Calibri"/>
                <w:b/>
                <w:bCs/>
                <w:sz w:val="16"/>
                <w:szCs w:val="16"/>
                <w:lang w:val="ro-RO" w:eastAsia="ro-RO"/>
              </w:rPr>
              <w:t>Economie circulară</w:t>
            </w:r>
          </w:p>
        </w:tc>
        <w:tc>
          <w:tcPr>
            <w:tcW w:w="1364" w:type="dxa"/>
          </w:tcPr>
          <w:p w14:paraId="6E8B5588" w14:textId="77777777" w:rsidR="00EC31E0" w:rsidRDefault="00EC31E0" w:rsidP="00EC31E0">
            <w:pPr>
              <w:jc w:val="center"/>
            </w:pPr>
            <w:r>
              <w:rPr>
                <w:rFonts w:eastAsia="Verdana" w:cs="Verdana"/>
                <w:b/>
                <w:bCs/>
                <w:color w:val="E67E22"/>
                <w:sz w:val="18"/>
              </w:rPr>
              <w:t>–1</w:t>
            </w:r>
          </w:p>
        </w:tc>
        <w:tc>
          <w:tcPr>
            <w:tcW w:w="1673" w:type="dxa"/>
          </w:tcPr>
          <w:p w14:paraId="725D35F1" w14:textId="77777777" w:rsidR="00EC31E0" w:rsidRDefault="00EC31E0" w:rsidP="00EC31E0">
            <w:pPr>
              <w:jc w:val="center"/>
            </w:pPr>
            <w:r>
              <w:rPr>
                <w:rFonts w:eastAsia="Verdana" w:cs="Verdana"/>
                <w:b/>
                <w:bCs/>
                <w:color w:val="27AE60"/>
                <w:sz w:val="18"/>
              </w:rPr>
              <w:t>+1</w:t>
            </w:r>
          </w:p>
        </w:tc>
        <w:tc>
          <w:tcPr>
            <w:tcW w:w="1362" w:type="dxa"/>
          </w:tcPr>
          <w:p w14:paraId="7CEB6259" w14:textId="77777777" w:rsidR="00EC31E0" w:rsidRDefault="00EC31E0" w:rsidP="00EC31E0">
            <w:pPr>
              <w:jc w:val="center"/>
            </w:pPr>
            <w:r>
              <w:rPr>
                <w:rFonts w:eastAsia="Verdana" w:cs="Verdana"/>
                <w:b/>
                <w:bCs/>
                <w:color w:val="27AE60"/>
                <w:sz w:val="18"/>
              </w:rPr>
              <w:t>+1</w:t>
            </w:r>
          </w:p>
        </w:tc>
      </w:tr>
      <w:tr w:rsidR="00EC31E0" w14:paraId="6208C8FA" w14:textId="77777777" w:rsidTr="00EC31E0">
        <w:trPr>
          <w:trHeight w:val="232"/>
        </w:trPr>
        <w:tc>
          <w:tcPr>
            <w:tcW w:w="1485" w:type="dxa"/>
          </w:tcPr>
          <w:p w14:paraId="53CC2A1B" w14:textId="6D66B36B" w:rsidR="00EC31E0" w:rsidRDefault="00EC31E0" w:rsidP="00EC31E0">
            <w:pPr>
              <w:jc w:val="center"/>
            </w:pPr>
            <w:r w:rsidRPr="00822FF2">
              <w:rPr>
                <w:rFonts w:ascii="Nunito" w:eastAsia="Times New Roman" w:hAnsi="Nunito" w:cs="Calibri"/>
                <w:b/>
                <w:bCs/>
                <w:color w:val="2E75B6"/>
                <w:sz w:val="16"/>
                <w:szCs w:val="16"/>
                <w:lang w:val="ro-RO" w:eastAsia="ro-RO"/>
              </w:rPr>
              <w:t>OM18</w:t>
            </w:r>
          </w:p>
        </w:tc>
        <w:tc>
          <w:tcPr>
            <w:tcW w:w="3401" w:type="dxa"/>
          </w:tcPr>
          <w:p w14:paraId="5A7830F0" w14:textId="062E9C13" w:rsidR="00EC31E0" w:rsidRDefault="00EC31E0" w:rsidP="00EC31E0">
            <w:r w:rsidRPr="00822FF2">
              <w:rPr>
                <w:rFonts w:ascii="Nunito" w:eastAsia="Times New Roman" w:hAnsi="Nunito" w:cs="Calibri"/>
                <w:b/>
                <w:bCs/>
                <w:sz w:val="16"/>
                <w:szCs w:val="16"/>
                <w:lang w:val="ro-RO" w:eastAsia="ro-RO"/>
              </w:rPr>
              <w:t>Transport durabil</w:t>
            </w:r>
          </w:p>
        </w:tc>
        <w:tc>
          <w:tcPr>
            <w:tcW w:w="1364" w:type="dxa"/>
          </w:tcPr>
          <w:p w14:paraId="4FFA4CF1" w14:textId="77777777" w:rsidR="00EC31E0" w:rsidRDefault="00EC31E0" w:rsidP="00EC31E0">
            <w:pPr>
              <w:jc w:val="center"/>
            </w:pPr>
            <w:r>
              <w:rPr>
                <w:rFonts w:eastAsia="Verdana" w:cs="Verdana"/>
                <w:b/>
                <w:bCs/>
                <w:color w:val="7F8C8D"/>
                <w:sz w:val="18"/>
              </w:rPr>
              <w:t>0</w:t>
            </w:r>
          </w:p>
        </w:tc>
        <w:tc>
          <w:tcPr>
            <w:tcW w:w="1673" w:type="dxa"/>
          </w:tcPr>
          <w:p w14:paraId="506686A7" w14:textId="77777777" w:rsidR="00EC31E0" w:rsidRDefault="00EC31E0" w:rsidP="00EC31E0">
            <w:pPr>
              <w:jc w:val="center"/>
            </w:pPr>
            <w:r>
              <w:rPr>
                <w:rFonts w:eastAsia="Verdana" w:cs="Verdana"/>
                <w:b/>
                <w:bCs/>
                <w:color w:val="E67E22"/>
                <w:sz w:val="18"/>
              </w:rPr>
              <w:t>–1</w:t>
            </w:r>
          </w:p>
        </w:tc>
        <w:tc>
          <w:tcPr>
            <w:tcW w:w="1362" w:type="dxa"/>
          </w:tcPr>
          <w:p w14:paraId="08488AFD" w14:textId="77777777" w:rsidR="00EC31E0" w:rsidRDefault="00EC31E0" w:rsidP="00EC31E0">
            <w:pPr>
              <w:jc w:val="center"/>
            </w:pPr>
            <w:r>
              <w:rPr>
                <w:rFonts w:eastAsia="Verdana" w:cs="Verdana"/>
                <w:b/>
                <w:bCs/>
                <w:color w:val="27AE60"/>
                <w:sz w:val="18"/>
              </w:rPr>
              <w:t>+1</w:t>
            </w:r>
          </w:p>
        </w:tc>
      </w:tr>
      <w:tr w:rsidR="00EC31E0" w14:paraId="36FD3CAF" w14:textId="77777777" w:rsidTr="00EC31E0">
        <w:trPr>
          <w:trHeight w:val="232"/>
        </w:trPr>
        <w:tc>
          <w:tcPr>
            <w:tcW w:w="1485" w:type="dxa"/>
          </w:tcPr>
          <w:p w14:paraId="0612FA16" w14:textId="647927FD" w:rsidR="00EC31E0" w:rsidRDefault="00EC31E0" w:rsidP="00EC31E0">
            <w:pPr>
              <w:jc w:val="center"/>
            </w:pPr>
            <w:r w:rsidRPr="00822FF2">
              <w:rPr>
                <w:rFonts w:ascii="Nunito" w:eastAsia="Times New Roman" w:hAnsi="Nunito" w:cs="Calibri"/>
                <w:b/>
                <w:bCs/>
                <w:color w:val="2E75B6"/>
                <w:sz w:val="16"/>
                <w:szCs w:val="16"/>
                <w:lang w:val="ro-RO" w:eastAsia="ro-RO"/>
              </w:rPr>
              <w:t>OM19</w:t>
            </w:r>
          </w:p>
        </w:tc>
        <w:tc>
          <w:tcPr>
            <w:tcW w:w="3401" w:type="dxa"/>
          </w:tcPr>
          <w:p w14:paraId="2110DA9D" w14:textId="76540C71" w:rsidR="00EC31E0" w:rsidRDefault="00EC31E0" w:rsidP="00EC31E0">
            <w:r w:rsidRPr="00822FF2">
              <w:rPr>
                <w:rFonts w:ascii="Nunito" w:eastAsia="Times New Roman" w:hAnsi="Nunito" w:cs="Calibri"/>
                <w:b/>
                <w:bCs/>
                <w:sz w:val="16"/>
                <w:szCs w:val="16"/>
                <w:lang w:val="ro-RO" w:eastAsia="ro-RO"/>
              </w:rPr>
              <w:t>Eficiență energetică</w:t>
            </w:r>
          </w:p>
        </w:tc>
        <w:tc>
          <w:tcPr>
            <w:tcW w:w="1364" w:type="dxa"/>
          </w:tcPr>
          <w:p w14:paraId="1E9F6A7D" w14:textId="77777777" w:rsidR="00EC31E0" w:rsidRDefault="00EC31E0" w:rsidP="00EC31E0">
            <w:pPr>
              <w:jc w:val="center"/>
            </w:pPr>
            <w:r>
              <w:rPr>
                <w:rFonts w:eastAsia="Verdana" w:cs="Verdana"/>
                <w:b/>
                <w:bCs/>
                <w:color w:val="C0392B"/>
                <w:sz w:val="18"/>
              </w:rPr>
              <w:t>–2</w:t>
            </w:r>
          </w:p>
        </w:tc>
        <w:tc>
          <w:tcPr>
            <w:tcW w:w="1673" w:type="dxa"/>
          </w:tcPr>
          <w:p w14:paraId="64C512C0" w14:textId="77777777" w:rsidR="00EC31E0" w:rsidRDefault="00EC31E0" w:rsidP="00EC31E0">
            <w:pPr>
              <w:jc w:val="center"/>
            </w:pPr>
            <w:r>
              <w:rPr>
                <w:rFonts w:eastAsia="Verdana" w:cs="Verdana"/>
                <w:b/>
                <w:bCs/>
                <w:color w:val="27AE60"/>
                <w:sz w:val="18"/>
              </w:rPr>
              <w:t>+1</w:t>
            </w:r>
          </w:p>
        </w:tc>
        <w:tc>
          <w:tcPr>
            <w:tcW w:w="1362" w:type="dxa"/>
          </w:tcPr>
          <w:p w14:paraId="776D4BAE" w14:textId="77777777" w:rsidR="00EC31E0" w:rsidRDefault="00EC31E0" w:rsidP="00EC31E0">
            <w:pPr>
              <w:jc w:val="center"/>
            </w:pPr>
            <w:r>
              <w:rPr>
                <w:rFonts w:eastAsia="Verdana" w:cs="Verdana"/>
                <w:b/>
                <w:bCs/>
                <w:color w:val="1E8449"/>
                <w:sz w:val="18"/>
              </w:rPr>
              <w:t>+2</w:t>
            </w:r>
          </w:p>
        </w:tc>
      </w:tr>
      <w:tr w:rsidR="00EC31E0" w14:paraId="3F3C25A4" w14:textId="77777777" w:rsidTr="00EC31E0">
        <w:trPr>
          <w:trHeight w:val="246"/>
        </w:trPr>
        <w:tc>
          <w:tcPr>
            <w:tcW w:w="4886" w:type="dxa"/>
            <w:gridSpan w:val="2"/>
            <w:shd w:val="clear" w:color="auto" w:fill="BFBFBF" w:themeFill="background1" w:themeFillShade="BF"/>
          </w:tcPr>
          <w:p w14:paraId="2C0DE3C3" w14:textId="77777777" w:rsidR="00EC31E0" w:rsidRDefault="00EC31E0" w:rsidP="00F12D89">
            <w:pPr>
              <w:jc w:val="right"/>
            </w:pPr>
            <w:r>
              <w:rPr>
                <w:rFonts w:eastAsia="Verdana" w:cs="Verdana"/>
                <w:b/>
                <w:bCs/>
                <w:color w:val="FFFFFF"/>
                <w:sz w:val="17"/>
                <w:szCs w:val="17"/>
              </w:rPr>
              <w:t>SCOR TOTAL</w:t>
            </w:r>
          </w:p>
        </w:tc>
        <w:tc>
          <w:tcPr>
            <w:tcW w:w="1364" w:type="dxa"/>
            <w:shd w:val="clear" w:color="auto" w:fill="BFBFBF" w:themeFill="background1" w:themeFillShade="BF"/>
          </w:tcPr>
          <w:p w14:paraId="2BE76FAE" w14:textId="77777777" w:rsidR="00EC31E0" w:rsidRDefault="00EC31E0" w:rsidP="00F12D89">
            <w:pPr>
              <w:jc w:val="center"/>
            </w:pPr>
            <w:r>
              <w:rPr>
                <w:rFonts w:eastAsia="Verdana" w:cs="Verdana"/>
                <w:b/>
                <w:bCs/>
                <w:color w:val="FFFFFF"/>
                <w:sz w:val="19"/>
                <w:szCs w:val="19"/>
              </w:rPr>
              <w:t>–27</w:t>
            </w:r>
          </w:p>
        </w:tc>
        <w:tc>
          <w:tcPr>
            <w:tcW w:w="1673" w:type="dxa"/>
            <w:shd w:val="clear" w:color="auto" w:fill="BFBFBF" w:themeFill="background1" w:themeFillShade="BF"/>
          </w:tcPr>
          <w:p w14:paraId="68B436C2" w14:textId="77777777" w:rsidR="00EC31E0" w:rsidRDefault="00EC31E0" w:rsidP="00F12D89">
            <w:pPr>
              <w:jc w:val="center"/>
            </w:pPr>
            <w:r>
              <w:rPr>
                <w:rFonts w:eastAsia="Verdana" w:cs="Verdana"/>
                <w:b/>
                <w:bCs/>
                <w:color w:val="FFFFFF"/>
                <w:sz w:val="19"/>
                <w:szCs w:val="19"/>
              </w:rPr>
              <w:t>+15</w:t>
            </w:r>
          </w:p>
        </w:tc>
        <w:tc>
          <w:tcPr>
            <w:tcW w:w="1362" w:type="dxa"/>
            <w:shd w:val="clear" w:color="auto" w:fill="BFBFBF" w:themeFill="background1" w:themeFillShade="BF"/>
          </w:tcPr>
          <w:p w14:paraId="64A5946E" w14:textId="77777777" w:rsidR="00EC31E0" w:rsidRDefault="00EC31E0" w:rsidP="00F12D89">
            <w:pPr>
              <w:jc w:val="center"/>
            </w:pPr>
            <w:r>
              <w:rPr>
                <w:rFonts w:eastAsia="Verdana" w:cs="Verdana"/>
                <w:b/>
                <w:bCs/>
                <w:color w:val="FFFFFF"/>
                <w:sz w:val="19"/>
                <w:szCs w:val="19"/>
              </w:rPr>
              <w:t>+28</w:t>
            </w:r>
          </w:p>
        </w:tc>
      </w:tr>
    </w:tbl>
    <w:p w14:paraId="1E8074EF" w14:textId="77777777" w:rsidR="00EE1141" w:rsidRDefault="00EE1141" w:rsidP="00EE1141">
      <w:pPr>
        <w:spacing w:after="80" w:line="276" w:lineRule="auto"/>
        <w:jc w:val="both"/>
      </w:pPr>
    </w:p>
    <w:p w14:paraId="1D0A32D8" w14:textId="77777777" w:rsidR="00A47C60" w:rsidRPr="00A47C60" w:rsidRDefault="00A47C60" w:rsidP="00A47C60">
      <w:pPr>
        <w:spacing w:after="120" w:line="240" w:lineRule="auto"/>
        <w:jc w:val="both"/>
        <w:rPr>
          <w:rFonts w:ascii="Nunito" w:hAnsi="Nunito"/>
          <w:lang w:val="ro-RO"/>
        </w:rPr>
      </w:pPr>
      <w:r w:rsidRPr="00A47C60">
        <w:rPr>
          <w:rFonts w:ascii="Nunito" w:hAnsi="Nunito"/>
          <w:lang w:val="ro-RO"/>
        </w:rPr>
        <w:t>Analiza comparativă confirmă că Alternativa 2 reprezintă opțiunea optimă pentru implementarea PNGD 2026–2035, obținând un scor agregat de +28, semnificativ superior celui asociat Alternativei 1 (+15). Aceasta înregistrează rezultate mai favorabile pentru 12 dintre cele 19 obiective de mediu evaluate și rezultate echivalente pentru celelalte 7, fără a exista obiective pentru care soluția modulară să prezinte avantaje comparative.</w:t>
      </w:r>
    </w:p>
    <w:p w14:paraId="79190B05" w14:textId="77777777" w:rsidR="00A47C60" w:rsidRPr="00A47C60" w:rsidRDefault="00A47C60" w:rsidP="00A47C60">
      <w:pPr>
        <w:spacing w:after="120" w:line="240" w:lineRule="auto"/>
        <w:jc w:val="both"/>
        <w:rPr>
          <w:rFonts w:ascii="Nunito" w:hAnsi="Nunito"/>
          <w:lang w:val="ro-RO"/>
        </w:rPr>
      </w:pPr>
      <w:r w:rsidRPr="00A47C60">
        <w:rPr>
          <w:rFonts w:ascii="Nunito" w:hAnsi="Nunito"/>
          <w:lang w:val="ro-RO"/>
        </w:rPr>
        <w:t>În contrast, scenariul de neimplementare a planului (Alternativa 0), cu un scor agregat de –27, generează efecte negative asupra a 16 dintre cele 19 obiective analizate, dintre care 11 sunt considerate semnificative. Aceste rezultate demonstrează că Alternativa 2 oferă cea mai bună contribuție la atingerea obiectivelor de protecție a mediului, de eficiență a utilizării resurselor și de dezvoltare durabilă, constituind alternativa preferată din perspectiva evaluării strategice de mediu.</w:t>
      </w:r>
    </w:p>
    <w:p w14:paraId="06140986" w14:textId="284BA581" w:rsidR="00EE1141" w:rsidRDefault="00033451" w:rsidP="00A47C60">
      <w:pPr>
        <w:pStyle w:val="Heading1"/>
        <w:numPr>
          <w:ilvl w:val="0"/>
          <w:numId w:val="0"/>
        </w:numPr>
        <w:rPr>
          <w:rFonts w:ascii="Nunito" w:hAnsi="Nunito"/>
          <w:b w:val="0"/>
          <w:bCs w:val="0"/>
          <w:sz w:val="20"/>
          <w:szCs w:val="20"/>
          <w:lang w:val="ro-RO"/>
        </w:rPr>
      </w:pPr>
      <w:r>
        <w:rPr>
          <w:rFonts w:ascii="Nunito" w:hAnsi="Nunito"/>
          <w:b w:val="0"/>
          <w:bCs w:val="0"/>
          <w:sz w:val="20"/>
          <w:szCs w:val="20"/>
          <w:lang w:val="ro-RO"/>
        </w:rPr>
        <w:t>10.3.1 Analiza detaliată pe obiective de mediu</w:t>
      </w:r>
    </w:p>
    <w:p w14:paraId="49BE183F" w14:textId="77777777" w:rsidR="00EE1141" w:rsidRDefault="00EE1141" w:rsidP="00EE1141">
      <w:pPr>
        <w:spacing w:after="120" w:line="240" w:lineRule="auto"/>
        <w:jc w:val="both"/>
        <w:rPr>
          <w:rFonts w:ascii="Nunito" w:hAnsi="Nunito"/>
          <w:lang w:val="ro-RO"/>
        </w:rPr>
      </w:pPr>
      <w:r>
        <w:rPr>
          <w:rFonts w:ascii="Nunito" w:hAnsi="Nunito"/>
          <w:lang w:val="ro-RO"/>
        </w:rPr>
        <w:t>Fiecare obiectiv de mediu este prezentat intr-un tabel structurat care cuprinde: obiectivul de protectie a mediului, cadrul legal de referinta, evaluarea fiecarei alternative (scor, clasificare si justificare tehnica), si concluzia comparativa.</w:t>
      </w:r>
    </w:p>
    <w:p w14:paraId="1CB4F611" w14:textId="77777777" w:rsidR="002A7FFC" w:rsidRDefault="002A7FFC">
      <w:pPr>
        <w:rPr>
          <w:rFonts w:ascii="Nunito" w:hAnsi="Nunito"/>
          <w:lang w:val="ro-RO"/>
        </w:rPr>
      </w:pPr>
      <w:r>
        <w:rPr>
          <w:rFonts w:ascii="Nunito" w:hAnsi="Nunito"/>
          <w:lang w:val="ro-RO"/>
        </w:rPr>
        <w:br w:type="page"/>
      </w:r>
    </w:p>
    <w:p w14:paraId="6550A119" w14:textId="77777777" w:rsidR="002A7FFC" w:rsidRDefault="002A7FFC">
      <w:pPr>
        <w:rPr>
          <w:rFonts w:ascii="Nunito" w:hAnsi="Nunito"/>
          <w:lang w:val="ro-RO"/>
        </w:rPr>
        <w:sectPr w:rsidR="002A7FFC" w:rsidSect="0026487B">
          <w:headerReference w:type="default" r:id="rId11"/>
          <w:footerReference w:type="even" r:id="rId12"/>
          <w:footerReference w:type="default" r:id="rId13"/>
          <w:footerReference w:type="first" r:id="rId14"/>
          <w:pgSz w:w="11906" w:h="16838" w:code="9"/>
          <w:pgMar w:top="1418" w:right="1133" w:bottom="1418" w:left="1191" w:header="839" w:footer="680" w:gutter="0"/>
          <w:cols w:space="708"/>
          <w:docGrid w:linePitch="360"/>
        </w:sectPr>
      </w:pPr>
    </w:p>
    <w:p w14:paraId="61411B64" w14:textId="77777777" w:rsidR="002A7FFC" w:rsidRPr="00EC31E0" w:rsidRDefault="002A7FFC" w:rsidP="002A7FFC">
      <w:pPr>
        <w:spacing w:after="60" w:line="276" w:lineRule="auto"/>
        <w:jc w:val="both"/>
        <w:rPr>
          <w:rFonts w:ascii="Nunito" w:eastAsia="Nunito" w:hAnsi="Nunito" w:cs="Nunito"/>
          <w:sz w:val="22"/>
          <w:szCs w:val="22"/>
          <w:lang w:val="ro-RO"/>
        </w:rPr>
      </w:pPr>
    </w:p>
    <w:p w14:paraId="19C4A6F8" w14:textId="77777777" w:rsidR="002A7FFC" w:rsidRDefault="002A7FFC" w:rsidP="002A7FFC">
      <w:pPr>
        <w:spacing w:after="120" w:line="240" w:lineRule="auto"/>
        <w:jc w:val="both"/>
        <w:rPr>
          <w:rFonts w:ascii="Nunito" w:hAnsi="Nunito"/>
          <w:lang w:val="ro-RO"/>
        </w:rPr>
      </w:pPr>
      <w:r>
        <w:rPr>
          <w:rFonts w:ascii="Nunito" w:hAnsi="Nunito"/>
          <w:lang w:val="ro-RO"/>
        </w:rPr>
        <w:t>Tabelul urmator prezinta evaluarea comparativa completa a celor trei alternative pe fiecare din cele 17 obiective de mediu, cu cadrul legal, justificarea tehnica si concluzia per obiectiv.</w:t>
      </w:r>
    </w:p>
    <w:p w14:paraId="352CA03A" w14:textId="77777777" w:rsidR="00EC31E0" w:rsidRPr="00EC31E0" w:rsidRDefault="00EC31E0" w:rsidP="002A7FFC">
      <w:pPr>
        <w:spacing w:after="120" w:line="240" w:lineRule="auto"/>
        <w:jc w:val="both"/>
        <w:rPr>
          <w:rFonts w:ascii="Nunito" w:hAnsi="Nunito"/>
          <w:lang w:val="ro-RO"/>
        </w:rPr>
      </w:pPr>
    </w:p>
    <w:tbl>
      <w:tblPr>
        <w:tblStyle w:val="Ramboll-Table"/>
        <w:tblW w:w="15406" w:type="dxa"/>
        <w:tblLook w:val="04A0" w:firstRow="1" w:lastRow="0" w:firstColumn="1" w:lastColumn="0" w:noHBand="0" w:noVBand="1"/>
      </w:tblPr>
      <w:tblGrid>
        <w:gridCol w:w="709"/>
        <w:gridCol w:w="1695"/>
        <w:gridCol w:w="804"/>
        <w:gridCol w:w="2556"/>
        <w:gridCol w:w="612"/>
        <w:gridCol w:w="2476"/>
        <w:gridCol w:w="612"/>
        <w:gridCol w:w="3186"/>
        <w:gridCol w:w="2756"/>
      </w:tblGrid>
      <w:tr w:rsidR="00EC31E0" w:rsidRPr="00EC31E0" w14:paraId="04637C23" w14:textId="77777777" w:rsidTr="00A47C60">
        <w:trPr>
          <w:cnfStyle w:val="100000000000" w:firstRow="1" w:lastRow="0" w:firstColumn="0" w:lastColumn="0" w:oddVBand="0" w:evenVBand="0" w:oddHBand="0" w:evenHBand="0" w:firstRowFirstColumn="0" w:firstRowLastColumn="0" w:lastRowFirstColumn="0" w:lastRowLastColumn="0"/>
          <w:trHeight w:val="140"/>
          <w:tblHeader/>
        </w:trPr>
        <w:tc>
          <w:tcPr>
            <w:tcW w:w="710" w:type="dxa"/>
            <w:shd w:val="clear" w:color="auto" w:fill="00B0F0"/>
          </w:tcPr>
          <w:p w14:paraId="0C0BAD63"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7"/>
                <w:szCs w:val="17"/>
                <w:lang w:val="ro-RO"/>
              </w:rPr>
              <w:t>Cod OM</w:t>
            </w:r>
          </w:p>
        </w:tc>
        <w:tc>
          <w:tcPr>
            <w:tcW w:w="1558" w:type="dxa"/>
            <w:shd w:val="clear" w:color="auto" w:fill="00B0F0"/>
          </w:tcPr>
          <w:p w14:paraId="37075A0D"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7"/>
                <w:szCs w:val="17"/>
                <w:lang w:val="ro-RO"/>
              </w:rPr>
              <w:t>Aspect de mediu</w:t>
            </w:r>
          </w:p>
        </w:tc>
        <w:tc>
          <w:tcPr>
            <w:tcW w:w="810" w:type="dxa"/>
            <w:shd w:val="clear" w:color="auto" w:fill="00B0F0"/>
          </w:tcPr>
          <w:p w14:paraId="30166935"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7"/>
                <w:szCs w:val="17"/>
                <w:lang w:val="ro-RO"/>
              </w:rPr>
              <w:t>Scor</w:t>
            </w:r>
          </w:p>
        </w:tc>
        <w:tc>
          <w:tcPr>
            <w:tcW w:w="2580" w:type="dxa"/>
            <w:shd w:val="clear" w:color="auto" w:fill="00B0F0"/>
          </w:tcPr>
          <w:p w14:paraId="66CEF0D7"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7"/>
                <w:szCs w:val="17"/>
                <w:lang w:val="ro-RO"/>
              </w:rPr>
              <w:t>Alternativa 0 — Fără PNGD</w:t>
            </w:r>
          </w:p>
        </w:tc>
        <w:tc>
          <w:tcPr>
            <w:tcW w:w="613" w:type="dxa"/>
            <w:shd w:val="clear" w:color="auto" w:fill="00B0F0"/>
          </w:tcPr>
          <w:p w14:paraId="2BFA5919"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7"/>
                <w:szCs w:val="17"/>
                <w:lang w:val="ro-RO"/>
              </w:rPr>
              <w:t>Scor</w:t>
            </w:r>
          </w:p>
        </w:tc>
        <w:tc>
          <w:tcPr>
            <w:tcW w:w="2507" w:type="dxa"/>
            <w:shd w:val="clear" w:color="auto" w:fill="00B0F0"/>
          </w:tcPr>
          <w:p w14:paraId="3E38EAA0"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7"/>
                <w:szCs w:val="17"/>
                <w:lang w:val="ro-RO"/>
              </w:rPr>
              <w:t>Alternativa 1 — Modulară</w:t>
            </w:r>
          </w:p>
        </w:tc>
        <w:tc>
          <w:tcPr>
            <w:tcW w:w="613" w:type="dxa"/>
            <w:shd w:val="clear" w:color="auto" w:fill="00B0F0"/>
          </w:tcPr>
          <w:p w14:paraId="288DCE19"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7"/>
                <w:szCs w:val="17"/>
                <w:lang w:val="ro-RO"/>
              </w:rPr>
              <w:t>Scor</w:t>
            </w:r>
          </w:p>
        </w:tc>
        <w:tc>
          <w:tcPr>
            <w:tcW w:w="3227" w:type="dxa"/>
            <w:shd w:val="clear" w:color="auto" w:fill="00B0F0"/>
          </w:tcPr>
          <w:p w14:paraId="632863FB"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7"/>
                <w:szCs w:val="17"/>
                <w:lang w:val="ro-RO"/>
              </w:rPr>
              <w:t>Alternativa 2 — IITD</w:t>
            </w:r>
          </w:p>
        </w:tc>
        <w:tc>
          <w:tcPr>
            <w:tcW w:w="2788" w:type="dxa"/>
            <w:shd w:val="clear" w:color="auto" w:fill="00B0F0"/>
          </w:tcPr>
          <w:p w14:paraId="1F90784A"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7"/>
                <w:szCs w:val="17"/>
                <w:lang w:val="ro-RO"/>
              </w:rPr>
              <w:t>Concluzie</w:t>
            </w:r>
          </w:p>
        </w:tc>
      </w:tr>
      <w:tr w:rsidR="00EC31E0" w:rsidRPr="006639FB" w14:paraId="22733D9C" w14:textId="77777777" w:rsidTr="00A47C60">
        <w:trPr>
          <w:trHeight w:val="140"/>
        </w:trPr>
        <w:tc>
          <w:tcPr>
            <w:tcW w:w="710" w:type="dxa"/>
          </w:tcPr>
          <w:p w14:paraId="779E089A"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w:t>
            </w:r>
          </w:p>
        </w:tc>
        <w:tc>
          <w:tcPr>
            <w:tcW w:w="1558" w:type="dxa"/>
          </w:tcPr>
          <w:p w14:paraId="04BCFD8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Apă de suprafață și subterană</w:t>
            </w:r>
          </w:p>
        </w:tc>
        <w:tc>
          <w:tcPr>
            <w:tcW w:w="810" w:type="dxa"/>
          </w:tcPr>
          <w:p w14:paraId="6155CD39"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33AEE69D"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Depozitele neconforme, fără bariere de etanșeizare, perpetuează infiltrarea levigatului în acvifere și migrarea necontrolată către cursurile de apă de suprafață, cu deteriorarea stării ecologice și chimice a corpurilor de apă (eutrofizare, contaminare chimică).</w:t>
            </w:r>
          </w:p>
        </w:tc>
        <w:tc>
          <w:tcPr>
            <w:tcW w:w="613" w:type="dxa"/>
          </w:tcPr>
          <w:p w14:paraId="57D1E5E2"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2A6CE891"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Închiderea depozitelor neconforme și operarea exclusivă a instalațiilor conforme (etanșeizare dublă, sisteme de colectare a levigatului) reduc semnificativ riscul de contaminare și elimină evacuările directe. Riscul rezidual persistă din cauza dispersiei surselor pe multiple amplasamente.</w:t>
            </w:r>
          </w:p>
        </w:tc>
        <w:tc>
          <w:tcPr>
            <w:tcW w:w="613" w:type="dxa"/>
          </w:tcPr>
          <w:p w14:paraId="2F22D7DF"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66C04DA4"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standarde de etanșeizare, dar concentrarea proceselor în IITD reduce cantitățile destinate depozitării, minimizează volumul de levigat la sursă (prin maximizarea valorificării) și scade suprafața totală expusă, permițând monitorizare unitară și răspuns rapid la depășiri.</w:t>
            </w:r>
          </w:p>
        </w:tc>
        <w:tc>
          <w:tcPr>
            <w:tcW w:w="2788" w:type="dxa"/>
          </w:tcPr>
          <w:p w14:paraId="7A6F7F4A"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limitează suprafața totală de depozitare și, implicit, expunerea la riscul rezidual de defecte ale geomembranei, oferind protecție superioară a corpurilor de apă.</w:t>
            </w:r>
          </w:p>
        </w:tc>
      </w:tr>
      <w:tr w:rsidR="00EC31E0" w:rsidRPr="006639FB" w14:paraId="66DF8408" w14:textId="77777777" w:rsidTr="00A47C60">
        <w:trPr>
          <w:trHeight w:val="140"/>
        </w:trPr>
        <w:tc>
          <w:tcPr>
            <w:tcW w:w="710" w:type="dxa"/>
          </w:tcPr>
          <w:p w14:paraId="3A0F49BC"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OM2</w:t>
            </w:r>
          </w:p>
        </w:tc>
        <w:tc>
          <w:tcPr>
            <w:tcW w:w="1558" w:type="dxa"/>
          </w:tcPr>
          <w:p w14:paraId="778C96BF"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Resursele de apă (deficit, utilizare durabilă)</w:t>
            </w:r>
          </w:p>
        </w:tc>
        <w:tc>
          <w:tcPr>
            <w:tcW w:w="810" w:type="dxa"/>
          </w:tcPr>
          <w:p w14:paraId="67801B57" w14:textId="77777777" w:rsidR="00EC31E0" w:rsidRPr="00EC31E0" w:rsidRDefault="00EC31E0" w:rsidP="00A47C60">
            <w:pPr>
              <w:spacing w:before="0" w:after="0" w:line="240" w:lineRule="auto"/>
              <w:jc w:val="center"/>
              <w:rPr>
                <w:lang w:val="ro-RO"/>
              </w:rPr>
            </w:pPr>
            <w:r w:rsidRPr="00EC31E0">
              <w:rPr>
                <w:rFonts w:eastAsia="Verdana" w:cs="Verdana"/>
                <w:b/>
                <w:bCs/>
                <w:color w:val="E67E22"/>
                <w:sz w:val="18"/>
                <w:lang w:val="ro-RO"/>
              </w:rPr>
              <w:t>–1</w:t>
            </w:r>
          </w:p>
        </w:tc>
        <w:tc>
          <w:tcPr>
            <w:tcW w:w="2580" w:type="dxa"/>
          </w:tcPr>
          <w:p w14:paraId="38A5BF7C"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Instalațiile existente nu integrează sistematic măsuri de reutilizare/recirculare a apei de proces; presiunea asupra resurselor de apă rămâne negestionată, deși efectul sectorului asupra cantității de apă este indirect și de amploare limitată.</w:t>
            </w:r>
          </w:p>
        </w:tc>
        <w:tc>
          <w:tcPr>
            <w:tcW w:w="613" w:type="dxa"/>
          </w:tcPr>
          <w:p w14:paraId="49AFBA95"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7595CB5B"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Instalațiile noi/modernizate includ recircularea apei tehnologice și gestionarea apelor pluviale, reducând prelevările. Efectul asupra resurselor de apă este pozitiv, dar limitat și indirect.</w:t>
            </w:r>
          </w:p>
        </w:tc>
        <w:tc>
          <w:tcPr>
            <w:tcW w:w="613" w:type="dxa"/>
          </w:tcPr>
          <w:p w14:paraId="0EA74B1D"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3227" w:type="dxa"/>
          </w:tcPr>
          <w:p w14:paraId="42F93E2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măsuri de gestionare a apei; integrarea proceselor nu generează o diferențiere semnificativă față de soluția modulară în privința consumului de resurse de apă.</w:t>
            </w:r>
          </w:p>
        </w:tc>
        <w:tc>
          <w:tcPr>
            <w:tcW w:w="2788" w:type="dxa"/>
          </w:tcPr>
          <w:p w14:paraId="6ED11A01"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Obiectiv nou față de setul evaluat în Cap. 7. Efect indirect, de amploare limitată; Alternativele 1 și 2 sunt echivalente. Scor derivat cu prudență din evaluarea presiunilor asupra apei (secț. 7.3.2.1).</w:t>
            </w:r>
          </w:p>
        </w:tc>
      </w:tr>
      <w:tr w:rsidR="00EC31E0" w:rsidRPr="006639FB" w14:paraId="4F966748" w14:textId="77777777" w:rsidTr="00A47C60">
        <w:trPr>
          <w:trHeight w:val="140"/>
        </w:trPr>
        <w:tc>
          <w:tcPr>
            <w:tcW w:w="710" w:type="dxa"/>
          </w:tcPr>
          <w:p w14:paraId="27D927DC"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OM3</w:t>
            </w:r>
          </w:p>
        </w:tc>
        <w:tc>
          <w:tcPr>
            <w:tcW w:w="1558" w:type="dxa"/>
          </w:tcPr>
          <w:p w14:paraId="50DAED8D"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Protecția solului</w:t>
            </w:r>
          </w:p>
        </w:tc>
        <w:tc>
          <w:tcPr>
            <w:tcW w:w="810" w:type="dxa"/>
          </w:tcPr>
          <w:p w14:paraId="79D810C3"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7108012C"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Depozitele neconforme fără etanșeizare contaminează direct solul cu levigat bogat în metale grele, compuși organici persistenți și microplastice.</w:t>
            </w:r>
          </w:p>
        </w:tc>
        <w:tc>
          <w:tcPr>
            <w:tcW w:w="613" w:type="dxa"/>
          </w:tcPr>
          <w:p w14:paraId="5B21EA65"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3F2A16CF"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Închiderea depozitelor neconforme și valorificarea materialelor reduc depozitarea sub 10%. Amprenta spațială rămâne dispersată pe multiple amplasamente.</w:t>
            </w:r>
          </w:p>
        </w:tc>
        <w:tc>
          <w:tcPr>
            <w:tcW w:w="613" w:type="dxa"/>
          </w:tcPr>
          <w:p w14:paraId="4CB9CF2D"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0F4DD23C"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Valorificarea materială superioară reduce și mai mult depozitarea, iar amprenta spațială totală scade semnificativ față de soluția modulară; siturile eliberate pot fi reabilitate accelerat.</w:t>
            </w:r>
          </w:p>
        </w:tc>
        <w:tc>
          <w:tcPr>
            <w:tcW w:w="2788" w:type="dxa"/>
          </w:tcPr>
          <w:p w14:paraId="3786F5F4"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Ambele alternative elimină arderea necontrolată; Alternativa 2 este mai avantajoasă întrucât reduce amprenta spațială și depozitarea reziduală.</w:t>
            </w:r>
          </w:p>
        </w:tc>
      </w:tr>
      <w:tr w:rsidR="00EC31E0" w:rsidRPr="006639FB" w14:paraId="7773F924" w14:textId="77777777" w:rsidTr="00A47C60">
        <w:trPr>
          <w:trHeight w:val="140"/>
        </w:trPr>
        <w:tc>
          <w:tcPr>
            <w:tcW w:w="710" w:type="dxa"/>
          </w:tcPr>
          <w:p w14:paraId="58052699"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OM4</w:t>
            </w:r>
          </w:p>
        </w:tc>
        <w:tc>
          <w:tcPr>
            <w:tcW w:w="1558" w:type="dxa"/>
          </w:tcPr>
          <w:p w14:paraId="58A69592"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Calitatea aerului</w:t>
            </w:r>
          </w:p>
        </w:tc>
        <w:tc>
          <w:tcPr>
            <w:tcW w:w="810" w:type="dxa"/>
          </w:tcPr>
          <w:p w14:paraId="09C4E1A7"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61116E73"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Arderea necontrolată a deșeurilor și fermentarea în depozitele neconforme generează emisii semnificative de particule fine, compuși organici volatili și substanțe odorizante, fără sistem de captare.</w:t>
            </w:r>
          </w:p>
        </w:tc>
        <w:tc>
          <w:tcPr>
            <w:tcW w:w="613" w:type="dxa"/>
          </w:tcPr>
          <w:p w14:paraId="74C7271D"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17346E9C"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Ambele alternative elimină arderea necontrolată și aplică aceleași limite BAT-AEL. Dispersia pe mai multe amplasamente multiplică sursele punctuale de emisie.</w:t>
            </w:r>
          </w:p>
        </w:tc>
        <w:tc>
          <w:tcPr>
            <w:tcW w:w="613" w:type="dxa"/>
          </w:tcPr>
          <w:p w14:paraId="51841FE0"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3227" w:type="dxa"/>
          </w:tcPr>
          <w:p w14:paraId="54C7BFF9"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limite BAT-AEL. Reducerea transportului intermediar diminuează emisiile din surse mobile; sistemul centralizat de captare și tratare a gazelor este mai ușor de optimizat și monitorizat.</w:t>
            </w:r>
          </w:p>
        </w:tc>
        <w:tc>
          <w:tcPr>
            <w:tcW w:w="2788" w:type="dxa"/>
          </w:tcPr>
          <w:p w14:paraId="0E1C8701"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Echivalente ca performanță de emisie; diferența pe transport se situează sub pragul de semnificație.</w:t>
            </w:r>
          </w:p>
        </w:tc>
      </w:tr>
      <w:tr w:rsidR="00EC31E0" w:rsidRPr="006639FB" w14:paraId="05C4717D" w14:textId="77777777" w:rsidTr="00A47C60">
        <w:trPr>
          <w:trHeight w:val="140"/>
        </w:trPr>
        <w:tc>
          <w:tcPr>
            <w:tcW w:w="710" w:type="dxa"/>
          </w:tcPr>
          <w:p w14:paraId="3729DABB"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OM5</w:t>
            </w:r>
          </w:p>
        </w:tc>
        <w:tc>
          <w:tcPr>
            <w:tcW w:w="1558" w:type="dxa"/>
          </w:tcPr>
          <w:p w14:paraId="5BB90D2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Atenuarea schimbărilor climatice</w:t>
            </w:r>
          </w:p>
        </w:tc>
        <w:tc>
          <w:tcPr>
            <w:tcW w:w="810" w:type="dxa"/>
          </w:tcPr>
          <w:p w14:paraId="6539729E"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67EF0A1D"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Emisii nete de circa 226.000 t CO₂e/an din sectorul deșeurilor menajere (conform secțiunii 7.4.1), într-un sector cu emisii în creștere; biogazul din depozitele neconforme este emis necontrolat.</w:t>
            </w:r>
          </w:p>
        </w:tc>
        <w:tc>
          <w:tcPr>
            <w:tcW w:w="613" w:type="dxa"/>
          </w:tcPr>
          <w:p w14:paraId="5863D7E5"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095E5279"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Reducerea emisiilor prin compostare, digestie anaerobă și reciclare. Captarea biogazului la 60–70%, cu pierderi la interfețele dintre instalațiile separate.</w:t>
            </w:r>
          </w:p>
        </w:tc>
        <w:tc>
          <w:tcPr>
            <w:tcW w:w="613" w:type="dxa"/>
          </w:tcPr>
          <w:p w14:paraId="028E9D1D"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342E1B02"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Reducere semnificativ mai mare a emisiilor: captarea biogazului la 80–90% datorită integrării proceselor, pierderi reduse și transport diminuat.</w:t>
            </w:r>
          </w:p>
        </w:tc>
        <w:tc>
          <w:tcPr>
            <w:tcW w:w="2788" w:type="dxa"/>
          </w:tcPr>
          <w:p w14:paraId="67CEDB6A"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contribuie substanțial mai mult la reducerea emisiilor de GES; diferența față de soluția modulară trebuie corelată cu bilanțul cuantificat în secțiunea 7.4.1.</w:t>
            </w:r>
          </w:p>
        </w:tc>
      </w:tr>
      <w:tr w:rsidR="00EC31E0" w:rsidRPr="00EC31E0" w14:paraId="323D3967" w14:textId="77777777" w:rsidTr="00A47C60">
        <w:trPr>
          <w:trHeight w:val="140"/>
        </w:trPr>
        <w:tc>
          <w:tcPr>
            <w:tcW w:w="710" w:type="dxa"/>
          </w:tcPr>
          <w:p w14:paraId="5C42852D"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OM6</w:t>
            </w:r>
          </w:p>
        </w:tc>
        <w:tc>
          <w:tcPr>
            <w:tcW w:w="1558" w:type="dxa"/>
          </w:tcPr>
          <w:p w14:paraId="7EFBF519"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Adaptarea la schimbările climatice</w:t>
            </w:r>
          </w:p>
        </w:tc>
        <w:tc>
          <w:tcPr>
            <w:tcW w:w="810" w:type="dxa"/>
          </w:tcPr>
          <w:p w14:paraId="22F6B38C" w14:textId="77777777" w:rsidR="00EC31E0" w:rsidRPr="00EC31E0" w:rsidRDefault="00EC31E0" w:rsidP="00A47C60">
            <w:pPr>
              <w:spacing w:before="0" w:after="0" w:line="240" w:lineRule="auto"/>
              <w:jc w:val="center"/>
              <w:rPr>
                <w:lang w:val="ro-RO"/>
              </w:rPr>
            </w:pPr>
            <w:r w:rsidRPr="00EC31E0">
              <w:rPr>
                <w:rFonts w:eastAsia="Verdana" w:cs="Verdana"/>
                <w:b/>
                <w:bCs/>
                <w:color w:val="E67E22"/>
                <w:sz w:val="18"/>
                <w:lang w:val="ro-RO"/>
              </w:rPr>
              <w:t>–1</w:t>
            </w:r>
          </w:p>
        </w:tc>
        <w:tc>
          <w:tcPr>
            <w:tcW w:w="2580" w:type="dxa"/>
          </w:tcPr>
          <w:p w14:paraId="6D52D84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 xml:space="preserve">Infrastructură neproiectată pentru reziliență climatică, cu sensibilitate ridicată la </w:t>
            </w:r>
            <w:r w:rsidRPr="00EC31E0">
              <w:rPr>
                <w:rFonts w:eastAsia="Verdana" w:cs="Verdana"/>
                <w:color w:val="000000"/>
                <w:sz w:val="15"/>
                <w:szCs w:val="15"/>
                <w:lang w:val="ro-RO"/>
              </w:rPr>
              <w:lastRenderedPageBreak/>
              <w:t>evenimente extreme (incendii, inundații, alunecări de teren).</w:t>
            </w:r>
          </w:p>
        </w:tc>
        <w:tc>
          <w:tcPr>
            <w:tcW w:w="613" w:type="dxa"/>
          </w:tcPr>
          <w:p w14:paraId="1E3EF9A7"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lastRenderedPageBreak/>
              <w:t>+1</w:t>
            </w:r>
          </w:p>
        </w:tc>
        <w:tc>
          <w:tcPr>
            <w:tcW w:w="2507" w:type="dxa"/>
          </w:tcPr>
          <w:p w14:paraId="70FC2C72"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 xml:space="preserve">Instalații noi proiectate cu reziliență climatică; dispersia pe multiple amplasamente </w:t>
            </w:r>
            <w:r w:rsidRPr="00EC31E0">
              <w:rPr>
                <w:rFonts w:eastAsia="Verdana" w:cs="Verdana"/>
                <w:color w:val="000000"/>
                <w:sz w:val="15"/>
                <w:szCs w:val="15"/>
                <w:lang w:val="ro-RO"/>
              </w:rPr>
              <w:lastRenderedPageBreak/>
              <w:t>conferă redundanță operațională.</w:t>
            </w:r>
          </w:p>
        </w:tc>
        <w:tc>
          <w:tcPr>
            <w:tcW w:w="613" w:type="dxa"/>
          </w:tcPr>
          <w:p w14:paraId="1541F4C6"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lastRenderedPageBreak/>
              <w:t>+1</w:t>
            </w:r>
          </w:p>
        </w:tc>
        <w:tc>
          <w:tcPr>
            <w:tcW w:w="3227" w:type="dxa"/>
          </w:tcPr>
          <w:p w14:paraId="1E57FE03"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 xml:space="preserve">Investiții mai substanțiale în reziliență per amplasament (sisteme de rezervă, </w:t>
            </w:r>
            <w:r w:rsidRPr="00EC31E0">
              <w:rPr>
                <w:rFonts w:eastAsia="Verdana" w:cs="Verdana"/>
                <w:color w:val="000000"/>
                <w:sz w:val="15"/>
                <w:szCs w:val="15"/>
                <w:lang w:val="ro-RO"/>
              </w:rPr>
              <w:lastRenderedPageBreak/>
              <w:t>alertă timpurie); concentrarea crește însă dependența de instalația centrală.</w:t>
            </w:r>
          </w:p>
        </w:tc>
        <w:tc>
          <w:tcPr>
            <w:tcW w:w="2788" w:type="dxa"/>
          </w:tcPr>
          <w:p w14:paraId="30B887C4"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lastRenderedPageBreak/>
              <w:t xml:space="preserve">Alternativele sunt similare: avantajele concentrării investițiilor sunt compensate de </w:t>
            </w:r>
            <w:r w:rsidRPr="00EC31E0">
              <w:rPr>
                <w:rFonts w:eastAsia="Verdana" w:cs="Verdana"/>
                <w:color w:val="000000"/>
                <w:sz w:val="15"/>
                <w:szCs w:val="15"/>
                <w:lang w:val="ro-RO"/>
              </w:rPr>
              <w:lastRenderedPageBreak/>
              <w:t>riscul dependenței de un punct unic.</w:t>
            </w:r>
          </w:p>
        </w:tc>
      </w:tr>
      <w:tr w:rsidR="00EC31E0" w:rsidRPr="006639FB" w14:paraId="00437838" w14:textId="77777777" w:rsidTr="00A47C60">
        <w:trPr>
          <w:trHeight w:val="140"/>
        </w:trPr>
        <w:tc>
          <w:tcPr>
            <w:tcW w:w="710" w:type="dxa"/>
          </w:tcPr>
          <w:p w14:paraId="71CFFE08"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lastRenderedPageBreak/>
              <w:t>OM7</w:t>
            </w:r>
          </w:p>
        </w:tc>
        <w:tc>
          <w:tcPr>
            <w:tcW w:w="1558" w:type="dxa"/>
          </w:tcPr>
          <w:p w14:paraId="53515C09"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Biodiversitatea (Natura 2000)</w:t>
            </w:r>
          </w:p>
        </w:tc>
        <w:tc>
          <w:tcPr>
            <w:tcW w:w="810" w:type="dxa"/>
          </w:tcPr>
          <w:p w14:paraId="7344AB18" w14:textId="77777777" w:rsidR="00EC31E0" w:rsidRPr="00EC31E0" w:rsidRDefault="00EC31E0" w:rsidP="00A47C60">
            <w:pPr>
              <w:spacing w:before="0" w:after="0" w:line="240" w:lineRule="auto"/>
              <w:jc w:val="center"/>
              <w:rPr>
                <w:lang w:val="ro-RO"/>
              </w:rPr>
            </w:pPr>
            <w:r w:rsidRPr="00EC31E0">
              <w:rPr>
                <w:rFonts w:eastAsia="Verdana" w:cs="Verdana"/>
                <w:b/>
                <w:bCs/>
                <w:color w:val="E67E22"/>
                <w:sz w:val="18"/>
                <w:lang w:val="ro-RO"/>
              </w:rPr>
              <w:t>–1</w:t>
            </w:r>
          </w:p>
        </w:tc>
        <w:tc>
          <w:tcPr>
            <w:tcW w:w="2580" w:type="dxa"/>
          </w:tcPr>
          <w:p w14:paraId="2C64B227"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Poluare difuză din depozite neconforme, dispersie de deșeuri plastice și contaminarea ecosistemelor acvatice prin levigat.</w:t>
            </w:r>
          </w:p>
        </w:tc>
        <w:tc>
          <w:tcPr>
            <w:tcW w:w="613" w:type="dxa"/>
          </w:tcPr>
          <w:p w14:paraId="2E135484"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369E1755"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Eliminarea presiunii difuze. Evaluare adecvată conform art. 6(3) din Directiva Habitate pentru proiecte în proximitatea siturilor Natura 2000; compensare ecologică obligatorie.</w:t>
            </w:r>
          </w:p>
        </w:tc>
        <w:tc>
          <w:tcPr>
            <w:tcW w:w="613" w:type="dxa"/>
          </w:tcPr>
          <w:p w14:paraId="69F1E760"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3227" w:type="dxa"/>
          </w:tcPr>
          <w:p w14:paraId="0046435E"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măsuri de protecție. Un număr redus de amplasamente înseamnă mai puțină fragmentare ecologică, dar diferența rămâne sub pragul de semnificație.</w:t>
            </w:r>
          </w:p>
        </w:tc>
        <w:tc>
          <w:tcPr>
            <w:tcW w:w="2788" w:type="dxa"/>
          </w:tcPr>
          <w:p w14:paraId="2293196F"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Echivalente: diferența de fragmentare ecologică nu depășește pragul de semnificație.</w:t>
            </w:r>
          </w:p>
        </w:tc>
      </w:tr>
      <w:tr w:rsidR="00EC31E0" w:rsidRPr="006639FB" w14:paraId="04E4F889" w14:textId="77777777" w:rsidTr="00A47C60">
        <w:trPr>
          <w:trHeight w:val="140"/>
        </w:trPr>
        <w:tc>
          <w:tcPr>
            <w:tcW w:w="710" w:type="dxa"/>
          </w:tcPr>
          <w:p w14:paraId="3767A362"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OM8</w:t>
            </w:r>
          </w:p>
        </w:tc>
        <w:tc>
          <w:tcPr>
            <w:tcW w:w="1558" w:type="dxa"/>
          </w:tcPr>
          <w:p w14:paraId="1DF3B26F"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Sănătatea populației</w:t>
            </w:r>
          </w:p>
        </w:tc>
        <w:tc>
          <w:tcPr>
            <w:tcW w:w="810" w:type="dxa"/>
          </w:tcPr>
          <w:p w14:paraId="2911074B"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0D51A037"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Expunere la emisii toxice din ardere necontrolată, bioaerosoli și contaminarea apei potabile; risc crescut de afecțiuni respiratorii și alte patologii în proximitatea depozitelor.</w:t>
            </w:r>
          </w:p>
        </w:tc>
        <w:tc>
          <w:tcPr>
            <w:tcW w:w="613" w:type="dxa"/>
          </w:tcPr>
          <w:p w14:paraId="0F7C1AE7"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2507" w:type="dxa"/>
          </w:tcPr>
          <w:p w14:paraId="2720B6E2"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Acoperirea integrală cu servicii de salubrizare elimină riscurile sanitare asociate gestionării necontrolate; zone tampon, monitorizare mirosuri/vectori, control emisii conform BAT.</w:t>
            </w:r>
          </w:p>
        </w:tc>
        <w:tc>
          <w:tcPr>
            <w:tcW w:w="613" w:type="dxa"/>
          </w:tcPr>
          <w:p w14:paraId="2D14C0F6"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103B747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beneficii, plus reducerea expunerii populației la transportul de deșeuri prin zone locuite (mai puține curse intermediare).</w:t>
            </w:r>
          </w:p>
        </w:tc>
        <w:tc>
          <w:tcPr>
            <w:tcW w:w="2788" w:type="dxa"/>
          </w:tcPr>
          <w:p w14:paraId="53EEA2B6"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Echivalente ca eliminare a riscurilor majore; avantajul IITD pe transport se situează sub pragul de semnificație.</w:t>
            </w:r>
          </w:p>
        </w:tc>
      </w:tr>
      <w:tr w:rsidR="00EC31E0" w:rsidRPr="006639FB" w14:paraId="621A9B93" w14:textId="77777777" w:rsidTr="00A47C60">
        <w:trPr>
          <w:trHeight w:val="140"/>
        </w:trPr>
        <w:tc>
          <w:tcPr>
            <w:tcW w:w="710" w:type="dxa"/>
          </w:tcPr>
          <w:p w14:paraId="5F1F6022"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OM9</w:t>
            </w:r>
          </w:p>
        </w:tc>
        <w:tc>
          <w:tcPr>
            <w:tcW w:w="1558" w:type="dxa"/>
          </w:tcPr>
          <w:p w14:paraId="51B7D35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Mediul social-economic (economia circulară)</w:t>
            </w:r>
          </w:p>
        </w:tc>
        <w:tc>
          <w:tcPr>
            <w:tcW w:w="810" w:type="dxa"/>
          </w:tcPr>
          <w:p w14:paraId="14329189" w14:textId="77777777" w:rsidR="00EC31E0" w:rsidRPr="00EC31E0" w:rsidRDefault="00EC31E0" w:rsidP="00A47C60">
            <w:pPr>
              <w:spacing w:before="0" w:after="0" w:line="240" w:lineRule="auto"/>
              <w:jc w:val="center"/>
              <w:rPr>
                <w:lang w:val="ro-RO"/>
              </w:rPr>
            </w:pPr>
            <w:r w:rsidRPr="00EC31E0">
              <w:rPr>
                <w:rFonts w:eastAsia="Verdana" w:cs="Verdana"/>
                <w:b/>
                <w:bCs/>
                <w:color w:val="7F8C8D"/>
                <w:sz w:val="18"/>
                <w:lang w:val="ro-RO"/>
              </w:rPr>
              <w:t>0</w:t>
            </w:r>
          </w:p>
        </w:tc>
        <w:tc>
          <w:tcPr>
            <w:tcW w:w="2580" w:type="dxa"/>
          </w:tcPr>
          <w:p w14:paraId="7305F6B4"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Sector subperformant, cu productivitate a resurselor la jumătate din media UE; investițiile private descurajate de lipsa materiei prime secundare și de concurența depozitării ieftine.</w:t>
            </w:r>
          </w:p>
        </w:tc>
        <w:tc>
          <w:tcPr>
            <w:tcW w:w="613" w:type="dxa"/>
          </w:tcPr>
          <w:p w14:paraId="46D65199"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27053E5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Crearea de locuri de muncă directe și creșterea productivității resurselor. Investiție estimată la 2.596 milioane EUR.</w:t>
            </w:r>
          </w:p>
        </w:tc>
        <w:tc>
          <w:tcPr>
            <w:tcW w:w="613" w:type="dxa"/>
          </w:tcPr>
          <w:p w14:paraId="0F3453D7"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65810B3C"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beneficii macroeconomice, plus cost investițional cu circa 22% mai redus (2.023 milioane EUR), costuri unitare de operare mai mici și calitate mai bună a materialelor sortate automat, atractivă pentru investitorii privați.</w:t>
            </w:r>
          </w:p>
        </w:tc>
        <w:tc>
          <w:tcPr>
            <w:tcW w:w="2788" w:type="dxa"/>
          </w:tcPr>
          <w:p w14:paraId="2298FC7A"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este preferabilă: asigură eficiență operațională mai mare și o economie de investiții semnificativă.</w:t>
            </w:r>
          </w:p>
        </w:tc>
      </w:tr>
      <w:tr w:rsidR="00EC31E0" w:rsidRPr="006639FB" w14:paraId="2DCBBB56" w14:textId="77777777" w:rsidTr="00A47C60">
        <w:trPr>
          <w:trHeight w:val="140"/>
        </w:trPr>
        <w:tc>
          <w:tcPr>
            <w:tcW w:w="710" w:type="dxa"/>
          </w:tcPr>
          <w:p w14:paraId="31CF4CA4"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OM10</w:t>
            </w:r>
          </w:p>
        </w:tc>
        <w:tc>
          <w:tcPr>
            <w:tcW w:w="1558" w:type="dxa"/>
          </w:tcPr>
          <w:p w14:paraId="78BBFB2D"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Bunuri materiale și patrimoniu cultural/arheologic</w:t>
            </w:r>
          </w:p>
        </w:tc>
        <w:tc>
          <w:tcPr>
            <w:tcW w:w="810" w:type="dxa"/>
          </w:tcPr>
          <w:p w14:paraId="5E9FF81D" w14:textId="77777777" w:rsidR="00EC31E0" w:rsidRPr="00EC31E0" w:rsidRDefault="00EC31E0" w:rsidP="00A47C60">
            <w:pPr>
              <w:spacing w:before="0" w:after="0" w:line="240" w:lineRule="auto"/>
              <w:jc w:val="center"/>
              <w:rPr>
                <w:lang w:val="ro-RO"/>
              </w:rPr>
            </w:pPr>
            <w:r w:rsidRPr="00EC31E0">
              <w:rPr>
                <w:rFonts w:eastAsia="Verdana" w:cs="Verdana"/>
                <w:b/>
                <w:bCs/>
                <w:color w:val="7F8C8D"/>
                <w:sz w:val="18"/>
                <w:lang w:val="ro-RO"/>
              </w:rPr>
              <w:t>0</w:t>
            </w:r>
          </w:p>
        </w:tc>
        <w:tc>
          <w:tcPr>
            <w:tcW w:w="2580" w:type="dxa"/>
          </w:tcPr>
          <w:p w14:paraId="39FE59A9"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Impact direct limitat asupra substanței patrimoniului cultural, deși depozitarea necontrolată afectează peisajul cultural adiacent.</w:t>
            </w:r>
          </w:p>
        </w:tc>
        <w:tc>
          <w:tcPr>
            <w:tcW w:w="613" w:type="dxa"/>
          </w:tcPr>
          <w:p w14:paraId="6DC27C29" w14:textId="77777777" w:rsidR="00EC31E0" w:rsidRPr="00EC31E0" w:rsidRDefault="00EC31E0" w:rsidP="00A47C60">
            <w:pPr>
              <w:spacing w:before="0" w:after="0" w:line="240" w:lineRule="auto"/>
              <w:jc w:val="center"/>
              <w:rPr>
                <w:lang w:val="ro-RO"/>
              </w:rPr>
            </w:pPr>
            <w:r w:rsidRPr="00EC31E0">
              <w:rPr>
                <w:rFonts w:eastAsia="Verdana" w:cs="Verdana"/>
                <w:b/>
                <w:bCs/>
                <w:color w:val="7F8C8D"/>
                <w:sz w:val="18"/>
                <w:lang w:val="ro-RO"/>
              </w:rPr>
              <w:t>0</w:t>
            </w:r>
          </w:p>
        </w:tc>
        <w:tc>
          <w:tcPr>
            <w:tcW w:w="2507" w:type="dxa"/>
          </w:tcPr>
          <w:p w14:paraId="592233F1"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Proceduri de amplasare cu aviz de la Direcția Județeană de Cultură pentru zone protejate; impact nesemnificativ dacă se respectă zonele de protecție.</w:t>
            </w:r>
          </w:p>
        </w:tc>
        <w:tc>
          <w:tcPr>
            <w:tcW w:w="613" w:type="dxa"/>
          </w:tcPr>
          <w:p w14:paraId="102F98EB" w14:textId="77777777" w:rsidR="00EC31E0" w:rsidRPr="00EC31E0" w:rsidRDefault="00EC31E0" w:rsidP="00A47C60">
            <w:pPr>
              <w:spacing w:before="0" w:after="0" w:line="240" w:lineRule="auto"/>
              <w:jc w:val="center"/>
              <w:rPr>
                <w:lang w:val="ro-RO"/>
              </w:rPr>
            </w:pPr>
            <w:r w:rsidRPr="00EC31E0">
              <w:rPr>
                <w:rFonts w:eastAsia="Verdana" w:cs="Verdana"/>
                <w:b/>
                <w:bCs/>
                <w:color w:val="7F8C8D"/>
                <w:sz w:val="18"/>
                <w:lang w:val="ro-RO"/>
              </w:rPr>
              <w:t>0</w:t>
            </w:r>
          </w:p>
        </w:tc>
        <w:tc>
          <w:tcPr>
            <w:tcW w:w="3227" w:type="dxa"/>
          </w:tcPr>
          <w:p w14:paraId="0D0A2639"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măsuri de protecție; numărul redus de amplasamente simplifică evitarea zonelor sensibile.</w:t>
            </w:r>
          </w:p>
        </w:tc>
        <w:tc>
          <w:tcPr>
            <w:tcW w:w="2788" w:type="dxa"/>
          </w:tcPr>
          <w:p w14:paraId="59690AAF"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Echivalente: niciun impact semnificativ asupra patrimoniului în niciuna dintre alternative. Componenta „bunuri materiale” (crearea de active de infrastructură) este reflectată în evaluarea economică (OM9).</w:t>
            </w:r>
          </w:p>
        </w:tc>
      </w:tr>
      <w:tr w:rsidR="00EC31E0" w:rsidRPr="006639FB" w14:paraId="182CC8CD" w14:textId="77777777" w:rsidTr="00A47C60">
        <w:trPr>
          <w:trHeight w:val="140"/>
        </w:trPr>
        <w:tc>
          <w:tcPr>
            <w:tcW w:w="710" w:type="dxa"/>
          </w:tcPr>
          <w:p w14:paraId="7BDE8AF6"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OM11</w:t>
            </w:r>
          </w:p>
        </w:tc>
        <w:tc>
          <w:tcPr>
            <w:tcW w:w="1558" w:type="dxa"/>
          </w:tcPr>
          <w:p w14:paraId="2385EC77"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Ecosisteme și peisaj</w:t>
            </w:r>
          </w:p>
        </w:tc>
        <w:tc>
          <w:tcPr>
            <w:tcW w:w="810" w:type="dxa"/>
          </w:tcPr>
          <w:p w14:paraId="63CD56B0" w14:textId="77777777" w:rsidR="00EC31E0" w:rsidRPr="00EC31E0" w:rsidRDefault="00EC31E0" w:rsidP="00A47C60">
            <w:pPr>
              <w:spacing w:before="0" w:after="0" w:line="240" w:lineRule="auto"/>
              <w:jc w:val="center"/>
              <w:rPr>
                <w:lang w:val="ro-RO"/>
              </w:rPr>
            </w:pPr>
            <w:r w:rsidRPr="00EC31E0">
              <w:rPr>
                <w:rFonts w:eastAsia="Verdana" w:cs="Verdana"/>
                <w:b/>
                <w:bCs/>
                <w:color w:val="E67E22"/>
                <w:sz w:val="18"/>
                <w:lang w:val="ro-RO"/>
              </w:rPr>
              <w:t>–1</w:t>
            </w:r>
          </w:p>
        </w:tc>
        <w:tc>
          <w:tcPr>
            <w:tcW w:w="2580" w:type="dxa"/>
          </w:tcPr>
          <w:p w14:paraId="57838663"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Depozitarea necontrolată și dispersia deșeurilor degradează peisajul rural și periurban; impact difuz, greu reversibil.</w:t>
            </w:r>
          </w:p>
        </w:tc>
        <w:tc>
          <w:tcPr>
            <w:tcW w:w="613" w:type="dxa"/>
          </w:tcPr>
          <w:p w14:paraId="6BC765BE" w14:textId="77777777" w:rsidR="00EC31E0" w:rsidRPr="00EC31E0" w:rsidRDefault="00EC31E0" w:rsidP="00A47C60">
            <w:pPr>
              <w:spacing w:before="0" w:after="0" w:line="240" w:lineRule="auto"/>
              <w:jc w:val="center"/>
              <w:rPr>
                <w:lang w:val="ro-RO"/>
              </w:rPr>
            </w:pPr>
            <w:r w:rsidRPr="00EC31E0">
              <w:rPr>
                <w:rFonts w:eastAsia="Verdana" w:cs="Verdana"/>
                <w:b/>
                <w:bCs/>
                <w:color w:val="E67E22"/>
                <w:sz w:val="18"/>
                <w:lang w:val="ro-RO"/>
              </w:rPr>
              <w:t>–1</w:t>
            </w:r>
          </w:p>
        </w:tc>
        <w:tc>
          <w:tcPr>
            <w:tcW w:w="2507" w:type="dxa"/>
          </w:tcPr>
          <w:p w14:paraId="5B972BCC"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Dispersia pe multiple amplasamente multiplică impactul vizual cumulat; suprapunerea câmpurilor vizuale poate genera efect peisagistic semnificativ.</w:t>
            </w:r>
          </w:p>
        </w:tc>
        <w:tc>
          <w:tcPr>
            <w:tcW w:w="613" w:type="dxa"/>
          </w:tcPr>
          <w:p w14:paraId="51782207" w14:textId="77777777" w:rsidR="00EC31E0" w:rsidRPr="00EC31E0" w:rsidRDefault="00EC31E0" w:rsidP="00A47C60">
            <w:pPr>
              <w:spacing w:before="0" w:after="0" w:line="240" w:lineRule="auto"/>
              <w:jc w:val="center"/>
              <w:rPr>
                <w:lang w:val="ro-RO"/>
              </w:rPr>
            </w:pPr>
            <w:r w:rsidRPr="00EC31E0">
              <w:rPr>
                <w:rFonts w:eastAsia="Verdana" w:cs="Verdana"/>
                <w:b/>
                <w:bCs/>
                <w:color w:val="7F8C8D"/>
                <w:sz w:val="18"/>
                <w:lang w:val="ro-RO"/>
              </w:rPr>
              <w:t>0</w:t>
            </w:r>
          </w:p>
        </w:tc>
        <w:tc>
          <w:tcPr>
            <w:tcW w:w="3227" w:type="dxa"/>
          </w:tcPr>
          <w:p w14:paraId="08BE361F"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Număr redus de amplasamente, cu investiții dedicate integrării peisagistice (perdele vegetale, modelare teren, fațade verzi); amplasamentele modulare eliberate pot fi reabilitate.</w:t>
            </w:r>
          </w:p>
        </w:tc>
        <w:tc>
          <w:tcPr>
            <w:tcW w:w="2788" w:type="dxa"/>
          </w:tcPr>
          <w:p w14:paraId="042EF2FF"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este mai avantajoasă — mai puține amplasamente și integrare peisagistică dedicată.</w:t>
            </w:r>
          </w:p>
        </w:tc>
      </w:tr>
      <w:tr w:rsidR="00EC31E0" w:rsidRPr="006639FB" w14:paraId="67E4F235" w14:textId="77777777" w:rsidTr="00A47C60">
        <w:trPr>
          <w:trHeight w:val="140"/>
        </w:trPr>
        <w:tc>
          <w:tcPr>
            <w:tcW w:w="710" w:type="dxa"/>
          </w:tcPr>
          <w:p w14:paraId="092021BD"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OM12</w:t>
            </w:r>
          </w:p>
        </w:tc>
        <w:tc>
          <w:tcPr>
            <w:tcW w:w="1558" w:type="dxa"/>
          </w:tcPr>
          <w:p w14:paraId="30BB0B28"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Valori materiale (reducerea pierderii de valoare; DEEE, materii prime critice, REP)</w:t>
            </w:r>
          </w:p>
        </w:tc>
        <w:tc>
          <w:tcPr>
            <w:tcW w:w="810" w:type="dxa"/>
          </w:tcPr>
          <w:p w14:paraId="12A7B98D"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47861CA8"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Economie liniară — potențial de recuperare a materialelor irosit; rate de reciclare de 10–15% și pierderea materiilor prime critice din DEEE și baterii.</w:t>
            </w:r>
          </w:p>
        </w:tc>
        <w:tc>
          <w:tcPr>
            <w:tcW w:w="613" w:type="dxa"/>
          </w:tcPr>
          <w:p w14:paraId="7F0628FA"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2A5EF7C2"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Redirecționarea materialelor recuperabile dinspre eliminare către reciclare devine posibilă, dar cu eficiență variabilă și risc de contaminare încrucișată la transferul între instalațiile separate.</w:t>
            </w:r>
          </w:p>
        </w:tc>
        <w:tc>
          <w:tcPr>
            <w:tcW w:w="613" w:type="dxa"/>
          </w:tcPr>
          <w:p w14:paraId="1853878C"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5783D6EE"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Sortarea automatizată integrată (NIR, senzori AI) și trasabilitatea completă asigură rate de recuperare cu 10–15 puncte procentuale superioare, inclusiv pentru materiile prime critice.</w:t>
            </w:r>
          </w:p>
        </w:tc>
        <w:tc>
          <w:tcPr>
            <w:tcW w:w="2788" w:type="dxa"/>
          </w:tcPr>
          <w:p w14:paraId="77D956D4"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este mai avantajoasă — rate de recuperare și calitate a materialelor semnificativ mai bune.</w:t>
            </w:r>
          </w:p>
        </w:tc>
      </w:tr>
      <w:tr w:rsidR="00EC31E0" w:rsidRPr="00EC31E0" w14:paraId="1444FFFC" w14:textId="77777777" w:rsidTr="00A47C60">
        <w:trPr>
          <w:trHeight w:val="140"/>
        </w:trPr>
        <w:tc>
          <w:tcPr>
            <w:tcW w:w="710" w:type="dxa"/>
          </w:tcPr>
          <w:p w14:paraId="552CCA5F"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OM13</w:t>
            </w:r>
          </w:p>
        </w:tc>
        <w:tc>
          <w:tcPr>
            <w:tcW w:w="1558" w:type="dxa"/>
          </w:tcPr>
          <w:p w14:paraId="325C86AA"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Capacitatea de tratare și eliminare; evitarea saturării; pasive de mediu</w:t>
            </w:r>
          </w:p>
        </w:tc>
        <w:tc>
          <w:tcPr>
            <w:tcW w:w="810" w:type="dxa"/>
          </w:tcPr>
          <w:p w14:paraId="22A6EDAB"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78F87EA7"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Rata de depozitare de circa 42%, saturarea depozitelor conforme și persistența pasivelor de mediu asociate depozitelor neconforme neînchise; risc de active blocate și de neconformare cu ținta de max. 10% depozitare.</w:t>
            </w:r>
          </w:p>
        </w:tc>
        <w:tc>
          <w:tcPr>
            <w:tcW w:w="613" w:type="dxa"/>
          </w:tcPr>
          <w:p w14:paraId="701FBC15"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0C7F75BB"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 xml:space="preserve">Asigurarea unei capacități adecvate și corelate de tratare/eliminare (inclusiv pentru deșeuri periculoase) și închiderea depozitelor neconforme reduc depozitarea sub 10% și diminuează pasivele de mediu; </w:t>
            </w:r>
            <w:r w:rsidRPr="00EC31E0">
              <w:rPr>
                <w:rFonts w:eastAsia="Verdana" w:cs="Verdana"/>
                <w:color w:val="000000"/>
                <w:sz w:val="15"/>
                <w:szCs w:val="15"/>
                <w:lang w:val="ro-RO"/>
              </w:rPr>
              <w:lastRenderedPageBreak/>
              <w:t>capacitatea rămâne dispersată.</w:t>
            </w:r>
          </w:p>
        </w:tc>
        <w:tc>
          <w:tcPr>
            <w:tcW w:w="613" w:type="dxa"/>
          </w:tcPr>
          <w:p w14:paraId="10D44367"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lastRenderedPageBreak/>
              <w:t>+2</w:t>
            </w:r>
          </w:p>
        </w:tc>
        <w:tc>
          <w:tcPr>
            <w:tcW w:w="3227" w:type="dxa"/>
          </w:tcPr>
          <w:p w14:paraId="3A2A904C"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Capacități integrate, corelate teritorial, cu amprentă redusă și optimizarea depozitării reziduurilor; reducerea suplimentară a depozitării și eliberarea/reabilitarea accelerată a siturilor diminuează mai mult pasivele de mediu.</w:t>
            </w:r>
          </w:p>
        </w:tc>
        <w:tc>
          <w:tcPr>
            <w:tcW w:w="2788" w:type="dxa"/>
          </w:tcPr>
          <w:p w14:paraId="0DEE9133"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Obiectiv nou față de setul evaluat în Cap. 7, dar susținut de analiza depozitării/eliminării deja prezentă. Alternativa 2 este mai avantajoasă — capacitate mai bine corelată și pasive de mediu reduse.</w:t>
            </w:r>
          </w:p>
        </w:tc>
      </w:tr>
      <w:tr w:rsidR="00EC31E0" w:rsidRPr="00EC31E0" w14:paraId="247AD735" w14:textId="77777777" w:rsidTr="00A47C60">
        <w:trPr>
          <w:trHeight w:val="140"/>
        </w:trPr>
        <w:tc>
          <w:tcPr>
            <w:tcW w:w="710" w:type="dxa"/>
          </w:tcPr>
          <w:p w14:paraId="361D31B3"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OM14</w:t>
            </w:r>
          </w:p>
        </w:tc>
        <w:tc>
          <w:tcPr>
            <w:tcW w:w="1558" w:type="dxa"/>
          </w:tcPr>
          <w:p w14:paraId="190880FD"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Eficiența resurselor, prevenirea deșeurilor, extinderea ciclului de viață</w:t>
            </w:r>
          </w:p>
        </w:tc>
        <w:tc>
          <w:tcPr>
            <w:tcW w:w="810" w:type="dxa"/>
          </w:tcPr>
          <w:p w14:paraId="76491F08"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6E386DCA"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Generare de deșeuri în creștere, risipă alimentară ridicată, consum de produse cu durată scurtă de viață; productivitate a resurselor la jumătate din media UE.</w:t>
            </w:r>
          </w:p>
        </w:tc>
        <w:tc>
          <w:tcPr>
            <w:tcW w:w="613" w:type="dxa"/>
          </w:tcPr>
          <w:p w14:paraId="05D8D034"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69B80B11"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Programul de prevenire (campanii, centre de reutilizare, REP) și creșterea reciclării reduc generarea și îmbunătățesc eficiența resurselor; eficiența depinde de calitatea separării la sursă.</w:t>
            </w:r>
          </w:p>
        </w:tc>
        <w:tc>
          <w:tcPr>
            <w:tcW w:w="613" w:type="dxa"/>
          </w:tcPr>
          <w:p w14:paraId="548D8382"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53FB077D"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măsuri, potențate de capacitatea IITD de a furniza date în timp real privind compoziția deșeurilor, care fundamentează și direcționează intervențiile de prevenire și reutilizare.</w:t>
            </w:r>
          </w:p>
        </w:tc>
        <w:tc>
          <w:tcPr>
            <w:tcW w:w="2788" w:type="dxa"/>
          </w:tcPr>
          <w:p w14:paraId="605B2A83"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este mai avantajoasă — datele operaționale susțin eficiența resurselor și direcționarea prevenirii.</w:t>
            </w:r>
          </w:p>
        </w:tc>
      </w:tr>
      <w:tr w:rsidR="00EC31E0" w:rsidRPr="006639FB" w14:paraId="1D1A0112" w14:textId="77777777" w:rsidTr="00A47C60">
        <w:trPr>
          <w:trHeight w:val="140"/>
        </w:trPr>
        <w:tc>
          <w:tcPr>
            <w:tcW w:w="710" w:type="dxa"/>
          </w:tcPr>
          <w:p w14:paraId="179ECA26"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OM15</w:t>
            </w:r>
          </w:p>
        </w:tc>
        <w:tc>
          <w:tcPr>
            <w:tcW w:w="1558" w:type="dxa"/>
          </w:tcPr>
          <w:p w14:paraId="41BDC8A1"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Ținte de pregătire pentru reutilizare/reciclare; reducerea depozitării; ierarhia deșeurilor</w:t>
            </w:r>
          </w:p>
        </w:tc>
        <w:tc>
          <w:tcPr>
            <w:tcW w:w="810" w:type="dxa"/>
          </w:tcPr>
          <w:p w14:paraId="28C6A481"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67A19E6F"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Colectare separată sub 20%, fluxuri reciclabile pierdute în fracția reziduală, contaminarea compostului; țintele de reciclare (55% din 2025) nu pot fi atinse.</w:t>
            </w:r>
          </w:p>
        </w:tc>
        <w:tc>
          <w:tcPr>
            <w:tcW w:w="613" w:type="dxa"/>
          </w:tcPr>
          <w:p w14:paraId="3E4803A8"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6BC11D1E"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Extinderea colectării separate la toate UAT-urile cu 4–5 fracții permite atingerea țintelor; eficiența depinde de calitatea separării la sursă.</w:t>
            </w:r>
          </w:p>
        </w:tc>
        <w:tc>
          <w:tcPr>
            <w:tcW w:w="613" w:type="dxa"/>
          </w:tcPr>
          <w:p w14:paraId="6A8706F9"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5923810E"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sisteme de colectare, dar sortarea avansată din IITD compensează deficiențele colectării separate la sursă, recuperând suplimentar materiale reciclabile din fluxuri contaminate și respectând ierarhia deșeurilor cu marjă.</w:t>
            </w:r>
          </w:p>
        </w:tc>
        <w:tc>
          <w:tcPr>
            <w:tcW w:w="2788" w:type="dxa"/>
          </w:tcPr>
          <w:p w14:paraId="421AE6EE"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este mai avantajoasă — sortarea integrată compensează imperfecțiunile colectării la sursă.</w:t>
            </w:r>
          </w:p>
        </w:tc>
      </w:tr>
      <w:tr w:rsidR="00EC31E0" w:rsidRPr="006639FB" w14:paraId="53EE0B07" w14:textId="77777777" w:rsidTr="00A47C60">
        <w:trPr>
          <w:trHeight w:val="140"/>
        </w:trPr>
        <w:tc>
          <w:tcPr>
            <w:tcW w:w="710" w:type="dxa"/>
          </w:tcPr>
          <w:p w14:paraId="09A7C365"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OM16</w:t>
            </w:r>
          </w:p>
        </w:tc>
        <w:tc>
          <w:tcPr>
            <w:tcW w:w="1558" w:type="dxa"/>
          </w:tcPr>
          <w:p w14:paraId="03FFA17B"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Productivitatea resurselor; piețe de materiale secundare</w:t>
            </w:r>
          </w:p>
        </w:tc>
        <w:tc>
          <w:tcPr>
            <w:tcW w:w="810" w:type="dxa"/>
          </w:tcPr>
          <w:p w14:paraId="00E2B079"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1398BBB2"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Rate de reciclare de 10–15%, dependență de materii prime importate și absența unor piețe funcționale de materiale secundare; risc de infringement.</w:t>
            </w:r>
          </w:p>
        </w:tc>
        <w:tc>
          <w:tcPr>
            <w:tcW w:w="613" w:type="dxa"/>
          </w:tcPr>
          <w:p w14:paraId="656555CF"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7B99C9BD"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Țintele de productivitate devin realizabile, dar cu variabilitate în calitatea materialelor sortate în instalații separate, ceea ce limitează încrederea piețelor de materiale secundare.</w:t>
            </w:r>
          </w:p>
        </w:tc>
        <w:tc>
          <w:tcPr>
            <w:tcW w:w="613" w:type="dxa"/>
          </w:tcPr>
          <w:p w14:paraId="55DD5098"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2669B7A7"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Control superior al calității prin sortare automatizată și trasabilitate completă, cu predictibilitate ridicată în alimentarea cererii din surse secundare.</w:t>
            </w:r>
          </w:p>
        </w:tc>
        <w:tc>
          <w:tcPr>
            <w:tcW w:w="2788" w:type="dxa"/>
          </w:tcPr>
          <w:p w14:paraId="40B752BE"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este mai avantajoasă — predictibilitatea și controlul calității consolidează piețele de materiale secundare.</w:t>
            </w:r>
          </w:p>
        </w:tc>
      </w:tr>
      <w:tr w:rsidR="00EC31E0" w:rsidRPr="006639FB" w14:paraId="463DD5F1" w14:textId="77777777" w:rsidTr="00A47C60">
        <w:trPr>
          <w:trHeight w:val="140"/>
        </w:trPr>
        <w:tc>
          <w:tcPr>
            <w:tcW w:w="710" w:type="dxa"/>
          </w:tcPr>
          <w:p w14:paraId="6E29FABC"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OM17</w:t>
            </w:r>
          </w:p>
        </w:tc>
        <w:tc>
          <w:tcPr>
            <w:tcW w:w="1558" w:type="dxa"/>
          </w:tcPr>
          <w:p w14:paraId="5B84ED6A"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Ecodesign, durabilitatea produselor, reducerea la sursă</w:t>
            </w:r>
          </w:p>
        </w:tc>
        <w:tc>
          <w:tcPr>
            <w:tcW w:w="810" w:type="dxa"/>
          </w:tcPr>
          <w:p w14:paraId="1594E3BC" w14:textId="77777777" w:rsidR="00EC31E0" w:rsidRPr="00EC31E0" w:rsidRDefault="00EC31E0" w:rsidP="00A47C60">
            <w:pPr>
              <w:spacing w:before="0" w:after="0" w:line="240" w:lineRule="auto"/>
              <w:jc w:val="center"/>
              <w:rPr>
                <w:lang w:val="ro-RO"/>
              </w:rPr>
            </w:pPr>
            <w:r w:rsidRPr="00EC31E0">
              <w:rPr>
                <w:rFonts w:eastAsia="Verdana" w:cs="Verdana"/>
                <w:b/>
                <w:bCs/>
                <w:color w:val="E67E22"/>
                <w:sz w:val="18"/>
                <w:lang w:val="ro-RO"/>
              </w:rPr>
              <w:t>–1</w:t>
            </w:r>
          </w:p>
        </w:tc>
        <w:tc>
          <w:tcPr>
            <w:tcW w:w="2580" w:type="dxa"/>
          </w:tcPr>
          <w:p w14:paraId="0BF1702D"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Absența stimulentelor pentru proiectarea produselor durabile și pentru reducerea deșeurilor la sursă; generare în creștere.</w:t>
            </w:r>
          </w:p>
        </w:tc>
        <w:tc>
          <w:tcPr>
            <w:tcW w:w="613" w:type="dxa"/>
          </w:tcPr>
          <w:p w14:paraId="48692FC3"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065A1546"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Măsurile de prevenire și schemele REP susțin, indirect, proiectarea pentru durabilitate și reducerea la sursă; efectul este determinat preponderent la nivel de produs, în amonte de infrastructura de tratare.</w:t>
            </w:r>
          </w:p>
        </w:tc>
        <w:tc>
          <w:tcPr>
            <w:tcW w:w="613" w:type="dxa"/>
          </w:tcPr>
          <w:p w14:paraId="48EED234"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3227" w:type="dxa"/>
          </w:tcPr>
          <w:p w14:paraId="0D03027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Aceleași măsuri; modelul de infrastructură (integrat vs. modular) nu diferențiază semnificativ efectul asupra ecodesign-ului, care depinde de politici de produs.</w:t>
            </w:r>
          </w:p>
        </w:tc>
        <w:tc>
          <w:tcPr>
            <w:tcW w:w="2788" w:type="dxa"/>
          </w:tcPr>
          <w:p w14:paraId="47814B98"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Obiectiv nou față de setul evaluat în Cap. 7. Efect determinat în amonte de alegerea infrastructurii; Alternativele 1 și 2 sunt echivalente. Scor derivat din măsurile de prevenire (secț. 7.3.2.10).</w:t>
            </w:r>
          </w:p>
        </w:tc>
      </w:tr>
      <w:tr w:rsidR="00EC31E0" w:rsidRPr="00EC31E0" w14:paraId="789B3E50" w14:textId="77777777" w:rsidTr="00A47C60">
        <w:trPr>
          <w:trHeight w:val="140"/>
        </w:trPr>
        <w:tc>
          <w:tcPr>
            <w:tcW w:w="710" w:type="dxa"/>
          </w:tcPr>
          <w:p w14:paraId="4D456294"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OM18</w:t>
            </w:r>
          </w:p>
        </w:tc>
        <w:tc>
          <w:tcPr>
            <w:tcW w:w="1558" w:type="dxa"/>
          </w:tcPr>
          <w:p w14:paraId="79E3B469"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Transportul durabil</w:t>
            </w:r>
          </w:p>
        </w:tc>
        <w:tc>
          <w:tcPr>
            <w:tcW w:w="810" w:type="dxa"/>
          </w:tcPr>
          <w:p w14:paraId="2F8D0885" w14:textId="77777777" w:rsidR="00EC31E0" w:rsidRPr="00EC31E0" w:rsidRDefault="00EC31E0" w:rsidP="00A47C60">
            <w:pPr>
              <w:spacing w:before="0" w:after="0" w:line="240" w:lineRule="auto"/>
              <w:jc w:val="center"/>
              <w:rPr>
                <w:lang w:val="ro-RO"/>
              </w:rPr>
            </w:pPr>
            <w:r w:rsidRPr="00EC31E0">
              <w:rPr>
                <w:rFonts w:eastAsia="Verdana" w:cs="Verdana"/>
                <w:b/>
                <w:bCs/>
                <w:color w:val="7F8C8D"/>
                <w:sz w:val="18"/>
                <w:lang w:val="ro-RO"/>
              </w:rPr>
              <w:t>0</w:t>
            </w:r>
          </w:p>
        </w:tc>
        <w:tc>
          <w:tcPr>
            <w:tcW w:w="2580" w:type="dxa"/>
          </w:tcPr>
          <w:p w14:paraId="508CB134"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Transport neoptimizat, volume limitate; impact marginal.</w:t>
            </w:r>
          </w:p>
        </w:tc>
        <w:tc>
          <w:tcPr>
            <w:tcW w:w="613" w:type="dxa"/>
          </w:tcPr>
          <w:p w14:paraId="4076FE65" w14:textId="77777777" w:rsidR="00EC31E0" w:rsidRPr="00EC31E0" w:rsidRDefault="00EC31E0" w:rsidP="00A47C60">
            <w:pPr>
              <w:spacing w:before="0" w:after="0" w:line="240" w:lineRule="auto"/>
              <w:jc w:val="center"/>
              <w:rPr>
                <w:lang w:val="ro-RO"/>
              </w:rPr>
            </w:pPr>
            <w:r w:rsidRPr="00EC31E0">
              <w:rPr>
                <w:rFonts w:eastAsia="Verdana" w:cs="Verdana"/>
                <w:b/>
                <w:bCs/>
                <w:color w:val="E67E22"/>
                <w:sz w:val="18"/>
                <w:lang w:val="ro-RO"/>
              </w:rPr>
              <w:t>–1</w:t>
            </w:r>
          </w:p>
        </w:tc>
        <w:tc>
          <w:tcPr>
            <w:tcW w:w="2507" w:type="dxa"/>
          </w:tcPr>
          <w:p w14:paraId="300A2EC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Singurul obiectiv cu scor negativ pentru Alternativa 1: transferul între instalațiile separate generează transport intermediar suplimentar semnificativ (15–25% din tonaj-km).</w:t>
            </w:r>
          </w:p>
        </w:tc>
        <w:tc>
          <w:tcPr>
            <w:tcW w:w="613" w:type="dxa"/>
          </w:tcPr>
          <w:p w14:paraId="11B04F39"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3227" w:type="dxa"/>
          </w:tcPr>
          <w:p w14:paraId="33DBFE85"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Eliminarea transportului intermediar prin integrarea proceselor într-un singur amplasament (reducere estimată de 30–40% din tonaj-km); producția de biometan din biogaz IITD poate alimenta flota de transport.</w:t>
            </w:r>
          </w:p>
        </w:tc>
        <w:tc>
          <w:tcPr>
            <w:tcW w:w="2788" w:type="dxa"/>
          </w:tcPr>
          <w:p w14:paraId="19C012BB"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este mai avantajoasă — transformă un impact negativ (A1) într-unul pozitiv.</w:t>
            </w:r>
          </w:p>
        </w:tc>
      </w:tr>
      <w:tr w:rsidR="00EC31E0" w:rsidRPr="00EC31E0" w14:paraId="5CCC7001" w14:textId="77777777" w:rsidTr="00A47C60">
        <w:trPr>
          <w:trHeight w:val="140"/>
        </w:trPr>
        <w:tc>
          <w:tcPr>
            <w:tcW w:w="710" w:type="dxa"/>
          </w:tcPr>
          <w:p w14:paraId="76B26D9C" w14:textId="77777777" w:rsidR="00EC31E0" w:rsidRPr="00EC31E0" w:rsidRDefault="00EC31E0" w:rsidP="00A47C60">
            <w:pPr>
              <w:spacing w:before="0" w:after="0" w:line="240" w:lineRule="auto"/>
              <w:jc w:val="center"/>
              <w:rPr>
                <w:lang w:val="ro-RO"/>
              </w:rPr>
            </w:pPr>
            <w:r w:rsidRPr="00EC31E0">
              <w:rPr>
                <w:rFonts w:eastAsia="Verdana" w:cs="Verdana"/>
                <w:b/>
                <w:bCs/>
                <w:color w:val="05326E"/>
                <w:sz w:val="16"/>
                <w:szCs w:val="16"/>
                <w:lang w:val="ro-RO"/>
              </w:rPr>
              <w:t>OM19</w:t>
            </w:r>
          </w:p>
        </w:tc>
        <w:tc>
          <w:tcPr>
            <w:tcW w:w="1558" w:type="dxa"/>
          </w:tcPr>
          <w:p w14:paraId="3623DEE7"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Eficiența energetică</w:t>
            </w:r>
          </w:p>
        </w:tc>
        <w:tc>
          <w:tcPr>
            <w:tcW w:w="810" w:type="dxa"/>
          </w:tcPr>
          <w:p w14:paraId="192B06AF" w14:textId="77777777" w:rsidR="00EC31E0" w:rsidRPr="00EC31E0" w:rsidRDefault="00EC31E0" w:rsidP="00A47C60">
            <w:pPr>
              <w:spacing w:before="0" w:after="0" w:line="240" w:lineRule="auto"/>
              <w:jc w:val="center"/>
              <w:rPr>
                <w:lang w:val="ro-RO"/>
              </w:rPr>
            </w:pPr>
            <w:r w:rsidRPr="00EC31E0">
              <w:rPr>
                <w:rFonts w:eastAsia="Verdana" w:cs="Verdana"/>
                <w:b/>
                <w:bCs/>
                <w:color w:val="C0392B"/>
                <w:sz w:val="18"/>
                <w:lang w:val="ro-RO"/>
              </w:rPr>
              <w:t>–2</w:t>
            </w:r>
          </w:p>
        </w:tc>
        <w:tc>
          <w:tcPr>
            <w:tcW w:w="2580" w:type="dxa"/>
          </w:tcPr>
          <w:p w14:paraId="22AC14FC"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Potențial energetic pierdut integral; biogazul din depozitele neconforme emis necontrolat.</w:t>
            </w:r>
          </w:p>
        </w:tc>
        <w:tc>
          <w:tcPr>
            <w:tcW w:w="613" w:type="dxa"/>
          </w:tcPr>
          <w:p w14:paraId="3EADBDDF" w14:textId="77777777" w:rsidR="00EC31E0" w:rsidRPr="00EC31E0" w:rsidRDefault="00EC31E0" w:rsidP="00A47C60">
            <w:pPr>
              <w:spacing w:before="0" w:after="0" w:line="240" w:lineRule="auto"/>
              <w:jc w:val="center"/>
              <w:rPr>
                <w:lang w:val="ro-RO"/>
              </w:rPr>
            </w:pPr>
            <w:r w:rsidRPr="00EC31E0">
              <w:rPr>
                <w:rFonts w:eastAsia="Verdana" w:cs="Verdana"/>
                <w:b/>
                <w:bCs/>
                <w:color w:val="27AE60"/>
                <w:sz w:val="18"/>
                <w:lang w:val="ro-RO"/>
              </w:rPr>
              <w:t>+1</w:t>
            </w:r>
          </w:p>
        </w:tc>
        <w:tc>
          <w:tcPr>
            <w:tcW w:w="2507" w:type="dxa"/>
          </w:tcPr>
          <w:p w14:paraId="2A59E1F0"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Digestia anaerobă valorifică biogazul, iar RDF/SRF permite co-incinerarea; randamentul global este limitat de dispersia instalațiilor și de pierderile la transport.</w:t>
            </w:r>
          </w:p>
        </w:tc>
        <w:tc>
          <w:tcPr>
            <w:tcW w:w="613" w:type="dxa"/>
          </w:tcPr>
          <w:p w14:paraId="553D8A6E" w14:textId="77777777" w:rsidR="00EC31E0" w:rsidRPr="00EC31E0" w:rsidRDefault="00EC31E0" w:rsidP="00A47C60">
            <w:pPr>
              <w:spacing w:before="0" w:after="0" w:line="240" w:lineRule="auto"/>
              <w:jc w:val="center"/>
              <w:rPr>
                <w:lang w:val="ro-RO"/>
              </w:rPr>
            </w:pPr>
            <w:r w:rsidRPr="00EC31E0">
              <w:rPr>
                <w:rFonts w:eastAsia="Verdana" w:cs="Verdana"/>
                <w:b/>
                <w:bCs/>
                <w:color w:val="1E8449"/>
                <w:sz w:val="18"/>
                <w:lang w:val="ro-RO"/>
              </w:rPr>
              <w:t>+2</w:t>
            </w:r>
          </w:p>
        </w:tc>
        <w:tc>
          <w:tcPr>
            <w:tcW w:w="3227" w:type="dxa"/>
          </w:tcPr>
          <w:p w14:paraId="34F47A6C"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Integrarea digestiei anaerobe cu pregătirea RDF și upgrading-ul biogazului maximizează sinergiile termice; randament global superior, iar producția de biometan este viabilă la scara IITD.</w:t>
            </w:r>
          </w:p>
        </w:tc>
        <w:tc>
          <w:tcPr>
            <w:tcW w:w="2788" w:type="dxa"/>
          </w:tcPr>
          <w:p w14:paraId="2209609F" w14:textId="77777777" w:rsidR="00EC31E0" w:rsidRPr="00EC31E0" w:rsidRDefault="00EC31E0" w:rsidP="00A47C60">
            <w:pPr>
              <w:spacing w:before="0" w:after="0" w:line="240" w:lineRule="auto"/>
              <w:rPr>
                <w:lang w:val="ro-RO"/>
              </w:rPr>
            </w:pPr>
            <w:r w:rsidRPr="00EC31E0">
              <w:rPr>
                <w:rFonts w:eastAsia="Verdana" w:cs="Verdana"/>
                <w:color w:val="000000"/>
                <w:sz w:val="15"/>
                <w:szCs w:val="15"/>
                <w:lang w:val="ro-RO"/>
              </w:rPr>
              <w:t>Alternativa 2 este mai avantajoasă — sinergii termice și viabilitatea producției de biometan specifice scării IITD.</w:t>
            </w:r>
          </w:p>
        </w:tc>
      </w:tr>
      <w:tr w:rsidR="00EC31E0" w:rsidRPr="006639FB" w14:paraId="2B5D3023" w14:textId="77777777" w:rsidTr="00A47C60">
        <w:trPr>
          <w:trHeight w:val="204"/>
        </w:trPr>
        <w:tc>
          <w:tcPr>
            <w:tcW w:w="2268" w:type="dxa"/>
            <w:gridSpan w:val="2"/>
            <w:shd w:val="clear" w:color="auto" w:fill="BFBFBF" w:themeFill="background1" w:themeFillShade="BF"/>
          </w:tcPr>
          <w:p w14:paraId="29F1B1B4" w14:textId="77777777" w:rsidR="00EC31E0" w:rsidRPr="00EC31E0" w:rsidRDefault="00EC31E0" w:rsidP="00A47C60">
            <w:pPr>
              <w:spacing w:before="0" w:after="0" w:line="240" w:lineRule="auto"/>
              <w:jc w:val="right"/>
              <w:rPr>
                <w:lang w:val="ro-RO"/>
              </w:rPr>
            </w:pPr>
            <w:r w:rsidRPr="00EC31E0">
              <w:rPr>
                <w:rFonts w:eastAsia="Verdana" w:cs="Verdana"/>
                <w:b/>
                <w:bCs/>
                <w:color w:val="FFFFFF"/>
                <w:sz w:val="16"/>
                <w:szCs w:val="16"/>
                <w:lang w:val="ro-RO"/>
              </w:rPr>
              <w:t>SCOR TOTAL</w:t>
            </w:r>
          </w:p>
        </w:tc>
        <w:tc>
          <w:tcPr>
            <w:tcW w:w="810" w:type="dxa"/>
            <w:shd w:val="clear" w:color="auto" w:fill="BFBFBF" w:themeFill="background1" w:themeFillShade="BF"/>
          </w:tcPr>
          <w:p w14:paraId="383B09FA"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8"/>
                <w:lang w:val="ro-RO"/>
              </w:rPr>
              <w:t>–27</w:t>
            </w:r>
          </w:p>
        </w:tc>
        <w:tc>
          <w:tcPr>
            <w:tcW w:w="2580" w:type="dxa"/>
            <w:shd w:val="clear" w:color="auto" w:fill="BFBFBF" w:themeFill="background1" w:themeFillShade="BF"/>
          </w:tcPr>
          <w:p w14:paraId="4BFA8F84" w14:textId="77777777" w:rsidR="00EC31E0" w:rsidRPr="00EC31E0" w:rsidRDefault="00EC31E0" w:rsidP="00A47C60">
            <w:pPr>
              <w:spacing w:before="0" w:after="0" w:line="240" w:lineRule="auto"/>
              <w:rPr>
                <w:lang w:val="ro-RO"/>
              </w:rPr>
            </w:pPr>
          </w:p>
        </w:tc>
        <w:tc>
          <w:tcPr>
            <w:tcW w:w="613" w:type="dxa"/>
            <w:shd w:val="clear" w:color="auto" w:fill="BFBFBF" w:themeFill="background1" w:themeFillShade="BF"/>
          </w:tcPr>
          <w:p w14:paraId="666090AB"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8"/>
                <w:lang w:val="ro-RO"/>
              </w:rPr>
              <w:t>+15</w:t>
            </w:r>
          </w:p>
        </w:tc>
        <w:tc>
          <w:tcPr>
            <w:tcW w:w="2507" w:type="dxa"/>
            <w:shd w:val="clear" w:color="auto" w:fill="BFBFBF" w:themeFill="background1" w:themeFillShade="BF"/>
          </w:tcPr>
          <w:p w14:paraId="219AE888" w14:textId="77777777" w:rsidR="00EC31E0" w:rsidRPr="00EC31E0" w:rsidRDefault="00EC31E0" w:rsidP="00A47C60">
            <w:pPr>
              <w:spacing w:before="0" w:after="0" w:line="240" w:lineRule="auto"/>
              <w:rPr>
                <w:lang w:val="ro-RO"/>
              </w:rPr>
            </w:pPr>
          </w:p>
        </w:tc>
        <w:tc>
          <w:tcPr>
            <w:tcW w:w="613" w:type="dxa"/>
            <w:shd w:val="clear" w:color="auto" w:fill="BFBFBF" w:themeFill="background1" w:themeFillShade="BF"/>
          </w:tcPr>
          <w:p w14:paraId="4ED77F46" w14:textId="77777777" w:rsidR="00EC31E0" w:rsidRPr="00EC31E0" w:rsidRDefault="00EC31E0" w:rsidP="00A47C60">
            <w:pPr>
              <w:spacing w:before="0" w:after="0" w:line="240" w:lineRule="auto"/>
              <w:jc w:val="center"/>
              <w:rPr>
                <w:lang w:val="ro-RO"/>
              </w:rPr>
            </w:pPr>
            <w:r w:rsidRPr="00EC31E0">
              <w:rPr>
                <w:rFonts w:eastAsia="Verdana" w:cs="Verdana"/>
                <w:b/>
                <w:bCs/>
                <w:color w:val="FFFFFF"/>
                <w:sz w:val="18"/>
                <w:lang w:val="ro-RO"/>
              </w:rPr>
              <w:t>+28</w:t>
            </w:r>
          </w:p>
        </w:tc>
        <w:tc>
          <w:tcPr>
            <w:tcW w:w="6015" w:type="dxa"/>
            <w:gridSpan w:val="2"/>
            <w:shd w:val="clear" w:color="auto" w:fill="BFBFBF" w:themeFill="background1" w:themeFillShade="BF"/>
          </w:tcPr>
          <w:p w14:paraId="3C3A806A" w14:textId="77777777" w:rsidR="00EC31E0" w:rsidRPr="00EC31E0" w:rsidRDefault="00EC31E0" w:rsidP="00A47C60">
            <w:pPr>
              <w:spacing w:before="0" w:after="0" w:line="240" w:lineRule="auto"/>
              <w:rPr>
                <w:lang w:val="ro-RO"/>
              </w:rPr>
            </w:pPr>
            <w:r w:rsidRPr="00EC31E0">
              <w:rPr>
                <w:rFonts w:eastAsia="Verdana" w:cs="Verdana"/>
                <w:b/>
                <w:bCs/>
                <w:color w:val="FFFFFF"/>
                <w:sz w:val="15"/>
                <w:szCs w:val="15"/>
                <w:lang w:val="ro-RO"/>
              </w:rPr>
              <w:t>Alternativa 2 — superioară pe 12/19, echivalentă pe 7/19</w:t>
            </w:r>
          </w:p>
        </w:tc>
      </w:tr>
    </w:tbl>
    <w:p w14:paraId="2774B327" w14:textId="77777777" w:rsidR="002A7FFC" w:rsidRPr="00EC31E0" w:rsidRDefault="002A7FFC" w:rsidP="002A7FFC">
      <w:pPr>
        <w:rPr>
          <w:lang w:val="ro-RO"/>
        </w:rPr>
        <w:sectPr w:rsidR="002A7FFC" w:rsidRPr="00EC31E0" w:rsidSect="002A7FFC">
          <w:pgSz w:w="16838" w:h="11906" w:orient="landscape"/>
          <w:pgMar w:top="720" w:right="720" w:bottom="720" w:left="720" w:header="708" w:footer="708" w:gutter="0"/>
          <w:cols w:space="708"/>
          <w:docGrid w:linePitch="360"/>
        </w:sectPr>
      </w:pPr>
    </w:p>
    <w:p w14:paraId="43099AD0" w14:textId="7CED3231" w:rsidR="00EE1141" w:rsidRPr="00EE1141" w:rsidRDefault="002A7FFC" w:rsidP="002A7FFC">
      <w:pPr>
        <w:pStyle w:val="Heading1"/>
        <w:numPr>
          <w:ilvl w:val="0"/>
          <w:numId w:val="0"/>
        </w:numPr>
        <w:rPr>
          <w:rFonts w:ascii="Nunito" w:hAnsi="Nunito"/>
          <w:b w:val="0"/>
          <w:bCs w:val="0"/>
          <w:sz w:val="20"/>
          <w:szCs w:val="20"/>
          <w:lang w:val="ro-RO"/>
        </w:rPr>
      </w:pPr>
      <w:r>
        <w:rPr>
          <w:rFonts w:ascii="Nunito" w:hAnsi="Nunito"/>
          <w:b w:val="0"/>
          <w:bCs w:val="0"/>
          <w:sz w:val="20"/>
          <w:szCs w:val="20"/>
          <w:lang w:val="ro-RO"/>
        </w:rPr>
        <w:lastRenderedPageBreak/>
        <w:t xml:space="preserve">9.3.2 CONCLUZII SI RECOMANDAREA EVALUARII </w:t>
      </w:r>
      <w:r w:rsidR="00706580">
        <w:rPr>
          <w:rFonts w:ascii="Nunito" w:hAnsi="Nunito"/>
          <w:b w:val="0"/>
          <w:bCs w:val="0"/>
          <w:sz w:val="20"/>
          <w:szCs w:val="20"/>
          <w:lang w:val="ro-RO"/>
        </w:rPr>
        <w:t>DE MEDIU</w:t>
      </w:r>
    </w:p>
    <w:p w14:paraId="0F6B6755" w14:textId="77777777" w:rsidR="00A47C60" w:rsidRDefault="00A47C60" w:rsidP="00A47C60">
      <w:pPr>
        <w:spacing w:after="120" w:line="240" w:lineRule="auto"/>
        <w:jc w:val="both"/>
        <w:rPr>
          <w:rFonts w:ascii="Nunito" w:eastAsia="Times New Roman" w:hAnsi="Nunito" w:cs="Segoe UI"/>
          <w:lang w:val="ro-RO"/>
        </w:rPr>
      </w:pPr>
      <w:r w:rsidRPr="00A47C60">
        <w:rPr>
          <w:rFonts w:ascii="Nunito" w:eastAsia="Times New Roman" w:hAnsi="Nunito" w:cs="Segoe UI"/>
          <w:lang w:val="ro-RO"/>
        </w:rPr>
        <w:t xml:space="preserve">Evaluarea comparativă indică în mod clar că </w:t>
      </w:r>
      <w:r w:rsidRPr="00A47C60">
        <w:rPr>
          <w:rFonts w:ascii="Nunito" w:eastAsia="Times New Roman" w:hAnsi="Nunito" w:cs="Segoe UI"/>
          <w:b/>
          <w:bCs/>
          <w:lang w:val="ro-RO"/>
        </w:rPr>
        <w:t>Alternativa 2 – Instalații Integrate de Tratare a Deșeurilor (IITD)</w:t>
      </w:r>
      <w:r w:rsidRPr="00A47C60">
        <w:rPr>
          <w:rFonts w:ascii="Nunito" w:eastAsia="Times New Roman" w:hAnsi="Nunito" w:cs="Segoe UI"/>
          <w:lang w:val="ro-RO"/>
        </w:rPr>
        <w:t xml:space="preserve"> reprezintă opțiunea optimă pentru dezvoltarea infrastructurii de gestionare a deșeurilor în perioada 2026–2035. Aceasta obține un </w:t>
      </w:r>
      <w:r w:rsidRPr="00A47C60">
        <w:rPr>
          <w:rFonts w:ascii="Nunito" w:eastAsia="Times New Roman" w:hAnsi="Nunito" w:cs="Segoe UI"/>
          <w:b/>
          <w:bCs/>
          <w:lang w:val="ro-RO"/>
        </w:rPr>
        <w:t>scor agregat de +28</w:t>
      </w:r>
      <w:r w:rsidRPr="00A47C60">
        <w:rPr>
          <w:rFonts w:ascii="Nunito" w:eastAsia="Times New Roman" w:hAnsi="Nunito" w:cs="Segoe UI"/>
          <w:lang w:val="ro-RO"/>
        </w:rPr>
        <w:t xml:space="preserve">, semnificativ superior celui înregistrat de </w:t>
      </w:r>
      <w:r w:rsidRPr="00A47C60">
        <w:rPr>
          <w:rFonts w:ascii="Nunito" w:eastAsia="Times New Roman" w:hAnsi="Nunito" w:cs="Segoe UI"/>
          <w:b/>
          <w:bCs/>
          <w:lang w:val="ro-RO"/>
        </w:rPr>
        <w:t>Alternativa 1 (+15)</w:t>
      </w:r>
      <w:r w:rsidRPr="00A47C60">
        <w:rPr>
          <w:rFonts w:ascii="Nunito" w:eastAsia="Times New Roman" w:hAnsi="Nunito" w:cs="Segoe UI"/>
          <w:lang w:val="ro-RO"/>
        </w:rPr>
        <w:t xml:space="preserve">, fiind mai favorabilă pentru </w:t>
      </w:r>
      <w:r w:rsidRPr="00A47C60">
        <w:rPr>
          <w:rFonts w:ascii="Nunito" w:eastAsia="Times New Roman" w:hAnsi="Nunito" w:cs="Segoe UI"/>
          <w:b/>
          <w:bCs/>
          <w:lang w:val="ro-RO"/>
        </w:rPr>
        <w:t>12 dintre cele 19 obiective de mediu</w:t>
      </w:r>
      <w:r w:rsidRPr="00A47C60">
        <w:rPr>
          <w:rFonts w:ascii="Nunito" w:eastAsia="Times New Roman" w:hAnsi="Nunito" w:cs="Segoe UI"/>
          <w:lang w:val="ro-RO"/>
        </w:rPr>
        <w:t xml:space="preserve"> analizate și echivalentă pentru celelalte 7. Nu a fost identificat niciun obiectiv pentru care soluția modulară să prezinte o performanță superioară. </w:t>
      </w:r>
    </w:p>
    <w:p w14:paraId="7C8FFE9C" w14:textId="77777777" w:rsidR="00A47C60" w:rsidRDefault="00A47C60" w:rsidP="00A47C60">
      <w:pPr>
        <w:spacing w:after="120" w:line="240" w:lineRule="auto"/>
        <w:jc w:val="both"/>
        <w:rPr>
          <w:rFonts w:ascii="Nunito" w:eastAsia="Times New Roman" w:hAnsi="Nunito" w:cs="Segoe UI"/>
          <w:lang w:val="ro-RO"/>
        </w:rPr>
      </w:pPr>
      <w:r w:rsidRPr="00A47C60">
        <w:rPr>
          <w:rFonts w:ascii="Nunito" w:eastAsia="Times New Roman" w:hAnsi="Nunito" w:cs="Segoe UI"/>
          <w:lang w:val="ro-RO"/>
        </w:rPr>
        <w:t xml:space="preserve">În schimb, </w:t>
      </w:r>
      <w:r w:rsidRPr="00A47C60">
        <w:rPr>
          <w:rFonts w:ascii="Nunito" w:eastAsia="Times New Roman" w:hAnsi="Nunito" w:cs="Segoe UI"/>
          <w:b/>
          <w:bCs/>
          <w:lang w:val="ro-RO"/>
        </w:rPr>
        <w:t>Alternativa 0 (neimplementarea PNGD)</w:t>
      </w:r>
      <w:r w:rsidRPr="00A47C60">
        <w:rPr>
          <w:rFonts w:ascii="Nunito" w:eastAsia="Times New Roman" w:hAnsi="Nunito" w:cs="Segoe UI"/>
          <w:lang w:val="ro-RO"/>
        </w:rPr>
        <w:t xml:space="preserve"> înregistrează un </w:t>
      </w:r>
      <w:r w:rsidRPr="00A47C60">
        <w:rPr>
          <w:rFonts w:ascii="Nunito" w:eastAsia="Times New Roman" w:hAnsi="Nunito" w:cs="Segoe UI"/>
          <w:b/>
          <w:bCs/>
          <w:lang w:val="ro-RO"/>
        </w:rPr>
        <w:t>scor agregat de –27</w:t>
      </w:r>
      <w:r w:rsidRPr="00A47C60">
        <w:rPr>
          <w:rFonts w:ascii="Nunito" w:eastAsia="Times New Roman" w:hAnsi="Nunito" w:cs="Segoe UI"/>
          <w:lang w:val="ro-RO"/>
        </w:rPr>
        <w:t xml:space="preserve">, generând efecte negative asupra a </w:t>
      </w:r>
      <w:r w:rsidRPr="00A47C60">
        <w:rPr>
          <w:rFonts w:ascii="Nunito" w:eastAsia="Times New Roman" w:hAnsi="Nunito" w:cs="Segoe UI"/>
          <w:b/>
          <w:bCs/>
          <w:lang w:val="ro-RO"/>
        </w:rPr>
        <w:t>16 din cele 19 obiective evaluate</w:t>
      </w:r>
      <w:r w:rsidRPr="00A47C60">
        <w:rPr>
          <w:rFonts w:ascii="Nunito" w:eastAsia="Times New Roman" w:hAnsi="Nunito" w:cs="Segoe UI"/>
          <w:lang w:val="ro-RO"/>
        </w:rPr>
        <w:t xml:space="preserve">, dintre care </w:t>
      </w:r>
      <w:r w:rsidRPr="00A47C60">
        <w:rPr>
          <w:rFonts w:ascii="Nunito" w:eastAsia="Times New Roman" w:hAnsi="Nunito" w:cs="Segoe UI"/>
          <w:b/>
          <w:bCs/>
          <w:lang w:val="ro-RO"/>
        </w:rPr>
        <w:t>11 sunt considerate semnificative</w:t>
      </w:r>
      <w:r w:rsidRPr="00A47C60">
        <w:rPr>
          <w:rFonts w:ascii="Nunito" w:eastAsia="Times New Roman" w:hAnsi="Nunito" w:cs="Segoe UI"/>
          <w:lang w:val="ro-RO"/>
        </w:rPr>
        <w:t xml:space="preserve">, ceea ce evidențiază riscurile asociate menținerii situației actuale. </w:t>
      </w:r>
    </w:p>
    <w:p w14:paraId="7C228691" w14:textId="77777777" w:rsidR="00A47C60" w:rsidRPr="00A47C60" w:rsidRDefault="00A47C60" w:rsidP="00A47C60">
      <w:pPr>
        <w:spacing w:after="120" w:line="240" w:lineRule="auto"/>
        <w:jc w:val="both"/>
        <w:outlineLvl w:val="2"/>
        <w:rPr>
          <w:rFonts w:ascii="Nunito" w:eastAsia="Times New Roman" w:hAnsi="Nunito" w:cs="Segoe UI"/>
          <w:b/>
          <w:bCs/>
          <w:lang w:val="ro-RO"/>
        </w:rPr>
      </w:pPr>
      <w:r w:rsidRPr="00A47C60">
        <w:rPr>
          <w:rFonts w:ascii="Nunito" w:eastAsia="Times New Roman" w:hAnsi="Nunito" w:cs="Segoe UI"/>
          <w:b/>
          <w:bCs/>
          <w:lang w:val="ro-RO"/>
        </w:rPr>
        <w:t>Principalele avantaje ale Alternativei 2 (IITD)</w:t>
      </w:r>
    </w:p>
    <w:p w14:paraId="0E17DE8D" w14:textId="2C5DB368" w:rsidR="00A47C60" w:rsidRPr="00A47C60" w:rsidRDefault="00A47C60" w:rsidP="00A47C60">
      <w:pPr>
        <w:spacing w:after="120" w:line="240" w:lineRule="auto"/>
        <w:jc w:val="both"/>
        <w:rPr>
          <w:rFonts w:ascii="Nunito" w:eastAsia="Times New Roman" w:hAnsi="Nunito" w:cs="Segoe UI"/>
          <w:lang w:val="ro-RO"/>
        </w:rPr>
      </w:pPr>
      <w:r w:rsidRPr="00A47C60">
        <w:rPr>
          <w:rFonts w:ascii="Nunito" w:eastAsia="Times New Roman" w:hAnsi="Nunito" w:cs="Segoe UI"/>
          <w:b/>
          <w:bCs/>
          <w:lang w:val="ro-RO"/>
        </w:rPr>
        <w:t>Performanță de mediu superioară</w:t>
      </w:r>
      <w:r w:rsidRPr="00A47C60">
        <w:rPr>
          <w:rFonts w:ascii="Nunito" w:eastAsia="Times New Roman" w:hAnsi="Nunito" w:cs="Segoe UI"/>
          <w:lang w:val="ro-RO"/>
        </w:rPr>
        <w:t xml:space="preserve">, reflectată de cel mai ridicat scor agregat și de rezultate mai bune pentru majoritatea obiectivelor analizate. </w:t>
      </w:r>
    </w:p>
    <w:p w14:paraId="27838C47" w14:textId="56F8507A" w:rsidR="006639FB" w:rsidRDefault="006639FB">
      <w:pPr>
        <w:numPr>
          <w:ilvl w:val="0"/>
          <w:numId w:val="15"/>
        </w:numPr>
        <w:spacing w:after="120" w:line="240" w:lineRule="auto"/>
        <w:ind w:left="360"/>
        <w:jc w:val="both"/>
        <w:rPr>
          <w:rFonts w:ascii="Nunito" w:eastAsia="Times New Roman" w:hAnsi="Nunito" w:cs="Segoe UI"/>
          <w:lang w:val="ro-RO"/>
        </w:rPr>
      </w:pPr>
      <w:r w:rsidRPr="006639FB">
        <w:rPr>
          <w:rFonts w:ascii="Nunito" w:eastAsia="Times New Roman" w:hAnsi="Nunito" w:cs="Segoe UI"/>
          <w:lang w:val="ro-RO"/>
        </w:rPr>
        <w:t>Avantajele Alternativei 2 sunt susținute atât de performanța sa de mediu, cât și de beneficiile climatice și economice asociate. Din perspectiva schimbărilor climatice, implementarea PNGD generează un beneficiu climatic incremental mediu estimat la aproximativ 665,8 milioane kg CO₂e/an și peste 7,3 milioane t CO₂e cumulat pentru perioada 2025–2035, ca urmare a creșterii reciclării, dezvoltării digestiei anaerobe și reducerii cantităților tratate prin TMB.</w:t>
      </w:r>
    </w:p>
    <w:p w14:paraId="50C5F195" w14:textId="4B2A0EB8"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Reducerea emisiilor de gaze cu efect de seră, prin captarea biogazului la un randament estimat de 80–90%, comparativ cu 60–70% în cazul soluției modulare</w:t>
      </w:r>
    </w:p>
    <w:p w14:paraId="0DE7634B" w14:textId="646CFCF5"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 xml:space="preserve">Recuperarea superioară a materialelor reciclabile, sortarea automatizată integrată permițând creșterea ratelor de recuperare cu aproximativ 10–15 puncte procentuale față de configurațiile separate. </w:t>
      </w:r>
    </w:p>
    <w:p w14:paraId="1DE502DF" w14:textId="5B5B47D9"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 xml:space="preserve">Eliminarea transportului intermediar între instalații, cu o reducere estimată de 30–40% a tonaj-km, ceea ce diminuează consumul de combustibil, emisiile asociate și impactul asupra comunităților. </w:t>
      </w:r>
    </w:p>
    <w:p w14:paraId="5DBF6385" w14:textId="08E4CB18"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 xml:space="preserve">Control operațional și al emisiilor mai eficient, prin concentrarea proceselor și utilizarea unor sisteme integrate de monitorizare și tratare. </w:t>
      </w:r>
    </w:p>
    <w:p w14:paraId="1B09908C" w14:textId="0FEC88E3"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 xml:space="preserve">Reducerea amprentei spațiale a infrastructurii, cu efecte benefice asupra ocupării terenurilor, peisajului, ecosistemelor și necesarului de depozitare. </w:t>
      </w:r>
    </w:p>
    <w:p w14:paraId="31212DB9" w14:textId="10E7EE9B"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 xml:space="preserve">Eficiență energetică mai ridicată, datorită integrării digestiei anaerobe, valorificării RDF/SRF și posibilității producerii de biometan la scară economic viabilă. </w:t>
      </w:r>
    </w:p>
    <w:p w14:paraId="60E3ED3E" w14:textId="77777777"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 xml:space="preserve">Cost investițional mai redus, estimat la aproximativ 2.023 milioane EUR, față de 2.596 milioane EUR pentru alternativa modulară, ceea ce reprezintă o economie de aproximativ 573 milioane EUR (22%). </w:t>
      </w:r>
    </w:p>
    <w:p w14:paraId="1DB33B15" w14:textId="77777777" w:rsidR="00A47C60" w:rsidRPr="00A47C60" w:rsidRDefault="00A47C60" w:rsidP="00A47C60">
      <w:pPr>
        <w:spacing w:after="120" w:line="240" w:lineRule="auto"/>
        <w:jc w:val="both"/>
        <w:rPr>
          <w:rFonts w:ascii="Nunito" w:eastAsia="Times New Roman" w:hAnsi="Nunito" w:cs="Segoe UI"/>
          <w:lang w:val="ro-RO"/>
        </w:rPr>
      </w:pPr>
      <w:r w:rsidRPr="00A47C60">
        <w:rPr>
          <w:rFonts w:ascii="Nunito" w:eastAsia="Times New Roman" w:hAnsi="Nunito" w:cs="Segoe UI"/>
          <w:lang w:val="ro-RO"/>
        </w:rPr>
        <w:t xml:space="preserve">Pe baza rezultatelor obținute și a analizei efectuate în cadrul Raportului de Mediu, </w:t>
      </w:r>
      <w:r w:rsidRPr="00A47C60">
        <w:rPr>
          <w:rFonts w:ascii="Nunito" w:eastAsia="Times New Roman" w:hAnsi="Nunito" w:cs="Segoe UI"/>
          <w:b/>
          <w:bCs/>
          <w:lang w:val="ro-RO"/>
        </w:rPr>
        <w:t>Alternativa 2 – IITD este recomandată ca alternativă preferată pentru implementarea PNGD 2026–2035</w:t>
      </w:r>
      <w:r w:rsidRPr="00A47C60">
        <w:rPr>
          <w:rFonts w:ascii="Nunito" w:eastAsia="Times New Roman" w:hAnsi="Nunito" w:cs="Segoe UI"/>
          <w:lang w:val="ro-RO"/>
        </w:rPr>
        <w:t>, întrucât asigură simultan:</w:t>
      </w:r>
    </w:p>
    <w:p w14:paraId="7FEE4E65" w14:textId="77777777"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cea mai bună performanță de mediu;</w:t>
      </w:r>
    </w:p>
    <w:p w14:paraId="74427A9D" w14:textId="77777777"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cea mai mare contribuție la economia circulară și eficiența utilizării resurselor;</w:t>
      </w:r>
    </w:p>
    <w:p w14:paraId="3566D80A" w14:textId="77777777"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reducerea superioară a emisiilor de gaze cu efect de seră;</w:t>
      </w:r>
    </w:p>
    <w:p w14:paraId="13166864" w14:textId="497F608E" w:rsidR="00A47C60" w:rsidRPr="00A47C60" w:rsidRDefault="00A47C60">
      <w:pPr>
        <w:numPr>
          <w:ilvl w:val="0"/>
          <w:numId w:val="15"/>
        </w:numPr>
        <w:spacing w:after="120" w:line="240" w:lineRule="auto"/>
        <w:ind w:left="360"/>
        <w:jc w:val="both"/>
        <w:rPr>
          <w:rFonts w:ascii="Nunito" w:eastAsia="Times New Roman" w:hAnsi="Nunito" w:cs="Segoe UI"/>
          <w:lang w:val="ro-RO"/>
        </w:rPr>
      </w:pPr>
      <w:r w:rsidRPr="00A47C60">
        <w:rPr>
          <w:rFonts w:ascii="Nunito" w:eastAsia="Times New Roman" w:hAnsi="Nunito" w:cs="Segoe UI"/>
          <w:lang w:val="ro-RO"/>
        </w:rPr>
        <w:t xml:space="preserve">costuri investiționale și operaționale mai reduse. </w:t>
      </w:r>
    </w:p>
    <w:p w14:paraId="07114B94" w14:textId="4CC96B2E" w:rsidR="005E281E" w:rsidRDefault="00A47C60" w:rsidP="00A47C60">
      <w:pPr>
        <w:spacing w:after="120" w:line="240" w:lineRule="auto"/>
        <w:jc w:val="both"/>
        <w:rPr>
          <w:rFonts w:ascii="Nunito" w:eastAsia="Times New Roman" w:hAnsi="Nunito" w:cs="Segoe UI"/>
          <w:lang w:val="ro-RO"/>
        </w:rPr>
      </w:pPr>
      <w:r w:rsidRPr="00A47C60">
        <w:rPr>
          <w:rFonts w:ascii="Nunito" w:eastAsia="Times New Roman" w:hAnsi="Nunito" w:cs="Segoe UI"/>
          <w:lang w:val="ro-RO"/>
        </w:rPr>
        <w:t xml:space="preserve">Prin urmare, Alternativa 2 oferă </w:t>
      </w:r>
      <w:r w:rsidRPr="00A47C60">
        <w:rPr>
          <w:rFonts w:ascii="Nunito" w:eastAsia="Times New Roman" w:hAnsi="Nunito" w:cs="Segoe UI"/>
          <w:b/>
          <w:bCs/>
          <w:lang w:val="ro-RO"/>
        </w:rPr>
        <w:t>cel mai favorabil raport între beneficii de mediu, eficiență economică și sustenabilitate pe termen lung</w:t>
      </w:r>
      <w:r w:rsidRPr="00A47C60">
        <w:rPr>
          <w:rFonts w:ascii="Nunito" w:eastAsia="Times New Roman" w:hAnsi="Nunito" w:cs="Segoe UI"/>
          <w:lang w:val="ro-RO"/>
        </w:rPr>
        <w:t>, reprezentând soluția optimă pentru atingerea obiectivelor PNGD 2026–2035.</w:t>
      </w:r>
    </w:p>
    <w:p w14:paraId="4D220E1B" w14:textId="77777777" w:rsidR="006639FB" w:rsidRDefault="006639FB" w:rsidP="00A47C60">
      <w:pPr>
        <w:spacing w:after="120" w:line="240" w:lineRule="auto"/>
        <w:jc w:val="both"/>
        <w:rPr>
          <w:rFonts w:ascii="Nunito" w:eastAsia="Times New Roman" w:hAnsi="Nunito" w:cs="Segoe UI"/>
          <w:lang w:val="ro-RO"/>
        </w:rPr>
      </w:pPr>
    </w:p>
    <w:sectPr w:rsidR="006639FB" w:rsidSect="0026487B">
      <w:pgSz w:w="11906" w:h="16838" w:code="9"/>
      <w:pgMar w:top="1418" w:right="1133" w:bottom="1418" w:left="1191" w:header="83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F006" w14:textId="77777777" w:rsidR="00736611" w:rsidRDefault="00736611" w:rsidP="009E4B94">
      <w:pPr>
        <w:spacing w:line="240" w:lineRule="auto"/>
      </w:pPr>
      <w:r>
        <w:separator/>
      </w:r>
    </w:p>
  </w:endnote>
  <w:endnote w:type="continuationSeparator" w:id="0">
    <w:p w14:paraId="7840D516" w14:textId="77777777" w:rsidR="00736611" w:rsidRDefault="00736611" w:rsidP="009E4B94">
      <w:pPr>
        <w:spacing w:line="240" w:lineRule="auto"/>
      </w:pPr>
      <w:r>
        <w:continuationSeparator/>
      </w:r>
    </w:p>
  </w:endnote>
  <w:endnote w:type="continuationNotice" w:id="1">
    <w:p w14:paraId="0D92D2F2" w14:textId="77777777" w:rsidR="00736611" w:rsidRDefault="0073661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altName w:val="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0BE2" w14:textId="77777777" w:rsidR="00B10C6D" w:rsidRDefault="00B10C6D">
    <w:pPr>
      <w:pStyle w:val="Footer"/>
    </w:pPr>
    <w:r>
      <w:rPr>
        <w:noProof/>
      </w:rPr>
      <mc:AlternateContent>
        <mc:Choice Requires="wps">
          <w:drawing>
            <wp:anchor distT="0" distB="0" distL="0" distR="0" simplePos="0" relativeHeight="251658265" behindDoc="0" locked="0" layoutInCell="1" allowOverlap="1" wp14:anchorId="68E99035" wp14:editId="1DA708A5">
              <wp:simplePos x="635" y="635"/>
              <wp:positionH relativeFrom="page">
                <wp:align>center</wp:align>
              </wp:positionH>
              <wp:positionV relativeFrom="page">
                <wp:align>bottom</wp:align>
              </wp:positionV>
              <wp:extent cx="443865" cy="443865"/>
              <wp:effectExtent l="0" t="0" r="3175" b="0"/>
              <wp:wrapNone/>
              <wp:docPr id="1864615065" name="Text Box 2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A6B661"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E99035" id="_x0000_t202" coordsize="21600,21600" o:spt="202" path="m,l,21600r21600,l21600,xe">
              <v:stroke joinstyle="miter"/>
              <v:path gradientshapeok="t" o:connecttype="rect"/>
            </v:shapetype>
            <v:shape id="Text Box 23" o:spid="_x0000_s1026" type="#_x0000_t202" alt="Confidential" style="position:absolute;margin-left:0;margin-top:0;width:34.95pt;height:34.95pt;z-index:25165826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07A6B661"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994682"/>
      <w:docPartObj>
        <w:docPartGallery w:val="Page Numbers (Bottom of Page)"/>
        <w:docPartUnique/>
      </w:docPartObj>
    </w:sdtPr>
    <w:sdtEndPr>
      <w:rPr>
        <w:noProof/>
      </w:rPr>
    </w:sdtEndPr>
    <w:sdtContent>
      <w:p w14:paraId="48514314" w14:textId="77777777" w:rsidR="00C8792F" w:rsidRDefault="00C879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873592" w14:textId="77777777" w:rsidR="00845BCE" w:rsidRDefault="00845B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732A" w14:textId="77777777" w:rsidR="00B10C6D" w:rsidRDefault="00B10C6D">
    <w:pPr>
      <w:pStyle w:val="Footer"/>
    </w:pPr>
    <w:r>
      <w:rPr>
        <w:noProof/>
      </w:rPr>
      <mc:AlternateContent>
        <mc:Choice Requires="wps">
          <w:drawing>
            <wp:anchor distT="0" distB="0" distL="0" distR="0" simplePos="0" relativeHeight="251658264" behindDoc="0" locked="0" layoutInCell="1" allowOverlap="1" wp14:anchorId="2AD08985" wp14:editId="7F2B1549">
              <wp:simplePos x="635" y="635"/>
              <wp:positionH relativeFrom="page">
                <wp:align>center</wp:align>
              </wp:positionH>
              <wp:positionV relativeFrom="page">
                <wp:align>bottom</wp:align>
              </wp:positionV>
              <wp:extent cx="443865" cy="443865"/>
              <wp:effectExtent l="0" t="0" r="3175" b="0"/>
              <wp:wrapNone/>
              <wp:docPr id="2124007739" name="Text Box 2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F5D320"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D08985" id="_x0000_t202" coordsize="21600,21600" o:spt="202" path="m,l,21600r21600,l21600,xe">
              <v:stroke joinstyle="miter"/>
              <v:path gradientshapeok="t" o:connecttype="rect"/>
            </v:shapetype>
            <v:shape id="Text Box 22" o:spid="_x0000_s1027" type="#_x0000_t202" alt="Confidential" style="position:absolute;margin-left:0;margin-top:0;width:34.95pt;height:34.95pt;z-index:251658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EF5D320" w14:textId="77777777"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9825" w14:textId="77777777" w:rsidR="00736611" w:rsidRDefault="00736611" w:rsidP="009E4B94">
      <w:pPr>
        <w:spacing w:line="240" w:lineRule="auto"/>
      </w:pPr>
    </w:p>
  </w:footnote>
  <w:footnote w:type="continuationSeparator" w:id="0">
    <w:p w14:paraId="0A5DC0F4" w14:textId="77777777" w:rsidR="00736611" w:rsidRDefault="00736611" w:rsidP="009E4B94">
      <w:pPr>
        <w:spacing w:line="240" w:lineRule="auto"/>
      </w:pPr>
    </w:p>
  </w:footnote>
  <w:footnote w:type="continuationNotice" w:id="1">
    <w:p w14:paraId="682E1044" w14:textId="77777777" w:rsidR="00736611" w:rsidRDefault="0073661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237A" w14:textId="1BE147C0" w:rsidR="00436638" w:rsidRPr="00EC31E0" w:rsidRDefault="00436638">
    <w:pPr>
      <w:pStyle w:val="Header"/>
      <w:rPr>
        <w:lang w:val="pt-PT"/>
      </w:rPr>
    </w:pPr>
    <w:r w:rsidRPr="00EC31E0">
      <w:rPr>
        <w:lang w:val="pt-PT"/>
      </w:rPr>
      <w:t xml:space="preserve">            </w:t>
    </w:r>
    <w:r>
      <w:rPr>
        <w:noProof/>
      </w:rPr>
      <w:drawing>
        <wp:anchor distT="0" distB="0" distL="0" distR="0" simplePos="0" relativeHeight="251660313" behindDoc="0" locked="0" layoutInCell="1" allowOverlap="1" wp14:anchorId="04DA5BA8" wp14:editId="47FADC7A">
          <wp:simplePos x="0" y="0"/>
          <wp:positionH relativeFrom="margin">
            <wp:posOffset>0</wp:posOffset>
          </wp:positionH>
          <wp:positionV relativeFrom="page">
            <wp:posOffset>532130</wp:posOffset>
          </wp:positionV>
          <wp:extent cx="590550" cy="161925"/>
          <wp:effectExtent l="0" t="0" r="0" b="0"/>
          <wp:wrapNone/>
          <wp:docPr id="840848292" name="Picture 840848292"/>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rcRect r="67511" b="59109"/>
                  <a:stretch>
                    <a:fillRect/>
                  </a:stretch>
                </pic:blipFill>
                <pic:spPr>
                  <a:xfrm>
                    <a:off x="0" y="0"/>
                    <a:ext cx="590550" cy="161925"/>
                  </a:xfrm>
                  <a:prstGeom prst="rect">
                    <a:avLst/>
                  </a:prstGeom>
                  <a:ln>
                    <a:noFill/>
                  </a:ln>
                </pic:spPr>
              </pic:pic>
            </a:graphicData>
          </a:graphic>
        </wp:anchor>
      </w:drawing>
    </w:r>
    <w:r w:rsidRPr="00EC31E0">
      <w:rPr>
        <w:lang w:val="pt-PT"/>
      </w:rPr>
      <w:t xml:space="preserve">  Raport </w:t>
    </w:r>
    <w:r w:rsidR="00F51ADB" w:rsidRPr="00EC31E0">
      <w:rPr>
        <w:lang w:val="pt-PT"/>
      </w:rPr>
      <w:t xml:space="preserve">de </w:t>
    </w:r>
    <w:r w:rsidRPr="00EC31E0">
      <w:rPr>
        <w:lang w:val="pt-PT"/>
      </w:rPr>
      <w:t>Mediu – PLANUL NAȚIONAL DE GESTIUNE A DEȘERILOR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B0DD50"/>
    <w:lvl w:ilvl="0">
      <w:start w:val="1"/>
      <w:numFmt w:val="decimal"/>
      <w:pStyle w:val="ListNumber5"/>
      <w:lvlText w:val="%1."/>
      <w:lvlJc w:val="left"/>
      <w:pPr>
        <w:tabs>
          <w:tab w:val="num" w:pos="3193"/>
        </w:tabs>
        <w:ind w:left="3193" w:hanging="360"/>
      </w:pPr>
    </w:lvl>
  </w:abstractNum>
  <w:abstractNum w:abstractNumId="1" w15:restartNumberingAfterBreak="0">
    <w:nsid w:val="FFFFFF7D"/>
    <w:multiLevelType w:val="singleLevel"/>
    <w:tmpl w:val="303A92D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6EC75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C08CF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D60DF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8C66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D2936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14849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13F41C92"/>
    <w:multiLevelType w:val="multilevel"/>
    <w:tmpl w:val="15FE1764"/>
    <w:lvl w:ilvl="0">
      <w:start w:val="1"/>
      <w:numFmt w:val="decimal"/>
      <w:pStyle w:val="Heading1"/>
      <w:suff w:val="space"/>
      <w:lvlText w:val="%1."/>
      <w:lvlJc w:val="left"/>
      <w:pPr>
        <w:ind w:left="0" w:firstLine="0"/>
      </w:pPr>
      <w:rPr>
        <w:rFonts w:hint="default"/>
        <w:b/>
        <w:bCs w:val="0"/>
      </w:rPr>
    </w:lvl>
    <w:lvl w:ilvl="1">
      <w:start w:val="1"/>
      <w:numFmt w:val="decimal"/>
      <w:pStyle w:val="Heading2"/>
      <w:suff w:val="space"/>
      <w:lvlText w:val="%1.%2"/>
      <w:lvlJc w:val="left"/>
      <w:pPr>
        <w:ind w:left="1277" w:firstLine="0"/>
      </w:p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993" w:firstLine="0"/>
      </w:pPr>
      <w:rPr>
        <w:rFonts w:hint="default"/>
      </w:rPr>
    </w:lvl>
    <w:lvl w:ilvl="4">
      <w:start w:val="1"/>
      <w:numFmt w:val="none"/>
      <w:pStyle w:val="Heading5"/>
      <w:suff w:val="space"/>
      <w:lvlText w:val=""/>
      <w:lvlJc w:val="left"/>
      <w:pPr>
        <w:ind w:left="0" w:firstLine="0"/>
      </w:pPr>
      <w:rPr>
        <w:rFonts w:hint="default"/>
      </w:rPr>
    </w:lvl>
    <w:lvl w:ilvl="5">
      <w:start w:val="1"/>
      <w:numFmt w:val="none"/>
      <w:pStyle w:val="Heading6"/>
      <w:suff w:val="space"/>
      <w:lvlText w:val=""/>
      <w:lvlJc w:val="left"/>
      <w:pPr>
        <w:ind w:left="0" w:firstLine="0"/>
      </w:pPr>
      <w:rPr>
        <w:rFonts w:hint="default"/>
      </w:rPr>
    </w:lvl>
    <w:lvl w:ilvl="6">
      <w:start w:val="1"/>
      <w:numFmt w:val="none"/>
      <w:pStyle w:val="Heading7"/>
      <w:suff w:val="space"/>
      <w:lvlText w:val=""/>
      <w:lvlJc w:val="left"/>
      <w:pPr>
        <w:ind w:left="0" w:firstLine="0"/>
      </w:pPr>
      <w:rPr>
        <w:rFonts w:hint="default"/>
      </w:rPr>
    </w:lvl>
    <w:lvl w:ilvl="7">
      <w:start w:val="1"/>
      <w:numFmt w:val="none"/>
      <w:pStyle w:val="Heading8"/>
      <w:suff w:val="space"/>
      <w:lvlText w:val=""/>
      <w:lvlJc w:val="left"/>
      <w:pPr>
        <w:ind w:left="0" w:firstLine="0"/>
      </w:pPr>
      <w:rPr>
        <w:rFonts w:hint="default"/>
      </w:rPr>
    </w:lvl>
    <w:lvl w:ilvl="8">
      <w:start w:val="1"/>
      <w:numFmt w:val="none"/>
      <w:pStyle w:val="Heading9"/>
      <w:suff w:val="space"/>
      <w:lvlText w:val=""/>
      <w:lvlJc w:val="left"/>
      <w:pPr>
        <w:ind w:left="0" w:firstLine="0"/>
      </w:pPr>
      <w:rPr>
        <w:rFonts w:hint="default"/>
      </w:rPr>
    </w:lvl>
  </w:abstractNum>
  <w:abstractNum w:abstractNumId="9" w15:restartNumberingAfterBreak="0">
    <w:nsid w:val="1A1F49FD"/>
    <w:multiLevelType w:val="hybridMultilevel"/>
    <w:tmpl w:val="4FC84250"/>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6110CF3"/>
    <w:multiLevelType w:val="multilevel"/>
    <w:tmpl w:val="D82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15170"/>
    <w:multiLevelType w:val="multilevel"/>
    <w:tmpl w:val="C126842E"/>
    <w:lvl w:ilvl="0">
      <w:start w:val="1"/>
      <w:numFmt w:val="decimal"/>
      <w:pStyle w:val="H1-NOTTOC"/>
      <w:suff w:val="space"/>
      <w:lvlText w:val="%1."/>
      <w:lvlJc w:val="left"/>
      <w:pPr>
        <w:ind w:left="0" w:firstLine="0"/>
      </w:pPr>
      <w:rPr>
        <w:rFonts w:ascii="Verdana" w:hAnsi="Verdana" w:hint="default"/>
        <w:b w:val="0"/>
        <w:i w:val="0"/>
        <w:color w:val="009DE0"/>
        <w:sz w:val="28"/>
      </w:rPr>
    </w:lvl>
    <w:lvl w:ilvl="1">
      <w:start w:val="1"/>
      <w:numFmt w:val="decimal"/>
      <w:pStyle w:val="H2-NOTTOC"/>
      <w:suff w:val="space"/>
      <w:lvlText w:val="%1.%2"/>
      <w:lvlJc w:val="left"/>
      <w:pPr>
        <w:ind w:left="0" w:firstLine="0"/>
      </w:pPr>
      <w:rPr>
        <w:rFonts w:ascii="Verdana" w:hAnsi="Verdana" w:hint="default"/>
        <w:b w:val="0"/>
        <w:i w:val="0"/>
        <w:color w:val="000000"/>
        <w:sz w:val="18"/>
      </w:rPr>
    </w:lvl>
    <w:lvl w:ilvl="2">
      <w:start w:val="1"/>
      <w:numFmt w:val="decimal"/>
      <w:pStyle w:val="H3-NOTTOC"/>
      <w:suff w:val="space"/>
      <w:lvlText w:val="%1.%2.%3"/>
      <w:lvlJc w:val="left"/>
      <w:pPr>
        <w:ind w:left="0" w:firstLine="0"/>
      </w:pPr>
      <w:rPr>
        <w:rFonts w:ascii="Verdana" w:hAnsi="Verdana" w:hint="default"/>
        <w:b w:val="0"/>
        <w:i w:val="0"/>
        <w:color w:val="000000"/>
        <w:sz w:val="18"/>
      </w:rPr>
    </w:lvl>
    <w:lvl w:ilvl="3">
      <w:start w:val="1"/>
      <w:numFmt w:val="decimal"/>
      <w:pStyle w:val="H4-NOTTOC"/>
      <w:suff w:val="space"/>
      <w:lvlText w:val="%1.%2.%3.%4"/>
      <w:lvlJc w:val="left"/>
      <w:pPr>
        <w:ind w:left="0" w:firstLine="0"/>
      </w:pPr>
      <w:rPr>
        <w:rFonts w:ascii="Verdana" w:hAnsi="Verdana" w:hint="default"/>
        <w:b w:val="0"/>
        <w:i w:val="0"/>
        <w:color w:val="auto"/>
        <w:sz w:val="18"/>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12" w15:restartNumberingAfterBreak="0">
    <w:nsid w:val="65390C94"/>
    <w:multiLevelType w:val="hybridMultilevel"/>
    <w:tmpl w:val="00E6B752"/>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13" w15:restartNumberingAfterBreak="0">
    <w:nsid w:val="7E20588C"/>
    <w:multiLevelType w:val="multilevel"/>
    <w:tmpl w:val="F1EA2C2E"/>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14" w15:restartNumberingAfterBreak="0">
    <w:nsid w:val="7FB354B8"/>
    <w:multiLevelType w:val="multilevel"/>
    <w:tmpl w:val="B52AAC72"/>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25644482">
    <w:abstractNumId w:val="11"/>
  </w:num>
  <w:num w:numId="2" w16cid:durableId="1205021078">
    <w:abstractNumId w:val="8"/>
  </w:num>
  <w:num w:numId="3" w16cid:durableId="522015526">
    <w:abstractNumId w:val="14"/>
  </w:num>
  <w:num w:numId="4" w16cid:durableId="639001854">
    <w:abstractNumId w:val="7"/>
  </w:num>
  <w:num w:numId="5" w16cid:durableId="877857891">
    <w:abstractNumId w:val="6"/>
  </w:num>
  <w:num w:numId="6" w16cid:durableId="1450007267">
    <w:abstractNumId w:val="5"/>
  </w:num>
  <w:num w:numId="7" w16cid:durableId="313991465">
    <w:abstractNumId w:val="4"/>
  </w:num>
  <w:num w:numId="8" w16cid:durableId="1712224518">
    <w:abstractNumId w:val="13"/>
  </w:num>
  <w:num w:numId="9" w16cid:durableId="652562637">
    <w:abstractNumId w:val="3"/>
  </w:num>
  <w:num w:numId="10" w16cid:durableId="422260272">
    <w:abstractNumId w:val="2"/>
  </w:num>
  <w:num w:numId="11" w16cid:durableId="898321517">
    <w:abstractNumId w:val="1"/>
  </w:num>
  <w:num w:numId="12" w16cid:durableId="678585821">
    <w:abstractNumId w:val="0"/>
  </w:num>
  <w:num w:numId="13" w16cid:durableId="449056615">
    <w:abstractNumId w:val="12"/>
  </w:num>
  <w:num w:numId="14" w16cid:durableId="775366498">
    <w:abstractNumId w:val="9"/>
  </w:num>
  <w:num w:numId="15" w16cid:durableId="2144535365">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66"/>
    <w:rsid w:val="00000F4B"/>
    <w:rsid w:val="00001BF9"/>
    <w:rsid w:val="00002019"/>
    <w:rsid w:val="00002383"/>
    <w:rsid w:val="000023F8"/>
    <w:rsid w:val="000026E3"/>
    <w:rsid w:val="00002869"/>
    <w:rsid w:val="00002EDA"/>
    <w:rsid w:val="00003175"/>
    <w:rsid w:val="00003A0C"/>
    <w:rsid w:val="00003B68"/>
    <w:rsid w:val="00004865"/>
    <w:rsid w:val="00005318"/>
    <w:rsid w:val="0000565D"/>
    <w:rsid w:val="00005CA2"/>
    <w:rsid w:val="00006015"/>
    <w:rsid w:val="00006719"/>
    <w:rsid w:val="0000694B"/>
    <w:rsid w:val="00007E2A"/>
    <w:rsid w:val="000101EC"/>
    <w:rsid w:val="00010804"/>
    <w:rsid w:val="0001088B"/>
    <w:rsid w:val="00011291"/>
    <w:rsid w:val="000117D6"/>
    <w:rsid w:val="00011B5D"/>
    <w:rsid w:val="00011EC0"/>
    <w:rsid w:val="00012259"/>
    <w:rsid w:val="0001265E"/>
    <w:rsid w:val="0001306E"/>
    <w:rsid w:val="00014DB7"/>
    <w:rsid w:val="00014E8D"/>
    <w:rsid w:val="00014FD3"/>
    <w:rsid w:val="000150A8"/>
    <w:rsid w:val="000162D0"/>
    <w:rsid w:val="00016958"/>
    <w:rsid w:val="00016AD9"/>
    <w:rsid w:val="00016D91"/>
    <w:rsid w:val="00016DBD"/>
    <w:rsid w:val="000174AB"/>
    <w:rsid w:val="000177C4"/>
    <w:rsid w:val="000178B0"/>
    <w:rsid w:val="00017967"/>
    <w:rsid w:val="000179E8"/>
    <w:rsid w:val="00017AF0"/>
    <w:rsid w:val="00017BC5"/>
    <w:rsid w:val="00020124"/>
    <w:rsid w:val="000206BC"/>
    <w:rsid w:val="000212EB"/>
    <w:rsid w:val="000216CC"/>
    <w:rsid w:val="000221FC"/>
    <w:rsid w:val="00022442"/>
    <w:rsid w:val="00022B80"/>
    <w:rsid w:val="00022BAC"/>
    <w:rsid w:val="00023269"/>
    <w:rsid w:val="00023EDA"/>
    <w:rsid w:val="00024059"/>
    <w:rsid w:val="00024833"/>
    <w:rsid w:val="00024BDD"/>
    <w:rsid w:val="00025411"/>
    <w:rsid w:val="00025683"/>
    <w:rsid w:val="0002587F"/>
    <w:rsid w:val="00025B0D"/>
    <w:rsid w:val="000266E4"/>
    <w:rsid w:val="00026756"/>
    <w:rsid w:val="00027189"/>
    <w:rsid w:val="000275D6"/>
    <w:rsid w:val="00027911"/>
    <w:rsid w:val="0002796A"/>
    <w:rsid w:val="000305CC"/>
    <w:rsid w:val="00032498"/>
    <w:rsid w:val="00032B7D"/>
    <w:rsid w:val="00033451"/>
    <w:rsid w:val="00034046"/>
    <w:rsid w:val="00034181"/>
    <w:rsid w:val="00034247"/>
    <w:rsid w:val="000354F4"/>
    <w:rsid w:val="000360C6"/>
    <w:rsid w:val="00036754"/>
    <w:rsid w:val="00036861"/>
    <w:rsid w:val="0003686F"/>
    <w:rsid w:val="00036D38"/>
    <w:rsid w:val="000408D6"/>
    <w:rsid w:val="0004102A"/>
    <w:rsid w:val="00041683"/>
    <w:rsid w:val="00041B19"/>
    <w:rsid w:val="00041B76"/>
    <w:rsid w:val="00042393"/>
    <w:rsid w:val="00042E64"/>
    <w:rsid w:val="0004321D"/>
    <w:rsid w:val="000439ED"/>
    <w:rsid w:val="00043DCE"/>
    <w:rsid w:val="000444C9"/>
    <w:rsid w:val="0004498F"/>
    <w:rsid w:val="00044A18"/>
    <w:rsid w:val="00045C01"/>
    <w:rsid w:val="000473E6"/>
    <w:rsid w:val="00047667"/>
    <w:rsid w:val="00047F19"/>
    <w:rsid w:val="00050582"/>
    <w:rsid w:val="00050588"/>
    <w:rsid w:val="00050A13"/>
    <w:rsid w:val="00050E33"/>
    <w:rsid w:val="00051AE8"/>
    <w:rsid w:val="00051D7B"/>
    <w:rsid w:val="000532BF"/>
    <w:rsid w:val="0005351C"/>
    <w:rsid w:val="00053AE3"/>
    <w:rsid w:val="00053E7C"/>
    <w:rsid w:val="000542D2"/>
    <w:rsid w:val="00054910"/>
    <w:rsid w:val="00054B8D"/>
    <w:rsid w:val="00054F6C"/>
    <w:rsid w:val="000550A3"/>
    <w:rsid w:val="000557F2"/>
    <w:rsid w:val="000559DC"/>
    <w:rsid w:val="000567EE"/>
    <w:rsid w:val="0005683E"/>
    <w:rsid w:val="00057093"/>
    <w:rsid w:val="000571B0"/>
    <w:rsid w:val="000572BC"/>
    <w:rsid w:val="00057D86"/>
    <w:rsid w:val="00057E5D"/>
    <w:rsid w:val="00057F31"/>
    <w:rsid w:val="00060946"/>
    <w:rsid w:val="00061C3B"/>
    <w:rsid w:val="00061C92"/>
    <w:rsid w:val="00062A2B"/>
    <w:rsid w:val="00062A9B"/>
    <w:rsid w:val="00062E65"/>
    <w:rsid w:val="00063530"/>
    <w:rsid w:val="00063798"/>
    <w:rsid w:val="00063E48"/>
    <w:rsid w:val="00064226"/>
    <w:rsid w:val="000642B5"/>
    <w:rsid w:val="000644F0"/>
    <w:rsid w:val="0006492C"/>
    <w:rsid w:val="00064938"/>
    <w:rsid w:val="00064BDC"/>
    <w:rsid w:val="0006515B"/>
    <w:rsid w:val="00065C32"/>
    <w:rsid w:val="00065C3C"/>
    <w:rsid w:val="0006626D"/>
    <w:rsid w:val="00066424"/>
    <w:rsid w:val="00066591"/>
    <w:rsid w:val="00066747"/>
    <w:rsid w:val="00066BDA"/>
    <w:rsid w:val="00066E5C"/>
    <w:rsid w:val="00067B64"/>
    <w:rsid w:val="000713F6"/>
    <w:rsid w:val="00071497"/>
    <w:rsid w:val="0007167E"/>
    <w:rsid w:val="00071A87"/>
    <w:rsid w:val="0007237C"/>
    <w:rsid w:val="000731B3"/>
    <w:rsid w:val="00073EF9"/>
    <w:rsid w:val="000741C3"/>
    <w:rsid w:val="00074ABE"/>
    <w:rsid w:val="00075228"/>
    <w:rsid w:val="000752BA"/>
    <w:rsid w:val="00075388"/>
    <w:rsid w:val="00075452"/>
    <w:rsid w:val="00075596"/>
    <w:rsid w:val="00076780"/>
    <w:rsid w:val="00076D04"/>
    <w:rsid w:val="00077C1A"/>
    <w:rsid w:val="00077E97"/>
    <w:rsid w:val="000802F7"/>
    <w:rsid w:val="00080E23"/>
    <w:rsid w:val="00081679"/>
    <w:rsid w:val="00081827"/>
    <w:rsid w:val="00081DE3"/>
    <w:rsid w:val="0008223F"/>
    <w:rsid w:val="00082A0A"/>
    <w:rsid w:val="00082A0C"/>
    <w:rsid w:val="00083566"/>
    <w:rsid w:val="00083780"/>
    <w:rsid w:val="000839E4"/>
    <w:rsid w:val="00083D17"/>
    <w:rsid w:val="00084285"/>
    <w:rsid w:val="00084A93"/>
    <w:rsid w:val="00084AB9"/>
    <w:rsid w:val="00084D74"/>
    <w:rsid w:val="00085060"/>
    <w:rsid w:val="000854C0"/>
    <w:rsid w:val="00085FB4"/>
    <w:rsid w:val="0008683E"/>
    <w:rsid w:val="00086990"/>
    <w:rsid w:val="00086BA6"/>
    <w:rsid w:val="00086D33"/>
    <w:rsid w:val="00087A73"/>
    <w:rsid w:val="00087ED9"/>
    <w:rsid w:val="00090843"/>
    <w:rsid w:val="0009128C"/>
    <w:rsid w:val="0009272F"/>
    <w:rsid w:val="00092C74"/>
    <w:rsid w:val="00093537"/>
    <w:rsid w:val="0009353C"/>
    <w:rsid w:val="000937A1"/>
    <w:rsid w:val="00093AEE"/>
    <w:rsid w:val="00093AFD"/>
    <w:rsid w:val="000944D6"/>
    <w:rsid w:val="000948AF"/>
    <w:rsid w:val="00094A0E"/>
    <w:rsid w:val="00094ABD"/>
    <w:rsid w:val="00095648"/>
    <w:rsid w:val="00095AAD"/>
    <w:rsid w:val="00095B44"/>
    <w:rsid w:val="00096A5E"/>
    <w:rsid w:val="00096E8A"/>
    <w:rsid w:val="00096FA0"/>
    <w:rsid w:val="0009730F"/>
    <w:rsid w:val="0009750A"/>
    <w:rsid w:val="00097CEF"/>
    <w:rsid w:val="000A0BED"/>
    <w:rsid w:val="000A0DC3"/>
    <w:rsid w:val="000A142E"/>
    <w:rsid w:val="000A1547"/>
    <w:rsid w:val="000A1894"/>
    <w:rsid w:val="000A1A2D"/>
    <w:rsid w:val="000A20F7"/>
    <w:rsid w:val="000A2AB5"/>
    <w:rsid w:val="000A2D9D"/>
    <w:rsid w:val="000A39C0"/>
    <w:rsid w:val="000A4502"/>
    <w:rsid w:val="000A492D"/>
    <w:rsid w:val="000A5F02"/>
    <w:rsid w:val="000A67CB"/>
    <w:rsid w:val="000A6846"/>
    <w:rsid w:val="000A68D1"/>
    <w:rsid w:val="000A69BC"/>
    <w:rsid w:val="000A775F"/>
    <w:rsid w:val="000A7969"/>
    <w:rsid w:val="000A7CA6"/>
    <w:rsid w:val="000B020B"/>
    <w:rsid w:val="000B06E4"/>
    <w:rsid w:val="000B13A7"/>
    <w:rsid w:val="000B2421"/>
    <w:rsid w:val="000B287B"/>
    <w:rsid w:val="000B2E75"/>
    <w:rsid w:val="000B3CAD"/>
    <w:rsid w:val="000B3FEE"/>
    <w:rsid w:val="000B4E56"/>
    <w:rsid w:val="000B4E9D"/>
    <w:rsid w:val="000B4FE1"/>
    <w:rsid w:val="000B58E9"/>
    <w:rsid w:val="000B5E9B"/>
    <w:rsid w:val="000B6D60"/>
    <w:rsid w:val="000B7619"/>
    <w:rsid w:val="000B7BC1"/>
    <w:rsid w:val="000B7E47"/>
    <w:rsid w:val="000C02B4"/>
    <w:rsid w:val="000C05A4"/>
    <w:rsid w:val="000C0EE8"/>
    <w:rsid w:val="000C15B8"/>
    <w:rsid w:val="000C170D"/>
    <w:rsid w:val="000C21E7"/>
    <w:rsid w:val="000C2358"/>
    <w:rsid w:val="000C2378"/>
    <w:rsid w:val="000C362B"/>
    <w:rsid w:val="000C3BE7"/>
    <w:rsid w:val="000C3F99"/>
    <w:rsid w:val="000C50A0"/>
    <w:rsid w:val="000C51B6"/>
    <w:rsid w:val="000C6A96"/>
    <w:rsid w:val="000C6E56"/>
    <w:rsid w:val="000C76CC"/>
    <w:rsid w:val="000D0AD1"/>
    <w:rsid w:val="000D0F78"/>
    <w:rsid w:val="000D2738"/>
    <w:rsid w:val="000D40C9"/>
    <w:rsid w:val="000D4E53"/>
    <w:rsid w:val="000D4E9C"/>
    <w:rsid w:val="000D5085"/>
    <w:rsid w:val="000D5465"/>
    <w:rsid w:val="000D566B"/>
    <w:rsid w:val="000D56D8"/>
    <w:rsid w:val="000D5A7D"/>
    <w:rsid w:val="000D6329"/>
    <w:rsid w:val="000D634C"/>
    <w:rsid w:val="000D64FB"/>
    <w:rsid w:val="000D6509"/>
    <w:rsid w:val="000D683D"/>
    <w:rsid w:val="000D6E4E"/>
    <w:rsid w:val="000D6FC8"/>
    <w:rsid w:val="000D71B5"/>
    <w:rsid w:val="000D72EF"/>
    <w:rsid w:val="000D77AD"/>
    <w:rsid w:val="000E00CD"/>
    <w:rsid w:val="000E07B0"/>
    <w:rsid w:val="000E0E8B"/>
    <w:rsid w:val="000E1190"/>
    <w:rsid w:val="000E13BE"/>
    <w:rsid w:val="000E13D8"/>
    <w:rsid w:val="000E19AB"/>
    <w:rsid w:val="000E258B"/>
    <w:rsid w:val="000E284A"/>
    <w:rsid w:val="000E295D"/>
    <w:rsid w:val="000E2AAD"/>
    <w:rsid w:val="000E2D04"/>
    <w:rsid w:val="000E3763"/>
    <w:rsid w:val="000E39C2"/>
    <w:rsid w:val="000E3E6D"/>
    <w:rsid w:val="000E3F44"/>
    <w:rsid w:val="000E40B3"/>
    <w:rsid w:val="000E4D32"/>
    <w:rsid w:val="000E50EF"/>
    <w:rsid w:val="000E5D25"/>
    <w:rsid w:val="000E6791"/>
    <w:rsid w:val="000E694D"/>
    <w:rsid w:val="000E73B7"/>
    <w:rsid w:val="000E75F6"/>
    <w:rsid w:val="000E7C59"/>
    <w:rsid w:val="000F0BCB"/>
    <w:rsid w:val="000F119B"/>
    <w:rsid w:val="000F1247"/>
    <w:rsid w:val="000F1B17"/>
    <w:rsid w:val="000F1D86"/>
    <w:rsid w:val="000F22C7"/>
    <w:rsid w:val="000F22CD"/>
    <w:rsid w:val="000F27DE"/>
    <w:rsid w:val="000F37CE"/>
    <w:rsid w:val="000F3FF4"/>
    <w:rsid w:val="000F4E10"/>
    <w:rsid w:val="000F4EE1"/>
    <w:rsid w:val="000F556D"/>
    <w:rsid w:val="000F5CF1"/>
    <w:rsid w:val="000F6497"/>
    <w:rsid w:val="000F65D1"/>
    <w:rsid w:val="000F685F"/>
    <w:rsid w:val="000F6A0C"/>
    <w:rsid w:val="000F6A42"/>
    <w:rsid w:val="000F716D"/>
    <w:rsid w:val="000F774E"/>
    <w:rsid w:val="001006BD"/>
    <w:rsid w:val="001008D0"/>
    <w:rsid w:val="001009D3"/>
    <w:rsid w:val="0010113F"/>
    <w:rsid w:val="0010125E"/>
    <w:rsid w:val="001016DB"/>
    <w:rsid w:val="00101B29"/>
    <w:rsid w:val="00101E69"/>
    <w:rsid w:val="00101FBD"/>
    <w:rsid w:val="0010215A"/>
    <w:rsid w:val="00102743"/>
    <w:rsid w:val="0010284B"/>
    <w:rsid w:val="001035B6"/>
    <w:rsid w:val="0010362B"/>
    <w:rsid w:val="00103957"/>
    <w:rsid w:val="00103A8E"/>
    <w:rsid w:val="00103E3F"/>
    <w:rsid w:val="00103F0B"/>
    <w:rsid w:val="001043A6"/>
    <w:rsid w:val="00104989"/>
    <w:rsid w:val="00104B4E"/>
    <w:rsid w:val="00104C79"/>
    <w:rsid w:val="00104CA9"/>
    <w:rsid w:val="001056CD"/>
    <w:rsid w:val="00105CA7"/>
    <w:rsid w:val="00106B3D"/>
    <w:rsid w:val="001072F3"/>
    <w:rsid w:val="00107B56"/>
    <w:rsid w:val="00107C80"/>
    <w:rsid w:val="00107E90"/>
    <w:rsid w:val="0011040B"/>
    <w:rsid w:val="00112EDD"/>
    <w:rsid w:val="00113390"/>
    <w:rsid w:val="00113A47"/>
    <w:rsid w:val="00113FC2"/>
    <w:rsid w:val="001144FA"/>
    <w:rsid w:val="001145FD"/>
    <w:rsid w:val="001149A1"/>
    <w:rsid w:val="00114EF2"/>
    <w:rsid w:val="0011527A"/>
    <w:rsid w:val="001159A4"/>
    <w:rsid w:val="0011633B"/>
    <w:rsid w:val="00116C0F"/>
    <w:rsid w:val="00117DFE"/>
    <w:rsid w:val="001203F6"/>
    <w:rsid w:val="001207E0"/>
    <w:rsid w:val="00121A0C"/>
    <w:rsid w:val="00122459"/>
    <w:rsid w:val="00122A44"/>
    <w:rsid w:val="00122A6E"/>
    <w:rsid w:val="00122B3D"/>
    <w:rsid w:val="00122C6A"/>
    <w:rsid w:val="00122F31"/>
    <w:rsid w:val="00123154"/>
    <w:rsid w:val="001235C2"/>
    <w:rsid w:val="001250DC"/>
    <w:rsid w:val="001251C9"/>
    <w:rsid w:val="0012534C"/>
    <w:rsid w:val="0012574E"/>
    <w:rsid w:val="00125F09"/>
    <w:rsid w:val="0012689E"/>
    <w:rsid w:val="001269B4"/>
    <w:rsid w:val="00126D44"/>
    <w:rsid w:val="001275F8"/>
    <w:rsid w:val="00130A06"/>
    <w:rsid w:val="00130AC0"/>
    <w:rsid w:val="00130E3D"/>
    <w:rsid w:val="00130F67"/>
    <w:rsid w:val="00131DB6"/>
    <w:rsid w:val="001323E0"/>
    <w:rsid w:val="0013244F"/>
    <w:rsid w:val="00132CCC"/>
    <w:rsid w:val="00132D45"/>
    <w:rsid w:val="00132EAE"/>
    <w:rsid w:val="00133115"/>
    <w:rsid w:val="001333AE"/>
    <w:rsid w:val="001338CB"/>
    <w:rsid w:val="0013403A"/>
    <w:rsid w:val="001344B2"/>
    <w:rsid w:val="00134AD2"/>
    <w:rsid w:val="00134B61"/>
    <w:rsid w:val="00134F89"/>
    <w:rsid w:val="00135DF2"/>
    <w:rsid w:val="0013628F"/>
    <w:rsid w:val="00137898"/>
    <w:rsid w:val="00137BCA"/>
    <w:rsid w:val="001402E7"/>
    <w:rsid w:val="00140356"/>
    <w:rsid w:val="001407A2"/>
    <w:rsid w:val="00140967"/>
    <w:rsid w:val="00140B33"/>
    <w:rsid w:val="00140E1F"/>
    <w:rsid w:val="001412B5"/>
    <w:rsid w:val="0014191D"/>
    <w:rsid w:val="00141CF4"/>
    <w:rsid w:val="0014228A"/>
    <w:rsid w:val="00142D64"/>
    <w:rsid w:val="00142ED0"/>
    <w:rsid w:val="00142F21"/>
    <w:rsid w:val="001433B0"/>
    <w:rsid w:val="0014345B"/>
    <w:rsid w:val="001437C0"/>
    <w:rsid w:val="0014451A"/>
    <w:rsid w:val="001447F2"/>
    <w:rsid w:val="0014537A"/>
    <w:rsid w:val="001453FA"/>
    <w:rsid w:val="00145544"/>
    <w:rsid w:val="00145F49"/>
    <w:rsid w:val="00146903"/>
    <w:rsid w:val="00146EAD"/>
    <w:rsid w:val="00146F1E"/>
    <w:rsid w:val="00147140"/>
    <w:rsid w:val="00147BF1"/>
    <w:rsid w:val="001501FB"/>
    <w:rsid w:val="001502DF"/>
    <w:rsid w:val="00150678"/>
    <w:rsid w:val="001527B3"/>
    <w:rsid w:val="001529BD"/>
    <w:rsid w:val="001533E7"/>
    <w:rsid w:val="0015375C"/>
    <w:rsid w:val="001538B3"/>
    <w:rsid w:val="00153B18"/>
    <w:rsid w:val="0015482E"/>
    <w:rsid w:val="001551EE"/>
    <w:rsid w:val="00155E97"/>
    <w:rsid w:val="001562D8"/>
    <w:rsid w:val="00156BA2"/>
    <w:rsid w:val="00156CD2"/>
    <w:rsid w:val="00157359"/>
    <w:rsid w:val="00157E67"/>
    <w:rsid w:val="00160733"/>
    <w:rsid w:val="001610BB"/>
    <w:rsid w:val="00161FD6"/>
    <w:rsid w:val="0016209C"/>
    <w:rsid w:val="001627F7"/>
    <w:rsid w:val="00163516"/>
    <w:rsid w:val="00164251"/>
    <w:rsid w:val="0016490E"/>
    <w:rsid w:val="0016507B"/>
    <w:rsid w:val="00165172"/>
    <w:rsid w:val="00165B31"/>
    <w:rsid w:val="00165CED"/>
    <w:rsid w:val="00165E26"/>
    <w:rsid w:val="00166654"/>
    <w:rsid w:val="00166676"/>
    <w:rsid w:val="00166E8D"/>
    <w:rsid w:val="001673CD"/>
    <w:rsid w:val="00167775"/>
    <w:rsid w:val="00167E65"/>
    <w:rsid w:val="00171484"/>
    <w:rsid w:val="001714CC"/>
    <w:rsid w:val="0017191F"/>
    <w:rsid w:val="001720CC"/>
    <w:rsid w:val="00172B1A"/>
    <w:rsid w:val="00172C70"/>
    <w:rsid w:val="00172E92"/>
    <w:rsid w:val="00173217"/>
    <w:rsid w:val="00173BDB"/>
    <w:rsid w:val="00173DE1"/>
    <w:rsid w:val="00173E96"/>
    <w:rsid w:val="001743C6"/>
    <w:rsid w:val="001745D3"/>
    <w:rsid w:val="00174EEF"/>
    <w:rsid w:val="0017505D"/>
    <w:rsid w:val="00175A1A"/>
    <w:rsid w:val="00177201"/>
    <w:rsid w:val="0018007F"/>
    <w:rsid w:val="00180A24"/>
    <w:rsid w:val="00180E51"/>
    <w:rsid w:val="00181134"/>
    <w:rsid w:val="00181556"/>
    <w:rsid w:val="001818F6"/>
    <w:rsid w:val="00181AC6"/>
    <w:rsid w:val="00181B3E"/>
    <w:rsid w:val="00181D89"/>
    <w:rsid w:val="00182212"/>
    <w:rsid w:val="00182651"/>
    <w:rsid w:val="00182FD9"/>
    <w:rsid w:val="00183470"/>
    <w:rsid w:val="00183DE7"/>
    <w:rsid w:val="00184221"/>
    <w:rsid w:val="001846C3"/>
    <w:rsid w:val="001848F7"/>
    <w:rsid w:val="001849D8"/>
    <w:rsid w:val="00185EC2"/>
    <w:rsid w:val="001870D4"/>
    <w:rsid w:val="00187607"/>
    <w:rsid w:val="0019034B"/>
    <w:rsid w:val="001908BB"/>
    <w:rsid w:val="00190D69"/>
    <w:rsid w:val="00191239"/>
    <w:rsid w:val="00191DA9"/>
    <w:rsid w:val="00191FA2"/>
    <w:rsid w:val="0019264E"/>
    <w:rsid w:val="00193076"/>
    <w:rsid w:val="00194114"/>
    <w:rsid w:val="00194EA3"/>
    <w:rsid w:val="00195045"/>
    <w:rsid w:val="0019563E"/>
    <w:rsid w:val="00196218"/>
    <w:rsid w:val="001968CD"/>
    <w:rsid w:val="00196A5E"/>
    <w:rsid w:val="00196CC6"/>
    <w:rsid w:val="00197147"/>
    <w:rsid w:val="00197792"/>
    <w:rsid w:val="00197C80"/>
    <w:rsid w:val="00197D3F"/>
    <w:rsid w:val="001A0936"/>
    <w:rsid w:val="001A0FF0"/>
    <w:rsid w:val="001A18E5"/>
    <w:rsid w:val="001A19E5"/>
    <w:rsid w:val="001A22AD"/>
    <w:rsid w:val="001A26E5"/>
    <w:rsid w:val="001A377E"/>
    <w:rsid w:val="001A3C4A"/>
    <w:rsid w:val="001A4148"/>
    <w:rsid w:val="001A43CE"/>
    <w:rsid w:val="001A46BA"/>
    <w:rsid w:val="001A5023"/>
    <w:rsid w:val="001A5131"/>
    <w:rsid w:val="001A5694"/>
    <w:rsid w:val="001A5EFF"/>
    <w:rsid w:val="001A61FD"/>
    <w:rsid w:val="001A622A"/>
    <w:rsid w:val="001A63F5"/>
    <w:rsid w:val="001A6577"/>
    <w:rsid w:val="001A73EC"/>
    <w:rsid w:val="001A792B"/>
    <w:rsid w:val="001B0334"/>
    <w:rsid w:val="001B0531"/>
    <w:rsid w:val="001B053E"/>
    <w:rsid w:val="001B09A2"/>
    <w:rsid w:val="001B1099"/>
    <w:rsid w:val="001B17FD"/>
    <w:rsid w:val="001B1B64"/>
    <w:rsid w:val="001B20AF"/>
    <w:rsid w:val="001B2341"/>
    <w:rsid w:val="001B2688"/>
    <w:rsid w:val="001B28F6"/>
    <w:rsid w:val="001B323E"/>
    <w:rsid w:val="001B3332"/>
    <w:rsid w:val="001B36F6"/>
    <w:rsid w:val="001B3960"/>
    <w:rsid w:val="001B3B20"/>
    <w:rsid w:val="001B4AE7"/>
    <w:rsid w:val="001B622B"/>
    <w:rsid w:val="001B6CF4"/>
    <w:rsid w:val="001B7F09"/>
    <w:rsid w:val="001C0044"/>
    <w:rsid w:val="001C0C66"/>
    <w:rsid w:val="001C1290"/>
    <w:rsid w:val="001C168A"/>
    <w:rsid w:val="001C2147"/>
    <w:rsid w:val="001C2F81"/>
    <w:rsid w:val="001C3EF4"/>
    <w:rsid w:val="001C4240"/>
    <w:rsid w:val="001C4618"/>
    <w:rsid w:val="001C489D"/>
    <w:rsid w:val="001C54C8"/>
    <w:rsid w:val="001C5DBD"/>
    <w:rsid w:val="001C5F36"/>
    <w:rsid w:val="001C5FFF"/>
    <w:rsid w:val="001C6235"/>
    <w:rsid w:val="001C7E26"/>
    <w:rsid w:val="001D0686"/>
    <w:rsid w:val="001D161E"/>
    <w:rsid w:val="001D1A38"/>
    <w:rsid w:val="001D328D"/>
    <w:rsid w:val="001D32FE"/>
    <w:rsid w:val="001D3583"/>
    <w:rsid w:val="001D3917"/>
    <w:rsid w:val="001D4507"/>
    <w:rsid w:val="001D4947"/>
    <w:rsid w:val="001D5BB5"/>
    <w:rsid w:val="001D651F"/>
    <w:rsid w:val="001D78C4"/>
    <w:rsid w:val="001D7A18"/>
    <w:rsid w:val="001E07C3"/>
    <w:rsid w:val="001E09E4"/>
    <w:rsid w:val="001E0C42"/>
    <w:rsid w:val="001E0DEF"/>
    <w:rsid w:val="001E1303"/>
    <w:rsid w:val="001E1890"/>
    <w:rsid w:val="001E1B37"/>
    <w:rsid w:val="001E292A"/>
    <w:rsid w:val="001E3272"/>
    <w:rsid w:val="001E3DD3"/>
    <w:rsid w:val="001E3DEA"/>
    <w:rsid w:val="001E416B"/>
    <w:rsid w:val="001E44DF"/>
    <w:rsid w:val="001E4788"/>
    <w:rsid w:val="001E50C3"/>
    <w:rsid w:val="001E6781"/>
    <w:rsid w:val="001E71BC"/>
    <w:rsid w:val="001E7260"/>
    <w:rsid w:val="001E740C"/>
    <w:rsid w:val="001E7B2B"/>
    <w:rsid w:val="001E7BBE"/>
    <w:rsid w:val="001F093A"/>
    <w:rsid w:val="001F0B3D"/>
    <w:rsid w:val="001F12B0"/>
    <w:rsid w:val="001F139C"/>
    <w:rsid w:val="001F1859"/>
    <w:rsid w:val="001F1D6E"/>
    <w:rsid w:val="001F245F"/>
    <w:rsid w:val="001F2A78"/>
    <w:rsid w:val="001F2BD5"/>
    <w:rsid w:val="001F350D"/>
    <w:rsid w:val="001F3C90"/>
    <w:rsid w:val="001F463A"/>
    <w:rsid w:val="001F477C"/>
    <w:rsid w:val="001F4888"/>
    <w:rsid w:val="001F50CC"/>
    <w:rsid w:val="001F54CC"/>
    <w:rsid w:val="001F59AA"/>
    <w:rsid w:val="001F5A05"/>
    <w:rsid w:val="001F7511"/>
    <w:rsid w:val="001F7909"/>
    <w:rsid w:val="001F7A89"/>
    <w:rsid w:val="001F7CF1"/>
    <w:rsid w:val="00200046"/>
    <w:rsid w:val="00200077"/>
    <w:rsid w:val="0020052F"/>
    <w:rsid w:val="00201638"/>
    <w:rsid w:val="00201713"/>
    <w:rsid w:val="00201780"/>
    <w:rsid w:val="00204160"/>
    <w:rsid w:val="0020426C"/>
    <w:rsid w:val="00205A43"/>
    <w:rsid w:val="00205AC9"/>
    <w:rsid w:val="00205F89"/>
    <w:rsid w:val="0020656A"/>
    <w:rsid w:val="00206730"/>
    <w:rsid w:val="00206E8F"/>
    <w:rsid w:val="00206EC3"/>
    <w:rsid w:val="00206EF3"/>
    <w:rsid w:val="0020747B"/>
    <w:rsid w:val="00207DCF"/>
    <w:rsid w:val="00207F12"/>
    <w:rsid w:val="00207F3C"/>
    <w:rsid w:val="00211082"/>
    <w:rsid w:val="00211723"/>
    <w:rsid w:val="002132EE"/>
    <w:rsid w:val="0021395A"/>
    <w:rsid w:val="00214335"/>
    <w:rsid w:val="00214468"/>
    <w:rsid w:val="00214642"/>
    <w:rsid w:val="002156A6"/>
    <w:rsid w:val="0021644B"/>
    <w:rsid w:val="002164C1"/>
    <w:rsid w:val="002167E9"/>
    <w:rsid w:val="00216988"/>
    <w:rsid w:val="00216E67"/>
    <w:rsid w:val="002170DE"/>
    <w:rsid w:val="0021735E"/>
    <w:rsid w:val="00217446"/>
    <w:rsid w:val="002176E5"/>
    <w:rsid w:val="00220379"/>
    <w:rsid w:val="00221023"/>
    <w:rsid w:val="0022110C"/>
    <w:rsid w:val="0022226C"/>
    <w:rsid w:val="00222799"/>
    <w:rsid w:val="00222DAA"/>
    <w:rsid w:val="00223163"/>
    <w:rsid w:val="00223B95"/>
    <w:rsid w:val="00224435"/>
    <w:rsid w:val="00224AAC"/>
    <w:rsid w:val="00224B6E"/>
    <w:rsid w:val="00224C64"/>
    <w:rsid w:val="00226622"/>
    <w:rsid w:val="00227213"/>
    <w:rsid w:val="00227296"/>
    <w:rsid w:val="002308BB"/>
    <w:rsid w:val="00230A53"/>
    <w:rsid w:val="002314A9"/>
    <w:rsid w:val="00231974"/>
    <w:rsid w:val="002319F3"/>
    <w:rsid w:val="00231A6B"/>
    <w:rsid w:val="00231F82"/>
    <w:rsid w:val="002323C4"/>
    <w:rsid w:val="00232EC9"/>
    <w:rsid w:val="00233198"/>
    <w:rsid w:val="002336B6"/>
    <w:rsid w:val="0023431D"/>
    <w:rsid w:val="0023461C"/>
    <w:rsid w:val="00234762"/>
    <w:rsid w:val="00234B95"/>
    <w:rsid w:val="00234FEB"/>
    <w:rsid w:val="002352C6"/>
    <w:rsid w:val="00235F64"/>
    <w:rsid w:val="002360DD"/>
    <w:rsid w:val="00236307"/>
    <w:rsid w:val="00236357"/>
    <w:rsid w:val="00236383"/>
    <w:rsid w:val="0023683B"/>
    <w:rsid w:val="002378C5"/>
    <w:rsid w:val="00237976"/>
    <w:rsid w:val="00240825"/>
    <w:rsid w:val="00240D99"/>
    <w:rsid w:val="00240E83"/>
    <w:rsid w:val="00241411"/>
    <w:rsid w:val="002415B7"/>
    <w:rsid w:val="00241C7E"/>
    <w:rsid w:val="00242830"/>
    <w:rsid w:val="00242A6E"/>
    <w:rsid w:val="00243DE5"/>
    <w:rsid w:val="002445BD"/>
    <w:rsid w:val="002449BB"/>
    <w:rsid w:val="00244D70"/>
    <w:rsid w:val="00245BF8"/>
    <w:rsid w:val="00245C61"/>
    <w:rsid w:val="00245DDF"/>
    <w:rsid w:val="00246B28"/>
    <w:rsid w:val="002476FF"/>
    <w:rsid w:val="00247B28"/>
    <w:rsid w:val="00250237"/>
    <w:rsid w:val="002516A8"/>
    <w:rsid w:val="00251722"/>
    <w:rsid w:val="002518D1"/>
    <w:rsid w:val="00251B4D"/>
    <w:rsid w:val="0025216A"/>
    <w:rsid w:val="00252C37"/>
    <w:rsid w:val="002537E4"/>
    <w:rsid w:val="00253CCD"/>
    <w:rsid w:val="002542A8"/>
    <w:rsid w:val="00254C41"/>
    <w:rsid w:val="002550B8"/>
    <w:rsid w:val="002551D1"/>
    <w:rsid w:val="00255ADB"/>
    <w:rsid w:val="002572AB"/>
    <w:rsid w:val="00257602"/>
    <w:rsid w:val="002603A1"/>
    <w:rsid w:val="002603E0"/>
    <w:rsid w:val="002605A8"/>
    <w:rsid w:val="00261211"/>
    <w:rsid w:val="002613C9"/>
    <w:rsid w:val="00261E9A"/>
    <w:rsid w:val="00261FC8"/>
    <w:rsid w:val="002620FC"/>
    <w:rsid w:val="00262315"/>
    <w:rsid w:val="00262407"/>
    <w:rsid w:val="00262E3A"/>
    <w:rsid w:val="002634FE"/>
    <w:rsid w:val="00263606"/>
    <w:rsid w:val="0026408D"/>
    <w:rsid w:val="0026449E"/>
    <w:rsid w:val="00264638"/>
    <w:rsid w:val="00264744"/>
    <w:rsid w:val="0026487B"/>
    <w:rsid w:val="00264F4E"/>
    <w:rsid w:val="00265D25"/>
    <w:rsid w:val="002660BC"/>
    <w:rsid w:val="00266899"/>
    <w:rsid w:val="002668A9"/>
    <w:rsid w:val="0026709F"/>
    <w:rsid w:val="0026796D"/>
    <w:rsid w:val="00270115"/>
    <w:rsid w:val="0027053D"/>
    <w:rsid w:val="002707F2"/>
    <w:rsid w:val="00270A46"/>
    <w:rsid w:val="00270C04"/>
    <w:rsid w:val="00270CC6"/>
    <w:rsid w:val="00272587"/>
    <w:rsid w:val="00272980"/>
    <w:rsid w:val="00272B8A"/>
    <w:rsid w:val="0027348B"/>
    <w:rsid w:val="002737FC"/>
    <w:rsid w:val="00273C77"/>
    <w:rsid w:val="00273F92"/>
    <w:rsid w:val="0027404D"/>
    <w:rsid w:val="002743F2"/>
    <w:rsid w:val="00274837"/>
    <w:rsid w:val="00274A1C"/>
    <w:rsid w:val="00275035"/>
    <w:rsid w:val="0027530F"/>
    <w:rsid w:val="00275E16"/>
    <w:rsid w:val="00276268"/>
    <w:rsid w:val="00276A9F"/>
    <w:rsid w:val="00277879"/>
    <w:rsid w:val="00277C0A"/>
    <w:rsid w:val="00281160"/>
    <w:rsid w:val="00281AB5"/>
    <w:rsid w:val="00281E53"/>
    <w:rsid w:val="00282094"/>
    <w:rsid w:val="00282B3B"/>
    <w:rsid w:val="00284385"/>
    <w:rsid w:val="002848C8"/>
    <w:rsid w:val="00284CE9"/>
    <w:rsid w:val="0028522C"/>
    <w:rsid w:val="00285A15"/>
    <w:rsid w:val="00285D61"/>
    <w:rsid w:val="00286245"/>
    <w:rsid w:val="00286313"/>
    <w:rsid w:val="00286347"/>
    <w:rsid w:val="00287B90"/>
    <w:rsid w:val="00287C0A"/>
    <w:rsid w:val="00287ED5"/>
    <w:rsid w:val="00290808"/>
    <w:rsid w:val="00291A97"/>
    <w:rsid w:val="0029246D"/>
    <w:rsid w:val="00292536"/>
    <w:rsid w:val="00292630"/>
    <w:rsid w:val="002935F6"/>
    <w:rsid w:val="00293AD0"/>
    <w:rsid w:val="00295B06"/>
    <w:rsid w:val="00296551"/>
    <w:rsid w:val="0029658B"/>
    <w:rsid w:val="00296BEA"/>
    <w:rsid w:val="00297493"/>
    <w:rsid w:val="00297698"/>
    <w:rsid w:val="00297787"/>
    <w:rsid w:val="002979BA"/>
    <w:rsid w:val="00297CE0"/>
    <w:rsid w:val="002A0039"/>
    <w:rsid w:val="002A0E02"/>
    <w:rsid w:val="002A0E9D"/>
    <w:rsid w:val="002A1612"/>
    <w:rsid w:val="002A28D3"/>
    <w:rsid w:val="002A33A3"/>
    <w:rsid w:val="002A4079"/>
    <w:rsid w:val="002A4EF0"/>
    <w:rsid w:val="002A521B"/>
    <w:rsid w:val="002A5334"/>
    <w:rsid w:val="002A56FD"/>
    <w:rsid w:val="002A7572"/>
    <w:rsid w:val="002A785E"/>
    <w:rsid w:val="002A78D4"/>
    <w:rsid w:val="002A78FC"/>
    <w:rsid w:val="002A7B3A"/>
    <w:rsid w:val="002A7FFC"/>
    <w:rsid w:val="002B03EA"/>
    <w:rsid w:val="002B0B92"/>
    <w:rsid w:val="002B19A6"/>
    <w:rsid w:val="002B1B07"/>
    <w:rsid w:val="002B23B0"/>
    <w:rsid w:val="002B2863"/>
    <w:rsid w:val="002B3634"/>
    <w:rsid w:val="002B4250"/>
    <w:rsid w:val="002B44D5"/>
    <w:rsid w:val="002B4A12"/>
    <w:rsid w:val="002B4C06"/>
    <w:rsid w:val="002B4E99"/>
    <w:rsid w:val="002B4FC2"/>
    <w:rsid w:val="002B5167"/>
    <w:rsid w:val="002B5852"/>
    <w:rsid w:val="002B6528"/>
    <w:rsid w:val="002B6E02"/>
    <w:rsid w:val="002B71E2"/>
    <w:rsid w:val="002B72B0"/>
    <w:rsid w:val="002B76F5"/>
    <w:rsid w:val="002B7C2C"/>
    <w:rsid w:val="002B7E3C"/>
    <w:rsid w:val="002B7F2D"/>
    <w:rsid w:val="002B7FD2"/>
    <w:rsid w:val="002C0ED0"/>
    <w:rsid w:val="002C276E"/>
    <w:rsid w:val="002C3110"/>
    <w:rsid w:val="002C3931"/>
    <w:rsid w:val="002C402E"/>
    <w:rsid w:val="002C42ED"/>
    <w:rsid w:val="002C5297"/>
    <w:rsid w:val="002C53C6"/>
    <w:rsid w:val="002C5734"/>
    <w:rsid w:val="002C5A77"/>
    <w:rsid w:val="002C5C6C"/>
    <w:rsid w:val="002C5CE0"/>
    <w:rsid w:val="002C6059"/>
    <w:rsid w:val="002C69E7"/>
    <w:rsid w:val="002C6C1F"/>
    <w:rsid w:val="002C7003"/>
    <w:rsid w:val="002C76B3"/>
    <w:rsid w:val="002D0121"/>
    <w:rsid w:val="002D06A8"/>
    <w:rsid w:val="002D0742"/>
    <w:rsid w:val="002D0F01"/>
    <w:rsid w:val="002D10F4"/>
    <w:rsid w:val="002D1FCD"/>
    <w:rsid w:val="002D4133"/>
    <w:rsid w:val="002D4521"/>
    <w:rsid w:val="002D4CF3"/>
    <w:rsid w:val="002D51B2"/>
    <w:rsid w:val="002D5275"/>
    <w:rsid w:val="002D539E"/>
    <w:rsid w:val="002D5562"/>
    <w:rsid w:val="002D5617"/>
    <w:rsid w:val="002D5983"/>
    <w:rsid w:val="002D60BA"/>
    <w:rsid w:val="002D63F7"/>
    <w:rsid w:val="002D64C3"/>
    <w:rsid w:val="002D670C"/>
    <w:rsid w:val="002D7BE0"/>
    <w:rsid w:val="002E17BB"/>
    <w:rsid w:val="002E1821"/>
    <w:rsid w:val="002E2157"/>
    <w:rsid w:val="002E2465"/>
    <w:rsid w:val="002E27B6"/>
    <w:rsid w:val="002E4314"/>
    <w:rsid w:val="002E5EC9"/>
    <w:rsid w:val="002E65B7"/>
    <w:rsid w:val="002E74A4"/>
    <w:rsid w:val="002E7A0A"/>
    <w:rsid w:val="002F026F"/>
    <w:rsid w:val="002F02B5"/>
    <w:rsid w:val="002F0527"/>
    <w:rsid w:val="002F0872"/>
    <w:rsid w:val="002F0C4D"/>
    <w:rsid w:val="002F0E1E"/>
    <w:rsid w:val="002F1553"/>
    <w:rsid w:val="002F1ED2"/>
    <w:rsid w:val="002F2435"/>
    <w:rsid w:val="002F2474"/>
    <w:rsid w:val="002F2C78"/>
    <w:rsid w:val="002F35FD"/>
    <w:rsid w:val="002F3985"/>
    <w:rsid w:val="002F3CCD"/>
    <w:rsid w:val="002F3DAD"/>
    <w:rsid w:val="002F3E6A"/>
    <w:rsid w:val="002F4301"/>
    <w:rsid w:val="002F4384"/>
    <w:rsid w:val="002F447F"/>
    <w:rsid w:val="002F46F4"/>
    <w:rsid w:val="002F4DE5"/>
    <w:rsid w:val="002F5844"/>
    <w:rsid w:val="002F5B54"/>
    <w:rsid w:val="002F5F2E"/>
    <w:rsid w:val="002F6AC0"/>
    <w:rsid w:val="00300AF9"/>
    <w:rsid w:val="0030102E"/>
    <w:rsid w:val="0030113C"/>
    <w:rsid w:val="00301CA8"/>
    <w:rsid w:val="00301E86"/>
    <w:rsid w:val="00301EE6"/>
    <w:rsid w:val="0030221C"/>
    <w:rsid w:val="0030227E"/>
    <w:rsid w:val="00302EE6"/>
    <w:rsid w:val="00304404"/>
    <w:rsid w:val="0030448F"/>
    <w:rsid w:val="003047D7"/>
    <w:rsid w:val="00304A46"/>
    <w:rsid w:val="00305018"/>
    <w:rsid w:val="0030526E"/>
    <w:rsid w:val="003054DE"/>
    <w:rsid w:val="0031076D"/>
    <w:rsid w:val="003109D3"/>
    <w:rsid w:val="003109D5"/>
    <w:rsid w:val="00310A63"/>
    <w:rsid w:val="00310B68"/>
    <w:rsid w:val="00311438"/>
    <w:rsid w:val="0031290B"/>
    <w:rsid w:val="00313835"/>
    <w:rsid w:val="00313DE7"/>
    <w:rsid w:val="00313E69"/>
    <w:rsid w:val="00315836"/>
    <w:rsid w:val="00316B0F"/>
    <w:rsid w:val="00316DA1"/>
    <w:rsid w:val="00316FA1"/>
    <w:rsid w:val="00317712"/>
    <w:rsid w:val="00317C79"/>
    <w:rsid w:val="003206D1"/>
    <w:rsid w:val="00320821"/>
    <w:rsid w:val="003212FE"/>
    <w:rsid w:val="0032140B"/>
    <w:rsid w:val="003215BE"/>
    <w:rsid w:val="003226A7"/>
    <w:rsid w:val="00322D79"/>
    <w:rsid w:val="00322EF5"/>
    <w:rsid w:val="00323519"/>
    <w:rsid w:val="00323915"/>
    <w:rsid w:val="00323ABD"/>
    <w:rsid w:val="00323ABF"/>
    <w:rsid w:val="00324180"/>
    <w:rsid w:val="00324B49"/>
    <w:rsid w:val="00325527"/>
    <w:rsid w:val="003256FD"/>
    <w:rsid w:val="003259AB"/>
    <w:rsid w:val="0032649B"/>
    <w:rsid w:val="00326543"/>
    <w:rsid w:val="003265D5"/>
    <w:rsid w:val="00326A19"/>
    <w:rsid w:val="00326D0B"/>
    <w:rsid w:val="003271C5"/>
    <w:rsid w:val="00327611"/>
    <w:rsid w:val="00330497"/>
    <w:rsid w:val="00330B28"/>
    <w:rsid w:val="00331263"/>
    <w:rsid w:val="00331DFE"/>
    <w:rsid w:val="00332159"/>
    <w:rsid w:val="003327D9"/>
    <w:rsid w:val="00332ABF"/>
    <w:rsid w:val="00333208"/>
    <w:rsid w:val="003336F7"/>
    <w:rsid w:val="00333789"/>
    <w:rsid w:val="003338E9"/>
    <w:rsid w:val="003351AC"/>
    <w:rsid w:val="0033571B"/>
    <w:rsid w:val="003374B0"/>
    <w:rsid w:val="003377A6"/>
    <w:rsid w:val="00337D54"/>
    <w:rsid w:val="003405CD"/>
    <w:rsid w:val="003407A2"/>
    <w:rsid w:val="00340932"/>
    <w:rsid w:val="003409FF"/>
    <w:rsid w:val="00340B08"/>
    <w:rsid w:val="00340E12"/>
    <w:rsid w:val="00340FE3"/>
    <w:rsid w:val="003410B6"/>
    <w:rsid w:val="00341BBB"/>
    <w:rsid w:val="003420D6"/>
    <w:rsid w:val="0034222A"/>
    <w:rsid w:val="00342652"/>
    <w:rsid w:val="00342BCC"/>
    <w:rsid w:val="00343819"/>
    <w:rsid w:val="00343A15"/>
    <w:rsid w:val="00344134"/>
    <w:rsid w:val="003442EC"/>
    <w:rsid w:val="0034448F"/>
    <w:rsid w:val="0034450D"/>
    <w:rsid w:val="00344D97"/>
    <w:rsid w:val="003453D9"/>
    <w:rsid w:val="00345A9C"/>
    <w:rsid w:val="00346B73"/>
    <w:rsid w:val="00346C66"/>
    <w:rsid w:val="0034752E"/>
    <w:rsid w:val="00347EAC"/>
    <w:rsid w:val="00351558"/>
    <w:rsid w:val="0035177E"/>
    <w:rsid w:val="00351869"/>
    <w:rsid w:val="00351C1D"/>
    <w:rsid w:val="0035202A"/>
    <w:rsid w:val="00352062"/>
    <w:rsid w:val="003525C9"/>
    <w:rsid w:val="003526EC"/>
    <w:rsid w:val="003534D2"/>
    <w:rsid w:val="0035377C"/>
    <w:rsid w:val="00354044"/>
    <w:rsid w:val="003543D0"/>
    <w:rsid w:val="003545CA"/>
    <w:rsid w:val="00354746"/>
    <w:rsid w:val="00355131"/>
    <w:rsid w:val="003552F2"/>
    <w:rsid w:val="0035570D"/>
    <w:rsid w:val="00356100"/>
    <w:rsid w:val="003564A8"/>
    <w:rsid w:val="00356512"/>
    <w:rsid w:val="003566FE"/>
    <w:rsid w:val="00356ED8"/>
    <w:rsid w:val="00357859"/>
    <w:rsid w:val="00357B25"/>
    <w:rsid w:val="00357DEF"/>
    <w:rsid w:val="0036122F"/>
    <w:rsid w:val="003614B4"/>
    <w:rsid w:val="003621B8"/>
    <w:rsid w:val="003621FE"/>
    <w:rsid w:val="00362373"/>
    <w:rsid w:val="00362876"/>
    <w:rsid w:val="003633F2"/>
    <w:rsid w:val="00363597"/>
    <w:rsid w:val="00363A3E"/>
    <w:rsid w:val="00365AC7"/>
    <w:rsid w:val="00367633"/>
    <w:rsid w:val="00367744"/>
    <w:rsid w:val="00367EFB"/>
    <w:rsid w:val="003706F3"/>
    <w:rsid w:val="00370998"/>
    <w:rsid w:val="00370C4B"/>
    <w:rsid w:val="00371041"/>
    <w:rsid w:val="003710E1"/>
    <w:rsid w:val="00371A0B"/>
    <w:rsid w:val="00371E0E"/>
    <w:rsid w:val="00372610"/>
    <w:rsid w:val="003728B8"/>
    <w:rsid w:val="003728FE"/>
    <w:rsid w:val="00372AB5"/>
    <w:rsid w:val="00372B29"/>
    <w:rsid w:val="003731BF"/>
    <w:rsid w:val="00373625"/>
    <w:rsid w:val="00373A69"/>
    <w:rsid w:val="00373E57"/>
    <w:rsid w:val="0037412A"/>
    <w:rsid w:val="00374432"/>
    <w:rsid w:val="00374805"/>
    <w:rsid w:val="00374944"/>
    <w:rsid w:val="00374B12"/>
    <w:rsid w:val="00374F9B"/>
    <w:rsid w:val="0037536F"/>
    <w:rsid w:val="00375639"/>
    <w:rsid w:val="0037567A"/>
    <w:rsid w:val="00375A76"/>
    <w:rsid w:val="00375D54"/>
    <w:rsid w:val="00375DC2"/>
    <w:rsid w:val="00375E3C"/>
    <w:rsid w:val="0037607E"/>
    <w:rsid w:val="00376288"/>
    <w:rsid w:val="00376E9C"/>
    <w:rsid w:val="0037710D"/>
    <w:rsid w:val="0037759E"/>
    <w:rsid w:val="003779AF"/>
    <w:rsid w:val="00377F3A"/>
    <w:rsid w:val="00377FCC"/>
    <w:rsid w:val="0038085F"/>
    <w:rsid w:val="00380CA3"/>
    <w:rsid w:val="00381F72"/>
    <w:rsid w:val="00383319"/>
    <w:rsid w:val="003835D4"/>
    <w:rsid w:val="00383AFB"/>
    <w:rsid w:val="00383D27"/>
    <w:rsid w:val="00383DC3"/>
    <w:rsid w:val="0038418E"/>
    <w:rsid w:val="003848E2"/>
    <w:rsid w:val="00384BE5"/>
    <w:rsid w:val="00385D41"/>
    <w:rsid w:val="00385FB1"/>
    <w:rsid w:val="00386037"/>
    <w:rsid w:val="00386228"/>
    <w:rsid w:val="003869C5"/>
    <w:rsid w:val="00386E37"/>
    <w:rsid w:val="00387540"/>
    <w:rsid w:val="00387561"/>
    <w:rsid w:val="003879B2"/>
    <w:rsid w:val="00387E72"/>
    <w:rsid w:val="0039072F"/>
    <w:rsid w:val="00390F87"/>
    <w:rsid w:val="00391123"/>
    <w:rsid w:val="00391583"/>
    <w:rsid w:val="00391623"/>
    <w:rsid w:val="0039231E"/>
    <w:rsid w:val="0039269D"/>
    <w:rsid w:val="00393659"/>
    <w:rsid w:val="00394192"/>
    <w:rsid w:val="003941C8"/>
    <w:rsid w:val="003956C9"/>
    <w:rsid w:val="00395D8E"/>
    <w:rsid w:val="003968BC"/>
    <w:rsid w:val="00397DA3"/>
    <w:rsid w:val="003A099E"/>
    <w:rsid w:val="003A0C28"/>
    <w:rsid w:val="003A0DDB"/>
    <w:rsid w:val="003A1059"/>
    <w:rsid w:val="003A14DE"/>
    <w:rsid w:val="003A19E0"/>
    <w:rsid w:val="003A2845"/>
    <w:rsid w:val="003A2AA4"/>
    <w:rsid w:val="003A357F"/>
    <w:rsid w:val="003A42F0"/>
    <w:rsid w:val="003A4740"/>
    <w:rsid w:val="003A5942"/>
    <w:rsid w:val="003A668D"/>
    <w:rsid w:val="003A722C"/>
    <w:rsid w:val="003A767B"/>
    <w:rsid w:val="003B00D6"/>
    <w:rsid w:val="003B0673"/>
    <w:rsid w:val="003B0F22"/>
    <w:rsid w:val="003B1011"/>
    <w:rsid w:val="003B12D1"/>
    <w:rsid w:val="003B14A6"/>
    <w:rsid w:val="003B153F"/>
    <w:rsid w:val="003B1869"/>
    <w:rsid w:val="003B204D"/>
    <w:rsid w:val="003B34A3"/>
    <w:rsid w:val="003B35B0"/>
    <w:rsid w:val="003B3850"/>
    <w:rsid w:val="003B391B"/>
    <w:rsid w:val="003B3D9E"/>
    <w:rsid w:val="003B4BB5"/>
    <w:rsid w:val="003B4DD9"/>
    <w:rsid w:val="003B4E66"/>
    <w:rsid w:val="003B4FB3"/>
    <w:rsid w:val="003B52C3"/>
    <w:rsid w:val="003B66FA"/>
    <w:rsid w:val="003B6C20"/>
    <w:rsid w:val="003B6F75"/>
    <w:rsid w:val="003B7184"/>
    <w:rsid w:val="003B7970"/>
    <w:rsid w:val="003B7DC3"/>
    <w:rsid w:val="003C0255"/>
    <w:rsid w:val="003C037C"/>
    <w:rsid w:val="003C076F"/>
    <w:rsid w:val="003C0CC5"/>
    <w:rsid w:val="003C0FDB"/>
    <w:rsid w:val="003C109D"/>
    <w:rsid w:val="003C17CF"/>
    <w:rsid w:val="003C1854"/>
    <w:rsid w:val="003C1D8E"/>
    <w:rsid w:val="003C1F92"/>
    <w:rsid w:val="003C239D"/>
    <w:rsid w:val="003C31AB"/>
    <w:rsid w:val="003C3B80"/>
    <w:rsid w:val="003C474A"/>
    <w:rsid w:val="003C4E18"/>
    <w:rsid w:val="003C4F9F"/>
    <w:rsid w:val="003C50EC"/>
    <w:rsid w:val="003C5450"/>
    <w:rsid w:val="003C60F1"/>
    <w:rsid w:val="003C6AFF"/>
    <w:rsid w:val="003C744B"/>
    <w:rsid w:val="003C76CE"/>
    <w:rsid w:val="003C7748"/>
    <w:rsid w:val="003C77F3"/>
    <w:rsid w:val="003C78A3"/>
    <w:rsid w:val="003D0891"/>
    <w:rsid w:val="003D0975"/>
    <w:rsid w:val="003D0E00"/>
    <w:rsid w:val="003D1116"/>
    <w:rsid w:val="003D12B1"/>
    <w:rsid w:val="003D1B38"/>
    <w:rsid w:val="003D269A"/>
    <w:rsid w:val="003D2D79"/>
    <w:rsid w:val="003D45C4"/>
    <w:rsid w:val="003D4694"/>
    <w:rsid w:val="003D562B"/>
    <w:rsid w:val="003D5A20"/>
    <w:rsid w:val="003D6456"/>
    <w:rsid w:val="003D73C7"/>
    <w:rsid w:val="003D7470"/>
    <w:rsid w:val="003D79A6"/>
    <w:rsid w:val="003D7A06"/>
    <w:rsid w:val="003D7A27"/>
    <w:rsid w:val="003E04E3"/>
    <w:rsid w:val="003E06D5"/>
    <w:rsid w:val="003E0AE8"/>
    <w:rsid w:val="003E0B62"/>
    <w:rsid w:val="003E0F5E"/>
    <w:rsid w:val="003E23C1"/>
    <w:rsid w:val="003E26F5"/>
    <w:rsid w:val="003E2850"/>
    <w:rsid w:val="003E2C30"/>
    <w:rsid w:val="003E2E80"/>
    <w:rsid w:val="003E36A0"/>
    <w:rsid w:val="003E374E"/>
    <w:rsid w:val="003E3F60"/>
    <w:rsid w:val="003E4566"/>
    <w:rsid w:val="003E4920"/>
    <w:rsid w:val="003E4B2E"/>
    <w:rsid w:val="003E5118"/>
    <w:rsid w:val="003E6021"/>
    <w:rsid w:val="003E6303"/>
    <w:rsid w:val="003E650A"/>
    <w:rsid w:val="003E6ABA"/>
    <w:rsid w:val="003E6BA6"/>
    <w:rsid w:val="003E778C"/>
    <w:rsid w:val="003E7A71"/>
    <w:rsid w:val="003E7AD9"/>
    <w:rsid w:val="003E7FA3"/>
    <w:rsid w:val="003F00B1"/>
    <w:rsid w:val="003F0621"/>
    <w:rsid w:val="003F08B0"/>
    <w:rsid w:val="003F1659"/>
    <w:rsid w:val="003F1F49"/>
    <w:rsid w:val="003F2363"/>
    <w:rsid w:val="003F24C0"/>
    <w:rsid w:val="003F2AFA"/>
    <w:rsid w:val="003F2F53"/>
    <w:rsid w:val="003F319F"/>
    <w:rsid w:val="003F3A9B"/>
    <w:rsid w:val="003F4EB7"/>
    <w:rsid w:val="003F4F80"/>
    <w:rsid w:val="003F5389"/>
    <w:rsid w:val="003F558C"/>
    <w:rsid w:val="003F561A"/>
    <w:rsid w:val="003F574A"/>
    <w:rsid w:val="003F59BD"/>
    <w:rsid w:val="003F6388"/>
    <w:rsid w:val="003F63F4"/>
    <w:rsid w:val="003F6895"/>
    <w:rsid w:val="003F7543"/>
    <w:rsid w:val="003F7DA0"/>
    <w:rsid w:val="003F7FF1"/>
    <w:rsid w:val="004007FC"/>
    <w:rsid w:val="00400D7E"/>
    <w:rsid w:val="0040228E"/>
    <w:rsid w:val="0040248E"/>
    <w:rsid w:val="004025A4"/>
    <w:rsid w:val="004026E5"/>
    <w:rsid w:val="00402794"/>
    <w:rsid w:val="004029A4"/>
    <w:rsid w:val="0040325D"/>
    <w:rsid w:val="00404693"/>
    <w:rsid w:val="004047E9"/>
    <w:rsid w:val="00405084"/>
    <w:rsid w:val="00405EF7"/>
    <w:rsid w:val="0040607E"/>
    <w:rsid w:val="0040653D"/>
    <w:rsid w:val="00406651"/>
    <w:rsid w:val="00406E97"/>
    <w:rsid w:val="0040705D"/>
    <w:rsid w:val="004071A4"/>
    <w:rsid w:val="00407FCE"/>
    <w:rsid w:val="00410C38"/>
    <w:rsid w:val="0041142D"/>
    <w:rsid w:val="00411504"/>
    <w:rsid w:val="004117A1"/>
    <w:rsid w:val="00412000"/>
    <w:rsid w:val="004120A6"/>
    <w:rsid w:val="004124C5"/>
    <w:rsid w:val="00412983"/>
    <w:rsid w:val="0041381E"/>
    <w:rsid w:val="00413944"/>
    <w:rsid w:val="00413B14"/>
    <w:rsid w:val="00413FBC"/>
    <w:rsid w:val="00414021"/>
    <w:rsid w:val="00414049"/>
    <w:rsid w:val="00414E2F"/>
    <w:rsid w:val="00414EFF"/>
    <w:rsid w:val="00415557"/>
    <w:rsid w:val="00415DFF"/>
    <w:rsid w:val="00416DE3"/>
    <w:rsid w:val="004170D1"/>
    <w:rsid w:val="00417B80"/>
    <w:rsid w:val="00420155"/>
    <w:rsid w:val="004201E5"/>
    <w:rsid w:val="004203AA"/>
    <w:rsid w:val="00420890"/>
    <w:rsid w:val="00420B6E"/>
    <w:rsid w:val="00420FDF"/>
    <w:rsid w:val="00421075"/>
    <w:rsid w:val="00421B94"/>
    <w:rsid w:val="00421C94"/>
    <w:rsid w:val="00422416"/>
    <w:rsid w:val="00422D94"/>
    <w:rsid w:val="004236DD"/>
    <w:rsid w:val="00423BBE"/>
    <w:rsid w:val="00423F82"/>
    <w:rsid w:val="00424047"/>
    <w:rsid w:val="00424373"/>
    <w:rsid w:val="00424709"/>
    <w:rsid w:val="004248F6"/>
    <w:rsid w:val="00424AD9"/>
    <w:rsid w:val="00425380"/>
    <w:rsid w:val="00427164"/>
    <w:rsid w:val="0042756E"/>
    <w:rsid w:val="0042761A"/>
    <w:rsid w:val="00430635"/>
    <w:rsid w:val="00430730"/>
    <w:rsid w:val="00430A0F"/>
    <w:rsid w:val="00430CEB"/>
    <w:rsid w:val="00431C94"/>
    <w:rsid w:val="004327EC"/>
    <w:rsid w:val="00432A20"/>
    <w:rsid w:val="0043301C"/>
    <w:rsid w:val="004337A3"/>
    <w:rsid w:val="00433ABC"/>
    <w:rsid w:val="00433DE8"/>
    <w:rsid w:val="0043440B"/>
    <w:rsid w:val="004348EF"/>
    <w:rsid w:val="00434FBF"/>
    <w:rsid w:val="00435695"/>
    <w:rsid w:val="004359AE"/>
    <w:rsid w:val="00436638"/>
    <w:rsid w:val="00437DD3"/>
    <w:rsid w:val="00437E4F"/>
    <w:rsid w:val="004404D8"/>
    <w:rsid w:val="004405A2"/>
    <w:rsid w:val="00440717"/>
    <w:rsid w:val="0044123D"/>
    <w:rsid w:val="00441988"/>
    <w:rsid w:val="004420B2"/>
    <w:rsid w:val="0044270A"/>
    <w:rsid w:val="0044277F"/>
    <w:rsid w:val="00442CD0"/>
    <w:rsid w:val="00442E6E"/>
    <w:rsid w:val="004432A1"/>
    <w:rsid w:val="0044376F"/>
    <w:rsid w:val="00443A70"/>
    <w:rsid w:val="004441CD"/>
    <w:rsid w:val="004443FE"/>
    <w:rsid w:val="004452CA"/>
    <w:rsid w:val="00445796"/>
    <w:rsid w:val="00445ECD"/>
    <w:rsid w:val="0044658D"/>
    <w:rsid w:val="004465CD"/>
    <w:rsid w:val="00446B9B"/>
    <w:rsid w:val="00447646"/>
    <w:rsid w:val="00447942"/>
    <w:rsid w:val="00450788"/>
    <w:rsid w:val="00450837"/>
    <w:rsid w:val="004511E7"/>
    <w:rsid w:val="004518BC"/>
    <w:rsid w:val="00451FA5"/>
    <w:rsid w:val="00452447"/>
    <w:rsid w:val="00453014"/>
    <w:rsid w:val="004530BD"/>
    <w:rsid w:val="00453658"/>
    <w:rsid w:val="00453BBA"/>
    <w:rsid w:val="00453CA2"/>
    <w:rsid w:val="0045404F"/>
    <w:rsid w:val="0045493C"/>
    <w:rsid w:val="00454D30"/>
    <w:rsid w:val="00455283"/>
    <w:rsid w:val="00455365"/>
    <w:rsid w:val="0045545F"/>
    <w:rsid w:val="004556D8"/>
    <w:rsid w:val="00455B6F"/>
    <w:rsid w:val="00455CE9"/>
    <w:rsid w:val="0045618F"/>
    <w:rsid w:val="0045623D"/>
    <w:rsid w:val="00456BB7"/>
    <w:rsid w:val="00456E1C"/>
    <w:rsid w:val="00457644"/>
    <w:rsid w:val="00460007"/>
    <w:rsid w:val="00460C0D"/>
    <w:rsid w:val="00460F22"/>
    <w:rsid w:val="00460F5D"/>
    <w:rsid w:val="004624F6"/>
    <w:rsid w:val="0046251D"/>
    <w:rsid w:val="00462E4B"/>
    <w:rsid w:val="0046353B"/>
    <w:rsid w:val="00463E39"/>
    <w:rsid w:val="00464701"/>
    <w:rsid w:val="00464823"/>
    <w:rsid w:val="00464B10"/>
    <w:rsid w:val="00464C71"/>
    <w:rsid w:val="00464EEC"/>
    <w:rsid w:val="0046523F"/>
    <w:rsid w:val="00465D99"/>
    <w:rsid w:val="00465E04"/>
    <w:rsid w:val="0046669B"/>
    <w:rsid w:val="00466A09"/>
    <w:rsid w:val="00471740"/>
    <w:rsid w:val="00471AA2"/>
    <w:rsid w:val="00471F4E"/>
    <w:rsid w:val="00472694"/>
    <w:rsid w:val="00473517"/>
    <w:rsid w:val="00473654"/>
    <w:rsid w:val="00473BCF"/>
    <w:rsid w:val="00474259"/>
    <w:rsid w:val="00474B34"/>
    <w:rsid w:val="00474F99"/>
    <w:rsid w:val="0047514C"/>
    <w:rsid w:val="0047526D"/>
    <w:rsid w:val="004758D0"/>
    <w:rsid w:val="00475CAB"/>
    <w:rsid w:val="004767D7"/>
    <w:rsid w:val="00476C52"/>
    <w:rsid w:val="00481553"/>
    <w:rsid w:val="00481DBD"/>
    <w:rsid w:val="00481EAF"/>
    <w:rsid w:val="0048235C"/>
    <w:rsid w:val="00482ADD"/>
    <w:rsid w:val="00483235"/>
    <w:rsid w:val="0048537C"/>
    <w:rsid w:val="00485679"/>
    <w:rsid w:val="004859DD"/>
    <w:rsid w:val="00486017"/>
    <w:rsid w:val="00486080"/>
    <w:rsid w:val="004864F6"/>
    <w:rsid w:val="00486591"/>
    <w:rsid w:val="004869B0"/>
    <w:rsid w:val="00486D97"/>
    <w:rsid w:val="004879C9"/>
    <w:rsid w:val="00491CC5"/>
    <w:rsid w:val="00491E55"/>
    <w:rsid w:val="00491F55"/>
    <w:rsid w:val="00492A18"/>
    <w:rsid w:val="00492BE1"/>
    <w:rsid w:val="00492C63"/>
    <w:rsid w:val="004932DC"/>
    <w:rsid w:val="00493357"/>
    <w:rsid w:val="00493987"/>
    <w:rsid w:val="00493C16"/>
    <w:rsid w:val="00493C58"/>
    <w:rsid w:val="004944DC"/>
    <w:rsid w:val="00494F1D"/>
    <w:rsid w:val="00495441"/>
    <w:rsid w:val="00495F16"/>
    <w:rsid w:val="00496448"/>
    <w:rsid w:val="004969C4"/>
    <w:rsid w:val="00496BA8"/>
    <w:rsid w:val="00496D95"/>
    <w:rsid w:val="00496F82"/>
    <w:rsid w:val="00497708"/>
    <w:rsid w:val="00497992"/>
    <w:rsid w:val="004979F3"/>
    <w:rsid w:val="00497F03"/>
    <w:rsid w:val="004A0A58"/>
    <w:rsid w:val="004A0B8B"/>
    <w:rsid w:val="004A0C91"/>
    <w:rsid w:val="004A1081"/>
    <w:rsid w:val="004A1511"/>
    <w:rsid w:val="004A1969"/>
    <w:rsid w:val="004A1B47"/>
    <w:rsid w:val="004A227D"/>
    <w:rsid w:val="004A2AD7"/>
    <w:rsid w:val="004A3C46"/>
    <w:rsid w:val="004A42BB"/>
    <w:rsid w:val="004A4327"/>
    <w:rsid w:val="004A47EA"/>
    <w:rsid w:val="004A5138"/>
    <w:rsid w:val="004A5311"/>
    <w:rsid w:val="004A5967"/>
    <w:rsid w:val="004A5FFD"/>
    <w:rsid w:val="004A6B71"/>
    <w:rsid w:val="004A77FA"/>
    <w:rsid w:val="004A78D4"/>
    <w:rsid w:val="004A79CF"/>
    <w:rsid w:val="004A7C16"/>
    <w:rsid w:val="004B098F"/>
    <w:rsid w:val="004B09EC"/>
    <w:rsid w:val="004B0B46"/>
    <w:rsid w:val="004B1627"/>
    <w:rsid w:val="004B22ED"/>
    <w:rsid w:val="004B29C7"/>
    <w:rsid w:val="004B2A88"/>
    <w:rsid w:val="004B3789"/>
    <w:rsid w:val="004B37EB"/>
    <w:rsid w:val="004B3AB6"/>
    <w:rsid w:val="004B400B"/>
    <w:rsid w:val="004B43A1"/>
    <w:rsid w:val="004B4910"/>
    <w:rsid w:val="004B50F0"/>
    <w:rsid w:val="004B57AB"/>
    <w:rsid w:val="004B5DD0"/>
    <w:rsid w:val="004B5E99"/>
    <w:rsid w:val="004B61A3"/>
    <w:rsid w:val="004B6653"/>
    <w:rsid w:val="004B6B20"/>
    <w:rsid w:val="004B70CC"/>
    <w:rsid w:val="004B76F2"/>
    <w:rsid w:val="004B7A71"/>
    <w:rsid w:val="004B7BA6"/>
    <w:rsid w:val="004C0154"/>
    <w:rsid w:val="004C01B2"/>
    <w:rsid w:val="004C0E43"/>
    <w:rsid w:val="004C12F4"/>
    <w:rsid w:val="004C1C33"/>
    <w:rsid w:val="004C272B"/>
    <w:rsid w:val="004C27FE"/>
    <w:rsid w:val="004C34F0"/>
    <w:rsid w:val="004C3A3D"/>
    <w:rsid w:val="004C3DAF"/>
    <w:rsid w:val="004C3EF8"/>
    <w:rsid w:val="004C48C7"/>
    <w:rsid w:val="004C4EB0"/>
    <w:rsid w:val="004C5B5C"/>
    <w:rsid w:val="004C5F0C"/>
    <w:rsid w:val="004C6391"/>
    <w:rsid w:val="004C6438"/>
    <w:rsid w:val="004C6C83"/>
    <w:rsid w:val="004C6E8F"/>
    <w:rsid w:val="004C7194"/>
    <w:rsid w:val="004C728D"/>
    <w:rsid w:val="004C7B73"/>
    <w:rsid w:val="004C7E82"/>
    <w:rsid w:val="004D0EB4"/>
    <w:rsid w:val="004D10DB"/>
    <w:rsid w:val="004D143E"/>
    <w:rsid w:val="004D159A"/>
    <w:rsid w:val="004D26D2"/>
    <w:rsid w:val="004D2CDA"/>
    <w:rsid w:val="004D2D0C"/>
    <w:rsid w:val="004D31EB"/>
    <w:rsid w:val="004D3509"/>
    <w:rsid w:val="004D3EFD"/>
    <w:rsid w:val="004D52C7"/>
    <w:rsid w:val="004D5795"/>
    <w:rsid w:val="004D60E9"/>
    <w:rsid w:val="004D649D"/>
    <w:rsid w:val="004D7017"/>
    <w:rsid w:val="004D72C8"/>
    <w:rsid w:val="004D73AD"/>
    <w:rsid w:val="004D779D"/>
    <w:rsid w:val="004D7DE4"/>
    <w:rsid w:val="004E10E7"/>
    <w:rsid w:val="004E166F"/>
    <w:rsid w:val="004E17FD"/>
    <w:rsid w:val="004E32FB"/>
    <w:rsid w:val="004E3461"/>
    <w:rsid w:val="004E3C25"/>
    <w:rsid w:val="004E4C65"/>
    <w:rsid w:val="004E4E84"/>
    <w:rsid w:val="004E5304"/>
    <w:rsid w:val="004E586D"/>
    <w:rsid w:val="004E5A82"/>
    <w:rsid w:val="004E5AA0"/>
    <w:rsid w:val="004E5E64"/>
    <w:rsid w:val="004E6179"/>
    <w:rsid w:val="004E6211"/>
    <w:rsid w:val="004E640E"/>
    <w:rsid w:val="004E749A"/>
    <w:rsid w:val="004E7660"/>
    <w:rsid w:val="004F1733"/>
    <w:rsid w:val="004F1ED7"/>
    <w:rsid w:val="004F1ED8"/>
    <w:rsid w:val="004F306E"/>
    <w:rsid w:val="004F3582"/>
    <w:rsid w:val="004F3900"/>
    <w:rsid w:val="004F3F51"/>
    <w:rsid w:val="004F47ED"/>
    <w:rsid w:val="004F5407"/>
    <w:rsid w:val="004F6121"/>
    <w:rsid w:val="004F6710"/>
    <w:rsid w:val="004F7566"/>
    <w:rsid w:val="004F7750"/>
    <w:rsid w:val="005000EB"/>
    <w:rsid w:val="005008E1"/>
    <w:rsid w:val="00500A40"/>
    <w:rsid w:val="00500DFF"/>
    <w:rsid w:val="00500ECF"/>
    <w:rsid w:val="005014C0"/>
    <w:rsid w:val="005019ED"/>
    <w:rsid w:val="005019FB"/>
    <w:rsid w:val="00502CC2"/>
    <w:rsid w:val="00502E69"/>
    <w:rsid w:val="00502E79"/>
    <w:rsid w:val="00502F65"/>
    <w:rsid w:val="005035C5"/>
    <w:rsid w:val="0050369C"/>
    <w:rsid w:val="0050393B"/>
    <w:rsid w:val="00503A1E"/>
    <w:rsid w:val="005046EA"/>
    <w:rsid w:val="00504F13"/>
    <w:rsid w:val="00504F3B"/>
    <w:rsid w:val="005058F4"/>
    <w:rsid w:val="00505EF9"/>
    <w:rsid w:val="00507056"/>
    <w:rsid w:val="0050710A"/>
    <w:rsid w:val="00507F17"/>
    <w:rsid w:val="005100BF"/>
    <w:rsid w:val="0051032E"/>
    <w:rsid w:val="005106B8"/>
    <w:rsid w:val="00510855"/>
    <w:rsid w:val="005110E2"/>
    <w:rsid w:val="00511FAB"/>
    <w:rsid w:val="00512249"/>
    <w:rsid w:val="00513B63"/>
    <w:rsid w:val="005140CF"/>
    <w:rsid w:val="00514EC2"/>
    <w:rsid w:val="00515262"/>
    <w:rsid w:val="00515C94"/>
    <w:rsid w:val="00515D8A"/>
    <w:rsid w:val="00515F76"/>
    <w:rsid w:val="00516BC1"/>
    <w:rsid w:val="0051730B"/>
    <w:rsid w:val="0051734F"/>
    <w:rsid w:val="005178A7"/>
    <w:rsid w:val="005203AF"/>
    <w:rsid w:val="00520618"/>
    <w:rsid w:val="0052170A"/>
    <w:rsid w:val="00521931"/>
    <w:rsid w:val="00522106"/>
    <w:rsid w:val="00522A97"/>
    <w:rsid w:val="00522DEF"/>
    <w:rsid w:val="00523760"/>
    <w:rsid w:val="005241F9"/>
    <w:rsid w:val="005242B7"/>
    <w:rsid w:val="00524D38"/>
    <w:rsid w:val="00525036"/>
    <w:rsid w:val="00525476"/>
    <w:rsid w:val="00525C71"/>
    <w:rsid w:val="00525E80"/>
    <w:rsid w:val="00525EBE"/>
    <w:rsid w:val="0052610B"/>
    <w:rsid w:val="00526A71"/>
    <w:rsid w:val="00527205"/>
    <w:rsid w:val="005273E8"/>
    <w:rsid w:val="00527767"/>
    <w:rsid w:val="005300D1"/>
    <w:rsid w:val="005305CB"/>
    <w:rsid w:val="0053079A"/>
    <w:rsid w:val="00530914"/>
    <w:rsid w:val="00531AAA"/>
    <w:rsid w:val="00531ED4"/>
    <w:rsid w:val="00532040"/>
    <w:rsid w:val="005328A3"/>
    <w:rsid w:val="00533897"/>
    <w:rsid w:val="00533F0A"/>
    <w:rsid w:val="00534155"/>
    <w:rsid w:val="00534577"/>
    <w:rsid w:val="0053546D"/>
    <w:rsid w:val="0053564A"/>
    <w:rsid w:val="00535DEA"/>
    <w:rsid w:val="005364C6"/>
    <w:rsid w:val="005365B4"/>
    <w:rsid w:val="00536738"/>
    <w:rsid w:val="00536893"/>
    <w:rsid w:val="0053740A"/>
    <w:rsid w:val="005401FE"/>
    <w:rsid w:val="00540C78"/>
    <w:rsid w:val="0054196B"/>
    <w:rsid w:val="00541BBC"/>
    <w:rsid w:val="00542168"/>
    <w:rsid w:val="00542307"/>
    <w:rsid w:val="00543029"/>
    <w:rsid w:val="0054375C"/>
    <w:rsid w:val="0054378C"/>
    <w:rsid w:val="00543CE6"/>
    <w:rsid w:val="00543EF2"/>
    <w:rsid w:val="0054522B"/>
    <w:rsid w:val="00545B56"/>
    <w:rsid w:val="005461F4"/>
    <w:rsid w:val="00546C46"/>
    <w:rsid w:val="005470B1"/>
    <w:rsid w:val="00547DA3"/>
    <w:rsid w:val="0055063E"/>
    <w:rsid w:val="005506CA"/>
    <w:rsid w:val="00550C19"/>
    <w:rsid w:val="00550FAB"/>
    <w:rsid w:val="00550FF4"/>
    <w:rsid w:val="005510E4"/>
    <w:rsid w:val="00551164"/>
    <w:rsid w:val="0055126D"/>
    <w:rsid w:val="005524A0"/>
    <w:rsid w:val="005524F5"/>
    <w:rsid w:val="00552542"/>
    <w:rsid w:val="0055259F"/>
    <w:rsid w:val="0055260C"/>
    <w:rsid w:val="005529BE"/>
    <w:rsid w:val="00552A8D"/>
    <w:rsid w:val="00552F71"/>
    <w:rsid w:val="005537FE"/>
    <w:rsid w:val="00553DC0"/>
    <w:rsid w:val="005540BF"/>
    <w:rsid w:val="005547E3"/>
    <w:rsid w:val="00554FD5"/>
    <w:rsid w:val="005551A2"/>
    <w:rsid w:val="00555393"/>
    <w:rsid w:val="0055579F"/>
    <w:rsid w:val="00555FF8"/>
    <w:rsid w:val="00556443"/>
    <w:rsid w:val="0055675D"/>
    <w:rsid w:val="00556F16"/>
    <w:rsid w:val="00557253"/>
    <w:rsid w:val="005572C2"/>
    <w:rsid w:val="00557594"/>
    <w:rsid w:val="00557CDB"/>
    <w:rsid w:val="0056019E"/>
    <w:rsid w:val="0056086A"/>
    <w:rsid w:val="00561376"/>
    <w:rsid w:val="00562626"/>
    <w:rsid w:val="0056269A"/>
    <w:rsid w:val="0056344D"/>
    <w:rsid w:val="005636D3"/>
    <w:rsid w:val="00563E59"/>
    <w:rsid w:val="00564912"/>
    <w:rsid w:val="00564B02"/>
    <w:rsid w:val="00564F2E"/>
    <w:rsid w:val="005655C0"/>
    <w:rsid w:val="005656E8"/>
    <w:rsid w:val="00565B27"/>
    <w:rsid w:val="00565BBE"/>
    <w:rsid w:val="00567927"/>
    <w:rsid w:val="00567AEA"/>
    <w:rsid w:val="00567B21"/>
    <w:rsid w:val="0057053B"/>
    <w:rsid w:val="0057082B"/>
    <w:rsid w:val="00570B37"/>
    <w:rsid w:val="0057107B"/>
    <w:rsid w:val="005715B4"/>
    <w:rsid w:val="0057209C"/>
    <w:rsid w:val="005723B0"/>
    <w:rsid w:val="00572A8B"/>
    <w:rsid w:val="00572D4E"/>
    <w:rsid w:val="00574722"/>
    <w:rsid w:val="00574AF8"/>
    <w:rsid w:val="00575173"/>
    <w:rsid w:val="005759D1"/>
    <w:rsid w:val="00575D07"/>
    <w:rsid w:val="00576149"/>
    <w:rsid w:val="00576636"/>
    <w:rsid w:val="0057724E"/>
    <w:rsid w:val="0057732D"/>
    <w:rsid w:val="00577A25"/>
    <w:rsid w:val="005804F4"/>
    <w:rsid w:val="00580970"/>
    <w:rsid w:val="005809E8"/>
    <w:rsid w:val="0058100A"/>
    <w:rsid w:val="0058128B"/>
    <w:rsid w:val="00581442"/>
    <w:rsid w:val="0058146C"/>
    <w:rsid w:val="005815E6"/>
    <w:rsid w:val="00581F65"/>
    <w:rsid w:val="005826C9"/>
    <w:rsid w:val="00582AE7"/>
    <w:rsid w:val="00582B46"/>
    <w:rsid w:val="00583022"/>
    <w:rsid w:val="005836E8"/>
    <w:rsid w:val="005839B1"/>
    <w:rsid w:val="005843AB"/>
    <w:rsid w:val="00584BFD"/>
    <w:rsid w:val="00584E46"/>
    <w:rsid w:val="00584EA3"/>
    <w:rsid w:val="00585126"/>
    <w:rsid w:val="0058557B"/>
    <w:rsid w:val="005868BB"/>
    <w:rsid w:val="00586AD4"/>
    <w:rsid w:val="00586C7E"/>
    <w:rsid w:val="00587C3B"/>
    <w:rsid w:val="00587C53"/>
    <w:rsid w:val="0059001E"/>
    <w:rsid w:val="0059261E"/>
    <w:rsid w:val="005929FD"/>
    <w:rsid w:val="00593CB4"/>
    <w:rsid w:val="00593F19"/>
    <w:rsid w:val="00593F2F"/>
    <w:rsid w:val="00594F0A"/>
    <w:rsid w:val="00595115"/>
    <w:rsid w:val="005952AE"/>
    <w:rsid w:val="0059596A"/>
    <w:rsid w:val="00595DA7"/>
    <w:rsid w:val="00595E48"/>
    <w:rsid w:val="00596235"/>
    <w:rsid w:val="00596D7C"/>
    <w:rsid w:val="00596F25"/>
    <w:rsid w:val="00596FD4"/>
    <w:rsid w:val="00597C4D"/>
    <w:rsid w:val="005A0173"/>
    <w:rsid w:val="005A0393"/>
    <w:rsid w:val="005A0F59"/>
    <w:rsid w:val="005A16C6"/>
    <w:rsid w:val="005A1938"/>
    <w:rsid w:val="005A20A2"/>
    <w:rsid w:val="005A21B2"/>
    <w:rsid w:val="005A21D0"/>
    <w:rsid w:val="005A23C3"/>
    <w:rsid w:val="005A27A4"/>
    <w:rsid w:val="005A28D4"/>
    <w:rsid w:val="005A2E5D"/>
    <w:rsid w:val="005A2F0A"/>
    <w:rsid w:val="005A4578"/>
    <w:rsid w:val="005A4A95"/>
    <w:rsid w:val="005A6727"/>
    <w:rsid w:val="005A741F"/>
    <w:rsid w:val="005A75F1"/>
    <w:rsid w:val="005A7B5C"/>
    <w:rsid w:val="005B067F"/>
    <w:rsid w:val="005B0D2B"/>
    <w:rsid w:val="005B11E4"/>
    <w:rsid w:val="005B2040"/>
    <w:rsid w:val="005B240D"/>
    <w:rsid w:val="005B2BB8"/>
    <w:rsid w:val="005B48A2"/>
    <w:rsid w:val="005B4D9D"/>
    <w:rsid w:val="005B5D02"/>
    <w:rsid w:val="005B6502"/>
    <w:rsid w:val="005B67DC"/>
    <w:rsid w:val="005B708D"/>
    <w:rsid w:val="005B7104"/>
    <w:rsid w:val="005B7217"/>
    <w:rsid w:val="005B7410"/>
    <w:rsid w:val="005C1191"/>
    <w:rsid w:val="005C1C3C"/>
    <w:rsid w:val="005C217D"/>
    <w:rsid w:val="005C2A07"/>
    <w:rsid w:val="005C2B8C"/>
    <w:rsid w:val="005C3E49"/>
    <w:rsid w:val="005C45C4"/>
    <w:rsid w:val="005C48FB"/>
    <w:rsid w:val="005C4AE9"/>
    <w:rsid w:val="005C59EE"/>
    <w:rsid w:val="005C5B38"/>
    <w:rsid w:val="005C5B8E"/>
    <w:rsid w:val="005C5E42"/>
    <w:rsid w:val="005C5E8F"/>
    <w:rsid w:val="005C5F97"/>
    <w:rsid w:val="005C6264"/>
    <w:rsid w:val="005C6784"/>
    <w:rsid w:val="005C680B"/>
    <w:rsid w:val="005C749A"/>
    <w:rsid w:val="005C769C"/>
    <w:rsid w:val="005C77B6"/>
    <w:rsid w:val="005D0003"/>
    <w:rsid w:val="005D28DF"/>
    <w:rsid w:val="005D2C52"/>
    <w:rsid w:val="005D30E4"/>
    <w:rsid w:val="005D30E9"/>
    <w:rsid w:val="005D31B8"/>
    <w:rsid w:val="005D372D"/>
    <w:rsid w:val="005D3A6E"/>
    <w:rsid w:val="005D3C2F"/>
    <w:rsid w:val="005D46B2"/>
    <w:rsid w:val="005D5545"/>
    <w:rsid w:val="005D55AA"/>
    <w:rsid w:val="005D7A31"/>
    <w:rsid w:val="005E00E3"/>
    <w:rsid w:val="005E01DE"/>
    <w:rsid w:val="005E06D3"/>
    <w:rsid w:val="005E1245"/>
    <w:rsid w:val="005E1494"/>
    <w:rsid w:val="005E2149"/>
    <w:rsid w:val="005E227B"/>
    <w:rsid w:val="005E281E"/>
    <w:rsid w:val="005E2D62"/>
    <w:rsid w:val="005E2E8B"/>
    <w:rsid w:val="005E326D"/>
    <w:rsid w:val="005E336A"/>
    <w:rsid w:val="005E35AC"/>
    <w:rsid w:val="005E3CE0"/>
    <w:rsid w:val="005E3F5A"/>
    <w:rsid w:val="005E41B4"/>
    <w:rsid w:val="005E4BFB"/>
    <w:rsid w:val="005E4F0D"/>
    <w:rsid w:val="005E580B"/>
    <w:rsid w:val="005E657F"/>
    <w:rsid w:val="005E7135"/>
    <w:rsid w:val="005E774A"/>
    <w:rsid w:val="005E79C6"/>
    <w:rsid w:val="005E7AFE"/>
    <w:rsid w:val="005E7CF7"/>
    <w:rsid w:val="005E7D4C"/>
    <w:rsid w:val="005F0F60"/>
    <w:rsid w:val="005F1424"/>
    <w:rsid w:val="005F148D"/>
    <w:rsid w:val="005F1580"/>
    <w:rsid w:val="005F1A99"/>
    <w:rsid w:val="005F260E"/>
    <w:rsid w:val="005F29A0"/>
    <w:rsid w:val="005F2C2D"/>
    <w:rsid w:val="005F3973"/>
    <w:rsid w:val="005F3ED8"/>
    <w:rsid w:val="005F499C"/>
    <w:rsid w:val="005F4A53"/>
    <w:rsid w:val="005F4C4E"/>
    <w:rsid w:val="005F4E9B"/>
    <w:rsid w:val="005F5095"/>
    <w:rsid w:val="005F516C"/>
    <w:rsid w:val="005F5257"/>
    <w:rsid w:val="005F590F"/>
    <w:rsid w:val="005F5A20"/>
    <w:rsid w:val="005F6468"/>
    <w:rsid w:val="005F66A0"/>
    <w:rsid w:val="005F6B57"/>
    <w:rsid w:val="005F6CB7"/>
    <w:rsid w:val="005F7107"/>
    <w:rsid w:val="005F74A3"/>
    <w:rsid w:val="005F7BA1"/>
    <w:rsid w:val="00600643"/>
    <w:rsid w:val="006008F6"/>
    <w:rsid w:val="00601429"/>
    <w:rsid w:val="00601585"/>
    <w:rsid w:val="00602315"/>
    <w:rsid w:val="00602CF0"/>
    <w:rsid w:val="00603558"/>
    <w:rsid w:val="0060356C"/>
    <w:rsid w:val="0060385A"/>
    <w:rsid w:val="00603A07"/>
    <w:rsid w:val="00603D3E"/>
    <w:rsid w:val="00604630"/>
    <w:rsid w:val="00604998"/>
    <w:rsid w:val="0060530E"/>
    <w:rsid w:val="00605B13"/>
    <w:rsid w:val="00605E6F"/>
    <w:rsid w:val="00605ECA"/>
    <w:rsid w:val="006065A5"/>
    <w:rsid w:val="00607502"/>
    <w:rsid w:val="0060785F"/>
    <w:rsid w:val="00607ACE"/>
    <w:rsid w:val="00610275"/>
    <w:rsid w:val="00610431"/>
    <w:rsid w:val="00610DE0"/>
    <w:rsid w:val="00610E66"/>
    <w:rsid w:val="00611176"/>
    <w:rsid w:val="006113F1"/>
    <w:rsid w:val="0061178A"/>
    <w:rsid w:val="00611A96"/>
    <w:rsid w:val="00611EBC"/>
    <w:rsid w:val="00612116"/>
    <w:rsid w:val="006123C3"/>
    <w:rsid w:val="00613115"/>
    <w:rsid w:val="00613452"/>
    <w:rsid w:val="00615084"/>
    <w:rsid w:val="0061557E"/>
    <w:rsid w:val="006156C8"/>
    <w:rsid w:val="006157F0"/>
    <w:rsid w:val="00615BEF"/>
    <w:rsid w:val="00615D70"/>
    <w:rsid w:val="006163ED"/>
    <w:rsid w:val="0061650E"/>
    <w:rsid w:val="00616610"/>
    <w:rsid w:val="00617FB6"/>
    <w:rsid w:val="006215B4"/>
    <w:rsid w:val="0062207A"/>
    <w:rsid w:val="00622DBD"/>
    <w:rsid w:val="0062319F"/>
    <w:rsid w:val="00623450"/>
    <w:rsid w:val="00623833"/>
    <w:rsid w:val="00624151"/>
    <w:rsid w:val="006247D4"/>
    <w:rsid w:val="00624CE6"/>
    <w:rsid w:val="006255A6"/>
    <w:rsid w:val="006255A7"/>
    <w:rsid w:val="00625C78"/>
    <w:rsid w:val="0062637A"/>
    <w:rsid w:val="006272A5"/>
    <w:rsid w:val="006276E0"/>
    <w:rsid w:val="006279F4"/>
    <w:rsid w:val="006311C7"/>
    <w:rsid w:val="00631348"/>
    <w:rsid w:val="00631C9D"/>
    <w:rsid w:val="006328D2"/>
    <w:rsid w:val="00632C9B"/>
    <w:rsid w:val="00632FB6"/>
    <w:rsid w:val="00632FF3"/>
    <w:rsid w:val="00633848"/>
    <w:rsid w:val="00633EA3"/>
    <w:rsid w:val="00635394"/>
    <w:rsid w:val="006353A6"/>
    <w:rsid w:val="006354B8"/>
    <w:rsid w:val="00635D8C"/>
    <w:rsid w:val="00636F2E"/>
    <w:rsid w:val="00637421"/>
    <w:rsid w:val="006374EB"/>
    <w:rsid w:val="00637695"/>
    <w:rsid w:val="00637824"/>
    <w:rsid w:val="00637F5D"/>
    <w:rsid w:val="006401AE"/>
    <w:rsid w:val="00640D44"/>
    <w:rsid w:val="00641780"/>
    <w:rsid w:val="00641BCF"/>
    <w:rsid w:val="00641EFE"/>
    <w:rsid w:val="00643547"/>
    <w:rsid w:val="006438EA"/>
    <w:rsid w:val="006442B1"/>
    <w:rsid w:val="006456AD"/>
    <w:rsid w:val="0064570C"/>
    <w:rsid w:val="00647435"/>
    <w:rsid w:val="00647752"/>
    <w:rsid w:val="006502FF"/>
    <w:rsid w:val="006503B1"/>
    <w:rsid w:val="006505DE"/>
    <w:rsid w:val="00650CC3"/>
    <w:rsid w:val="00650D90"/>
    <w:rsid w:val="00651B42"/>
    <w:rsid w:val="006523A2"/>
    <w:rsid w:val="00653757"/>
    <w:rsid w:val="00653F1B"/>
    <w:rsid w:val="00654441"/>
    <w:rsid w:val="00654BA5"/>
    <w:rsid w:val="0065578D"/>
    <w:rsid w:val="0065586F"/>
    <w:rsid w:val="00655B49"/>
    <w:rsid w:val="00655E65"/>
    <w:rsid w:val="00655E99"/>
    <w:rsid w:val="00656D90"/>
    <w:rsid w:val="006572A0"/>
    <w:rsid w:val="00657448"/>
    <w:rsid w:val="00657923"/>
    <w:rsid w:val="00657E06"/>
    <w:rsid w:val="00657E7D"/>
    <w:rsid w:val="00657FEF"/>
    <w:rsid w:val="00660432"/>
    <w:rsid w:val="0066047A"/>
    <w:rsid w:val="00660497"/>
    <w:rsid w:val="00660877"/>
    <w:rsid w:val="006611EA"/>
    <w:rsid w:val="006612C9"/>
    <w:rsid w:val="006616B7"/>
    <w:rsid w:val="006617F6"/>
    <w:rsid w:val="00661C11"/>
    <w:rsid w:val="00661CA4"/>
    <w:rsid w:val="00661E08"/>
    <w:rsid w:val="00662561"/>
    <w:rsid w:val="0066291B"/>
    <w:rsid w:val="00662DBB"/>
    <w:rsid w:val="006630B7"/>
    <w:rsid w:val="006639FB"/>
    <w:rsid w:val="00664B8A"/>
    <w:rsid w:val="00664B98"/>
    <w:rsid w:val="00665789"/>
    <w:rsid w:val="00665C9C"/>
    <w:rsid w:val="0066656D"/>
    <w:rsid w:val="006667DB"/>
    <w:rsid w:val="00666A4E"/>
    <w:rsid w:val="00666EEF"/>
    <w:rsid w:val="006678AF"/>
    <w:rsid w:val="00667A40"/>
    <w:rsid w:val="0067058B"/>
    <w:rsid w:val="00670761"/>
    <w:rsid w:val="00671775"/>
    <w:rsid w:val="00671873"/>
    <w:rsid w:val="00671BAE"/>
    <w:rsid w:val="00671D64"/>
    <w:rsid w:val="006729CB"/>
    <w:rsid w:val="00672ED4"/>
    <w:rsid w:val="00673137"/>
    <w:rsid w:val="0067334A"/>
    <w:rsid w:val="006736FD"/>
    <w:rsid w:val="00674CB3"/>
    <w:rsid w:val="0067609C"/>
    <w:rsid w:val="0067667C"/>
    <w:rsid w:val="00676949"/>
    <w:rsid w:val="00676ED6"/>
    <w:rsid w:val="00680F7C"/>
    <w:rsid w:val="00681592"/>
    <w:rsid w:val="00681D83"/>
    <w:rsid w:val="0068250F"/>
    <w:rsid w:val="006836F8"/>
    <w:rsid w:val="00683C8B"/>
    <w:rsid w:val="00683F5A"/>
    <w:rsid w:val="0068472E"/>
    <w:rsid w:val="00684DC9"/>
    <w:rsid w:val="00684E5A"/>
    <w:rsid w:val="00685522"/>
    <w:rsid w:val="006858BA"/>
    <w:rsid w:val="00685E82"/>
    <w:rsid w:val="00685F0F"/>
    <w:rsid w:val="0068710A"/>
    <w:rsid w:val="006900C2"/>
    <w:rsid w:val="006906A2"/>
    <w:rsid w:val="00692116"/>
    <w:rsid w:val="006927F8"/>
    <w:rsid w:val="00693214"/>
    <w:rsid w:val="00693554"/>
    <w:rsid w:val="006940FB"/>
    <w:rsid w:val="0069456F"/>
    <w:rsid w:val="0069471F"/>
    <w:rsid w:val="00694977"/>
    <w:rsid w:val="00694ECC"/>
    <w:rsid w:val="00695319"/>
    <w:rsid w:val="00695ABB"/>
    <w:rsid w:val="00696246"/>
    <w:rsid w:val="006964CD"/>
    <w:rsid w:val="00697866"/>
    <w:rsid w:val="00697FF7"/>
    <w:rsid w:val="006A037B"/>
    <w:rsid w:val="006A0AB6"/>
    <w:rsid w:val="006A132A"/>
    <w:rsid w:val="006A1C33"/>
    <w:rsid w:val="006A1D20"/>
    <w:rsid w:val="006A2180"/>
    <w:rsid w:val="006A2289"/>
    <w:rsid w:val="006A2905"/>
    <w:rsid w:val="006A3031"/>
    <w:rsid w:val="006A337B"/>
    <w:rsid w:val="006A3AF5"/>
    <w:rsid w:val="006A3EE0"/>
    <w:rsid w:val="006A40FC"/>
    <w:rsid w:val="006A42DC"/>
    <w:rsid w:val="006A47D3"/>
    <w:rsid w:val="006A549C"/>
    <w:rsid w:val="006A5719"/>
    <w:rsid w:val="006A5CDB"/>
    <w:rsid w:val="006A6355"/>
    <w:rsid w:val="006A66AE"/>
    <w:rsid w:val="006A74F1"/>
    <w:rsid w:val="006A76B0"/>
    <w:rsid w:val="006A7F57"/>
    <w:rsid w:val="006B090A"/>
    <w:rsid w:val="006B0CD9"/>
    <w:rsid w:val="006B1072"/>
    <w:rsid w:val="006B1901"/>
    <w:rsid w:val="006B1D9E"/>
    <w:rsid w:val="006B235C"/>
    <w:rsid w:val="006B2591"/>
    <w:rsid w:val="006B26D9"/>
    <w:rsid w:val="006B30A9"/>
    <w:rsid w:val="006B36E3"/>
    <w:rsid w:val="006B3BED"/>
    <w:rsid w:val="006B3CBC"/>
    <w:rsid w:val="006B4A70"/>
    <w:rsid w:val="006B4DC3"/>
    <w:rsid w:val="006B52DD"/>
    <w:rsid w:val="006B5665"/>
    <w:rsid w:val="006B57C9"/>
    <w:rsid w:val="006B5E7A"/>
    <w:rsid w:val="006B616A"/>
    <w:rsid w:val="006B628B"/>
    <w:rsid w:val="006B70A2"/>
    <w:rsid w:val="006B7588"/>
    <w:rsid w:val="006B7BF0"/>
    <w:rsid w:val="006C01A1"/>
    <w:rsid w:val="006C0A4C"/>
    <w:rsid w:val="006C0B4D"/>
    <w:rsid w:val="006C0F49"/>
    <w:rsid w:val="006C14B4"/>
    <w:rsid w:val="006C24FD"/>
    <w:rsid w:val="006C2680"/>
    <w:rsid w:val="006C269A"/>
    <w:rsid w:val="006C3CA7"/>
    <w:rsid w:val="006C3EC8"/>
    <w:rsid w:val="006C42BC"/>
    <w:rsid w:val="006C4420"/>
    <w:rsid w:val="006C5683"/>
    <w:rsid w:val="006C59CB"/>
    <w:rsid w:val="006C5FE5"/>
    <w:rsid w:val="006C6230"/>
    <w:rsid w:val="006C6737"/>
    <w:rsid w:val="006C7801"/>
    <w:rsid w:val="006D1780"/>
    <w:rsid w:val="006D22B3"/>
    <w:rsid w:val="006D29DF"/>
    <w:rsid w:val="006D353E"/>
    <w:rsid w:val="006D3E0D"/>
    <w:rsid w:val="006D3F04"/>
    <w:rsid w:val="006D44B3"/>
    <w:rsid w:val="006D496E"/>
    <w:rsid w:val="006D4AA0"/>
    <w:rsid w:val="006D6353"/>
    <w:rsid w:val="006D671A"/>
    <w:rsid w:val="006D6E4E"/>
    <w:rsid w:val="006D7383"/>
    <w:rsid w:val="006D7712"/>
    <w:rsid w:val="006D7EF5"/>
    <w:rsid w:val="006E044E"/>
    <w:rsid w:val="006E049B"/>
    <w:rsid w:val="006E0AB1"/>
    <w:rsid w:val="006E14B4"/>
    <w:rsid w:val="006E159C"/>
    <w:rsid w:val="006E1889"/>
    <w:rsid w:val="006E1CC0"/>
    <w:rsid w:val="006E238F"/>
    <w:rsid w:val="006E24D5"/>
    <w:rsid w:val="006E269F"/>
    <w:rsid w:val="006E2791"/>
    <w:rsid w:val="006E2A6F"/>
    <w:rsid w:val="006E33EE"/>
    <w:rsid w:val="006E389D"/>
    <w:rsid w:val="006E445D"/>
    <w:rsid w:val="006E4E28"/>
    <w:rsid w:val="006E50DB"/>
    <w:rsid w:val="006E52E5"/>
    <w:rsid w:val="006E5454"/>
    <w:rsid w:val="006E58CD"/>
    <w:rsid w:val="006E5F97"/>
    <w:rsid w:val="006E66A7"/>
    <w:rsid w:val="006E7D95"/>
    <w:rsid w:val="006E7DF5"/>
    <w:rsid w:val="006F0951"/>
    <w:rsid w:val="006F136E"/>
    <w:rsid w:val="006F1752"/>
    <w:rsid w:val="006F23FB"/>
    <w:rsid w:val="006F2977"/>
    <w:rsid w:val="006F2ACC"/>
    <w:rsid w:val="006F2D46"/>
    <w:rsid w:val="006F2EA8"/>
    <w:rsid w:val="006F3195"/>
    <w:rsid w:val="006F34AC"/>
    <w:rsid w:val="006F365A"/>
    <w:rsid w:val="006F39BF"/>
    <w:rsid w:val="006F3DEB"/>
    <w:rsid w:val="006F3FAD"/>
    <w:rsid w:val="006F41A3"/>
    <w:rsid w:val="006F48B1"/>
    <w:rsid w:val="006F4916"/>
    <w:rsid w:val="006F4CB6"/>
    <w:rsid w:val="006F5AC1"/>
    <w:rsid w:val="006F5C4C"/>
    <w:rsid w:val="006F5E6C"/>
    <w:rsid w:val="006F5F84"/>
    <w:rsid w:val="006F655C"/>
    <w:rsid w:val="006F689F"/>
    <w:rsid w:val="006F6A57"/>
    <w:rsid w:val="006F7586"/>
    <w:rsid w:val="006F7610"/>
    <w:rsid w:val="006F7B56"/>
    <w:rsid w:val="007008EE"/>
    <w:rsid w:val="00700D98"/>
    <w:rsid w:val="0070267E"/>
    <w:rsid w:val="00702A6F"/>
    <w:rsid w:val="00702D8B"/>
    <w:rsid w:val="00703990"/>
    <w:rsid w:val="00704208"/>
    <w:rsid w:val="0070432E"/>
    <w:rsid w:val="007046EB"/>
    <w:rsid w:val="00704918"/>
    <w:rsid w:val="007059DA"/>
    <w:rsid w:val="00706580"/>
    <w:rsid w:val="00706889"/>
    <w:rsid w:val="007069F5"/>
    <w:rsid w:val="00706E32"/>
    <w:rsid w:val="0070706E"/>
    <w:rsid w:val="00707BCD"/>
    <w:rsid w:val="00707DFF"/>
    <w:rsid w:val="00707F94"/>
    <w:rsid w:val="00710AD9"/>
    <w:rsid w:val="00710D8E"/>
    <w:rsid w:val="00710F64"/>
    <w:rsid w:val="00711882"/>
    <w:rsid w:val="00711BE6"/>
    <w:rsid w:val="00712501"/>
    <w:rsid w:val="0071266C"/>
    <w:rsid w:val="00713207"/>
    <w:rsid w:val="00713639"/>
    <w:rsid w:val="0071611B"/>
    <w:rsid w:val="00716392"/>
    <w:rsid w:val="007175B9"/>
    <w:rsid w:val="00717A83"/>
    <w:rsid w:val="007200D2"/>
    <w:rsid w:val="00720475"/>
    <w:rsid w:val="0072048D"/>
    <w:rsid w:val="0072150B"/>
    <w:rsid w:val="00721954"/>
    <w:rsid w:val="00721B85"/>
    <w:rsid w:val="007221FF"/>
    <w:rsid w:val="00722E45"/>
    <w:rsid w:val="00722E5E"/>
    <w:rsid w:val="007242E9"/>
    <w:rsid w:val="00724DD5"/>
    <w:rsid w:val="00724FA5"/>
    <w:rsid w:val="007252D2"/>
    <w:rsid w:val="00725C9A"/>
    <w:rsid w:val="00725D4A"/>
    <w:rsid w:val="00725E49"/>
    <w:rsid w:val="00725E7B"/>
    <w:rsid w:val="007260B9"/>
    <w:rsid w:val="0072677E"/>
    <w:rsid w:val="007272BE"/>
    <w:rsid w:val="00730DD0"/>
    <w:rsid w:val="007314AB"/>
    <w:rsid w:val="007323E5"/>
    <w:rsid w:val="007334D0"/>
    <w:rsid w:val="007334F1"/>
    <w:rsid w:val="00733B12"/>
    <w:rsid w:val="0073431F"/>
    <w:rsid w:val="00734619"/>
    <w:rsid w:val="007347CB"/>
    <w:rsid w:val="007349C9"/>
    <w:rsid w:val="00734E5B"/>
    <w:rsid w:val="00734F68"/>
    <w:rsid w:val="007360B2"/>
    <w:rsid w:val="00736611"/>
    <w:rsid w:val="00736647"/>
    <w:rsid w:val="00736EE2"/>
    <w:rsid w:val="007373E9"/>
    <w:rsid w:val="007379A4"/>
    <w:rsid w:val="00737F00"/>
    <w:rsid w:val="00737FD4"/>
    <w:rsid w:val="007408CC"/>
    <w:rsid w:val="00740FBD"/>
    <w:rsid w:val="00742296"/>
    <w:rsid w:val="00742657"/>
    <w:rsid w:val="00742707"/>
    <w:rsid w:val="007427FB"/>
    <w:rsid w:val="007438D4"/>
    <w:rsid w:val="00743F6E"/>
    <w:rsid w:val="0074470C"/>
    <w:rsid w:val="00745821"/>
    <w:rsid w:val="00745D38"/>
    <w:rsid w:val="00745D6A"/>
    <w:rsid w:val="00745DE9"/>
    <w:rsid w:val="00745E41"/>
    <w:rsid w:val="007460BB"/>
    <w:rsid w:val="00746918"/>
    <w:rsid w:val="00746A22"/>
    <w:rsid w:val="00746FBC"/>
    <w:rsid w:val="00747033"/>
    <w:rsid w:val="007507E4"/>
    <w:rsid w:val="00751256"/>
    <w:rsid w:val="007526DC"/>
    <w:rsid w:val="00752D68"/>
    <w:rsid w:val="00752EC2"/>
    <w:rsid w:val="0075343C"/>
    <w:rsid w:val="007538CD"/>
    <w:rsid w:val="00753F36"/>
    <w:rsid w:val="00754023"/>
    <w:rsid w:val="007542E0"/>
    <w:rsid w:val="00754384"/>
    <w:rsid w:val="00754634"/>
    <w:rsid w:val="007546AF"/>
    <w:rsid w:val="00754707"/>
    <w:rsid w:val="0075621D"/>
    <w:rsid w:val="0075660E"/>
    <w:rsid w:val="007566F6"/>
    <w:rsid w:val="007579C3"/>
    <w:rsid w:val="00757AF3"/>
    <w:rsid w:val="00757B7A"/>
    <w:rsid w:val="0076045D"/>
    <w:rsid w:val="00760588"/>
    <w:rsid w:val="007607A5"/>
    <w:rsid w:val="00760B40"/>
    <w:rsid w:val="007616FC"/>
    <w:rsid w:val="00761BDC"/>
    <w:rsid w:val="00761C44"/>
    <w:rsid w:val="007620B2"/>
    <w:rsid w:val="0076218C"/>
    <w:rsid w:val="00762BE0"/>
    <w:rsid w:val="00763DCB"/>
    <w:rsid w:val="0076453A"/>
    <w:rsid w:val="00765856"/>
    <w:rsid w:val="00765934"/>
    <w:rsid w:val="00765A3D"/>
    <w:rsid w:val="0076601B"/>
    <w:rsid w:val="00766E28"/>
    <w:rsid w:val="00766E81"/>
    <w:rsid w:val="0077040E"/>
    <w:rsid w:val="00770C1A"/>
    <w:rsid w:val="00770DB4"/>
    <w:rsid w:val="00770EF7"/>
    <w:rsid w:val="00770FCC"/>
    <w:rsid w:val="0077131B"/>
    <w:rsid w:val="007717F7"/>
    <w:rsid w:val="00771E0A"/>
    <w:rsid w:val="007726C4"/>
    <w:rsid w:val="0077274A"/>
    <w:rsid w:val="00772A8D"/>
    <w:rsid w:val="00772CC5"/>
    <w:rsid w:val="0077386D"/>
    <w:rsid w:val="00773A6D"/>
    <w:rsid w:val="00773B7D"/>
    <w:rsid w:val="00773EE0"/>
    <w:rsid w:val="007743E9"/>
    <w:rsid w:val="0077451B"/>
    <w:rsid w:val="00774B33"/>
    <w:rsid w:val="00775074"/>
    <w:rsid w:val="007752D1"/>
    <w:rsid w:val="00775664"/>
    <w:rsid w:val="00775815"/>
    <w:rsid w:val="00775C60"/>
    <w:rsid w:val="00775F50"/>
    <w:rsid w:val="00776246"/>
    <w:rsid w:val="007768F4"/>
    <w:rsid w:val="00776D6D"/>
    <w:rsid w:val="00776DCE"/>
    <w:rsid w:val="0077700D"/>
    <w:rsid w:val="007775D1"/>
    <w:rsid w:val="00777BF2"/>
    <w:rsid w:val="00780137"/>
    <w:rsid w:val="0078135F"/>
    <w:rsid w:val="00781401"/>
    <w:rsid w:val="00781B72"/>
    <w:rsid w:val="00782626"/>
    <w:rsid w:val="00782E04"/>
    <w:rsid w:val="007830AC"/>
    <w:rsid w:val="00783424"/>
    <w:rsid w:val="007834B3"/>
    <w:rsid w:val="007837D9"/>
    <w:rsid w:val="007838A6"/>
    <w:rsid w:val="00783C4D"/>
    <w:rsid w:val="007843F1"/>
    <w:rsid w:val="007849B9"/>
    <w:rsid w:val="00784A44"/>
    <w:rsid w:val="0078527B"/>
    <w:rsid w:val="007852C8"/>
    <w:rsid w:val="00785FDC"/>
    <w:rsid w:val="00786962"/>
    <w:rsid w:val="00786969"/>
    <w:rsid w:val="00786C31"/>
    <w:rsid w:val="007872F9"/>
    <w:rsid w:val="00787375"/>
    <w:rsid w:val="00787399"/>
    <w:rsid w:val="007873C5"/>
    <w:rsid w:val="00787EFE"/>
    <w:rsid w:val="00790E3B"/>
    <w:rsid w:val="00790E8E"/>
    <w:rsid w:val="00790F6B"/>
    <w:rsid w:val="0079240A"/>
    <w:rsid w:val="00792586"/>
    <w:rsid w:val="00792B73"/>
    <w:rsid w:val="00792B7C"/>
    <w:rsid w:val="00793180"/>
    <w:rsid w:val="007937E2"/>
    <w:rsid w:val="00793AE9"/>
    <w:rsid w:val="00793B06"/>
    <w:rsid w:val="00793C41"/>
    <w:rsid w:val="00793F67"/>
    <w:rsid w:val="007947AC"/>
    <w:rsid w:val="00794EE4"/>
    <w:rsid w:val="00794FBB"/>
    <w:rsid w:val="00796E99"/>
    <w:rsid w:val="0079713F"/>
    <w:rsid w:val="007A06A9"/>
    <w:rsid w:val="007A07FE"/>
    <w:rsid w:val="007A098E"/>
    <w:rsid w:val="007A0DC5"/>
    <w:rsid w:val="007A1EB6"/>
    <w:rsid w:val="007A1F19"/>
    <w:rsid w:val="007A24C9"/>
    <w:rsid w:val="007A31D5"/>
    <w:rsid w:val="007A3C95"/>
    <w:rsid w:val="007A4131"/>
    <w:rsid w:val="007A428F"/>
    <w:rsid w:val="007A4831"/>
    <w:rsid w:val="007A4D77"/>
    <w:rsid w:val="007A5CE3"/>
    <w:rsid w:val="007A6D54"/>
    <w:rsid w:val="007A796A"/>
    <w:rsid w:val="007A7EEF"/>
    <w:rsid w:val="007B0A20"/>
    <w:rsid w:val="007B0A94"/>
    <w:rsid w:val="007B1074"/>
    <w:rsid w:val="007B157C"/>
    <w:rsid w:val="007B1834"/>
    <w:rsid w:val="007B1A48"/>
    <w:rsid w:val="007B1DE8"/>
    <w:rsid w:val="007B2129"/>
    <w:rsid w:val="007B2580"/>
    <w:rsid w:val="007B296D"/>
    <w:rsid w:val="007B296F"/>
    <w:rsid w:val="007B29FA"/>
    <w:rsid w:val="007B2A6C"/>
    <w:rsid w:val="007B33FB"/>
    <w:rsid w:val="007B354F"/>
    <w:rsid w:val="007B3D4D"/>
    <w:rsid w:val="007B41B5"/>
    <w:rsid w:val="007B421D"/>
    <w:rsid w:val="007B4873"/>
    <w:rsid w:val="007B492C"/>
    <w:rsid w:val="007B4EFA"/>
    <w:rsid w:val="007B5DA3"/>
    <w:rsid w:val="007B5F55"/>
    <w:rsid w:val="007B6244"/>
    <w:rsid w:val="007B703B"/>
    <w:rsid w:val="007B70B3"/>
    <w:rsid w:val="007B71D7"/>
    <w:rsid w:val="007B7436"/>
    <w:rsid w:val="007B7491"/>
    <w:rsid w:val="007B778A"/>
    <w:rsid w:val="007B7BCA"/>
    <w:rsid w:val="007C010F"/>
    <w:rsid w:val="007C0164"/>
    <w:rsid w:val="007C2044"/>
    <w:rsid w:val="007C21C6"/>
    <w:rsid w:val="007C26A7"/>
    <w:rsid w:val="007C2D5F"/>
    <w:rsid w:val="007C3D3F"/>
    <w:rsid w:val="007C43C6"/>
    <w:rsid w:val="007C4774"/>
    <w:rsid w:val="007C4C58"/>
    <w:rsid w:val="007C4F32"/>
    <w:rsid w:val="007C4F78"/>
    <w:rsid w:val="007C53A9"/>
    <w:rsid w:val="007C5AE2"/>
    <w:rsid w:val="007C5D6B"/>
    <w:rsid w:val="007C6045"/>
    <w:rsid w:val="007C6141"/>
    <w:rsid w:val="007C6B22"/>
    <w:rsid w:val="007C758C"/>
    <w:rsid w:val="007C77BA"/>
    <w:rsid w:val="007C7A9E"/>
    <w:rsid w:val="007C7F6C"/>
    <w:rsid w:val="007D0142"/>
    <w:rsid w:val="007D022A"/>
    <w:rsid w:val="007D2626"/>
    <w:rsid w:val="007D30E8"/>
    <w:rsid w:val="007D4024"/>
    <w:rsid w:val="007D40A4"/>
    <w:rsid w:val="007D4E88"/>
    <w:rsid w:val="007D5DCF"/>
    <w:rsid w:val="007D63D1"/>
    <w:rsid w:val="007D6F9A"/>
    <w:rsid w:val="007D70D5"/>
    <w:rsid w:val="007D73EF"/>
    <w:rsid w:val="007D74E1"/>
    <w:rsid w:val="007E01B1"/>
    <w:rsid w:val="007E0F4C"/>
    <w:rsid w:val="007E0FE7"/>
    <w:rsid w:val="007E1034"/>
    <w:rsid w:val="007E1C00"/>
    <w:rsid w:val="007E252B"/>
    <w:rsid w:val="007E25E0"/>
    <w:rsid w:val="007E26A3"/>
    <w:rsid w:val="007E2BED"/>
    <w:rsid w:val="007E32BE"/>
    <w:rsid w:val="007E373C"/>
    <w:rsid w:val="007E44F2"/>
    <w:rsid w:val="007E462B"/>
    <w:rsid w:val="007E5142"/>
    <w:rsid w:val="007E566D"/>
    <w:rsid w:val="007E5B09"/>
    <w:rsid w:val="007E61C0"/>
    <w:rsid w:val="007E665F"/>
    <w:rsid w:val="007E69B8"/>
    <w:rsid w:val="007E6D19"/>
    <w:rsid w:val="007E76EA"/>
    <w:rsid w:val="007E7A6B"/>
    <w:rsid w:val="007E7C13"/>
    <w:rsid w:val="007F072A"/>
    <w:rsid w:val="007F0B43"/>
    <w:rsid w:val="007F0EEA"/>
    <w:rsid w:val="007F2136"/>
    <w:rsid w:val="007F270C"/>
    <w:rsid w:val="007F340F"/>
    <w:rsid w:val="007F39E3"/>
    <w:rsid w:val="007F43AD"/>
    <w:rsid w:val="007F470B"/>
    <w:rsid w:val="007F4A51"/>
    <w:rsid w:val="007F4A7B"/>
    <w:rsid w:val="007F4DFE"/>
    <w:rsid w:val="007F4F77"/>
    <w:rsid w:val="007F5707"/>
    <w:rsid w:val="007F5CD9"/>
    <w:rsid w:val="007F5D9D"/>
    <w:rsid w:val="007F5E79"/>
    <w:rsid w:val="007F6593"/>
    <w:rsid w:val="007F689B"/>
    <w:rsid w:val="007F6FF6"/>
    <w:rsid w:val="007F71A1"/>
    <w:rsid w:val="008002CE"/>
    <w:rsid w:val="008006F3"/>
    <w:rsid w:val="00801662"/>
    <w:rsid w:val="0080171B"/>
    <w:rsid w:val="00801C63"/>
    <w:rsid w:val="00801E16"/>
    <w:rsid w:val="00801F45"/>
    <w:rsid w:val="008021D1"/>
    <w:rsid w:val="008021E8"/>
    <w:rsid w:val="0080224B"/>
    <w:rsid w:val="0080227B"/>
    <w:rsid w:val="008028DB"/>
    <w:rsid w:val="00802928"/>
    <w:rsid w:val="008029A2"/>
    <w:rsid w:val="00802E46"/>
    <w:rsid w:val="00802ED2"/>
    <w:rsid w:val="00803402"/>
    <w:rsid w:val="008041B5"/>
    <w:rsid w:val="00805667"/>
    <w:rsid w:val="008059E1"/>
    <w:rsid w:val="0080751E"/>
    <w:rsid w:val="00807561"/>
    <w:rsid w:val="00810090"/>
    <w:rsid w:val="00810D6D"/>
    <w:rsid w:val="0081118C"/>
    <w:rsid w:val="00811287"/>
    <w:rsid w:val="008113FA"/>
    <w:rsid w:val="008118A6"/>
    <w:rsid w:val="00811DB5"/>
    <w:rsid w:val="00812EEA"/>
    <w:rsid w:val="00813AF6"/>
    <w:rsid w:val="00813EDE"/>
    <w:rsid w:val="0081536F"/>
    <w:rsid w:val="0081553A"/>
    <w:rsid w:val="00815FCC"/>
    <w:rsid w:val="008177F1"/>
    <w:rsid w:val="00817842"/>
    <w:rsid w:val="00817FF2"/>
    <w:rsid w:val="0082028A"/>
    <w:rsid w:val="008204E5"/>
    <w:rsid w:val="008207AA"/>
    <w:rsid w:val="008208AD"/>
    <w:rsid w:val="0082106F"/>
    <w:rsid w:val="0082134A"/>
    <w:rsid w:val="00821B63"/>
    <w:rsid w:val="00822ED8"/>
    <w:rsid w:val="008233B5"/>
    <w:rsid w:val="00823BC3"/>
    <w:rsid w:val="00823C87"/>
    <w:rsid w:val="008258F4"/>
    <w:rsid w:val="0082593D"/>
    <w:rsid w:val="00825C78"/>
    <w:rsid w:val="00825FC2"/>
    <w:rsid w:val="00826000"/>
    <w:rsid w:val="008260BB"/>
    <w:rsid w:val="0082632F"/>
    <w:rsid w:val="00826D6C"/>
    <w:rsid w:val="00827742"/>
    <w:rsid w:val="00827B1A"/>
    <w:rsid w:val="0083105E"/>
    <w:rsid w:val="00831449"/>
    <w:rsid w:val="00831537"/>
    <w:rsid w:val="00831F1B"/>
    <w:rsid w:val="008329E3"/>
    <w:rsid w:val="008333BB"/>
    <w:rsid w:val="00834003"/>
    <w:rsid w:val="00834100"/>
    <w:rsid w:val="008341CE"/>
    <w:rsid w:val="008351BA"/>
    <w:rsid w:val="008352D3"/>
    <w:rsid w:val="00835B6E"/>
    <w:rsid w:val="00835F58"/>
    <w:rsid w:val="00836161"/>
    <w:rsid w:val="00836574"/>
    <w:rsid w:val="0083685F"/>
    <w:rsid w:val="008372CB"/>
    <w:rsid w:val="00840014"/>
    <w:rsid w:val="00840A2E"/>
    <w:rsid w:val="00841133"/>
    <w:rsid w:val="008412F4"/>
    <w:rsid w:val="00841561"/>
    <w:rsid w:val="00842192"/>
    <w:rsid w:val="00842644"/>
    <w:rsid w:val="008430E2"/>
    <w:rsid w:val="008430E8"/>
    <w:rsid w:val="00843EA4"/>
    <w:rsid w:val="00843F9C"/>
    <w:rsid w:val="00843FFC"/>
    <w:rsid w:val="00844872"/>
    <w:rsid w:val="00845BCE"/>
    <w:rsid w:val="00845E8D"/>
    <w:rsid w:val="0084612D"/>
    <w:rsid w:val="00846153"/>
    <w:rsid w:val="0084630F"/>
    <w:rsid w:val="008467B5"/>
    <w:rsid w:val="008474FE"/>
    <w:rsid w:val="00847C24"/>
    <w:rsid w:val="00850297"/>
    <w:rsid w:val="0085034E"/>
    <w:rsid w:val="0085064E"/>
    <w:rsid w:val="008509BE"/>
    <w:rsid w:val="00850B44"/>
    <w:rsid w:val="00850BCC"/>
    <w:rsid w:val="00850FCE"/>
    <w:rsid w:val="008519FC"/>
    <w:rsid w:val="00851F58"/>
    <w:rsid w:val="00852AA5"/>
    <w:rsid w:val="00852CF0"/>
    <w:rsid w:val="00852D19"/>
    <w:rsid w:val="00852FB1"/>
    <w:rsid w:val="00853143"/>
    <w:rsid w:val="0085418A"/>
    <w:rsid w:val="00854A50"/>
    <w:rsid w:val="00854C98"/>
    <w:rsid w:val="00854E40"/>
    <w:rsid w:val="00855604"/>
    <w:rsid w:val="00855F73"/>
    <w:rsid w:val="008561A3"/>
    <w:rsid w:val="00856699"/>
    <w:rsid w:val="00857BE1"/>
    <w:rsid w:val="00860A58"/>
    <w:rsid w:val="00861186"/>
    <w:rsid w:val="008625D8"/>
    <w:rsid w:val="008626CB"/>
    <w:rsid w:val="00863176"/>
    <w:rsid w:val="00863281"/>
    <w:rsid w:val="008634A9"/>
    <w:rsid w:val="008637B5"/>
    <w:rsid w:val="008644E3"/>
    <w:rsid w:val="008647FD"/>
    <w:rsid w:val="00864D5D"/>
    <w:rsid w:val="0086501E"/>
    <w:rsid w:val="00865982"/>
    <w:rsid w:val="008674BE"/>
    <w:rsid w:val="0086796B"/>
    <w:rsid w:val="008679CA"/>
    <w:rsid w:val="008702A6"/>
    <w:rsid w:val="00870778"/>
    <w:rsid w:val="00870F03"/>
    <w:rsid w:val="008718F6"/>
    <w:rsid w:val="00872DAB"/>
    <w:rsid w:val="00872E5B"/>
    <w:rsid w:val="00873850"/>
    <w:rsid w:val="008746E5"/>
    <w:rsid w:val="00874930"/>
    <w:rsid w:val="00874C13"/>
    <w:rsid w:val="00874D64"/>
    <w:rsid w:val="00874E36"/>
    <w:rsid w:val="0087523C"/>
    <w:rsid w:val="0087579A"/>
    <w:rsid w:val="00875835"/>
    <w:rsid w:val="00875F2D"/>
    <w:rsid w:val="0087604A"/>
    <w:rsid w:val="00876793"/>
    <w:rsid w:val="008767AC"/>
    <w:rsid w:val="00876803"/>
    <w:rsid w:val="00876C81"/>
    <w:rsid w:val="00876FA2"/>
    <w:rsid w:val="0087739C"/>
    <w:rsid w:val="0087764E"/>
    <w:rsid w:val="00877775"/>
    <w:rsid w:val="00877DD5"/>
    <w:rsid w:val="00877EC7"/>
    <w:rsid w:val="00880494"/>
    <w:rsid w:val="008807E8"/>
    <w:rsid w:val="00880A5E"/>
    <w:rsid w:val="00880A75"/>
    <w:rsid w:val="00880DE7"/>
    <w:rsid w:val="008810D4"/>
    <w:rsid w:val="00881751"/>
    <w:rsid w:val="00881B54"/>
    <w:rsid w:val="00881CC4"/>
    <w:rsid w:val="00882266"/>
    <w:rsid w:val="00882A7A"/>
    <w:rsid w:val="008833CC"/>
    <w:rsid w:val="00883485"/>
    <w:rsid w:val="008835BB"/>
    <w:rsid w:val="00884235"/>
    <w:rsid w:val="00884C39"/>
    <w:rsid w:val="00885633"/>
    <w:rsid w:val="00885734"/>
    <w:rsid w:val="00885999"/>
    <w:rsid w:val="00885E0E"/>
    <w:rsid w:val="00886141"/>
    <w:rsid w:val="008861D5"/>
    <w:rsid w:val="0088784C"/>
    <w:rsid w:val="008878C6"/>
    <w:rsid w:val="008901A3"/>
    <w:rsid w:val="008901AF"/>
    <w:rsid w:val="00890512"/>
    <w:rsid w:val="008905EE"/>
    <w:rsid w:val="00890AC8"/>
    <w:rsid w:val="00890FDF"/>
    <w:rsid w:val="00891913"/>
    <w:rsid w:val="00891A68"/>
    <w:rsid w:val="00891BF5"/>
    <w:rsid w:val="00892766"/>
    <w:rsid w:val="00892D08"/>
    <w:rsid w:val="00892FA9"/>
    <w:rsid w:val="00893073"/>
    <w:rsid w:val="008931AA"/>
    <w:rsid w:val="008932F5"/>
    <w:rsid w:val="00893791"/>
    <w:rsid w:val="00893886"/>
    <w:rsid w:val="00894348"/>
    <w:rsid w:val="008947B9"/>
    <w:rsid w:val="008948B9"/>
    <w:rsid w:val="00895A02"/>
    <w:rsid w:val="00895F07"/>
    <w:rsid w:val="0089723B"/>
    <w:rsid w:val="008977F1"/>
    <w:rsid w:val="008A051B"/>
    <w:rsid w:val="008A060C"/>
    <w:rsid w:val="008A09CF"/>
    <w:rsid w:val="008A0F9C"/>
    <w:rsid w:val="008A18BC"/>
    <w:rsid w:val="008A25EA"/>
    <w:rsid w:val="008A3360"/>
    <w:rsid w:val="008A34B1"/>
    <w:rsid w:val="008A36F0"/>
    <w:rsid w:val="008A3854"/>
    <w:rsid w:val="008A3AED"/>
    <w:rsid w:val="008A47D8"/>
    <w:rsid w:val="008A4AD4"/>
    <w:rsid w:val="008A5C6D"/>
    <w:rsid w:val="008A5DEE"/>
    <w:rsid w:val="008A6296"/>
    <w:rsid w:val="008A63F2"/>
    <w:rsid w:val="008A68FB"/>
    <w:rsid w:val="008A6B4F"/>
    <w:rsid w:val="008A774C"/>
    <w:rsid w:val="008A7B83"/>
    <w:rsid w:val="008B0B95"/>
    <w:rsid w:val="008B0C05"/>
    <w:rsid w:val="008B1952"/>
    <w:rsid w:val="008B1B1A"/>
    <w:rsid w:val="008B1C86"/>
    <w:rsid w:val="008B2769"/>
    <w:rsid w:val="008B37C4"/>
    <w:rsid w:val="008B3D5A"/>
    <w:rsid w:val="008B4087"/>
    <w:rsid w:val="008B4354"/>
    <w:rsid w:val="008B586A"/>
    <w:rsid w:val="008B5881"/>
    <w:rsid w:val="008B6034"/>
    <w:rsid w:val="008B6DBF"/>
    <w:rsid w:val="008B6F90"/>
    <w:rsid w:val="008B7E18"/>
    <w:rsid w:val="008C0206"/>
    <w:rsid w:val="008C18A7"/>
    <w:rsid w:val="008C1A8A"/>
    <w:rsid w:val="008C1AC0"/>
    <w:rsid w:val="008C1B05"/>
    <w:rsid w:val="008C1EAB"/>
    <w:rsid w:val="008C23FC"/>
    <w:rsid w:val="008C26D8"/>
    <w:rsid w:val="008C27A1"/>
    <w:rsid w:val="008C2946"/>
    <w:rsid w:val="008C2D66"/>
    <w:rsid w:val="008C2DDD"/>
    <w:rsid w:val="008C3061"/>
    <w:rsid w:val="008C3ADE"/>
    <w:rsid w:val="008C44E3"/>
    <w:rsid w:val="008C4586"/>
    <w:rsid w:val="008C55AE"/>
    <w:rsid w:val="008C5E3F"/>
    <w:rsid w:val="008C633A"/>
    <w:rsid w:val="008C637B"/>
    <w:rsid w:val="008C68B7"/>
    <w:rsid w:val="008C6B14"/>
    <w:rsid w:val="008C6B80"/>
    <w:rsid w:val="008D0C5E"/>
    <w:rsid w:val="008D0DD3"/>
    <w:rsid w:val="008D10B9"/>
    <w:rsid w:val="008D29BB"/>
    <w:rsid w:val="008D2FBD"/>
    <w:rsid w:val="008D32D7"/>
    <w:rsid w:val="008D37A0"/>
    <w:rsid w:val="008D3F7C"/>
    <w:rsid w:val="008D5849"/>
    <w:rsid w:val="008D5A6A"/>
    <w:rsid w:val="008D60EA"/>
    <w:rsid w:val="008D6D8B"/>
    <w:rsid w:val="008D6FCB"/>
    <w:rsid w:val="008D771D"/>
    <w:rsid w:val="008E09DC"/>
    <w:rsid w:val="008E19A8"/>
    <w:rsid w:val="008E20D7"/>
    <w:rsid w:val="008E2A87"/>
    <w:rsid w:val="008E2F26"/>
    <w:rsid w:val="008E3144"/>
    <w:rsid w:val="008E393B"/>
    <w:rsid w:val="008E3BC7"/>
    <w:rsid w:val="008E3CBA"/>
    <w:rsid w:val="008E48AB"/>
    <w:rsid w:val="008E4C08"/>
    <w:rsid w:val="008E572C"/>
    <w:rsid w:val="008E5A6D"/>
    <w:rsid w:val="008E5C5B"/>
    <w:rsid w:val="008E5D1F"/>
    <w:rsid w:val="008E6088"/>
    <w:rsid w:val="008E639E"/>
    <w:rsid w:val="008E77D4"/>
    <w:rsid w:val="008E7E59"/>
    <w:rsid w:val="008E7E72"/>
    <w:rsid w:val="008F024E"/>
    <w:rsid w:val="008F0905"/>
    <w:rsid w:val="008F0D10"/>
    <w:rsid w:val="008F0D90"/>
    <w:rsid w:val="008F0EBB"/>
    <w:rsid w:val="008F1333"/>
    <w:rsid w:val="008F23CF"/>
    <w:rsid w:val="008F2613"/>
    <w:rsid w:val="008F2C12"/>
    <w:rsid w:val="008F32DF"/>
    <w:rsid w:val="008F37F8"/>
    <w:rsid w:val="008F3FAA"/>
    <w:rsid w:val="008F40F4"/>
    <w:rsid w:val="008F4D20"/>
    <w:rsid w:val="008F57ED"/>
    <w:rsid w:val="008F57F2"/>
    <w:rsid w:val="008F5944"/>
    <w:rsid w:val="008F5DF6"/>
    <w:rsid w:val="008F5F58"/>
    <w:rsid w:val="008F6D4B"/>
    <w:rsid w:val="008F6F69"/>
    <w:rsid w:val="008F6FC8"/>
    <w:rsid w:val="008F70FA"/>
    <w:rsid w:val="008F776C"/>
    <w:rsid w:val="0090017D"/>
    <w:rsid w:val="00900939"/>
    <w:rsid w:val="00900A46"/>
    <w:rsid w:val="009011E2"/>
    <w:rsid w:val="009017AE"/>
    <w:rsid w:val="009024BF"/>
    <w:rsid w:val="009028E4"/>
    <w:rsid w:val="00902D9B"/>
    <w:rsid w:val="00903C18"/>
    <w:rsid w:val="00903FAF"/>
    <w:rsid w:val="00904B2C"/>
    <w:rsid w:val="00904BAA"/>
    <w:rsid w:val="00904E29"/>
    <w:rsid w:val="009053A8"/>
    <w:rsid w:val="009058D7"/>
    <w:rsid w:val="00905CA3"/>
    <w:rsid w:val="00906875"/>
    <w:rsid w:val="00906962"/>
    <w:rsid w:val="0090717B"/>
    <w:rsid w:val="00907840"/>
    <w:rsid w:val="0090787A"/>
    <w:rsid w:val="0090790C"/>
    <w:rsid w:val="009108E5"/>
    <w:rsid w:val="00910AEC"/>
    <w:rsid w:val="00911BCE"/>
    <w:rsid w:val="009126A0"/>
    <w:rsid w:val="00913110"/>
    <w:rsid w:val="00913512"/>
    <w:rsid w:val="00913819"/>
    <w:rsid w:val="009138CE"/>
    <w:rsid w:val="00913B2D"/>
    <w:rsid w:val="0091408C"/>
    <w:rsid w:val="009140EA"/>
    <w:rsid w:val="00914B7D"/>
    <w:rsid w:val="00914DE0"/>
    <w:rsid w:val="0091587F"/>
    <w:rsid w:val="00917104"/>
    <w:rsid w:val="009176AC"/>
    <w:rsid w:val="00917CA2"/>
    <w:rsid w:val="00920D86"/>
    <w:rsid w:val="00920F22"/>
    <w:rsid w:val="00921281"/>
    <w:rsid w:val="009218F8"/>
    <w:rsid w:val="0092256D"/>
    <w:rsid w:val="00922594"/>
    <w:rsid w:val="00923409"/>
    <w:rsid w:val="00923798"/>
    <w:rsid w:val="00923F90"/>
    <w:rsid w:val="009242FF"/>
    <w:rsid w:val="00924AFF"/>
    <w:rsid w:val="00924E14"/>
    <w:rsid w:val="00924F80"/>
    <w:rsid w:val="00925067"/>
    <w:rsid w:val="00925131"/>
    <w:rsid w:val="00925396"/>
    <w:rsid w:val="009253D3"/>
    <w:rsid w:val="00925850"/>
    <w:rsid w:val="00925B9D"/>
    <w:rsid w:val="00926A13"/>
    <w:rsid w:val="00926A28"/>
    <w:rsid w:val="00926CCA"/>
    <w:rsid w:val="00926E16"/>
    <w:rsid w:val="00927AC9"/>
    <w:rsid w:val="0093094A"/>
    <w:rsid w:val="00930D6E"/>
    <w:rsid w:val="009312FD"/>
    <w:rsid w:val="0093196B"/>
    <w:rsid w:val="00932195"/>
    <w:rsid w:val="0093379E"/>
    <w:rsid w:val="00934072"/>
    <w:rsid w:val="009340B2"/>
    <w:rsid w:val="00934A5F"/>
    <w:rsid w:val="00935254"/>
    <w:rsid w:val="00935FFE"/>
    <w:rsid w:val="0093682D"/>
    <w:rsid w:val="00936B38"/>
    <w:rsid w:val="00940197"/>
    <w:rsid w:val="00940D07"/>
    <w:rsid w:val="00940D2B"/>
    <w:rsid w:val="00941C07"/>
    <w:rsid w:val="00941F11"/>
    <w:rsid w:val="0094203D"/>
    <w:rsid w:val="00942D10"/>
    <w:rsid w:val="009434B2"/>
    <w:rsid w:val="00943A19"/>
    <w:rsid w:val="0094408D"/>
    <w:rsid w:val="00944263"/>
    <w:rsid w:val="00944911"/>
    <w:rsid w:val="00944BB7"/>
    <w:rsid w:val="00944FDF"/>
    <w:rsid w:val="009451F6"/>
    <w:rsid w:val="00946152"/>
    <w:rsid w:val="009464C2"/>
    <w:rsid w:val="0094653F"/>
    <w:rsid w:val="0094666D"/>
    <w:rsid w:val="00946790"/>
    <w:rsid w:val="00947208"/>
    <w:rsid w:val="0094757D"/>
    <w:rsid w:val="00947A09"/>
    <w:rsid w:val="00950117"/>
    <w:rsid w:val="0095073F"/>
    <w:rsid w:val="0095083A"/>
    <w:rsid w:val="00950C04"/>
    <w:rsid w:val="00950C18"/>
    <w:rsid w:val="00950DE6"/>
    <w:rsid w:val="00950EB3"/>
    <w:rsid w:val="0095160B"/>
    <w:rsid w:val="00951B25"/>
    <w:rsid w:val="00951BC8"/>
    <w:rsid w:val="00952129"/>
    <w:rsid w:val="009521BF"/>
    <w:rsid w:val="00952398"/>
    <w:rsid w:val="009524EA"/>
    <w:rsid w:val="0095268B"/>
    <w:rsid w:val="009529ED"/>
    <w:rsid w:val="00952F70"/>
    <w:rsid w:val="00953201"/>
    <w:rsid w:val="00953288"/>
    <w:rsid w:val="00953507"/>
    <w:rsid w:val="009538DC"/>
    <w:rsid w:val="0095432C"/>
    <w:rsid w:val="00954633"/>
    <w:rsid w:val="009547FA"/>
    <w:rsid w:val="00954C17"/>
    <w:rsid w:val="00955547"/>
    <w:rsid w:val="00956A3E"/>
    <w:rsid w:val="0095708C"/>
    <w:rsid w:val="00957AA7"/>
    <w:rsid w:val="00957FC9"/>
    <w:rsid w:val="0096064D"/>
    <w:rsid w:val="0096089B"/>
    <w:rsid w:val="00960BAC"/>
    <w:rsid w:val="00960E33"/>
    <w:rsid w:val="009616C9"/>
    <w:rsid w:val="009616DC"/>
    <w:rsid w:val="0096173F"/>
    <w:rsid w:val="009621C6"/>
    <w:rsid w:val="009624CA"/>
    <w:rsid w:val="009627F0"/>
    <w:rsid w:val="009628E1"/>
    <w:rsid w:val="00962B86"/>
    <w:rsid w:val="00962D44"/>
    <w:rsid w:val="00964042"/>
    <w:rsid w:val="00964341"/>
    <w:rsid w:val="00964E2D"/>
    <w:rsid w:val="00964F21"/>
    <w:rsid w:val="00965508"/>
    <w:rsid w:val="0096619A"/>
    <w:rsid w:val="0096644A"/>
    <w:rsid w:val="00967766"/>
    <w:rsid w:val="00967915"/>
    <w:rsid w:val="00967BB5"/>
    <w:rsid w:val="00967E5B"/>
    <w:rsid w:val="00970AFD"/>
    <w:rsid w:val="00970F6D"/>
    <w:rsid w:val="00971498"/>
    <w:rsid w:val="00971CAD"/>
    <w:rsid w:val="009720C6"/>
    <w:rsid w:val="009721E4"/>
    <w:rsid w:val="0097241E"/>
    <w:rsid w:val="00972630"/>
    <w:rsid w:val="009737E4"/>
    <w:rsid w:val="00973849"/>
    <w:rsid w:val="00973CDC"/>
    <w:rsid w:val="00973DFA"/>
    <w:rsid w:val="0097420D"/>
    <w:rsid w:val="00974A4E"/>
    <w:rsid w:val="00974D4B"/>
    <w:rsid w:val="00975147"/>
    <w:rsid w:val="0097576F"/>
    <w:rsid w:val="00975C52"/>
    <w:rsid w:val="0097627B"/>
    <w:rsid w:val="00976AC6"/>
    <w:rsid w:val="00976B2E"/>
    <w:rsid w:val="00977BD0"/>
    <w:rsid w:val="009801A6"/>
    <w:rsid w:val="00981234"/>
    <w:rsid w:val="00981355"/>
    <w:rsid w:val="00981554"/>
    <w:rsid w:val="00981996"/>
    <w:rsid w:val="00981C3A"/>
    <w:rsid w:val="009830E8"/>
    <w:rsid w:val="00983125"/>
    <w:rsid w:val="00983372"/>
    <w:rsid w:val="00983B74"/>
    <w:rsid w:val="009841A9"/>
    <w:rsid w:val="009868CF"/>
    <w:rsid w:val="00986D43"/>
    <w:rsid w:val="00986E5A"/>
    <w:rsid w:val="009873FA"/>
    <w:rsid w:val="00990263"/>
    <w:rsid w:val="0099042D"/>
    <w:rsid w:val="0099044D"/>
    <w:rsid w:val="00990718"/>
    <w:rsid w:val="0099081B"/>
    <w:rsid w:val="00991265"/>
    <w:rsid w:val="00991BCA"/>
    <w:rsid w:val="00991C1A"/>
    <w:rsid w:val="009925B3"/>
    <w:rsid w:val="00992845"/>
    <w:rsid w:val="00993D3B"/>
    <w:rsid w:val="00993FEF"/>
    <w:rsid w:val="0099405A"/>
    <w:rsid w:val="00994182"/>
    <w:rsid w:val="00994421"/>
    <w:rsid w:val="009944E0"/>
    <w:rsid w:val="009955CD"/>
    <w:rsid w:val="00995C68"/>
    <w:rsid w:val="00995DC9"/>
    <w:rsid w:val="00995F26"/>
    <w:rsid w:val="00995FD4"/>
    <w:rsid w:val="00996413"/>
    <w:rsid w:val="00996498"/>
    <w:rsid w:val="0099696E"/>
    <w:rsid w:val="00997627"/>
    <w:rsid w:val="00997D5B"/>
    <w:rsid w:val="00997DB6"/>
    <w:rsid w:val="00997F2F"/>
    <w:rsid w:val="00997FDF"/>
    <w:rsid w:val="009A0065"/>
    <w:rsid w:val="009A0EFE"/>
    <w:rsid w:val="009A1672"/>
    <w:rsid w:val="009A1B26"/>
    <w:rsid w:val="009A2163"/>
    <w:rsid w:val="009A28C2"/>
    <w:rsid w:val="009A2CE4"/>
    <w:rsid w:val="009A3457"/>
    <w:rsid w:val="009A34CB"/>
    <w:rsid w:val="009A3628"/>
    <w:rsid w:val="009A3960"/>
    <w:rsid w:val="009A3C6C"/>
    <w:rsid w:val="009A492A"/>
    <w:rsid w:val="009A4CCC"/>
    <w:rsid w:val="009A5711"/>
    <w:rsid w:val="009A5E46"/>
    <w:rsid w:val="009A6270"/>
    <w:rsid w:val="009A638E"/>
    <w:rsid w:val="009A6FB6"/>
    <w:rsid w:val="009A7646"/>
    <w:rsid w:val="009A7B18"/>
    <w:rsid w:val="009A7C3A"/>
    <w:rsid w:val="009B0293"/>
    <w:rsid w:val="009B03D1"/>
    <w:rsid w:val="009B07A0"/>
    <w:rsid w:val="009B0EA7"/>
    <w:rsid w:val="009B1C7B"/>
    <w:rsid w:val="009B2854"/>
    <w:rsid w:val="009B30BD"/>
    <w:rsid w:val="009B35B5"/>
    <w:rsid w:val="009B3B5B"/>
    <w:rsid w:val="009B457D"/>
    <w:rsid w:val="009B49F0"/>
    <w:rsid w:val="009B517F"/>
    <w:rsid w:val="009B5836"/>
    <w:rsid w:val="009B58D0"/>
    <w:rsid w:val="009B5940"/>
    <w:rsid w:val="009B5F27"/>
    <w:rsid w:val="009B651B"/>
    <w:rsid w:val="009B6537"/>
    <w:rsid w:val="009B6916"/>
    <w:rsid w:val="009B6F0E"/>
    <w:rsid w:val="009B7797"/>
    <w:rsid w:val="009C0021"/>
    <w:rsid w:val="009C051E"/>
    <w:rsid w:val="009C0695"/>
    <w:rsid w:val="009C08EC"/>
    <w:rsid w:val="009C0C62"/>
    <w:rsid w:val="009C0D1D"/>
    <w:rsid w:val="009C1C0B"/>
    <w:rsid w:val="009C1D3C"/>
    <w:rsid w:val="009C1DAE"/>
    <w:rsid w:val="009C2261"/>
    <w:rsid w:val="009C2401"/>
    <w:rsid w:val="009C29B1"/>
    <w:rsid w:val="009C2F53"/>
    <w:rsid w:val="009C2F8E"/>
    <w:rsid w:val="009C3139"/>
    <w:rsid w:val="009C39BA"/>
    <w:rsid w:val="009C5440"/>
    <w:rsid w:val="009C55EB"/>
    <w:rsid w:val="009C5BE3"/>
    <w:rsid w:val="009C5D96"/>
    <w:rsid w:val="009C66EA"/>
    <w:rsid w:val="009C6DC3"/>
    <w:rsid w:val="009C6E13"/>
    <w:rsid w:val="009C723F"/>
    <w:rsid w:val="009C7EF0"/>
    <w:rsid w:val="009D0068"/>
    <w:rsid w:val="009D0085"/>
    <w:rsid w:val="009D012C"/>
    <w:rsid w:val="009D02AA"/>
    <w:rsid w:val="009D1E80"/>
    <w:rsid w:val="009D1FB9"/>
    <w:rsid w:val="009D2BDE"/>
    <w:rsid w:val="009D2F26"/>
    <w:rsid w:val="009D4070"/>
    <w:rsid w:val="009D4714"/>
    <w:rsid w:val="009D59AE"/>
    <w:rsid w:val="009D5CE5"/>
    <w:rsid w:val="009D5DFE"/>
    <w:rsid w:val="009D5EC4"/>
    <w:rsid w:val="009D5F4C"/>
    <w:rsid w:val="009D5F99"/>
    <w:rsid w:val="009D7141"/>
    <w:rsid w:val="009D78F6"/>
    <w:rsid w:val="009D7C2C"/>
    <w:rsid w:val="009E050D"/>
    <w:rsid w:val="009E0946"/>
    <w:rsid w:val="009E0DD1"/>
    <w:rsid w:val="009E12CC"/>
    <w:rsid w:val="009E13AB"/>
    <w:rsid w:val="009E1404"/>
    <w:rsid w:val="009E2210"/>
    <w:rsid w:val="009E24AC"/>
    <w:rsid w:val="009E2DA2"/>
    <w:rsid w:val="009E2FB1"/>
    <w:rsid w:val="009E30AA"/>
    <w:rsid w:val="009E3CCD"/>
    <w:rsid w:val="009E3FCD"/>
    <w:rsid w:val="009E4B94"/>
    <w:rsid w:val="009E4E5F"/>
    <w:rsid w:val="009E5895"/>
    <w:rsid w:val="009E5E35"/>
    <w:rsid w:val="009E5F1A"/>
    <w:rsid w:val="009E6AD5"/>
    <w:rsid w:val="009E6D29"/>
    <w:rsid w:val="009E6D56"/>
    <w:rsid w:val="009E7121"/>
    <w:rsid w:val="009E7CC2"/>
    <w:rsid w:val="009E7D0E"/>
    <w:rsid w:val="009F0018"/>
    <w:rsid w:val="009F00C1"/>
    <w:rsid w:val="009F08B4"/>
    <w:rsid w:val="009F0A78"/>
    <w:rsid w:val="009F0FF1"/>
    <w:rsid w:val="009F1CB4"/>
    <w:rsid w:val="009F1DDB"/>
    <w:rsid w:val="009F1E19"/>
    <w:rsid w:val="009F263C"/>
    <w:rsid w:val="009F2924"/>
    <w:rsid w:val="009F2C6C"/>
    <w:rsid w:val="009F37DB"/>
    <w:rsid w:val="009F435F"/>
    <w:rsid w:val="009F4436"/>
    <w:rsid w:val="009F4CE5"/>
    <w:rsid w:val="009F53E5"/>
    <w:rsid w:val="009F5D19"/>
    <w:rsid w:val="009F5D67"/>
    <w:rsid w:val="009F61E2"/>
    <w:rsid w:val="009F6A89"/>
    <w:rsid w:val="009F6DDD"/>
    <w:rsid w:val="009F7000"/>
    <w:rsid w:val="009F7384"/>
    <w:rsid w:val="009F77DB"/>
    <w:rsid w:val="00A00A6A"/>
    <w:rsid w:val="00A01378"/>
    <w:rsid w:val="00A016F4"/>
    <w:rsid w:val="00A02115"/>
    <w:rsid w:val="00A02810"/>
    <w:rsid w:val="00A030F6"/>
    <w:rsid w:val="00A03128"/>
    <w:rsid w:val="00A03A6D"/>
    <w:rsid w:val="00A03ABF"/>
    <w:rsid w:val="00A03CC2"/>
    <w:rsid w:val="00A04056"/>
    <w:rsid w:val="00A041E9"/>
    <w:rsid w:val="00A04220"/>
    <w:rsid w:val="00A04A1D"/>
    <w:rsid w:val="00A04B74"/>
    <w:rsid w:val="00A04FA2"/>
    <w:rsid w:val="00A05301"/>
    <w:rsid w:val="00A061F7"/>
    <w:rsid w:val="00A06823"/>
    <w:rsid w:val="00A07C59"/>
    <w:rsid w:val="00A1078B"/>
    <w:rsid w:val="00A11004"/>
    <w:rsid w:val="00A1156F"/>
    <w:rsid w:val="00A11B92"/>
    <w:rsid w:val="00A124F5"/>
    <w:rsid w:val="00A12608"/>
    <w:rsid w:val="00A12C05"/>
    <w:rsid w:val="00A133D5"/>
    <w:rsid w:val="00A1370B"/>
    <w:rsid w:val="00A1396F"/>
    <w:rsid w:val="00A1423E"/>
    <w:rsid w:val="00A14F36"/>
    <w:rsid w:val="00A15625"/>
    <w:rsid w:val="00A16494"/>
    <w:rsid w:val="00A17B96"/>
    <w:rsid w:val="00A17E06"/>
    <w:rsid w:val="00A201E5"/>
    <w:rsid w:val="00A202D6"/>
    <w:rsid w:val="00A204B9"/>
    <w:rsid w:val="00A20628"/>
    <w:rsid w:val="00A21116"/>
    <w:rsid w:val="00A215B7"/>
    <w:rsid w:val="00A2198A"/>
    <w:rsid w:val="00A21F2F"/>
    <w:rsid w:val="00A22A86"/>
    <w:rsid w:val="00A22E59"/>
    <w:rsid w:val="00A238A2"/>
    <w:rsid w:val="00A2397F"/>
    <w:rsid w:val="00A23BCE"/>
    <w:rsid w:val="00A23CD9"/>
    <w:rsid w:val="00A24277"/>
    <w:rsid w:val="00A24585"/>
    <w:rsid w:val="00A250EA"/>
    <w:rsid w:val="00A25346"/>
    <w:rsid w:val="00A253F3"/>
    <w:rsid w:val="00A25753"/>
    <w:rsid w:val="00A26D5D"/>
    <w:rsid w:val="00A27553"/>
    <w:rsid w:val="00A27A90"/>
    <w:rsid w:val="00A30942"/>
    <w:rsid w:val="00A30E6A"/>
    <w:rsid w:val="00A3162F"/>
    <w:rsid w:val="00A31634"/>
    <w:rsid w:val="00A31694"/>
    <w:rsid w:val="00A31824"/>
    <w:rsid w:val="00A31D8B"/>
    <w:rsid w:val="00A32493"/>
    <w:rsid w:val="00A327DF"/>
    <w:rsid w:val="00A3282A"/>
    <w:rsid w:val="00A32A50"/>
    <w:rsid w:val="00A330A2"/>
    <w:rsid w:val="00A33598"/>
    <w:rsid w:val="00A340FB"/>
    <w:rsid w:val="00A3415A"/>
    <w:rsid w:val="00A34F9E"/>
    <w:rsid w:val="00A35282"/>
    <w:rsid w:val="00A3533F"/>
    <w:rsid w:val="00A354BB"/>
    <w:rsid w:val="00A359DE"/>
    <w:rsid w:val="00A35F0F"/>
    <w:rsid w:val="00A36132"/>
    <w:rsid w:val="00A361E9"/>
    <w:rsid w:val="00A3778E"/>
    <w:rsid w:val="00A40D61"/>
    <w:rsid w:val="00A40EAD"/>
    <w:rsid w:val="00A40F04"/>
    <w:rsid w:val="00A41173"/>
    <w:rsid w:val="00A42123"/>
    <w:rsid w:val="00A4216F"/>
    <w:rsid w:val="00A43294"/>
    <w:rsid w:val="00A43429"/>
    <w:rsid w:val="00A444A8"/>
    <w:rsid w:val="00A45006"/>
    <w:rsid w:val="00A46EAC"/>
    <w:rsid w:val="00A46FB4"/>
    <w:rsid w:val="00A470E5"/>
    <w:rsid w:val="00A4723A"/>
    <w:rsid w:val="00A472D5"/>
    <w:rsid w:val="00A47651"/>
    <w:rsid w:val="00A4783D"/>
    <w:rsid w:val="00A47C60"/>
    <w:rsid w:val="00A50029"/>
    <w:rsid w:val="00A501E1"/>
    <w:rsid w:val="00A50B64"/>
    <w:rsid w:val="00A50C17"/>
    <w:rsid w:val="00A51662"/>
    <w:rsid w:val="00A51725"/>
    <w:rsid w:val="00A523D4"/>
    <w:rsid w:val="00A524AB"/>
    <w:rsid w:val="00A52CCA"/>
    <w:rsid w:val="00A53773"/>
    <w:rsid w:val="00A539A2"/>
    <w:rsid w:val="00A53C7C"/>
    <w:rsid w:val="00A540A9"/>
    <w:rsid w:val="00A54F3E"/>
    <w:rsid w:val="00A55C20"/>
    <w:rsid w:val="00A55CEB"/>
    <w:rsid w:val="00A55E60"/>
    <w:rsid w:val="00A56D61"/>
    <w:rsid w:val="00A607BC"/>
    <w:rsid w:val="00A60B4E"/>
    <w:rsid w:val="00A61721"/>
    <w:rsid w:val="00A61836"/>
    <w:rsid w:val="00A61E19"/>
    <w:rsid w:val="00A61E76"/>
    <w:rsid w:val="00A626FD"/>
    <w:rsid w:val="00A62D68"/>
    <w:rsid w:val="00A63006"/>
    <w:rsid w:val="00A63052"/>
    <w:rsid w:val="00A63711"/>
    <w:rsid w:val="00A63C52"/>
    <w:rsid w:val="00A63DF1"/>
    <w:rsid w:val="00A64E37"/>
    <w:rsid w:val="00A657AA"/>
    <w:rsid w:val="00A65AB7"/>
    <w:rsid w:val="00A664C8"/>
    <w:rsid w:val="00A66548"/>
    <w:rsid w:val="00A6699E"/>
    <w:rsid w:val="00A66CD3"/>
    <w:rsid w:val="00A66E5C"/>
    <w:rsid w:val="00A6724C"/>
    <w:rsid w:val="00A67AC2"/>
    <w:rsid w:val="00A70B6A"/>
    <w:rsid w:val="00A70EC8"/>
    <w:rsid w:val="00A7185A"/>
    <w:rsid w:val="00A71CA8"/>
    <w:rsid w:val="00A71D95"/>
    <w:rsid w:val="00A726F7"/>
    <w:rsid w:val="00A72F73"/>
    <w:rsid w:val="00A7353D"/>
    <w:rsid w:val="00A736B5"/>
    <w:rsid w:val="00A74341"/>
    <w:rsid w:val="00A74A50"/>
    <w:rsid w:val="00A75231"/>
    <w:rsid w:val="00A75AE3"/>
    <w:rsid w:val="00A75EE1"/>
    <w:rsid w:val="00A76680"/>
    <w:rsid w:val="00A76A6D"/>
    <w:rsid w:val="00A76C90"/>
    <w:rsid w:val="00A77379"/>
    <w:rsid w:val="00A77555"/>
    <w:rsid w:val="00A77A92"/>
    <w:rsid w:val="00A800CF"/>
    <w:rsid w:val="00A8041A"/>
    <w:rsid w:val="00A810DA"/>
    <w:rsid w:val="00A8116E"/>
    <w:rsid w:val="00A815AB"/>
    <w:rsid w:val="00A81D51"/>
    <w:rsid w:val="00A81E57"/>
    <w:rsid w:val="00A82541"/>
    <w:rsid w:val="00A825F6"/>
    <w:rsid w:val="00A83B02"/>
    <w:rsid w:val="00A84942"/>
    <w:rsid w:val="00A84F08"/>
    <w:rsid w:val="00A85D21"/>
    <w:rsid w:val="00A86119"/>
    <w:rsid w:val="00A873A3"/>
    <w:rsid w:val="00A8749A"/>
    <w:rsid w:val="00A87715"/>
    <w:rsid w:val="00A879E3"/>
    <w:rsid w:val="00A87DB4"/>
    <w:rsid w:val="00A9001A"/>
    <w:rsid w:val="00A90481"/>
    <w:rsid w:val="00A906F3"/>
    <w:rsid w:val="00A91A0F"/>
    <w:rsid w:val="00A91DA5"/>
    <w:rsid w:val="00A91F8A"/>
    <w:rsid w:val="00A91FCE"/>
    <w:rsid w:val="00A922FF"/>
    <w:rsid w:val="00A92B81"/>
    <w:rsid w:val="00A92BCB"/>
    <w:rsid w:val="00A92D76"/>
    <w:rsid w:val="00A93038"/>
    <w:rsid w:val="00A9313E"/>
    <w:rsid w:val="00A932D0"/>
    <w:rsid w:val="00A9367A"/>
    <w:rsid w:val="00A93C88"/>
    <w:rsid w:val="00A93E8F"/>
    <w:rsid w:val="00A94039"/>
    <w:rsid w:val="00A94044"/>
    <w:rsid w:val="00A94F0B"/>
    <w:rsid w:val="00A94F13"/>
    <w:rsid w:val="00A959D2"/>
    <w:rsid w:val="00A96311"/>
    <w:rsid w:val="00A964C7"/>
    <w:rsid w:val="00A966B5"/>
    <w:rsid w:val="00A972B6"/>
    <w:rsid w:val="00A97A29"/>
    <w:rsid w:val="00A97D7F"/>
    <w:rsid w:val="00AA0C7B"/>
    <w:rsid w:val="00AA12C2"/>
    <w:rsid w:val="00AA12EE"/>
    <w:rsid w:val="00AA17D5"/>
    <w:rsid w:val="00AA187E"/>
    <w:rsid w:val="00AA228C"/>
    <w:rsid w:val="00AA3011"/>
    <w:rsid w:val="00AA349F"/>
    <w:rsid w:val="00AA3620"/>
    <w:rsid w:val="00AA3845"/>
    <w:rsid w:val="00AA3980"/>
    <w:rsid w:val="00AA407B"/>
    <w:rsid w:val="00AA4B7D"/>
    <w:rsid w:val="00AA4F59"/>
    <w:rsid w:val="00AA52E6"/>
    <w:rsid w:val="00AA5885"/>
    <w:rsid w:val="00AA5C0F"/>
    <w:rsid w:val="00AA625E"/>
    <w:rsid w:val="00AA6633"/>
    <w:rsid w:val="00AA6CEE"/>
    <w:rsid w:val="00AA7150"/>
    <w:rsid w:val="00AA71B9"/>
    <w:rsid w:val="00AB03DA"/>
    <w:rsid w:val="00AB0E49"/>
    <w:rsid w:val="00AB115D"/>
    <w:rsid w:val="00AB2293"/>
    <w:rsid w:val="00AB26E4"/>
    <w:rsid w:val="00AB30D3"/>
    <w:rsid w:val="00AB3599"/>
    <w:rsid w:val="00AB3925"/>
    <w:rsid w:val="00AB3AF8"/>
    <w:rsid w:val="00AB3F1E"/>
    <w:rsid w:val="00AB4582"/>
    <w:rsid w:val="00AB4999"/>
    <w:rsid w:val="00AB4EE2"/>
    <w:rsid w:val="00AB5A0D"/>
    <w:rsid w:val="00AB5BFC"/>
    <w:rsid w:val="00AB5E29"/>
    <w:rsid w:val="00AB65EA"/>
    <w:rsid w:val="00AB6A27"/>
    <w:rsid w:val="00AB6AFD"/>
    <w:rsid w:val="00AB6B0D"/>
    <w:rsid w:val="00AB78E7"/>
    <w:rsid w:val="00AB7BD2"/>
    <w:rsid w:val="00AC072F"/>
    <w:rsid w:val="00AC079A"/>
    <w:rsid w:val="00AC2DFA"/>
    <w:rsid w:val="00AC3BCB"/>
    <w:rsid w:val="00AC4604"/>
    <w:rsid w:val="00AC488C"/>
    <w:rsid w:val="00AC57EA"/>
    <w:rsid w:val="00AC58B4"/>
    <w:rsid w:val="00AC5A17"/>
    <w:rsid w:val="00AC6224"/>
    <w:rsid w:val="00AC6A8C"/>
    <w:rsid w:val="00AC6F38"/>
    <w:rsid w:val="00AC6FC9"/>
    <w:rsid w:val="00AC70AA"/>
    <w:rsid w:val="00AC716E"/>
    <w:rsid w:val="00AC75BE"/>
    <w:rsid w:val="00AC77C9"/>
    <w:rsid w:val="00AC7844"/>
    <w:rsid w:val="00AC7C7A"/>
    <w:rsid w:val="00AD098C"/>
    <w:rsid w:val="00AD0B7B"/>
    <w:rsid w:val="00AD0D34"/>
    <w:rsid w:val="00AD0D96"/>
    <w:rsid w:val="00AD1050"/>
    <w:rsid w:val="00AD124B"/>
    <w:rsid w:val="00AD2539"/>
    <w:rsid w:val="00AD3529"/>
    <w:rsid w:val="00AD38C4"/>
    <w:rsid w:val="00AD397B"/>
    <w:rsid w:val="00AD3AB2"/>
    <w:rsid w:val="00AD3B6A"/>
    <w:rsid w:val="00AD4BD2"/>
    <w:rsid w:val="00AD4C30"/>
    <w:rsid w:val="00AD4D67"/>
    <w:rsid w:val="00AD4F88"/>
    <w:rsid w:val="00AD565F"/>
    <w:rsid w:val="00AD5F89"/>
    <w:rsid w:val="00AD61EA"/>
    <w:rsid w:val="00AD6CAC"/>
    <w:rsid w:val="00AD6D30"/>
    <w:rsid w:val="00AD7243"/>
    <w:rsid w:val="00AD78BD"/>
    <w:rsid w:val="00AD7916"/>
    <w:rsid w:val="00AD79AF"/>
    <w:rsid w:val="00AE0136"/>
    <w:rsid w:val="00AE023E"/>
    <w:rsid w:val="00AE02DF"/>
    <w:rsid w:val="00AE1025"/>
    <w:rsid w:val="00AE1076"/>
    <w:rsid w:val="00AE1837"/>
    <w:rsid w:val="00AE1957"/>
    <w:rsid w:val="00AE1BEB"/>
    <w:rsid w:val="00AE20A1"/>
    <w:rsid w:val="00AE23A2"/>
    <w:rsid w:val="00AE2DAE"/>
    <w:rsid w:val="00AE3062"/>
    <w:rsid w:val="00AE3110"/>
    <w:rsid w:val="00AE320E"/>
    <w:rsid w:val="00AE345C"/>
    <w:rsid w:val="00AE3A91"/>
    <w:rsid w:val="00AE3B43"/>
    <w:rsid w:val="00AE3F1B"/>
    <w:rsid w:val="00AE43E5"/>
    <w:rsid w:val="00AE4FD5"/>
    <w:rsid w:val="00AE4FDF"/>
    <w:rsid w:val="00AE50A3"/>
    <w:rsid w:val="00AE55C5"/>
    <w:rsid w:val="00AE5736"/>
    <w:rsid w:val="00AE5D41"/>
    <w:rsid w:val="00AE5DF7"/>
    <w:rsid w:val="00AE6502"/>
    <w:rsid w:val="00AE6510"/>
    <w:rsid w:val="00AE65B0"/>
    <w:rsid w:val="00AE6670"/>
    <w:rsid w:val="00AE67AD"/>
    <w:rsid w:val="00AE6836"/>
    <w:rsid w:val="00AE6E10"/>
    <w:rsid w:val="00AE7412"/>
    <w:rsid w:val="00AE7CFA"/>
    <w:rsid w:val="00AF0058"/>
    <w:rsid w:val="00AF05A4"/>
    <w:rsid w:val="00AF07DE"/>
    <w:rsid w:val="00AF08DF"/>
    <w:rsid w:val="00AF0B2D"/>
    <w:rsid w:val="00AF0E23"/>
    <w:rsid w:val="00AF1AF3"/>
    <w:rsid w:val="00AF1D02"/>
    <w:rsid w:val="00AF1FD0"/>
    <w:rsid w:val="00AF2279"/>
    <w:rsid w:val="00AF32D5"/>
    <w:rsid w:val="00AF342B"/>
    <w:rsid w:val="00AF4BAC"/>
    <w:rsid w:val="00AF4DB7"/>
    <w:rsid w:val="00AF56DF"/>
    <w:rsid w:val="00AF76E3"/>
    <w:rsid w:val="00B00D92"/>
    <w:rsid w:val="00B01601"/>
    <w:rsid w:val="00B01724"/>
    <w:rsid w:val="00B017AB"/>
    <w:rsid w:val="00B02C04"/>
    <w:rsid w:val="00B02E25"/>
    <w:rsid w:val="00B03250"/>
    <w:rsid w:val="00B03DEF"/>
    <w:rsid w:val="00B0422A"/>
    <w:rsid w:val="00B04DDD"/>
    <w:rsid w:val="00B04F6A"/>
    <w:rsid w:val="00B053B8"/>
    <w:rsid w:val="00B06699"/>
    <w:rsid w:val="00B1062E"/>
    <w:rsid w:val="00B10770"/>
    <w:rsid w:val="00B10A14"/>
    <w:rsid w:val="00B10C6D"/>
    <w:rsid w:val="00B1227D"/>
    <w:rsid w:val="00B124AA"/>
    <w:rsid w:val="00B125A3"/>
    <w:rsid w:val="00B13258"/>
    <w:rsid w:val="00B1331B"/>
    <w:rsid w:val="00B139FA"/>
    <w:rsid w:val="00B13F3A"/>
    <w:rsid w:val="00B148BE"/>
    <w:rsid w:val="00B152CA"/>
    <w:rsid w:val="00B15690"/>
    <w:rsid w:val="00B15E63"/>
    <w:rsid w:val="00B16377"/>
    <w:rsid w:val="00B16922"/>
    <w:rsid w:val="00B16D31"/>
    <w:rsid w:val="00B17232"/>
    <w:rsid w:val="00B176D2"/>
    <w:rsid w:val="00B1779F"/>
    <w:rsid w:val="00B17E71"/>
    <w:rsid w:val="00B205E9"/>
    <w:rsid w:val="00B20C95"/>
    <w:rsid w:val="00B20DB8"/>
    <w:rsid w:val="00B2126A"/>
    <w:rsid w:val="00B21625"/>
    <w:rsid w:val="00B21E79"/>
    <w:rsid w:val="00B22219"/>
    <w:rsid w:val="00B22D95"/>
    <w:rsid w:val="00B23BFD"/>
    <w:rsid w:val="00B23D20"/>
    <w:rsid w:val="00B247F3"/>
    <w:rsid w:val="00B24E70"/>
    <w:rsid w:val="00B25482"/>
    <w:rsid w:val="00B25938"/>
    <w:rsid w:val="00B25A16"/>
    <w:rsid w:val="00B2606C"/>
    <w:rsid w:val="00B26496"/>
    <w:rsid w:val="00B2756B"/>
    <w:rsid w:val="00B27BF9"/>
    <w:rsid w:val="00B301C8"/>
    <w:rsid w:val="00B305E2"/>
    <w:rsid w:val="00B30B2B"/>
    <w:rsid w:val="00B30C5C"/>
    <w:rsid w:val="00B31B6C"/>
    <w:rsid w:val="00B31E15"/>
    <w:rsid w:val="00B31F9F"/>
    <w:rsid w:val="00B32959"/>
    <w:rsid w:val="00B336AC"/>
    <w:rsid w:val="00B336D3"/>
    <w:rsid w:val="00B33918"/>
    <w:rsid w:val="00B34214"/>
    <w:rsid w:val="00B342AA"/>
    <w:rsid w:val="00B34E13"/>
    <w:rsid w:val="00B3587C"/>
    <w:rsid w:val="00B358B9"/>
    <w:rsid w:val="00B35DEC"/>
    <w:rsid w:val="00B36924"/>
    <w:rsid w:val="00B37189"/>
    <w:rsid w:val="00B37BA5"/>
    <w:rsid w:val="00B40004"/>
    <w:rsid w:val="00B406AD"/>
    <w:rsid w:val="00B40FD4"/>
    <w:rsid w:val="00B4143B"/>
    <w:rsid w:val="00B41955"/>
    <w:rsid w:val="00B41C98"/>
    <w:rsid w:val="00B42FD0"/>
    <w:rsid w:val="00B432F9"/>
    <w:rsid w:val="00B435C7"/>
    <w:rsid w:val="00B44668"/>
    <w:rsid w:val="00B44D11"/>
    <w:rsid w:val="00B44E30"/>
    <w:rsid w:val="00B46445"/>
    <w:rsid w:val="00B4664A"/>
    <w:rsid w:val="00B46705"/>
    <w:rsid w:val="00B46FB9"/>
    <w:rsid w:val="00B47622"/>
    <w:rsid w:val="00B47DCC"/>
    <w:rsid w:val="00B5012D"/>
    <w:rsid w:val="00B50350"/>
    <w:rsid w:val="00B50441"/>
    <w:rsid w:val="00B50D3A"/>
    <w:rsid w:val="00B50F1E"/>
    <w:rsid w:val="00B51612"/>
    <w:rsid w:val="00B5235F"/>
    <w:rsid w:val="00B52814"/>
    <w:rsid w:val="00B528E2"/>
    <w:rsid w:val="00B52AA6"/>
    <w:rsid w:val="00B52D1E"/>
    <w:rsid w:val="00B5336A"/>
    <w:rsid w:val="00B53533"/>
    <w:rsid w:val="00B5380B"/>
    <w:rsid w:val="00B540C9"/>
    <w:rsid w:val="00B54391"/>
    <w:rsid w:val="00B544AA"/>
    <w:rsid w:val="00B54B25"/>
    <w:rsid w:val="00B55D7C"/>
    <w:rsid w:val="00B55DAF"/>
    <w:rsid w:val="00B573F7"/>
    <w:rsid w:val="00B5761E"/>
    <w:rsid w:val="00B57E15"/>
    <w:rsid w:val="00B6000B"/>
    <w:rsid w:val="00B608F4"/>
    <w:rsid w:val="00B6129E"/>
    <w:rsid w:val="00B618BC"/>
    <w:rsid w:val="00B61DD5"/>
    <w:rsid w:val="00B62A3A"/>
    <w:rsid w:val="00B62BEF"/>
    <w:rsid w:val="00B62DDF"/>
    <w:rsid w:val="00B631ED"/>
    <w:rsid w:val="00B63689"/>
    <w:rsid w:val="00B63B33"/>
    <w:rsid w:val="00B64489"/>
    <w:rsid w:val="00B64833"/>
    <w:rsid w:val="00B6484C"/>
    <w:rsid w:val="00B64D60"/>
    <w:rsid w:val="00B64DDE"/>
    <w:rsid w:val="00B64F2E"/>
    <w:rsid w:val="00B654F8"/>
    <w:rsid w:val="00B658FC"/>
    <w:rsid w:val="00B6712B"/>
    <w:rsid w:val="00B67419"/>
    <w:rsid w:val="00B67888"/>
    <w:rsid w:val="00B67AE2"/>
    <w:rsid w:val="00B67BC7"/>
    <w:rsid w:val="00B703DF"/>
    <w:rsid w:val="00B70424"/>
    <w:rsid w:val="00B70BC7"/>
    <w:rsid w:val="00B70F87"/>
    <w:rsid w:val="00B71112"/>
    <w:rsid w:val="00B73913"/>
    <w:rsid w:val="00B73AE9"/>
    <w:rsid w:val="00B73C0E"/>
    <w:rsid w:val="00B73CD0"/>
    <w:rsid w:val="00B741EC"/>
    <w:rsid w:val="00B741F6"/>
    <w:rsid w:val="00B74203"/>
    <w:rsid w:val="00B745B2"/>
    <w:rsid w:val="00B7481D"/>
    <w:rsid w:val="00B75B6E"/>
    <w:rsid w:val="00B75F50"/>
    <w:rsid w:val="00B76566"/>
    <w:rsid w:val="00B76E55"/>
    <w:rsid w:val="00B771CF"/>
    <w:rsid w:val="00B80BAF"/>
    <w:rsid w:val="00B80C02"/>
    <w:rsid w:val="00B81603"/>
    <w:rsid w:val="00B81637"/>
    <w:rsid w:val="00B8196C"/>
    <w:rsid w:val="00B8335B"/>
    <w:rsid w:val="00B838B2"/>
    <w:rsid w:val="00B83AEA"/>
    <w:rsid w:val="00B8436C"/>
    <w:rsid w:val="00B8560B"/>
    <w:rsid w:val="00B8590A"/>
    <w:rsid w:val="00B87705"/>
    <w:rsid w:val="00B87887"/>
    <w:rsid w:val="00B87BE6"/>
    <w:rsid w:val="00B87DF6"/>
    <w:rsid w:val="00B90481"/>
    <w:rsid w:val="00B91283"/>
    <w:rsid w:val="00B91AC5"/>
    <w:rsid w:val="00B91BF4"/>
    <w:rsid w:val="00B91F4C"/>
    <w:rsid w:val="00B926B5"/>
    <w:rsid w:val="00B92F33"/>
    <w:rsid w:val="00B92F90"/>
    <w:rsid w:val="00B93146"/>
    <w:rsid w:val="00B932A1"/>
    <w:rsid w:val="00B932A7"/>
    <w:rsid w:val="00B934EE"/>
    <w:rsid w:val="00B93E46"/>
    <w:rsid w:val="00B9444A"/>
    <w:rsid w:val="00B9446E"/>
    <w:rsid w:val="00B94D08"/>
    <w:rsid w:val="00B96A57"/>
    <w:rsid w:val="00B97135"/>
    <w:rsid w:val="00B97B24"/>
    <w:rsid w:val="00B97D06"/>
    <w:rsid w:val="00B97ECB"/>
    <w:rsid w:val="00BA0BCB"/>
    <w:rsid w:val="00BA0F7F"/>
    <w:rsid w:val="00BA1B0A"/>
    <w:rsid w:val="00BA1D52"/>
    <w:rsid w:val="00BA224E"/>
    <w:rsid w:val="00BA22F8"/>
    <w:rsid w:val="00BA2B62"/>
    <w:rsid w:val="00BA3807"/>
    <w:rsid w:val="00BA3E80"/>
    <w:rsid w:val="00BA58AA"/>
    <w:rsid w:val="00BA5A50"/>
    <w:rsid w:val="00BB04CB"/>
    <w:rsid w:val="00BB052D"/>
    <w:rsid w:val="00BB0996"/>
    <w:rsid w:val="00BB0A22"/>
    <w:rsid w:val="00BB0ACB"/>
    <w:rsid w:val="00BB15E0"/>
    <w:rsid w:val="00BB1654"/>
    <w:rsid w:val="00BB1B8F"/>
    <w:rsid w:val="00BB272F"/>
    <w:rsid w:val="00BB277B"/>
    <w:rsid w:val="00BB2AB5"/>
    <w:rsid w:val="00BB2BEA"/>
    <w:rsid w:val="00BB2EEE"/>
    <w:rsid w:val="00BB34FF"/>
    <w:rsid w:val="00BB372E"/>
    <w:rsid w:val="00BB3EB1"/>
    <w:rsid w:val="00BB41EC"/>
    <w:rsid w:val="00BB4255"/>
    <w:rsid w:val="00BB43B7"/>
    <w:rsid w:val="00BB4BFA"/>
    <w:rsid w:val="00BB4F42"/>
    <w:rsid w:val="00BB5797"/>
    <w:rsid w:val="00BB5F3A"/>
    <w:rsid w:val="00BB68EA"/>
    <w:rsid w:val="00BB68EB"/>
    <w:rsid w:val="00BB6FB2"/>
    <w:rsid w:val="00BB7BC2"/>
    <w:rsid w:val="00BB7E92"/>
    <w:rsid w:val="00BC0DC9"/>
    <w:rsid w:val="00BC0F52"/>
    <w:rsid w:val="00BC12BD"/>
    <w:rsid w:val="00BC1655"/>
    <w:rsid w:val="00BC196E"/>
    <w:rsid w:val="00BC1CD7"/>
    <w:rsid w:val="00BC223E"/>
    <w:rsid w:val="00BC273D"/>
    <w:rsid w:val="00BC27E6"/>
    <w:rsid w:val="00BC2B31"/>
    <w:rsid w:val="00BC2D80"/>
    <w:rsid w:val="00BC2E4D"/>
    <w:rsid w:val="00BC38BF"/>
    <w:rsid w:val="00BC515D"/>
    <w:rsid w:val="00BC5FC1"/>
    <w:rsid w:val="00BC5FEE"/>
    <w:rsid w:val="00BC61CD"/>
    <w:rsid w:val="00BC66E1"/>
    <w:rsid w:val="00BC67CA"/>
    <w:rsid w:val="00BD062E"/>
    <w:rsid w:val="00BD064B"/>
    <w:rsid w:val="00BD067B"/>
    <w:rsid w:val="00BD09B7"/>
    <w:rsid w:val="00BD0C1D"/>
    <w:rsid w:val="00BD1159"/>
    <w:rsid w:val="00BD1F11"/>
    <w:rsid w:val="00BD2E26"/>
    <w:rsid w:val="00BD2E65"/>
    <w:rsid w:val="00BD32F5"/>
    <w:rsid w:val="00BD35FA"/>
    <w:rsid w:val="00BD36CF"/>
    <w:rsid w:val="00BD399B"/>
    <w:rsid w:val="00BD4229"/>
    <w:rsid w:val="00BD4D37"/>
    <w:rsid w:val="00BD5703"/>
    <w:rsid w:val="00BD5957"/>
    <w:rsid w:val="00BD59F8"/>
    <w:rsid w:val="00BD5C4C"/>
    <w:rsid w:val="00BD5D1A"/>
    <w:rsid w:val="00BD65B9"/>
    <w:rsid w:val="00BD6BC9"/>
    <w:rsid w:val="00BD7059"/>
    <w:rsid w:val="00BD70E4"/>
    <w:rsid w:val="00BD7341"/>
    <w:rsid w:val="00BD7504"/>
    <w:rsid w:val="00BD7C86"/>
    <w:rsid w:val="00BD7D91"/>
    <w:rsid w:val="00BD7E84"/>
    <w:rsid w:val="00BD7FC6"/>
    <w:rsid w:val="00BE03B7"/>
    <w:rsid w:val="00BE0ED4"/>
    <w:rsid w:val="00BE163B"/>
    <w:rsid w:val="00BE1DD8"/>
    <w:rsid w:val="00BE230D"/>
    <w:rsid w:val="00BE3054"/>
    <w:rsid w:val="00BE3458"/>
    <w:rsid w:val="00BE36C6"/>
    <w:rsid w:val="00BE3A4B"/>
    <w:rsid w:val="00BE3BF1"/>
    <w:rsid w:val="00BE4307"/>
    <w:rsid w:val="00BE4AFB"/>
    <w:rsid w:val="00BE5293"/>
    <w:rsid w:val="00BE5C99"/>
    <w:rsid w:val="00BE6510"/>
    <w:rsid w:val="00BE6526"/>
    <w:rsid w:val="00BE75A5"/>
    <w:rsid w:val="00BE793E"/>
    <w:rsid w:val="00BE7C0E"/>
    <w:rsid w:val="00BE7CD7"/>
    <w:rsid w:val="00BE7FD6"/>
    <w:rsid w:val="00BF016B"/>
    <w:rsid w:val="00BF0406"/>
    <w:rsid w:val="00BF0650"/>
    <w:rsid w:val="00BF12CD"/>
    <w:rsid w:val="00BF1508"/>
    <w:rsid w:val="00BF1A85"/>
    <w:rsid w:val="00BF1AC2"/>
    <w:rsid w:val="00BF1AC7"/>
    <w:rsid w:val="00BF1D83"/>
    <w:rsid w:val="00BF1ECE"/>
    <w:rsid w:val="00BF217C"/>
    <w:rsid w:val="00BF2969"/>
    <w:rsid w:val="00BF2D6C"/>
    <w:rsid w:val="00BF2F0D"/>
    <w:rsid w:val="00BF3490"/>
    <w:rsid w:val="00BF37C2"/>
    <w:rsid w:val="00BF3A3C"/>
    <w:rsid w:val="00BF3D34"/>
    <w:rsid w:val="00BF4283"/>
    <w:rsid w:val="00BF42C8"/>
    <w:rsid w:val="00BF4988"/>
    <w:rsid w:val="00BF4EB5"/>
    <w:rsid w:val="00BF515D"/>
    <w:rsid w:val="00BF5438"/>
    <w:rsid w:val="00BF576B"/>
    <w:rsid w:val="00BF6B75"/>
    <w:rsid w:val="00BF6E62"/>
    <w:rsid w:val="00BF722E"/>
    <w:rsid w:val="00BF72CC"/>
    <w:rsid w:val="00BF7398"/>
    <w:rsid w:val="00BF74B4"/>
    <w:rsid w:val="00BF7A78"/>
    <w:rsid w:val="00C0088C"/>
    <w:rsid w:val="00C00A21"/>
    <w:rsid w:val="00C00B6C"/>
    <w:rsid w:val="00C01B0B"/>
    <w:rsid w:val="00C01D47"/>
    <w:rsid w:val="00C035E0"/>
    <w:rsid w:val="00C03CAF"/>
    <w:rsid w:val="00C04B63"/>
    <w:rsid w:val="00C04F28"/>
    <w:rsid w:val="00C050EE"/>
    <w:rsid w:val="00C052D2"/>
    <w:rsid w:val="00C06526"/>
    <w:rsid w:val="00C0669B"/>
    <w:rsid w:val="00C06A4B"/>
    <w:rsid w:val="00C11955"/>
    <w:rsid w:val="00C12178"/>
    <w:rsid w:val="00C12270"/>
    <w:rsid w:val="00C12317"/>
    <w:rsid w:val="00C124B7"/>
    <w:rsid w:val="00C128F9"/>
    <w:rsid w:val="00C13310"/>
    <w:rsid w:val="00C13B9C"/>
    <w:rsid w:val="00C13EBE"/>
    <w:rsid w:val="00C145A0"/>
    <w:rsid w:val="00C14679"/>
    <w:rsid w:val="00C15048"/>
    <w:rsid w:val="00C15112"/>
    <w:rsid w:val="00C1523D"/>
    <w:rsid w:val="00C1544F"/>
    <w:rsid w:val="00C15871"/>
    <w:rsid w:val="00C15A5E"/>
    <w:rsid w:val="00C15CB1"/>
    <w:rsid w:val="00C16071"/>
    <w:rsid w:val="00C1673C"/>
    <w:rsid w:val="00C16F04"/>
    <w:rsid w:val="00C17B82"/>
    <w:rsid w:val="00C17BF2"/>
    <w:rsid w:val="00C17E65"/>
    <w:rsid w:val="00C2018C"/>
    <w:rsid w:val="00C2034A"/>
    <w:rsid w:val="00C21328"/>
    <w:rsid w:val="00C21488"/>
    <w:rsid w:val="00C21648"/>
    <w:rsid w:val="00C21D5D"/>
    <w:rsid w:val="00C2276B"/>
    <w:rsid w:val="00C22F89"/>
    <w:rsid w:val="00C23334"/>
    <w:rsid w:val="00C2349E"/>
    <w:rsid w:val="00C23AEB"/>
    <w:rsid w:val="00C23F27"/>
    <w:rsid w:val="00C2427E"/>
    <w:rsid w:val="00C243C4"/>
    <w:rsid w:val="00C24BCD"/>
    <w:rsid w:val="00C25A33"/>
    <w:rsid w:val="00C25EDB"/>
    <w:rsid w:val="00C26252"/>
    <w:rsid w:val="00C2640A"/>
    <w:rsid w:val="00C267EE"/>
    <w:rsid w:val="00C26FF2"/>
    <w:rsid w:val="00C279A1"/>
    <w:rsid w:val="00C30905"/>
    <w:rsid w:val="00C30B7E"/>
    <w:rsid w:val="00C3136F"/>
    <w:rsid w:val="00C313C0"/>
    <w:rsid w:val="00C31A28"/>
    <w:rsid w:val="00C31CA9"/>
    <w:rsid w:val="00C32CB2"/>
    <w:rsid w:val="00C3344B"/>
    <w:rsid w:val="00C33A5F"/>
    <w:rsid w:val="00C33AD0"/>
    <w:rsid w:val="00C33BB5"/>
    <w:rsid w:val="00C33D23"/>
    <w:rsid w:val="00C342EE"/>
    <w:rsid w:val="00C346D7"/>
    <w:rsid w:val="00C3498A"/>
    <w:rsid w:val="00C357EF"/>
    <w:rsid w:val="00C359F1"/>
    <w:rsid w:val="00C36238"/>
    <w:rsid w:val="00C36440"/>
    <w:rsid w:val="00C36BFE"/>
    <w:rsid w:val="00C37747"/>
    <w:rsid w:val="00C37C79"/>
    <w:rsid w:val="00C414AB"/>
    <w:rsid w:val="00C4176B"/>
    <w:rsid w:val="00C41ACC"/>
    <w:rsid w:val="00C41FF9"/>
    <w:rsid w:val="00C4260A"/>
    <w:rsid w:val="00C4282E"/>
    <w:rsid w:val="00C430BC"/>
    <w:rsid w:val="00C433B4"/>
    <w:rsid w:val="00C439DD"/>
    <w:rsid w:val="00C4422C"/>
    <w:rsid w:val="00C44288"/>
    <w:rsid w:val="00C456CF"/>
    <w:rsid w:val="00C46441"/>
    <w:rsid w:val="00C46603"/>
    <w:rsid w:val="00C4680F"/>
    <w:rsid w:val="00C4737F"/>
    <w:rsid w:val="00C4780A"/>
    <w:rsid w:val="00C47B22"/>
    <w:rsid w:val="00C47CC6"/>
    <w:rsid w:val="00C47EB9"/>
    <w:rsid w:val="00C5145C"/>
    <w:rsid w:val="00C518C0"/>
    <w:rsid w:val="00C51BB6"/>
    <w:rsid w:val="00C53137"/>
    <w:rsid w:val="00C53704"/>
    <w:rsid w:val="00C53818"/>
    <w:rsid w:val="00C53D07"/>
    <w:rsid w:val="00C541F6"/>
    <w:rsid w:val="00C54ECD"/>
    <w:rsid w:val="00C55041"/>
    <w:rsid w:val="00C5524D"/>
    <w:rsid w:val="00C56685"/>
    <w:rsid w:val="00C57493"/>
    <w:rsid w:val="00C57883"/>
    <w:rsid w:val="00C57DD8"/>
    <w:rsid w:val="00C57E61"/>
    <w:rsid w:val="00C601E1"/>
    <w:rsid w:val="00C61239"/>
    <w:rsid w:val="00C61AD0"/>
    <w:rsid w:val="00C61D2B"/>
    <w:rsid w:val="00C61E8C"/>
    <w:rsid w:val="00C62098"/>
    <w:rsid w:val="00C62BBA"/>
    <w:rsid w:val="00C62C7A"/>
    <w:rsid w:val="00C6321F"/>
    <w:rsid w:val="00C634E7"/>
    <w:rsid w:val="00C63901"/>
    <w:rsid w:val="00C6399B"/>
    <w:rsid w:val="00C639BF"/>
    <w:rsid w:val="00C63CCF"/>
    <w:rsid w:val="00C64F50"/>
    <w:rsid w:val="00C64FEC"/>
    <w:rsid w:val="00C65C50"/>
    <w:rsid w:val="00C65CCA"/>
    <w:rsid w:val="00C669A0"/>
    <w:rsid w:val="00C66AF3"/>
    <w:rsid w:val="00C67353"/>
    <w:rsid w:val="00C674F5"/>
    <w:rsid w:val="00C67509"/>
    <w:rsid w:val="00C7028B"/>
    <w:rsid w:val="00C7031B"/>
    <w:rsid w:val="00C70488"/>
    <w:rsid w:val="00C707E0"/>
    <w:rsid w:val="00C7089B"/>
    <w:rsid w:val="00C70999"/>
    <w:rsid w:val="00C709AA"/>
    <w:rsid w:val="00C70C97"/>
    <w:rsid w:val="00C71C42"/>
    <w:rsid w:val="00C72D17"/>
    <w:rsid w:val="00C7300E"/>
    <w:rsid w:val="00C7316A"/>
    <w:rsid w:val="00C7330D"/>
    <w:rsid w:val="00C737CF"/>
    <w:rsid w:val="00C75403"/>
    <w:rsid w:val="00C75B0E"/>
    <w:rsid w:val="00C76858"/>
    <w:rsid w:val="00C76EC9"/>
    <w:rsid w:val="00C77615"/>
    <w:rsid w:val="00C77D71"/>
    <w:rsid w:val="00C801DA"/>
    <w:rsid w:val="00C80610"/>
    <w:rsid w:val="00C80897"/>
    <w:rsid w:val="00C80D66"/>
    <w:rsid w:val="00C80FAE"/>
    <w:rsid w:val="00C81156"/>
    <w:rsid w:val="00C81750"/>
    <w:rsid w:val="00C82579"/>
    <w:rsid w:val="00C82C73"/>
    <w:rsid w:val="00C82E96"/>
    <w:rsid w:val="00C83C9A"/>
    <w:rsid w:val="00C847D5"/>
    <w:rsid w:val="00C8489B"/>
    <w:rsid w:val="00C84D7D"/>
    <w:rsid w:val="00C8503F"/>
    <w:rsid w:val="00C854EC"/>
    <w:rsid w:val="00C85F7B"/>
    <w:rsid w:val="00C8792F"/>
    <w:rsid w:val="00C87A1E"/>
    <w:rsid w:val="00C9025B"/>
    <w:rsid w:val="00C90A11"/>
    <w:rsid w:val="00C90B55"/>
    <w:rsid w:val="00C90E04"/>
    <w:rsid w:val="00C91297"/>
    <w:rsid w:val="00C9151F"/>
    <w:rsid w:val="00C916B6"/>
    <w:rsid w:val="00C919BE"/>
    <w:rsid w:val="00C91E19"/>
    <w:rsid w:val="00C91FB5"/>
    <w:rsid w:val="00C92460"/>
    <w:rsid w:val="00C924A7"/>
    <w:rsid w:val="00C9274A"/>
    <w:rsid w:val="00C929D4"/>
    <w:rsid w:val="00C9416F"/>
    <w:rsid w:val="00C9422A"/>
    <w:rsid w:val="00C94F86"/>
    <w:rsid w:val="00C95198"/>
    <w:rsid w:val="00C95631"/>
    <w:rsid w:val="00C9578F"/>
    <w:rsid w:val="00C95BB2"/>
    <w:rsid w:val="00C95DF9"/>
    <w:rsid w:val="00C960F7"/>
    <w:rsid w:val="00C968EE"/>
    <w:rsid w:val="00C97374"/>
    <w:rsid w:val="00C976A6"/>
    <w:rsid w:val="00C97818"/>
    <w:rsid w:val="00C97C07"/>
    <w:rsid w:val="00CA00D5"/>
    <w:rsid w:val="00CA047E"/>
    <w:rsid w:val="00CA0A7D"/>
    <w:rsid w:val="00CA0E9B"/>
    <w:rsid w:val="00CA1183"/>
    <w:rsid w:val="00CA1D90"/>
    <w:rsid w:val="00CA242F"/>
    <w:rsid w:val="00CA2BEF"/>
    <w:rsid w:val="00CA39EE"/>
    <w:rsid w:val="00CA3D73"/>
    <w:rsid w:val="00CA4584"/>
    <w:rsid w:val="00CA46C7"/>
    <w:rsid w:val="00CA521A"/>
    <w:rsid w:val="00CA5837"/>
    <w:rsid w:val="00CA6003"/>
    <w:rsid w:val="00CA68AA"/>
    <w:rsid w:val="00CA6E55"/>
    <w:rsid w:val="00CA7045"/>
    <w:rsid w:val="00CA72B1"/>
    <w:rsid w:val="00CA72CE"/>
    <w:rsid w:val="00CA7E02"/>
    <w:rsid w:val="00CB0203"/>
    <w:rsid w:val="00CB03FB"/>
    <w:rsid w:val="00CB0B2C"/>
    <w:rsid w:val="00CB0BC7"/>
    <w:rsid w:val="00CB1012"/>
    <w:rsid w:val="00CB212C"/>
    <w:rsid w:val="00CB2139"/>
    <w:rsid w:val="00CB2A08"/>
    <w:rsid w:val="00CB2BEC"/>
    <w:rsid w:val="00CB31BE"/>
    <w:rsid w:val="00CB3472"/>
    <w:rsid w:val="00CB36C0"/>
    <w:rsid w:val="00CB36DA"/>
    <w:rsid w:val="00CB3A54"/>
    <w:rsid w:val="00CB44C7"/>
    <w:rsid w:val="00CB45CF"/>
    <w:rsid w:val="00CB52A8"/>
    <w:rsid w:val="00CB56ED"/>
    <w:rsid w:val="00CB65F1"/>
    <w:rsid w:val="00CB6DD1"/>
    <w:rsid w:val="00CB739B"/>
    <w:rsid w:val="00CB7561"/>
    <w:rsid w:val="00CB7A17"/>
    <w:rsid w:val="00CB7A72"/>
    <w:rsid w:val="00CB7AA6"/>
    <w:rsid w:val="00CB7BA7"/>
    <w:rsid w:val="00CC0439"/>
    <w:rsid w:val="00CC0B78"/>
    <w:rsid w:val="00CC0F2B"/>
    <w:rsid w:val="00CC11BA"/>
    <w:rsid w:val="00CC1365"/>
    <w:rsid w:val="00CC296C"/>
    <w:rsid w:val="00CC2CF4"/>
    <w:rsid w:val="00CC2FD0"/>
    <w:rsid w:val="00CC3554"/>
    <w:rsid w:val="00CC37D2"/>
    <w:rsid w:val="00CC3B10"/>
    <w:rsid w:val="00CC3CA1"/>
    <w:rsid w:val="00CC3E10"/>
    <w:rsid w:val="00CC4B86"/>
    <w:rsid w:val="00CC50E7"/>
    <w:rsid w:val="00CC5124"/>
    <w:rsid w:val="00CC58DA"/>
    <w:rsid w:val="00CC5EBE"/>
    <w:rsid w:val="00CC5F47"/>
    <w:rsid w:val="00CC60A1"/>
    <w:rsid w:val="00CC6322"/>
    <w:rsid w:val="00CC669B"/>
    <w:rsid w:val="00CC7892"/>
    <w:rsid w:val="00CD0839"/>
    <w:rsid w:val="00CD0BB2"/>
    <w:rsid w:val="00CD1011"/>
    <w:rsid w:val="00CD1CBD"/>
    <w:rsid w:val="00CD23CA"/>
    <w:rsid w:val="00CD285C"/>
    <w:rsid w:val="00CD292D"/>
    <w:rsid w:val="00CD2D5F"/>
    <w:rsid w:val="00CD2EF4"/>
    <w:rsid w:val="00CD326C"/>
    <w:rsid w:val="00CD444B"/>
    <w:rsid w:val="00CD483C"/>
    <w:rsid w:val="00CD4B08"/>
    <w:rsid w:val="00CD55E4"/>
    <w:rsid w:val="00CD61ED"/>
    <w:rsid w:val="00CD6450"/>
    <w:rsid w:val="00CD6B28"/>
    <w:rsid w:val="00CD7212"/>
    <w:rsid w:val="00CD7485"/>
    <w:rsid w:val="00CD759A"/>
    <w:rsid w:val="00CD7A6C"/>
    <w:rsid w:val="00CD7AF7"/>
    <w:rsid w:val="00CD7DD0"/>
    <w:rsid w:val="00CE0236"/>
    <w:rsid w:val="00CE0D5C"/>
    <w:rsid w:val="00CE0FE3"/>
    <w:rsid w:val="00CE19E3"/>
    <w:rsid w:val="00CE1BFE"/>
    <w:rsid w:val="00CE1F91"/>
    <w:rsid w:val="00CE2205"/>
    <w:rsid w:val="00CE296B"/>
    <w:rsid w:val="00CE2A30"/>
    <w:rsid w:val="00CE355A"/>
    <w:rsid w:val="00CE3952"/>
    <w:rsid w:val="00CE3A9C"/>
    <w:rsid w:val="00CE408A"/>
    <w:rsid w:val="00CE4098"/>
    <w:rsid w:val="00CE441F"/>
    <w:rsid w:val="00CE5168"/>
    <w:rsid w:val="00CE576D"/>
    <w:rsid w:val="00CE6016"/>
    <w:rsid w:val="00CE6DC9"/>
    <w:rsid w:val="00CE70C0"/>
    <w:rsid w:val="00CE7425"/>
    <w:rsid w:val="00CE7690"/>
    <w:rsid w:val="00CE7ACB"/>
    <w:rsid w:val="00CE7C0B"/>
    <w:rsid w:val="00CF0EAC"/>
    <w:rsid w:val="00CF1673"/>
    <w:rsid w:val="00CF18CA"/>
    <w:rsid w:val="00CF1E25"/>
    <w:rsid w:val="00CF2B96"/>
    <w:rsid w:val="00CF2CD6"/>
    <w:rsid w:val="00CF300F"/>
    <w:rsid w:val="00CF33A6"/>
    <w:rsid w:val="00CF33DA"/>
    <w:rsid w:val="00CF3631"/>
    <w:rsid w:val="00CF504D"/>
    <w:rsid w:val="00CF5418"/>
    <w:rsid w:val="00CF560D"/>
    <w:rsid w:val="00CF60CD"/>
    <w:rsid w:val="00CF6112"/>
    <w:rsid w:val="00CF6134"/>
    <w:rsid w:val="00CF672A"/>
    <w:rsid w:val="00CF6C2D"/>
    <w:rsid w:val="00CF6DAE"/>
    <w:rsid w:val="00CF7405"/>
    <w:rsid w:val="00CF7E2C"/>
    <w:rsid w:val="00D00220"/>
    <w:rsid w:val="00D00A85"/>
    <w:rsid w:val="00D01E4D"/>
    <w:rsid w:val="00D01FE7"/>
    <w:rsid w:val="00D02C17"/>
    <w:rsid w:val="00D03D31"/>
    <w:rsid w:val="00D03D54"/>
    <w:rsid w:val="00D04330"/>
    <w:rsid w:val="00D04396"/>
    <w:rsid w:val="00D04402"/>
    <w:rsid w:val="00D05191"/>
    <w:rsid w:val="00D052C5"/>
    <w:rsid w:val="00D052ED"/>
    <w:rsid w:val="00D054CD"/>
    <w:rsid w:val="00D054DE"/>
    <w:rsid w:val="00D05623"/>
    <w:rsid w:val="00D05E96"/>
    <w:rsid w:val="00D061CF"/>
    <w:rsid w:val="00D068CC"/>
    <w:rsid w:val="00D06992"/>
    <w:rsid w:val="00D06BDB"/>
    <w:rsid w:val="00D06DD3"/>
    <w:rsid w:val="00D06F99"/>
    <w:rsid w:val="00D06FE4"/>
    <w:rsid w:val="00D10B54"/>
    <w:rsid w:val="00D111A5"/>
    <w:rsid w:val="00D119AB"/>
    <w:rsid w:val="00D11ACD"/>
    <w:rsid w:val="00D11FD0"/>
    <w:rsid w:val="00D13129"/>
    <w:rsid w:val="00D13827"/>
    <w:rsid w:val="00D13980"/>
    <w:rsid w:val="00D13C14"/>
    <w:rsid w:val="00D140B2"/>
    <w:rsid w:val="00D1421B"/>
    <w:rsid w:val="00D14F07"/>
    <w:rsid w:val="00D14FDF"/>
    <w:rsid w:val="00D1531A"/>
    <w:rsid w:val="00D15632"/>
    <w:rsid w:val="00D15667"/>
    <w:rsid w:val="00D1568C"/>
    <w:rsid w:val="00D16204"/>
    <w:rsid w:val="00D16ADD"/>
    <w:rsid w:val="00D16E10"/>
    <w:rsid w:val="00D16FCD"/>
    <w:rsid w:val="00D172FB"/>
    <w:rsid w:val="00D175BD"/>
    <w:rsid w:val="00D17EAF"/>
    <w:rsid w:val="00D20196"/>
    <w:rsid w:val="00D20AE2"/>
    <w:rsid w:val="00D210D4"/>
    <w:rsid w:val="00D21132"/>
    <w:rsid w:val="00D21155"/>
    <w:rsid w:val="00D21322"/>
    <w:rsid w:val="00D21A7E"/>
    <w:rsid w:val="00D21B08"/>
    <w:rsid w:val="00D23253"/>
    <w:rsid w:val="00D23422"/>
    <w:rsid w:val="00D23A02"/>
    <w:rsid w:val="00D25338"/>
    <w:rsid w:val="00D25EFB"/>
    <w:rsid w:val="00D269DC"/>
    <w:rsid w:val="00D26AEE"/>
    <w:rsid w:val="00D2730C"/>
    <w:rsid w:val="00D27D0E"/>
    <w:rsid w:val="00D27FE3"/>
    <w:rsid w:val="00D3038B"/>
    <w:rsid w:val="00D3085B"/>
    <w:rsid w:val="00D3100C"/>
    <w:rsid w:val="00D31AF8"/>
    <w:rsid w:val="00D31B0A"/>
    <w:rsid w:val="00D31BCF"/>
    <w:rsid w:val="00D31E2F"/>
    <w:rsid w:val="00D321CE"/>
    <w:rsid w:val="00D3272B"/>
    <w:rsid w:val="00D32BF6"/>
    <w:rsid w:val="00D33652"/>
    <w:rsid w:val="00D33F2B"/>
    <w:rsid w:val="00D34696"/>
    <w:rsid w:val="00D34E71"/>
    <w:rsid w:val="00D35A1F"/>
    <w:rsid w:val="00D36A55"/>
    <w:rsid w:val="00D36D27"/>
    <w:rsid w:val="00D3752F"/>
    <w:rsid w:val="00D37BE5"/>
    <w:rsid w:val="00D4034C"/>
    <w:rsid w:val="00D422B8"/>
    <w:rsid w:val="00D42B40"/>
    <w:rsid w:val="00D42E60"/>
    <w:rsid w:val="00D42FF3"/>
    <w:rsid w:val="00D43346"/>
    <w:rsid w:val="00D435B1"/>
    <w:rsid w:val="00D43747"/>
    <w:rsid w:val="00D43F87"/>
    <w:rsid w:val="00D44489"/>
    <w:rsid w:val="00D44AC8"/>
    <w:rsid w:val="00D44D08"/>
    <w:rsid w:val="00D45504"/>
    <w:rsid w:val="00D456CB"/>
    <w:rsid w:val="00D4596F"/>
    <w:rsid w:val="00D465CD"/>
    <w:rsid w:val="00D4672B"/>
    <w:rsid w:val="00D4685C"/>
    <w:rsid w:val="00D473F7"/>
    <w:rsid w:val="00D47BF4"/>
    <w:rsid w:val="00D508C5"/>
    <w:rsid w:val="00D51119"/>
    <w:rsid w:val="00D514D2"/>
    <w:rsid w:val="00D5176B"/>
    <w:rsid w:val="00D51978"/>
    <w:rsid w:val="00D52115"/>
    <w:rsid w:val="00D524C5"/>
    <w:rsid w:val="00D5266C"/>
    <w:rsid w:val="00D528CA"/>
    <w:rsid w:val="00D5321D"/>
    <w:rsid w:val="00D53670"/>
    <w:rsid w:val="00D53E6D"/>
    <w:rsid w:val="00D541A0"/>
    <w:rsid w:val="00D5530F"/>
    <w:rsid w:val="00D56043"/>
    <w:rsid w:val="00D564A0"/>
    <w:rsid w:val="00D57A30"/>
    <w:rsid w:val="00D57B69"/>
    <w:rsid w:val="00D60650"/>
    <w:rsid w:val="00D6084D"/>
    <w:rsid w:val="00D60E97"/>
    <w:rsid w:val="00D615CE"/>
    <w:rsid w:val="00D61C34"/>
    <w:rsid w:val="00D61EB3"/>
    <w:rsid w:val="00D626A6"/>
    <w:rsid w:val="00D626C9"/>
    <w:rsid w:val="00D62BBB"/>
    <w:rsid w:val="00D62C1E"/>
    <w:rsid w:val="00D644C4"/>
    <w:rsid w:val="00D6490B"/>
    <w:rsid w:val="00D64F6F"/>
    <w:rsid w:val="00D651F2"/>
    <w:rsid w:val="00D65740"/>
    <w:rsid w:val="00D65967"/>
    <w:rsid w:val="00D662B1"/>
    <w:rsid w:val="00D66E60"/>
    <w:rsid w:val="00D67384"/>
    <w:rsid w:val="00D67A1E"/>
    <w:rsid w:val="00D67E64"/>
    <w:rsid w:val="00D67E6C"/>
    <w:rsid w:val="00D70460"/>
    <w:rsid w:val="00D704D5"/>
    <w:rsid w:val="00D70DFA"/>
    <w:rsid w:val="00D7112A"/>
    <w:rsid w:val="00D71BF2"/>
    <w:rsid w:val="00D73512"/>
    <w:rsid w:val="00D73B66"/>
    <w:rsid w:val="00D7413F"/>
    <w:rsid w:val="00D752CA"/>
    <w:rsid w:val="00D75EBD"/>
    <w:rsid w:val="00D764D6"/>
    <w:rsid w:val="00D765AB"/>
    <w:rsid w:val="00D766D0"/>
    <w:rsid w:val="00D76997"/>
    <w:rsid w:val="00D76C8E"/>
    <w:rsid w:val="00D76F40"/>
    <w:rsid w:val="00D8029C"/>
    <w:rsid w:val="00D80357"/>
    <w:rsid w:val="00D80480"/>
    <w:rsid w:val="00D80D8C"/>
    <w:rsid w:val="00D81052"/>
    <w:rsid w:val="00D81770"/>
    <w:rsid w:val="00D82091"/>
    <w:rsid w:val="00D8219C"/>
    <w:rsid w:val="00D82D82"/>
    <w:rsid w:val="00D831B3"/>
    <w:rsid w:val="00D83387"/>
    <w:rsid w:val="00D83851"/>
    <w:rsid w:val="00D8426A"/>
    <w:rsid w:val="00D84840"/>
    <w:rsid w:val="00D85806"/>
    <w:rsid w:val="00D85D64"/>
    <w:rsid w:val="00D85E1C"/>
    <w:rsid w:val="00D86B37"/>
    <w:rsid w:val="00D86FEE"/>
    <w:rsid w:val="00D87148"/>
    <w:rsid w:val="00D871CE"/>
    <w:rsid w:val="00D8766B"/>
    <w:rsid w:val="00D8769C"/>
    <w:rsid w:val="00D87CEF"/>
    <w:rsid w:val="00D9044C"/>
    <w:rsid w:val="00D90522"/>
    <w:rsid w:val="00D9091B"/>
    <w:rsid w:val="00D90ADE"/>
    <w:rsid w:val="00D91225"/>
    <w:rsid w:val="00D915D4"/>
    <w:rsid w:val="00D9192F"/>
    <w:rsid w:val="00D923A4"/>
    <w:rsid w:val="00D926D7"/>
    <w:rsid w:val="00D92E7A"/>
    <w:rsid w:val="00D93349"/>
    <w:rsid w:val="00D93802"/>
    <w:rsid w:val="00D93B03"/>
    <w:rsid w:val="00D93CBB"/>
    <w:rsid w:val="00D93FFD"/>
    <w:rsid w:val="00D94015"/>
    <w:rsid w:val="00D94736"/>
    <w:rsid w:val="00D95B94"/>
    <w:rsid w:val="00D96130"/>
    <w:rsid w:val="00D96141"/>
    <w:rsid w:val="00D964FF"/>
    <w:rsid w:val="00D96E79"/>
    <w:rsid w:val="00D974AE"/>
    <w:rsid w:val="00D97557"/>
    <w:rsid w:val="00D975A7"/>
    <w:rsid w:val="00D97D2B"/>
    <w:rsid w:val="00DA0B7F"/>
    <w:rsid w:val="00DA13C0"/>
    <w:rsid w:val="00DA173D"/>
    <w:rsid w:val="00DA1C3D"/>
    <w:rsid w:val="00DA230C"/>
    <w:rsid w:val="00DA3095"/>
    <w:rsid w:val="00DA34C3"/>
    <w:rsid w:val="00DA3AD4"/>
    <w:rsid w:val="00DA3B68"/>
    <w:rsid w:val="00DA5A1A"/>
    <w:rsid w:val="00DA600F"/>
    <w:rsid w:val="00DA62C5"/>
    <w:rsid w:val="00DA6DD5"/>
    <w:rsid w:val="00DA75B8"/>
    <w:rsid w:val="00DA7C58"/>
    <w:rsid w:val="00DB0E1F"/>
    <w:rsid w:val="00DB1803"/>
    <w:rsid w:val="00DB1AC8"/>
    <w:rsid w:val="00DB24AB"/>
    <w:rsid w:val="00DB24BF"/>
    <w:rsid w:val="00DB24CD"/>
    <w:rsid w:val="00DB24EA"/>
    <w:rsid w:val="00DB2B39"/>
    <w:rsid w:val="00DB2B3E"/>
    <w:rsid w:val="00DB2C33"/>
    <w:rsid w:val="00DB2F75"/>
    <w:rsid w:val="00DB31AF"/>
    <w:rsid w:val="00DB35D4"/>
    <w:rsid w:val="00DB4E3A"/>
    <w:rsid w:val="00DB658E"/>
    <w:rsid w:val="00DB6611"/>
    <w:rsid w:val="00DB6B03"/>
    <w:rsid w:val="00DB7076"/>
    <w:rsid w:val="00DB79F4"/>
    <w:rsid w:val="00DC05B0"/>
    <w:rsid w:val="00DC0D4B"/>
    <w:rsid w:val="00DC156E"/>
    <w:rsid w:val="00DC156F"/>
    <w:rsid w:val="00DC1E43"/>
    <w:rsid w:val="00DC1EA0"/>
    <w:rsid w:val="00DC246F"/>
    <w:rsid w:val="00DC2708"/>
    <w:rsid w:val="00DC28C5"/>
    <w:rsid w:val="00DC30D2"/>
    <w:rsid w:val="00DC50C5"/>
    <w:rsid w:val="00DC5A58"/>
    <w:rsid w:val="00DC5FA4"/>
    <w:rsid w:val="00DC61BD"/>
    <w:rsid w:val="00DC626E"/>
    <w:rsid w:val="00DC6768"/>
    <w:rsid w:val="00DC6895"/>
    <w:rsid w:val="00DC73D5"/>
    <w:rsid w:val="00DC7404"/>
    <w:rsid w:val="00DC783E"/>
    <w:rsid w:val="00DC7D55"/>
    <w:rsid w:val="00DD00C6"/>
    <w:rsid w:val="00DD0408"/>
    <w:rsid w:val="00DD09CE"/>
    <w:rsid w:val="00DD0A01"/>
    <w:rsid w:val="00DD0A05"/>
    <w:rsid w:val="00DD1440"/>
    <w:rsid w:val="00DD1590"/>
    <w:rsid w:val="00DD18EE"/>
    <w:rsid w:val="00DD1936"/>
    <w:rsid w:val="00DD2465"/>
    <w:rsid w:val="00DD27C5"/>
    <w:rsid w:val="00DD295E"/>
    <w:rsid w:val="00DD2D01"/>
    <w:rsid w:val="00DD422B"/>
    <w:rsid w:val="00DD4718"/>
    <w:rsid w:val="00DD4FA5"/>
    <w:rsid w:val="00DD5353"/>
    <w:rsid w:val="00DD5471"/>
    <w:rsid w:val="00DD5AAD"/>
    <w:rsid w:val="00DD5B19"/>
    <w:rsid w:val="00DD5E05"/>
    <w:rsid w:val="00DD6220"/>
    <w:rsid w:val="00DD670C"/>
    <w:rsid w:val="00DD6F2C"/>
    <w:rsid w:val="00DD6F3A"/>
    <w:rsid w:val="00DD745E"/>
    <w:rsid w:val="00DD7464"/>
    <w:rsid w:val="00DD7800"/>
    <w:rsid w:val="00DE0A15"/>
    <w:rsid w:val="00DE0E9D"/>
    <w:rsid w:val="00DE1368"/>
    <w:rsid w:val="00DE14C1"/>
    <w:rsid w:val="00DE15A7"/>
    <w:rsid w:val="00DE25EB"/>
    <w:rsid w:val="00DE2B28"/>
    <w:rsid w:val="00DE2DC4"/>
    <w:rsid w:val="00DE4BFE"/>
    <w:rsid w:val="00DE5795"/>
    <w:rsid w:val="00DE5993"/>
    <w:rsid w:val="00DE5A4E"/>
    <w:rsid w:val="00DE6793"/>
    <w:rsid w:val="00DE6C41"/>
    <w:rsid w:val="00DE7148"/>
    <w:rsid w:val="00DE764F"/>
    <w:rsid w:val="00DE7A19"/>
    <w:rsid w:val="00DE7C26"/>
    <w:rsid w:val="00DF2452"/>
    <w:rsid w:val="00DF2860"/>
    <w:rsid w:val="00DF3794"/>
    <w:rsid w:val="00DF3F5A"/>
    <w:rsid w:val="00DF4BE2"/>
    <w:rsid w:val="00DF50FE"/>
    <w:rsid w:val="00DF5AE7"/>
    <w:rsid w:val="00DF5CDC"/>
    <w:rsid w:val="00DF5D02"/>
    <w:rsid w:val="00DF6E7E"/>
    <w:rsid w:val="00DF7315"/>
    <w:rsid w:val="00DF74A4"/>
    <w:rsid w:val="00E00E14"/>
    <w:rsid w:val="00E01002"/>
    <w:rsid w:val="00E012F5"/>
    <w:rsid w:val="00E01368"/>
    <w:rsid w:val="00E01E62"/>
    <w:rsid w:val="00E024CB"/>
    <w:rsid w:val="00E03ACD"/>
    <w:rsid w:val="00E03CE4"/>
    <w:rsid w:val="00E045BD"/>
    <w:rsid w:val="00E0479F"/>
    <w:rsid w:val="00E04DC9"/>
    <w:rsid w:val="00E053B2"/>
    <w:rsid w:val="00E05E9E"/>
    <w:rsid w:val="00E05EB6"/>
    <w:rsid w:val="00E05EB7"/>
    <w:rsid w:val="00E06EDB"/>
    <w:rsid w:val="00E07252"/>
    <w:rsid w:val="00E0767E"/>
    <w:rsid w:val="00E079C6"/>
    <w:rsid w:val="00E07E03"/>
    <w:rsid w:val="00E07F3F"/>
    <w:rsid w:val="00E102D4"/>
    <w:rsid w:val="00E1055C"/>
    <w:rsid w:val="00E105B8"/>
    <w:rsid w:val="00E12043"/>
    <w:rsid w:val="00E12071"/>
    <w:rsid w:val="00E123A9"/>
    <w:rsid w:val="00E12732"/>
    <w:rsid w:val="00E12F44"/>
    <w:rsid w:val="00E132C3"/>
    <w:rsid w:val="00E146D5"/>
    <w:rsid w:val="00E14E7C"/>
    <w:rsid w:val="00E1540C"/>
    <w:rsid w:val="00E158DC"/>
    <w:rsid w:val="00E15E0D"/>
    <w:rsid w:val="00E1634D"/>
    <w:rsid w:val="00E17A96"/>
    <w:rsid w:val="00E202B6"/>
    <w:rsid w:val="00E20318"/>
    <w:rsid w:val="00E20446"/>
    <w:rsid w:val="00E206B2"/>
    <w:rsid w:val="00E20DD6"/>
    <w:rsid w:val="00E219E3"/>
    <w:rsid w:val="00E22F89"/>
    <w:rsid w:val="00E231C5"/>
    <w:rsid w:val="00E249E6"/>
    <w:rsid w:val="00E25257"/>
    <w:rsid w:val="00E25A27"/>
    <w:rsid w:val="00E264DF"/>
    <w:rsid w:val="00E27709"/>
    <w:rsid w:val="00E27E29"/>
    <w:rsid w:val="00E30841"/>
    <w:rsid w:val="00E30D65"/>
    <w:rsid w:val="00E30F41"/>
    <w:rsid w:val="00E31F4E"/>
    <w:rsid w:val="00E32E64"/>
    <w:rsid w:val="00E333F0"/>
    <w:rsid w:val="00E33447"/>
    <w:rsid w:val="00E33668"/>
    <w:rsid w:val="00E339A8"/>
    <w:rsid w:val="00E340CB"/>
    <w:rsid w:val="00E34580"/>
    <w:rsid w:val="00E3484D"/>
    <w:rsid w:val="00E34C3E"/>
    <w:rsid w:val="00E35400"/>
    <w:rsid w:val="00E356B2"/>
    <w:rsid w:val="00E35804"/>
    <w:rsid w:val="00E3676E"/>
    <w:rsid w:val="00E36911"/>
    <w:rsid w:val="00E36AD5"/>
    <w:rsid w:val="00E3775A"/>
    <w:rsid w:val="00E37AEE"/>
    <w:rsid w:val="00E37B9F"/>
    <w:rsid w:val="00E401AE"/>
    <w:rsid w:val="00E40CFA"/>
    <w:rsid w:val="00E41326"/>
    <w:rsid w:val="00E41925"/>
    <w:rsid w:val="00E41D1F"/>
    <w:rsid w:val="00E4208D"/>
    <w:rsid w:val="00E420E0"/>
    <w:rsid w:val="00E424D0"/>
    <w:rsid w:val="00E424E0"/>
    <w:rsid w:val="00E425B8"/>
    <w:rsid w:val="00E43425"/>
    <w:rsid w:val="00E43994"/>
    <w:rsid w:val="00E43FEB"/>
    <w:rsid w:val="00E44134"/>
    <w:rsid w:val="00E44852"/>
    <w:rsid w:val="00E44A75"/>
    <w:rsid w:val="00E4514E"/>
    <w:rsid w:val="00E45644"/>
    <w:rsid w:val="00E46608"/>
    <w:rsid w:val="00E46712"/>
    <w:rsid w:val="00E46BEE"/>
    <w:rsid w:val="00E46CCB"/>
    <w:rsid w:val="00E47AB1"/>
    <w:rsid w:val="00E504D7"/>
    <w:rsid w:val="00E51038"/>
    <w:rsid w:val="00E52014"/>
    <w:rsid w:val="00E52425"/>
    <w:rsid w:val="00E5245F"/>
    <w:rsid w:val="00E52DE3"/>
    <w:rsid w:val="00E53856"/>
    <w:rsid w:val="00E53965"/>
    <w:rsid w:val="00E53AE5"/>
    <w:rsid w:val="00E53E7D"/>
    <w:rsid w:val="00E53EE9"/>
    <w:rsid w:val="00E54681"/>
    <w:rsid w:val="00E54872"/>
    <w:rsid w:val="00E55AFA"/>
    <w:rsid w:val="00E55DB9"/>
    <w:rsid w:val="00E55F25"/>
    <w:rsid w:val="00E56455"/>
    <w:rsid w:val="00E5708C"/>
    <w:rsid w:val="00E60815"/>
    <w:rsid w:val="00E608C2"/>
    <w:rsid w:val="00E60C1E"/>
    <w:rsid w:val="00E61511"/>
    <w:rsid w:val="00E6182F"/>
    <w:rsid w:val="00E61997"/>
    <w:rsid w:val="00E622EA"/>
    <w:rsid w:val="00E62479"/>
    <w:rsid w:val="00E6276D"/>
    <w:rsid w:val="00E62F58"/>
    <w:rsid w:val="00E63E36"/>
    <w:rsid w:val="00E64ED2"/>
    <w:rsid w:val="00E6522B"/>
    <w:rsid w:val="00E654B4"/>
    <w:rsid w:val="00E654C0"/>
    <w:rsid w:val="00E65BEE"/>
    <w:rsid w:val="00E6618B"/>
    <w:rsid w:val="00E67C89"/>
    <w:rsid w:val="00E67FC3"/>
    <w:rsid w:val="00E700E0"/>
    <w:rsid w:val="00E7223C"/>
    <w:rsid w:val="00E734A4"/>
    <w:rsid w:val="00E73CDE"/>
    <w:rsid w:val="00E7405B"/>
    <w:rsid w:val="00E7467B"/>
    <w:rsid w:val="00E751FD"/>
    <w:rsid w:val="00E75265"/>
    <w:rsid w:val="00E7572B"/>
    <w:rsid w:val="00E766BA"/>
    <w:rsid w:val="00E769AB"/>
    <w:rsid w:val="00E76EA3"/>
    <w:rsid w:val="00E772D1"/>
    <w:rsid w:val="00E80166"/>
    <w:rsid w:val="00E815E4"/>
    <w:rsid w:val="00E81713"/>
    <w:rsid w:val="00E82ECF"/>
    <w:rsid w:val="00E837DB"/>
    <w:rsid w:val="00E83DE2"/>
    <w:rsid w:val="00E83F90"/>
    <w:rsid w:val="00E840F9"/>
    <w:rsid w:val="00E856BE"/>
    <w:rsid w:val="00E85975"/>
    <w:rsid w:val="00E85DAF"/>
    <w:rsid w:val="00E86366"/>
    <w:rsid w:val="00E86716"/>
    <w:rsid w:val="00E8681F"/>
    <w:rsid w:val="00E86B44"/>
    <w:rsid w:val="00E87053"/>
    <w:rsid w:val="00E87B12"/>
    <w:rsid w:val="00E9018D"/>
    <w:rsid w:val="00E9028A"/>
    <w:rsid w:val="00E90BDE"/>
    <w:rsid w:val="00E91BE1"/>
    <w:rsid w:val="00E91F40"/>
    <w:rsid w:val="00E91F6F"/>
    <w:rsid w:val="00E9256B"/>
    <w:rsid w:val="00E9266A"/>
    <w:rsid w:val="00E92D1C"/>
    <w:rsid w:val="00E933B9"/>
    <w:rsid w:val="00E93B14"/>
    <w:rsid w:val="00E94444"/>
    <w:rsid w:val="00E945FE"/>
    <w:rsid w:val="00E96181"/>
    <w:rsid w:val="00E97828"/>
    <w:rsid w:val="00E978BE"/>
    <w:rsid w:val="00E97AC2"/>
    <w:rsid w:val="00E97D4B"/>
    <w:rsid w:val="00E97E7E"/>
    <w:rsid w:val="00EA0F78"/>
    <w:rsid w:val="00EA2021"/>
    <w:rsid w:val="00EA2323"/>
    <w:rsid w:val="00EA3091"/>
    <w:rsid w:val="00EA3F77"/>
    <w:rsid w:val="00EA425C"/>
    <w:rsid w:val="00EA440D"/>
    <w:rsid w:val="00EA4C4B"/>
    <w:rsid w:val="00EA5A4E"/>
    <w:rsid w:val="00EA5A6B"/>
    <w:rsid w:val="00EA5E25"/>
    <w:rsid w:val="00EA5F1F"/>
    <w:rsid w:val="00EA7148"/>
    <w:rsid w:val="00EA723D"/>
    <w:rsid w:val="00EA729C"/>
    <w:rsid w:val="00EA7486"/>
    <w:rsid w:val="00EB13A5"/>
    <w:rsid w:val="00EB142E"/>
    <w:rsid w:val="00EB14EB"/>
    <w:rsid w:val="00EB1547"/>
    <w:rsid w:val="00EB1E06"/>
    <w:rsid w:val="00EB1F19"/>
    <w:rsid w:val="00EB2224"/>
    <w:rsid w:val="00EB232F"/>
    <w:rsid w:val="00EB2E8C"/>
    <w:rsid w:val="00EB318A"/>
    <w:rsid w:val="00EB32A9"/>
    <w:rsid w:val="00EB3D58"/>
    <w:rsid w:val="00EB4036"/>
    <w:rsid w:val="00EB475D"/>
    <w:rsid w:val="00EB64BC"/>
    <w:rsid w:val="00EB6784"/>
    <w:rsid w:val="00EB6AF9"/>
    <w:rsid w:val="00EB7B87"/>
    <w:rsid w:val="00EC0970"/>
    <w:rsid w:val="00EC11FD"/>
    <w:rsid w:val="00EC131C"/>
    <w:rsid w:val="00EC288F"/>
    <w:rsid w:val="00EC295A"/>
    <w:rsid w:val="00EC2CAC"/>
    <w:rsid w:val="00EC31E0"/>
    <w:rsid w:val="00EC38DE"/>
    <w:rsid w:val="00EC42D8"/>
    <w:rsid w:val="00EC4D3A"/>
    <w:rsid w:val="00EC4E2B"/>
    <w:rsid w:val="00EC52B2"/>
    <w:rsid w:val="00EC5C99"/>
    <w:rsid w:val="00EC5DE1"/>
    <w:rsid w:val="00EC5E91"/>
    <w:rsid w:val="00EC662C"/>
    <w:rsid w:val="00EC6E68"/>
    <w:rsid w:val="00EC73EE"/>
    <w:rsid w:val="00EC756F"/>
    <w:rsid w:val="00EC7CEB"/>
    <w:rsid w:val="00ED0207"/>
    <w:rsid w:val="00ED0593"/>
    <w:rsid w:val="00ED0CDF"/>
    <w:rsid w:val="00ED1141"/>
    <w:rsid w:val="00ED1B6F"/>
    <w:rsid w:val="00ED1CFA"/>
    <w:rsid w:val="00ED1E59"/>
    <w:rsid w:val="00ED1ECD"/>
    <w:rsid w:val="00ED29C6"/>
    <w:rsid w:val="00ED2AA6"/>
    <w:rsid w:val="00ED2C28"/>
    <w:rsid w:val="00ED30AC"/>
    <w:rsid w:val="00ED392D"/>
    <w:rsid w:val="00ED3BD8"/>
    <w:rsid w:val="00ED4B99"/>
    <w:rsid w:val="00ED4C76"/>
    <w:rsid w:val="00ED58AA"/>
    <w:rsid w:val="00ED6B76"/>
    <w:rsid w:val="00ED6EC5"/>
    <w:rsid w:val="00ED73F5"/>
    <w:rsid w:val="00ED7EB3"/>
    <w:rsid w:val="00EE0353"/>
    <w:rsid w:val="00EE07AD"/>
    <w:rsid w:val="00EE1141"/>
    <w:rsid w:val="00EE11C5"/>
    <w:rsid w:val="00EE1255"/>
    <w:rsid w:val="00EE150A"/>
    <w:rsid w:val="00EE1544"/>
    <w:rsid w:val="00EE17F1"/>
    <w:rsid w:val="00EE1A11"/>
    <w:rsid w:val="00EE1B28"/>
    <w:rsid w:val="00EE1C3E"/>
    <w:rsid w:val="00EE2108"/>
    <w:rsid w:val="00EE2B0E"/>
    <w:rsid w:val="00EE3D00"/>
    <w:rsid w:val="00EE4259"/>
    <w:rsid w:val="00EE43EF"/>
    <w:rsid w:val="00EE4714"/>
    <w:rsid w:val="00EE47F2"/>
    <w:rsid w:val="00EE4A8E"/>
    <w:rsid w:val="00EE4D2A"/>
    <w:rsid w:val="00EE4EA3"/>
    <w:rsid w:val="00EE5473"/>
    <w:rsid w:val="00EE5CEB"/>
    <w:rsid w:val="00EE6119"/>
    <w:rsid w:val="00EE62AE"/>
    <w:rsid w:val="00EE6F10"/>
    <w:rsid w:val="00EE6F24"/>
    <w:rsid w:val="00EE7975"/>
    <w:rsid w:val="00EE7AF6"/>
    <w:rsid w:val="00EE7FDE"/>
    <w:rsid w:val="00EF096F"/>
    <w:rsid w:val="00EF1A8A"/>
    <w:rsid w:val="00EF1BC4"/>
    <w:rsid w:val="00EF1F5A"/>
    <w:rsid w:val="00EF2116"/>
    <w:rsid w:val="00EF394B"/>
    <w:rsid w:val="00EF45E7"/>
    <w:rsid w:val="00EF4912"/>
    <w:rsid w:val="00EF49C8"/>
    <w:rsid w:val="00EF4AAB"/>
    <w:rsid w:val="00EF4CB6"/>
    <w:rsid w:val="00EF4E41"/>
    <w:rsid w:val="00EF4EF0"/>
    <w:rsid w:val="00EF550C"/>
    <w:rsid w:val="00EF5D9B"/>
    <w:rsid w:val="00EF64A7"/>
    <w:rsid w:val="00EF6A11"/>
    <w:rsid w:val="00EF74E4"/>
    <w:rsid w:val="00EF7716"/>
    <w:rsid w:val="00EF7939"/>
    <w:rsid w:val="00F00650"/>
    <w:rsid w:val="00F00F8B"/>
    <w:rsid w:val="00F017C5"/>
    <w:rsid w:val="00F01DB1"/>
    <w:rsid w:val="00F027CF"/>
    <w:rsid w:val="00F02CF3"/>
    <w:rsid w:val="00F02F1D"/>
    <w:rsid w:val="00F032D8"/>
    <w:rsid w:val="00F03B35"/>
    <w:rsid w:val="00F04163"/>
    <w:rsid w:val="00F046C3"/>
    <w:rsid w:val="00F04788"/>
    <w:rsid w:val="00F058AF"/>
    <w:rsid w:val="00F05F72"/>
    <w:rsid w:val="00F0712F"/>
    <w:rsid w:val="00F07165"/>
    <w:rsid w:val="00F0780D"/>
    <w:rsid w:val="00F10CAD"/>
    <w:rsid w:val="00F11654"/>
    <w:rsid w:val="00F11EB1"/>
    <w:rsid w:val="00F126F8"/>
    <w:rsid w:val="00F13421"/>
    <w:rsid w:val="00F13423"/>
    <w:rsid w:val="00F136C2"/>
    <w:rsid w:val="00F143AE"/>
    <w:rsid w:val="00F149AB"/>
    <w:rsid w:val="00F14DD4"/>
    <w:rsid w:val="00F15173"/>
    <w:rsid w:val="00F15541"/>
    <w:rsid w:val="00F159C6"/>
    <w:rsid w:val="00F16043"/>
    <w:rsid w:val="00F17027"/>
    <w:rsid w:val="00F17C6D"/>
    <w:rsid w:val="00F2056C"/>
    <w:rsid w:val="00F208C0"/>
    <w:rsid w:val="00F20A40"/>
    <w:rsid w:val="00F211AB"/>
    <w:rsid w:val="00F2133B"/>
    <w:rsid w:val="00F215B4"/>
    <w:rsid w:val="00F21DD2"/>
    <w:rsid w:val="00F21E60"/>
    <w:rsid w:val="00F21F88"/>
    <w:rsid w:val="00F2216C"/>
    <w:rsid w:val="00F231E4"/>
    <w:rsid w:val="00F233E7"/>
    <w:rsid w:val="00F23E4C"/>
    <w:rsid w:val="00F24185"/>
    <w:rsid w:val="00F255F9"/>
    <w:rsid w:val="00F26227"/>
    <w:rsid w:val="00F26AC3"/>
    <w:rsid w:val="00F26FE5"/>
    <w:rsid w:val="00F279DC"/>
    <w:rsid w:val="00F27E00"/>
    <w:rsid w:val="00F3021D"/>
    <w:rsid w:val="00F31092"/>
    <w:rsid w:val="00F31D1A"/>
    <w:rsid w:val="00F3235D"/>
    <w:rsid w:val="00F3325E"/>
    <w:rsid w:val="00F33B06"/>
    <w:rsid w:val="00F33C91"/>
    <w:rsid w:val="00F33DAC"/>
    <w:rsid w:val="00F33FC6"/>
    <w:rsid w:val="00F33FE2"/>
    <w:rsid w:val="00F344C6"/>
    <w:rsid w:val="00F34509"/>
    <w:rsid w:val="00F35754"/>
    <w:rsid w:val="00F35DDC"/>
    <w:rsid w:val="00F3610B"/>
    <w:rsid w:val="00F36438"/>
    <w:rsid w:val="00F368A8"/>
    <w:rsid w:val="00F36F51"/>
    <w:rsid w:val="00F377CA"/>
    <w:rsid w:val="00F378E8"/>
    <w:rsid w:val="00F37B40"/>
    <w:rsid w:val="00F37EE7"/>
    <w:rsid w:val="00F40968"/>
    <w:rsid w:val="00F40D06"/>
    <w:rsid w:val="00F41430"/>
    <w:rsid w:val="00F4148E"/>
    <w:rsid w:val="00F41C2E"/>
    <w:rsid w:val="00F41C98"/>
    <w:rsid w:val="00F41DC7"/>
    <w:rsid w:val="00F42602"/>
    <w:rsid w:val="00F43156"/>
    <w:rsid w:val="00F431DB"/>
    <w:rsid w:val="00F436BE"/>
    <w:rsid w:val="00F4371F"/>
    <w:rsid w:val="00F43F21"/>
    <w:rsid w:val="00F44387"/>
    <w:rsid w:val="00F445FC"/>
    <w:rsid w:val="00F44994"/>
    <w:rsid w:val="00F45019"/>
    <w:rsid w:val="00F45597"/>
    <w:rsid w:val="00F463C5"/>
    <w:rsid w:val="00F4649A"/>
    <w:rsid w:val="00F479AF"/>
    <w:rsid w:val="00F47B25"/>
    <w:rsid w:val="00F50007"/>
    <w:rsid w:val="00F50260"/>
    <w:rsid w:val="00F51ADA"/>
    <w:rsid w:val="00F51ADB"/>
    <w:rsid w:val="00F520C1"/>
    <w:rsid w:val="00F5218E"/>
    <w:rsid w:val="00F52D10"/>
    <w:rsid w:val="00F52DA6"/>
    <w:rsid w:val="00F53E35"/>
    <w:rsid w:val="00F54519"/>
    <w:rsid w:val="00F5561A"/>
    <w:rsid w:val="00F55E8E"/>
    <w:rsid w:val="00F5616A"/>
    <w:rsid w:val="00F568A8"/>
    <w:rsid w:val="00F57002"/>
    <w:rsid w:val="00F57024"/>
    <w:rsid w:val="00F57360"/>
    <w:rsid w:val="00F57689"/>
    <w:rsid w:val="00F57B20"/>
    <w:rsid w:val="00F57B96"/>
    <w:rsid w:val="00F57F4A"/>
    <w:rsid w:val="00F60069"/>
    <w:rsid w:val="00F601F4"/>
    <w:rsid w:val="00F60737"/>
    <w:rsid w:val="00F60D09"/>
    <w:rsid w:val="00F60D51"/>
    <w:rsid w:val="00F610BC"/>
    <w:rsid w:val="00F620FB"/>
    <w:rsid w:val="00F6224C"/>
    <w:rsid w:val="00F62411"/>
    <w:rsid w:val="00F6249E"/>
    <w:rsid w:val="00F6385F"/>
    <w:rsid w:val="00F63897"/>
    <w:rsid w:val="00F63904"/>
    <w:rsid w:val="00F63DFC"/>
    <w:rsid w:val="00F64A8A"/>
    <w:rsid w:val="00F64F35"/>
    <w:rsid w:val="00F66905"/>
    <w:rsid w:val="00F679CC"/>
    <w:rsid w:val="00F7087E"/>
    <w:rsid w:val="00F70B28"/>
    <w:rsid w:val="00F710A5"/>
    <w:rsid w:val="00F71359"/>
    <w:rsid w:val="00F715C1"/>
    <w:rsid w:val="00F71929"/>
    <w:rsid w:val="00F71BF1"/>
    <w:rsid w:val="00F71F80"/>
    <w:rsid w:val="00F7247B"/>
    <w:rsid w:val="00F727C9"/>
    <w:rsid w:val="00F72C20"/>
    <w:rsid w:val="00F72EF7"/>
    <w:rsid w:val="00F73354"/>
    <w:rsid w:val="00F73E08"/>
    <w:rsid w:val="00F73F32"/>
    <w:rsid w:val="00F741F7"/>
    <w:rsid w:val="00F74B36"/>
    <w:rsid w:val="00F75B47"/>
    <w:rsid w:val="00F7639C"/>
    <w:rsid w:val="00F76A6C"/>
    <w:rsid w:val="00F7730B"/>
    <w:rsid w:val="00F773CF"/>
    <w:rsid w:val="00F800EB"/>
    <w:rsid w:val="00F8105C"/>
    <w:rsid w:val="00F81297"/>
    <w:rsid w:val="00F82B2C"/>
    <w:rsid w:val="00F82BAC"/>
    <w:rsid w:val="00F83DE3"/>
    <w:rsid w:val="00F8493E"/>
    <w:rsid w:val="00F85842"/>
    <w:rsid w:val="00F85F4D"/>
    <w:rsid w:val="00F86023"/>
    <w:rsid w:val="00F86080"/>
    <w:rsid w:val="00F86C17"/>
    <w:rsid w:val="00F87028"/>
    <w:rsid w:val="00F87098"/>
    <w:rsid w:val="00F8768B"/>
    <w:rsid w:val="00F87C9D"/>
    <w:rsid w:val="00F90258"/>
    <w:rsid w:val="00F906E3"/>
    <w:rsid w:val="00F9104F"/>
    <w:rsid w:val="00F91999"/>
    <w:rsid w:val="00F91B28"/>
    <w:rsid w:val="00F91C11"/>
    <w:rsid w:val="00F91C92"/>
    <w:rsid w:val="00F92AD0"/>
    <w:rsid w:val="00F933D4"/>
    <w:rsid w:val="00F93750"/>
    <w:rsid w:val="00F937E5"/>
    <w:rsid w:val="00F94A31"/>
    <w:rsid w:val="00F9513A"/>
    <w:rsid w:val="00F965C8"/>
    <w:rsid w:val="00F9667F"/>
    <w:rsid w:val="00F96ACE"/>
    <w:rsid w:val="00F96E71"/>
    <w:rsid w:val="00F9730C"/>
    <w:rsid w:val="00FA09BD"/>
    <w:rsid w:val="00FA1085"/>
    <w:rsid w:val="00FA1389"/>
    <w:rsid w:val="00FA1676"/>
    <w:rsid w:val="00FA1857"/>
    <w:rsid w:val="00FA2124"/>
    <w:rsid w:val="00FA2539"/>
    <w:rsid w:val="00FA29B9"/>
    <w:rsid w:val="00FA2CE6"/>
    <w:rsid w:val="00FA3873"/>
    <w:rsid w:val="00FA3B13"/>
    <w:rsid w:val="00FA3DE2"/>
    <w:rsid w:val="00FA4329"/>
    <w:rsid w:val="00FA4C33"/>
    <w:rsid w:val="00FA4DB7"/>
    <w:rsid w:val="00FA586F"/>
    <w:rsid w:val="00FA6100"/>
    <w:rsid w:val="00FA6362"/>
    <w:rsid w:val="00FA676E"/>
    <w:rsid w:val="00FA6A30"/>
    <w:rsid w:val="00FA6D96"/>
    <w:rsid w:val="00FA6DB6"/>
    <w:rsid w:val="00FA6E37"/>
    <w:rsid w:val="00FA7BC4"/>
    <w:rsid w:val="00FA7C2E"/>
    <w:rsid w:val="00FB03A3"/>
    <w:rsid w:val="00FB0688"/>
    <w:rsid w:val="00FB09CD"/>
    <w:rsid w:val="00FB1149"/>
    <w:rsid w:val="00FB13EB"/>
    <w:rsid w:val="00FB17B9"/>
    <w:rsid w:val="00FB26B8"/>
    <w:rsid w:val="00FB2AA2"/>
    <w:rsid w:val="00FB2CA5"/>
    <w:rsid w:val="00FB33F9"/>
    <w:rsid w:val="00FB38E0"/>
    <w:rsid w:val="00FB3F01"/>
    <w:rsid w:val="00FB475B"/>
    <w:rsid w:val="00FB5D45"/>
    <w:rsid w:val="00FB5E98"/>
    <w:rsid w:val="00FB6A24"/>
    <w:rsid w:val="00FB7014"/>
    <w:rsid w:val="00FB7C5D"/>
    <w:rsid w:val="00FB7CFE"/>
    <w:rsid w:val="00FB7EB4"/>
    <w:rsid w:val="00FC01CF"/>
    <w:rsid w:val="00FC0E9C"/>
    <w:rsid w:val="00FC1258"/>
    <w:rsid w:val="00FC14C5"/>
    <w:rsid w:val="00FC2185"/>
    <w:rsid w:val="00FC2851"/>
    <w:rsid w:val="00FC293A"/>
    <w:rsid w:val="00FC2A10"/>
    <w:rsid w:val="00FC3738"/>
    <w:rsid w:val="00FC3968"/>
    <w:rsid w:val="00FC39F9"/>
    <w:rsid w:val="00FC40DC"/>
    <w:rsid w:val="00FC5E9C"/>
    <w:rsid w:val="00FC611A"/>
    <w:rsid w:val="00FC65B4"/>
    <w:rsid w:val="00FC68A3"/>
    <w:rsid w:val="00FC7F11"/>
    <w:rsid w:val="00FD00AF"/>
    <w:rsid w:val="00FD08A2"/>
    <w:rsid w:val="00FD1E4F"/>
    <w:rsid w:val="00FD20D3"/>
    <w:rsid w:val="00FD2DDD"/>
    <w:rsid w:val="00FD332F"/>
    <w:rsid w:val="00FD3CCC"/>
    <w:rsid w:val="00FD4EE4"/>
    <w:rsid w:val="00FD4F51"/>
    <w:rsid w:val="00FD500C"/>
    <w:rsid w:val="00FD5197"/>
    <w:rsid w:val="00FD5AC3"/>
    <w:rsid w:val="00FD5FF4"/>
    <w:rsid w:val="00FD6EAD"/>
    <w:rsid w:val="00FD7631"/>
    <w:rsid w:val="00FD7A3D"/>
    <w:rsid w:val="00FD7B6F"/>
    <w:rsid w:val="00FE0BE5"/>
    <w:rsid w:val="00FE1939"/>
    <w:rsid w:val="00FE1943"/>
    <w:rsid w:val="00FE1BAF"/>
    <w:rsid w:val="00FE1CFE"/>
    <w:rsid w:val="00FE1E63"/>
    <w:rsid w:val="00FE1EB4"/>
    <w:rsid w:val="00FE2C9C"/>
    <w:rsid w:val="00FE31F2"/>
    <w:rsid w:val="00FE353E"/>
    <w:rsid w:val="00FE3C12"/>
    <w:rsid w:val="00FE4348"/>
    <w:rsid w:val="00FE4717"/>
    <w:rsid w:val="00FE4D0C"/>
    <w:rsid w:val="00FE4F5F"/>
    <w:rsid w:val="00FE5BE0"/>
    <w:rsid w:val="00FE609A"/>
    <w:rsid w:val="00FE6A3E"/>
    <w:rsid w:val="00FE758F"/>
    <w:rsid w:val="00FE7765"/>
    <w:rsid w:val="00FE7F23"/>
    <w:rsid w:val="00FF0202"/>
    <w:rsid w:val="00FF1BFE"/>
    <w:rsid w:val="00FF1E39"/>
    <w:rsid w:val="00FF206B"/>
    <w:rsid w:val="00FF2CAF"/>
    <w:rsid w:val="00FF3B2E"/>
    <w:rsid w:val="00FF409A"/>
    <w:rsid w:val="00FF4407"/>
    <w:rsid w:val="00FF449A"/>
    <w:rsid w:val="00FF45E0"/>
    <w:rsid w:val="00FF4F9D"/>
    <w:rsid w:val="00FF54C4"/>
    <w:rsid w:val="00FF5B33"/>
    <w:rsid w:val="00FF5D16"/>
    <w:rsid w:val="00FF68EB"/>
    <w:rsid w:val="00FF7274"/>
    <w:rsid w:val="0AB22FC1"/>
    <w:rsid w:val="0F46E397"/>
    <w:rsid w:val="2BC286AC"/>
    <w:rsid w:val="2CF71098"/>
    <w:rsid w:val="2EBF02FB"/>
    <w:rsid w:val="39A8AF3C"/>
    <w:rsid w:val="55487442"/>
    <w:rsid w:val="5785F1E4"/>
    <w:rsid w:val="5E30DA01"/>
    <w:rsid w:val="6A1A0990"/>
    <w:rsid w:val="727AB0A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35192"/>
  <w15:docId w15:val="{DC05A6F1-64B8-4312-A929-32354DA6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3" w:qFormat="1"/>
    <w:lsdException w:name="heading 3" w:uiPriority="3" w:qFormat="1"/>
    <w:lsdException w:name="heading 4" w:uiPriority="3" w:qFormat="1"/>
    <w:lsdException w:name="heading 5" w:uiPriority="3" w:qFormat="1"/>
    <w:lsdException w:name="heading 6" w:uiPriority="4"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qFormat="1"/>
    <w:lsdException w:name="annotation text" w:semiHidden="1"/>
    <w:lsdException w:name="header" w:semiHidden="1" w:unhideWhenUsed="1" w:qFormat="1"/>
    <w:lsdException w:name="footer" w:semiHidden="1" w:unhideWhenUsed="1"/>
    <w:lsdException w:name="index heading" w:semiHidden="1"/>
    <w:lsdException w:name="caption" w:semiHidden="1" w:uiPriority="3" w:unhideWhenUsed="1" w:qFormat="1"/>
    <w:lsdException w:name="table of figures" w:semiHidden="1" w:unhideWhenUsed="1"/>
    <w:lsdException w:name="envelope address" w:semiHidden="1"/>
    <w:lsdException w:name="envelope return" w:semiHidden="1"/>
    <w:lsdException w:name="footnote reference" w:semiHidden="1" w:qFormat="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5B7"/>
    <w:rPr>
      <w:lang w:val="en-US"/>
    </w:rPr>
  </w:style>
  <w:style w:type="paragraph" w:styleId="Heading1">
    <w:name w:val="heading 1"/>
    <w:aliases w:val="H1"/>
    <w:basedOn w:val="Normal"/>
    <w:next w:val="Normal"/>
    <w:link w:val="Heading1Char"/>
    <w:uiPriority w:val="1"/>
    <w:qFormat/>
    <w:rsid w:val="00B10C6D"/>
    <w:pPr>
      <w:keepNext/>
      <w:keepLines/>
      <w:numPr>
        <w:numId w:val="2"/>
      </w:numPr>
      <w:suppressAutoHyphens/>
      <w:spacing w:before="280" w:after="280" w:line="360" w:lineRule="atLeast"/>
      <w:contextualSpacing/>
      <w:outlineLvl w:val="0"/>
    </w:pPr>
    <w:rPr>
      <w:rFonts w:eastAsiaTheme="majorEastAsia" w:cstheme="majorBidi"/>
      <w:b/>
      <w:bCs/>
      <w:color w:val="009DF0" w:themeColor="text2"/>
      <w:sz w:val="28"/>
      <w:szCs w:val="28"/>
    </w:rPr>
  </w:style>
  <w:style w:type="paragraph" w:styleId="Heading2">
    <w:name w:val="heading 2"/>
    <w:basedOn w:val="Normal"/>
    <w:next w:val="Normal"/>
    <w:link w:val="Heading2Char"/>
    <w:uiPriority w:val="3"/>
    <w:qFormat/>
    <w:rsid w:val="00B10C6D"/>
    <w:pPr>
      <w:keepNext/>
      <w:keepLines/>
      <w:numPr>
        <w:ilvl w:val="1"/>
        <w:numId w:val="2"/>
      </w:numPr>
      <w:suppressAutoHyphens/>
      <w:spacing w:after="120" w:line="360" w:lineRule="auto"/>
      <w:contextualSpacing/>
      <w:outlineLvl w:val="1"/>
    </w:pPr>
    <w:rPr>
      <w:rFonts w:eastAsiaTheme="majorEastAsia" w:cstheme="majorBidi"/>
      <w:b/>
      <w:bCs/>
      <w:color w:val="009DF0" w:themeColor="text2"/>
      <w:sz w:val="20"/>
      <w:szCs w:val="26"/>
    </w:rPr>
  </w:style>
  <w:style w:type="paragraph" w:styleId="Heading3">
    <w:name w:val="heading 3"/>
    <w:basedOn w:val="Normal"/>
    <w:next w:val="Normal"/>
    <w:link w:val="Heading3Char"/>
    <w:uiPriority w:val="3"/>
    <w:qFormat/>
    <w:rsid w:val="00B10C6D"/>
    <w:pPr>
      <w:keepNext/>
      <w:keepLines/>
      <w:numPr>
        <w:ilvl w:val="2"/>
        <w:numId w:val="2"/>
      </w:numPr>
      <w:spacing w:after="120" w:line="360" w:lineRule="auto"/>
      <w:contextualSpacing/>
      <w:outlineLvl w:val="2"/>
    </w:pPr>
    <w:rPr>
      <w:rFonts w:eastAsiaTheme="majorEastAsia" w:cstheme="majorBidi"/>
      <w:b/>
      <w:bCs/>
    </w:rPr>
  </w:style>
  <w:style w:type="paragraph" w:styleId="Heading4">
    <w:name w:val="heading 4"/>
    <w:basedOn w:val="Normal"/>
    <w:next w:val="Normal"/>
    <w:link w:val="Heading4Char"/>
    <w:uiPriority w:val="3"/>
    <w:qFormat/>
    <w:rsid w:val="00B10C6D"/>
    <w:pPr>
      <w:keepNext/>
      <w:keepLines/>
      <w:numPr>
        <w:ilvl w:val="3"/>
        <w:numId w:val="2"/>
      </w:numPr>
      <w:spacing w:before="260"/>
      <w:ind w:left="5954"/>
      <w:contextualSpacing/>
      <w:outlineLvl w:val="3"/>
    </w:pPr>
    <w:rPr>
      <w:rFonts w:eastAsiaTheme="majorEastAsia" w:cstheme="majorBidi"/>
      <w:bCs/>
      <w:iCs/>
    </w:rPr>
  </w:style>
  <w:style w:type="paragraph" w:styleId="Heading5">
    <w:name w:val="heading 5"/>
    <w:basedOn w:val="Normal"/>
    <w:next w:val="Normal"/>
    <w:link w:val="Heading5Char"/>
    <w:uiPriority w:val="3"/>
    <w:qFormat/>
    <w:rsid w:val="00920D86"/>
    <w:pPr>
      <w:keepNext/>
      <w:keepLines/>
      <w:numPr>
        <w:ilvl w:val="4"/>
        <w:numId w:val="2"/>
      </w:numPr>
      <w:spacing w:before="260"/>
      <w:contextualSpacing/>
      <w:outlineLvl w:val="4"/>
    </w:pPr>
    <w:rPr>
      <w:rFonts w:eastAsiaTheme="majorEastAsia" w:cstheme="majorBidi"/>
      <w:u w:val="single"/>
    </w:rPr>
  </w:style>
  <w:style w:type="paragraph" w:styleId="Heading6">
    <w:name w:val="heading 6"/>
    <w:basedOn w:val="Normal"/>
    <w:next w:val="Normal"/>
    <w:link w:val="Heading6Char"/>
    <w:uiPriority w:val="4"/>
    <w:qFormat/>
    <w:rsid w:val="00920D86"/>
    <w:pPr>
      <w:keepNext/>
      <w:keepLines/>
      <w:numPr>
        <w:ilvl w:val="5"/>
        <w:numId w:val="2"/>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4"/>
    <w:qFormat/>
    <w:rsid w:val="00920D86"/>
    <w:pPr>
      <w:keepNext/>
      <w:keepLines/>
      <w:numPr>
        <w:ilvl w:val="6"/>
        <w:numId w:val="2"/>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4"/>
    <w:qFormat/>
    <w:rsid w:val="00920D86"/>
    <w:pPr>
      <w:keepNext/>
      <w:keepLines/>
      <w:numPr>
        <w:ilvl w:val="7"/>
        <w:numId w:val="2"/>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4"/>
    <w:qFormat/>
    <w:rsid w:val="00920D86"/>
    <w:pPr>
      <w:keepNext/>
      <w:keepLines/>
      <w:numPr>
        <w:ilvl w:val="8"/>
        <w:numId w:val="2"/>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920D86"/>
    <w:pPr>
      <w:spacing w:line="160" w:lineRule="atLeast"/>
    </w:pPr>
    <w:rPr>
      <w:color w:val="D0CFC2"/>
    </w:rPr>
  </w:style>
  <w:style w:type="character" w:customStyle="1" w:styleId="HeaderChar">
    <w:name w:val="Header Char"/>
    <w:basedOn w:val="DefaultParagraphFont"/>
    <w:link w:val="Header"/>
    <w:uiPriority w:val="99"/>
    <w:qFormat/>
    <w:rsid w:val="00920D86"/>
    <w:rPr>
      <w:color w:val="D0CFC2"/>
      <w:lang w:val="en-US"/>
    </w:rPr>
  </w:style>
  <w:style w:type="paragraph" w:styleId="Footer">
    <w:name w:val="footer"/>
    <w:basedOn w:val="Normal"/>
    <w:link w:val="FooterChar"/>
    <w:uiPriority w:val="99"/>
    <w:rsid w:val="00920D86"/>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920D86"/>
    <w:rPr>
      <w:sz w:val="12"/>
      <w:lang w:val="en-US"/>
    </w:rPr>
  </w:style>
  <w:style w:type="character" w:customStyle="1" w:styleId="Heading1Char">
    <w:name w:val="Heading 1 Char"/>
    <w:aliases w:val="H1 Char"/>
    <w:basedOn w:val="DefaultParagraphFont"/>
    <w:link w:val="Heading1"/>
    <w:uiPriority w:val="1"/>
    <w:rsid w:val="00B10C6D"/>
    <w:rPr>
      <w:rFonts w:eastAsiaTheme="majorEastAsia" w:cstheme="majorBidi"/>
      <w:b/>
      <w:bCs/>
      <w:color w:val="009DF0" w:themeColor="text2"/>
      <w:sz w:val="28"/>
      <w:szCs w:val="28"/>
      <w:lang w:val="en-US"/>
    </w:rPr>
  </w:style>
  <w:style w:type="character" w:customStyle="1" w:styleId="Heading2Char">
    <w:name w:val="Heading 2 Char"/>
    <w:basedOn w:val="DefaultParagraphFont"/>
    <w:link w:val="Heading2"/>
    <w:uiPriority w:val="3"/>
    <w:rsid w:val="00B10C6D"/>
    <w:rPr>
      <w:rFonts w:eastAsiaTheme="majorEastAsia" w:cstheme="majorBidi"/>
      <w:b/>
      <w:bCs/>
      <w:color w:val="009DF0" w:themeColor="text2"/>
      <w:sz w:val="20"/>
      <w:szCs w:val="26"/>
      <w:lang w:val="en-US"/>
    </w:rPr>
  </w:style>
  <w:style w:type="character" w:customStyle="1" w:styleId="Heading3Char">
    <w:name w:val="Heading 3 Char"/>
    <w:basedOn w:val="DefaultParagraphFont"/>
    <w:link w:val="Heading3"/>
    <w:uiPriority w:val="3"/>
    <w:rsid w:val="00B10C6D"/>
    <w:rPr>
      <w:rFonts w:eastAsiaTheme="majorEastAsia" w:cstheme="majorBidi"/>
      <w:b/>
      <w:bCs/>
      <w:lang w:val="en-US"/>
    </w:rPr>
  </w:style>
  <w:style w:type="character" w:customStyle="1" w:styleId="Heading4Char">
    <w:name w:val="Heading 4 Char"/>
    <w:basedOn w:val="DefaultParagraphFont"/>
    <w:link w:val="Heading4"/>
    <w:uiPriority w:val="3"/>
    <w:rsid w:val="00B10C6D"/>
    <w:rPr>
      <w:rFonts w:eastAsiaTheme="majorEastAsia" w:cstheme="majorBidi"/>
      <w:bCs/>
      <w:iCs/>
      <w:lang w:val="en-US"/>
    </w:rPr>
  </w:style>
  <w:style w:type="character" w:customStyle="1" w:styleId="Heading5Char">
    <w:name w:val="Heading 5 Char"/>
    <w:basedOn w:val="DefaultParagraphFont"/>
    <w:link w:val="Heading5"/>
    <w:uiPriority w:val="3"/>
    <w:rsid w:val="00920D86"/>
    <w:rPr>
      <w:rFonts w:eastAsiaTheme="majorEastAsia" w:cstheme="majorBidi"/>
      <w:u w:val="single"/>
      <w:lang w:val="en-US"/>
    </w:rPr>
  </w:style>
  <w:style w:type="character" w:customStyle="1" w:styleId="Heading6Char">
    <w:name w:val="Heading 6 Char"/>
    <w:basedOn w:val="DefaultParagraphFont"/>
    <w:link w:val="Heading6"/>
    <w:uiPriority w:val="4"/>
    <w:rsid w:val="00920D86"/>
    <w:rPr>
      <w:rFonts w:eastAsiaTheme="majorEastAsia" w:cstheme="majorBidi"/>
      <w:b/>
      <w:iCs/>
      <w:lang w:val="en-US"/>
    </w:rPr>
  </w:style>
  <w:style w:type="character" w:customStyle="1" w:styleId="Heading7Char">
    <w:name w:val="Heading 7 Char"/>
    <w:basedOn w:val="DefaultParagraphFont"/>
    <w:link w:val="Heading7"/>
    <w:uiPriority w:val="4"/>
    <w:rsid w:val="00920D86"/>
    <w:rPr>
      <w:rFonts w:eastAsiaTheme="majorEastAsia" w:cstheme="majorBidi"/>
      <w:b/>
      <w:iCs/>
      <w:lang w:val="en-US"/>
    </w:rPr>
  </w:style>
  <w:style w:type="character" w:customStyle="1" w:styleId="Heading8Char">
    <w:name w:val="Heading 8 Char"/>
    <w:basedOn w:val="DefaultParagraphFont"/>
    <w:link w:val="Heading8"/>
    <w:uiPriority w:val="4"/>
    <w:rsid w:val="00920D86"/>
    <w:rPr>
      <w:rFonts w:eastAsiaTheme="majorEastAsia" w:cstheme="majorBidi"/>
      <w:b/>
      <w:szCs w:val="20"/>
      <w:lang w:val="en-US"/>
    </w:rPr>
  </w:style>
  <w:style w:type="character" w:customStyle="1" w:styleId="Heading9Char">
    <w:name w:val="Heading 9 Char"/>
    <w:basedOn w:val="DefaultParagraphFont"/>
    <w:link w:val="Heading9"/>
    <w:uiPriority w:val="4"/>
    <w:rsid w:val="00920D86"/>
    <w:rPr>
      <w:rFonts w:eastAsiaTheme="majorEastAsia" w:cstheme="majorBidi"/>
      <w:b/>
      <w:iCs/>
      <w:szCs w:val="20"/>
      <w:lang w:val="en-US"/>
    </w:rPr>
  </w:style>
  <w:style w:type="paragraph" w:styleId="Title">
    <w:name w:val="Title"/>
    <w:basedOn w:val="Normal"/>
    <w:next w:val="Normal"/>
    <w:link w:val="TitleChar"/>
    <w:uiPriority w:val="10"/>
    <w:qFormat/>
    <w:rsid w:val="00920D86"/>
    <w:pPr>
      <w:spacing w:after="260" w:line="710" w:lineRule="exact"/>
      <w:contextualSpacing/>
    </w:pPr>
    <w:rPr>
      <w:rFonts w:eastAsiaTheme="majorEastAsia" w:cstheme="majorBidi"/>
      <w:b/>
      <w:caps/>
      <w:kern w:val="28"/>
      <w:sz w:val="64"/>
      <w:szCs w:val="52"/>
    </w:rPr>
  </w:style>
  <w:style w:type="character" w:customStyle="1" w:styleId="TitleChar">
    <w:name w:val="Title Char"/>
    <w:basedOn w:val="DefaultParagraphFont"/>
    <w:link w:val="Title"/>
    <w:uiPriority w:val="99"/>
    <w:semiHidden/>
    <w:rsid w:val="00920D86"/>
    <w:rPr>
      <w:rFonts w:eastAsiaTheme="majorEastAsia" w:cstheme="majorBidi"/>
      <w:b/>
      <w:caps/>
      <w:kern w:val="28"/>
      <w:sz w:val="64"/>
      <w:szCs w:val="52"/>
      <w:lang w:val="en-US"/>
    </w:rPr>
  </w:style>
  <w:style w:type="paragraph" w:styleId="Subtitle">
    <w:name w:val="Subtitle"/>
    <w:basedOn w:val="Normal"/>
    <w:next w:val="Normal"/>
    <w:link w:val="SubtitleChar"/>
    <w:uiPriority w:val="8"/>
    <w:semiHidden/>
    <w:qFormat/>
    <w:rsid w:val="00261211"/>
    <w:pPr>
      <w:numPr>
        <w:ilvl w:val="1"/>
      </w:numPr>
      <w:spacing w:line="288" w:lineRule="atLeast"/>
      <w:contextualSpacing/>
    </w:pPr>
    <w:rPr>
      <w:rFonts w:eastAsiaTheme="majorEastAsia" w:cstheme="majorBidi"/>
      <w:iCs/>
      <w:sz w:val="24"/>
      <w:szCs w:val="24"/>
    </w:rPr>
  </w:style>
  <w:style w:type="character" w:customStyle="1" w:styleId="SubtitleChar">
    <w:name w:val="Subtitle Char"/>
    <w:basedOn w:val="DefaultParagraphFont"/>
    <w:link w:val="Subtitle"/>
    <w:uiPriority w:val="8"/>
    <w:semiHidden/>
    <w:rsid w:val="00261211"/>
    <w:rPr>
      <w:rFonts w:eastAsiaTheme="majorEastAsia" w:cstheme="majorBidi"/>
      <w:iCs/>
      <w:sz w:val="24"/>
      <w:szCs w:val="24"/>
      <w:lang w:val="en-US"/>
    </w:rPr>
  </w:style>
  <w:style w:type="character" w:styleId="SubtleEmphasis">
    <w:name w:val="Subtle Emphasis"/>
    <w:basedOn w:val="DefaultParagraphFont"/>
    <w:uiPriority w:val="99"/>
    <w:semiHidden/>
    <w:qFormat/>
    <w:rsid w:val="00920D86"/>
    <w:rPr>
      <w:i/>
      <w:iCs/>
      <w:color w:val="808080" w:themeColor="text1" w:themeTint="7F"/>
      <w:lang w:val="en-US"/>
    </w:rPr>
  </w:style>
  <w:style w:type="character" w:styleId="IntenseEmphasis">
    <w:name w:val="Intense Emphasis"/>
    <w:basedOn w:val="DefaultParagraphFont"/>
    <w:uiPriority w:val="19"/>
    <w:semiHidden/>
    <w:rsid w:val="00920D86"/>
    <w:rPr>
      <w:b/>
      <w:bCs/>
      <w:i/>
      <w:iCs/>
      <w:color w:val="auto"/>
      <w:lang w:val="en-US"/>
    </w:rPr>
  </w:style>
  <w:style w:type="character" w:styleId="Strong">
    <w:name w:val="Strong"/>
    <w:basedOn w:val="DefaultParagraphFont"/>
    <w:uiPriority w:val="22"/>
    <w:qFormat/>
    <w:rsid w:val="00920D86"/>
    <w:rPr>
      <w:b/>
      <w:bCs/>
      <w:lang w:val="en-US"/>
    </w:rPr>
  </w:style>
  <w:style w:type="paragraph" w:styleId="IntenseQuote">
    <w:name w:val="Intense Quote"/>
    <w:basedOn w:val="Normal"/>
    <w:next w:val="Normal"/>
    <w:link w:val="IntenseQuoteChar"/>
    <w:uiPriority w:val="19"/>
    <w:semiHidden/>
    <w:rsid w:val="00920D86"/>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920D86"/>
    <w:rPr>
      <w:b/>
      <w:bCs/>
      <w:i/>
      <w:iCs/>
      <w:lang w:val="en-US"/>
    </w:rPr>
  </w:style>
  <w:style w:type="character" w:styleId="SubtleReference">
    <w:name w:val="Subtle Reference"/>
    <w:basedOn w:val="DefaultParagraphFont"/>
    <w:uiPriority w:val="99"/>
    <w:semiHidden/>
    <w:qFormat/>
    <w:rsid w:val="00920D86"/>
    <w:rPr>
      <w:caps w:val="0"/>
      <w:smallCaps w:val="0"/>
      <w:color w:val="auto"/>
      <w:u w:val="single"/>
      <w:lang w:val="en-US"/>
    </w:rPr>
  </w:style>
  <w:style w:type="character" w:styleId="IntenseReference">
    <w:name w:val="Intense Reference"/>
    <w:basedOn w:val="DefaultParagraphFont"/>
    <w:uiPriority w:val="99"/>
    <w:semiHidden/>
    <w:qFormat/>
    <w:rsid w:val="00920D86"/>
    <w:rPr>
      <w:b/>
      <w:bCs/>
      <w:caps w:val="0"/>
      <w:smallCaps w:val="0"/>
      <w:color w:val="auto"/>
      <w:spacing w:val="5"/>
      <w:u w:val="single"/>
      <w:lang w:val="en-US"/>
    </w:rPr>
  </w:style>
  <w:style w:type="paragraph" w:styleId="Caption">
    <w:name w:val="caption"/>
    <w:aliases w:val="Map Char,Map,Map Char Char Char Char Char,Caption Char Char Car Car,Caption Char Char Car Car Car,Map Char Char Char Car Car,Caption Char Char,Map Char Char,Map Char Char Char,Caption Char1,Titlu Tabel,Caracter Caracter,Char1 Char,Figura_text,Ma"/>
    <w:basedOn w:val="Normal"/>
    <w:next w:val="Caption-Text"/>
    <w:link w:val="CaptionChar"/>
    <w:uiPriority w:val="3"/>
    <w:qFormat/>
    <w:rsid w:val="00920D86"/>
    <w:pPr>
      <w:spacing w:before="170" w:after="100" w:line="200" w:lineRule="atLeast"/>
    </w:pPr>
    <w:rPr>
      <w:b/>
      <w:bCs/>
      <w:color w:val="009DF0" w:themeColor="text2"/>
      <w:sz w:val="14"/>
    </w:rPr>
  </w:style>
  <w:style w:type="paragraph" w:styleId="TOC1">
    <w:name w:val="toc 1"/>
    <w:basedOn w:val="Normal"/>
    <w:next w:val="Normal"/>
    <w:uiPriority w:val="39"/>
    <w:rsid w:val="00920D86"/>
    <w:pPr>
      <w:tabs>
        <w:tab w:val="right" w:pos="6231"/>
      </w:tabs>
      <w:spacing w:before="260"/>
      <w:ind w:right="567"/>
    </w:pPr>
    <w:rPr>
      <w:rFonts w:eastAsia="Times New Roman" w:cs="Times New Roman"/>
      <w:color w:val="009DF0" w:themeColor="text2"/>
    </w:rPr>
  </w:style>
  <w:style w:type="paragraph" w:styleId="TOC2">
    <w:name w:val="toc 2"/>
    <w:basedOn w:val="Normal"/>
    <w:next w:val="Normal"/>
    <w:uiPriority w:val="39"/>
    <w:rsid w:val="00920D86"/>
    <w:pPr>
      <w:tabs>
        <w:tab w:val="left" w:pos="851"/>
        <w:tab w:val="right" w:pos="6231"/>
      </w:tabs>
      <w:ind w:right="567"/>
    </w:pPr>
    <w:rPr>
      <w:rFonts w:eastAsia="Times New Roman" w:cs="Times New Roman"/>
    </w:rPr>
  </w:style>
  <w:style w:type="paragraph" w:styleId="TOC3">
    <w:name w:val="toc 3"/>
    <w:basedOn w:val="Normal"/>
    <w:next w:val="Normal"/>
    <w:uiPriority w:val="39"/>
    <w:rsid w:val="00920D86"/>
    <w:pPr>
      <w:tabs>
        <w:tab w:val="left" w:pos="851"/>
        <w:tab w:val="right" w:pos="6231"/>
      </w:tabs>
      <w:ind w:left="851" w:right="567" w:hanging="851"/>
    </w:pPr>
    <w:rPr>
      <w:rFonts w:eastAsia="Times New Roman" w:cs="Times New Roman"/>
    </w:rPr>
  </w:style>
  <w:style w:type="paragraph" w:styleId="TOC4">
    <w:name w:val="toc 4"/>
    <w:basedOn w:val="Normal"/>
    <w:next w:val="Normal"/>
    <w:link w:val="TOC4Char"/>
    <w:uiPriority w:val="39"/>
    <w:semiHidden/>
    <w:rsid w:val="00920D86"/>
    <w:pPr>
      <w:tabs>
        <w:tab w:val="left" w:pos="1077"/>
        <w:tab w:val="right" w:pos="7229"/>
      </w:tabs>
      <w:ind w:left="510" w:right="2268" w:hanging="1077"/>
    </w:pPr>
    <w:rPr>
      <w:rFonts w:eastAsia="Times New Roman" w:cs="Times New Roman"/>
    </w:rPr>
  </w:style>
  <w:style w:type="paragraph" w:styleId="TOC5">
    <w:name w:val="toc 5"/>
    <w:basedOn w:val="Normal"/>
    <w:next w:val="Normal"/>
    <w:uiPriority w:val="39"/>
    <w:semiHidden/>
    <w:rsid w:val="00920D86"/>
    <w:pPr>
      <w:tabs>
        <w:tab w:val="left" w:pos="1077"/>
        <w:tab w:val="right" w:pos="7229"/>
      </w:tabs>
      <w:ind w:left="510" w:right="2268" w:hanging="1077"/>
    </w:pPr>
    <w:rPr>
      <w:rFonts w:eastAsia="Times New Roman" w:cs="Times New Roman"/>
    </w:rPr>
  </w:style>
  <w:style w:type="paragraph" w:styleId="TOC6">
    <w:name w:val="toc 6"/>
    <w:basedOn w:val="Normal"/>
    <w:next w:val="Normal"/>
    <w:uiPriority w:val="39"/>
    <w:semiHidden/>
    <w:rsid w:val="00920D86"/>
    <w:pPr>
      <w:tabs>
        <w:tab w:val="right" w:pos="7229"/>
      </w:tabs>
      <w:ind w:left="-567" w:right="2268"/>
    </w:pPr>
    <w:rPr>
      <w:rFonts w:eastAsia="Times New Roman" w:cs="Times New Roman"/>
    </w:rPr>
  </w:style>
  <w:style w:type="paragraph" w:styleId="TOC7">
    <w:name w:val="toc 7"/>
    <w:basedOn w:val="Normal"/>
    <w:next w:val="Normal"/>
    <w:uiPriority w:val="39"/>
    <w:semiHidden/>
    <w:rsid w:val="00920D86"/>
    <w:pPr>
      <w:spacing w:before="240"/>
      <w:ind w:left="-567" w:right="2268"/>
    </w:pPr>
    <w:rPr>
      <w:rFonts w:eastAsia="Times New Roman" w:cs="Times New Roman"/>
      <w:b/>
    </w:rPr>
  </w:style>
  <w:style w:type="paragraph" w:styleId="TOC8">
    <w:name w:val="toc 8"/>
    <w:basedOn w:val="Normal"/>
    <w:next w:val="Normal"/>
    <w:uiPriority w:val="39"/>
    <w:semiHidden/>
    <w:rsid w:val="00920D86"/>
    <w:pPr>
      <w:ind w:left="-567" w:right="2268"/>
    </w:pPr>
    <w:rPr>
      <w:rFonts w:eastAsia="Times New Roman" w:cs="Times New Roman"/>
    </w:rPr>
  </w:style>
  <w:style w:type="paragraph" w:styleId="TOC9">
    <w:name w:val="toc 9"/>
    <w:basedOn w:val="Normal"/>
    <w:next w:val="Normal"/>
    <w:uiPriority w:val="39"/>
    <w:semiHidden/>
    <w:rsid w:val="00920D86"/>
    <w:pPr>
      <w:ind w:left="-567" w:right="2268"/>
    </w:pPr>
    <w:rPr>
      <w:rFonts w:eastAsia="Times New Roman" w:cs="Times New Roman"/>
    </w:rPr>
  </w:style>
  <w:style w:type="paragraph" w:styleId="TOCHeading">
    <w:name w:val="TOC Heading"/>
    <w:basedOn w:val="Normal"/>
    <w:next w:val="Normal"/>
    <w:uiPriority w:val="39"/>
    <w:rsid w:val="00920D86"/>
    <w:rPr>
      <w:color w:val="009DF0" w:themeColor="text2"/>
      <w:sz w:val="24"/>
    </w:rPr>
  </w:style>
  <w:style w:type="paragraph" w:styleId="BlockText">
    <w:name w:val="Block Text"/>
    <w:basedOn w:val="Normal"/>
    <w:uiPriority w:val="99"/>
    <w:semiHidden/>
    <w:rsid w:val="00920D86"/>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99"/>
    <w:semiHidden/>
    <w:rsid w:val="00920D86"/>
    <w:pPr>
      <w:spacing w:line="200" w:lineRule="atLeast"/>
      <w:ind w:left="85" w:hanging="85"/>
    </w:pPr>
    <w:rPr>
      <w:color w:val="273943" w:themeColor="background2"/>
      <w:sz w:val="12"/>
      <w:szCs w:val="20"/>
    </w:rPr>
  </w:style>
  <w:style w:type="character" w:customStyle="1" w:styleId="EndnoteTextChar">
    <w:name w:val="Endnote Text Char"/>
    <w:basedOn w:val="DefaultParagraphFont"/>
    <w:link w:val="EndnoteText"/>
    <w:uiPriority w:val="99"/>
    <w:semiHidden/>
    <w:rsid w:val="00920D86"/>
    <w:rPr>
      <w:color w:val="273943" w:themeColor="background2"/>
      <w:sz w:val="12"/>
      <w:szCs w:val="20"/>
      <w:lang w:val="en-US"/>
    </w:rPr>
  </w:style>
  <w:style w:type="character" w:styleId="EndnoteReference">
    <w:name w:val="endnote reference"/>
    <w:basedOn w:val="DefaultParagraphFont"/>
    <w:uiPriority w:val="99"/>
    <w:semiHidden/>
    <w:rsid w:val="00920D86"/>
    <w:rPr>
      <w:vertAlign w:val="superscript"/>
      <w:lang w:val="en-US"/>
    </w:rPr>
  </w:style>
  <w:style w:type="paragraph" w:styleId="FootnoteText">
    <w:name w:val="footnote text"/>
    <w:aliases w:val="Nbpage Moens,single space,Podrozdział,Footnote Text Char Char,Fußnote,footnote text,FOOTNOTES,fn,stile 1,Footnote,Footnote1,Footnote2,Footnote3,Footnote4,Footnote5,Footnote6,Footnote7,Footnote8,Footnote9,Footnote10,Footnote11,Fußnotentextf"/>
    <w:basedOn w:val="Normal"/>
    <w:link w:val="FootnoteTextChar"/>
    <w:uiPriority w:val="99"/>
    <w:qFormat/>
    <w:rsid w:val="00920D86"/>
    <w:pPr>
      <w:spacing w:line="200" w:lineRule="atLeast"/>
      <w:ind w:left="85" w:hanging="85"/>
    </w:pPr>
    <w:rPr>
      <w:color w:val="797766"/>
      <w:sz w:val="12"/>
      <w:szCs w:val="20"/>
    </w:rPr>
  </w:style>
  <w:style w:type="character" w:customStyle="1" w:styleId="FootnoteTextChar">
    <w:name w:val="Footnote Text Char"/>
    <w:aliases w:val="Nbpage Moens Char,single space Char,Podrozdział Char,Footnote Text Char Char Char,Fußnote Char,footnote text Char,FOOTNOTES Char,fn Char,stile 1 Char,Footnote Char,Footnote1 Char,Footnote2 Char,Footnote3 Char,Footnote4 Char"/>
    <w:basedOn w:val="DefaultParagraphFont"/>
    <w:link w:val="FootnoteText"/>
    <w:uiPriority w:val="99"/>
    <w:rsid w:val="00920D86"/>
    <w:rPr>
      <w:color w:val="797766"/>
      <w:sz w:val="12"/>
      <w:szCs w:val="20"/>
      <w:lang w:val="en-US"/>
    </w:rPr>
  </w:style>
  <w:style w:type="paragraph" w:styleId="ListBullet">
    <w:name w:val="List Bullet"/>
    <w:basedOn w:val="Normal"/>
    <w:uiPriority w:val="4"/>
    <w:qFormat/>
    <w:rsid w:val="00920D86"/>
    <w:pPr>
      <w:numPr>
        <w:numId w:val="3"/>
      </w:numPr>
      <w:contextualSpacing/>
    </w:pPr>
  </w:style>
  <w:style w:type="paragraph" w:styleId="ListNumber">
    <w:name w:val="List Number"/>
    <w:basedOn w:val="Normal"/>
    <w:uiPriority w:val="4"/>
    <w:qFormat/>
    <w:rsid w:val="00920D86"/>
    <w:pPr>
      <w:numPr>
        <w:numId w:val="8"/>
      </w:numPr>
      <w:contextualSpacing/>
    </w:pPr>
  </w:style>
  <w:style w:type="character" w:styleId="PageNumber">
    <w:name w:val="page number"/>
    <w:basedOn w:val="DefaultParagraphFont"/>
    <w:uiPriority w:val="21"/>
    <w:semiHidden/>
    <w:rsid w:val="00920D86"/>
    <w:rPr>
      <w:lang w:val="en-US"/>
    </w:rPr>
  </w:style>
  <w:style w:type="paragraph" w:customStyle="1" w:styleId="Template">
    <w:name w:val="Template"/>
    <w:uiPriority w:val="8"/>
    <w:semiHidden/>
    <w:rsid w:val="00920D86"/>
    <w:pPr>
      <w:spacing w:line="200" w:lineRule="atLeast"/>
    </w:pPr>
    <w:rPr>
      <w:noProof/>
      <w:sz w:val="14"/>
      <w:lang w:val="en-US"/>
    </w:rPr>
  </w:style>
  <w:style w:type="paragraph" w:customStyle="1" w:styleId="Template-Address">
    <w:name w:val="Template - Address"/>
    <w:basedOn w:val="Template"/>
    <w:uiPriority w:val="8"/>
    <w:semiHidden/>
    <w:rsid w:val="00920D86"/>
    <w:pPr>
      <w:tabs>
        <w:tab w:val="left" w:pos="567"/>
      </w:tabs>
      <w:suppressAutoHyphens/>
    </w:pPr>
  </w:style>
  <w:style w:type="paragraph" w:customStyle="1" w:styleId="Template-Companyname">
    <w:name w:val="Template - Company name"/>
    <w:basedOn w:val="Template-Address"/>
    <w:next w:val="Template-Address"/>
    <w:uiPriority w:val="8"/>
    <w:semiHidden/>
    <w:rsid w:val="00920D86"/>
  </w:style>
  <w:style w:type="paragraph" w:styleId="TOAHeading">
    <w:name w:val="toa heading"/>
    <w:basedOn w:val="Normal"/>
    <w:next w:val="Normal"/>
    <w:uiPriority w:val="39"/>
    <w:semiHidden/>
    <w:rsid w:val="00920D86"/>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920D86"/>
    <w:pPr>
      <w:tabs>
        <w:tab w:val="right" w:pos="7229"/>
      </w:tabs>
      <w:ind w:right="2268"/>
    </w:pPr>
  </w:style>
  <w:style w:type="paragraph" w:styleId="Signature">
    <w:name w:val="Signature"/>
    <w:basedOn w:val="Normal"/>
    <w:link w:val="SignatureChar"/>
    <w:uiPriority w:val="99"/>
    <w:semiHidden/>
    <w:rsid w:val="00920D86"/>
    <w:pPr>
      <w:spacing w:line="240" w:lineRule="auto"/>
      <w:ind w:left="4252"/>
    </w:pPr>
  </w:style>
  <w:style w:type="character" w:customStyle="1" w:styleId="SignatureChar">
    <w:name w:val="Signature Char"/>
    <w:basedOn w:val="DefaultParagraphFont"/>
    <w:link w:val="Signature"/>
    <w:uiPriority w:val="99"/>
    <w:semiHidden/>
    <w:rsid w:val="00920D86"/>
    <w:rPr>
      <w:lang w:val="en-US"/>
    </w:rPr>
  </w:style>
  <w:style w:type="character" w:styleId="PlaceholderText">
    <w:name w:val="Placeholder Text"/>
    <w:basedOn w:val="DefaultParagraphFont"/>
    <w:uiPriority w:val="99"/>
    <w:semiHidden/>
    <w:rsid w:val="00920D86"/>
    <w:rPr>
      <w:color w:val="auto"/>
      <w:lang w:val="en-US"/>
    </w:rPr>
  </w:style>
  <w:style w:type="paragraph" w:customStyle="1" w:styleId="Table">
    <w:name w:val="Table"/>
    <w:uiPriority w:val="6"/>
    <w:semiHidden/>
    <w:rsid w:val="00920D86"/>
    <w:pPr>
      <w:spacing w:before="40" w:after="40" w:line="200" w:lineRule="atLeast"/>
      <w:ind w:left="57" w:right="113"/>
    </w:pPr>
    <w:rPr>
      <w:sz w:val="14"/>
      <w:lang w:val="en-US"/>
    </w:rPr>
  </w:style>
  <w:style w:type="paragraph" w:customStyle="1" w:styleId="Table-Text">
    <w:name w:val="Table - Text"/>
    <w:basedOn w:val="Table"/>
    <w:uiPriority w:val="6"/>
    <w:rsid w:val="00920D86"/>
  </w:style>
  <w:style w:type="paragraph" w:customStyle="1" w:styleId="Table-TextTotal">
    <w:name w:val="Table - Text Total"/>
    <w:basedOn w:val="Table-Text"/>
    <w:uiPriority w:val="6"/>
    <w:rsid w:val="00920D86"/>
    <w:rPr>
      <w:b/>
    </w:rPr>
  </w:style>
  <w:style w:type="paragraph" w:customStyle="1" w:styleId="Table-Number">
    <w:name w:val="Table - Number"/>
    <w:basedOn w:val="Table"/>
    <w:uiPriority w:val="6"/>
    <w:rsid w:val="00920D86"/>
    <w:pPr>
      <w:jc w:val="right"/>
    </w:pPr>
  </w:style>
  <w:style w:type="paragraph" w:customStyle="1" w:styleId="Table-NumberTotal">
    <w:name w:val="Table - Number Total"/>
    <w:basedOn w:val="Table-Number"/>
    <w:uiPriority w:val="6"/>
    <w:rsid w:val="00920D86"/>
    <w:rPr>
      <w:b/>
    </w:rPr>
  </w:style>
  <w:style w:type="paragraph" w:styleId="Quote">
    <w:name w:val="Quote"/>
    <w:basedOn w:val="Normal"/>
    <w:next w:val="Normal"/>
    <w:link w:val="QuoteChar"/>
    <w:uiPriority w:val="19"/>
    <w:semiHidden/>
    <w:rsid w:val="00920D86"/>
    <w:pPr>
      <w:spacing w:before="260" w:after="260"/>
      <w:ind w:left="567" w:right="567"/>
    </w:pPr>
    <w:rPr>
      <w:b/>
      <w:iCs/>
      <w:color w:val="000000" w:themeColor="text1"/>
      <w:sz w:val="20"/>
    </w:rPr>
  </w:style>
  <w:style w:type="character" w:customStyle="1" w:styleId="QuoteChar">
    <w:name w:val="Quote Char"/>
    <w:basedOn w:val="DefaultParagraphFont"/>
    <w:link w:val="Quote"/>
    <w:uiPriority w:val="19"/>
    <w:semiHidden/>
    <w:rsid w:val="00920D86"/>
    <w:rPr>
      <w:b/>
      <w:iCs/>
      <w:color w:val="000000" w:themeColor="text1"/>
      <w:sz w:val="20"/>
      <w:lang w:val="en-US"/>
    </w:rPr>
  </w:style>
  <w:style w:type="character" w:styleId="BookTitle">
    <w:name w:val="Book Title"/>
    <w:basedOn w:val="DefaultParagraphFont"/>
    <w:uiPriority w:val="99"/>
    <w:semiHidden/>
    <w:qFormat/>
    <w:rsid w:val="00920D86"/>
    <w:rPr>
      <w:b/>
      <w:bCs/>
      <w:caps w:val="0"/>
      <w:smallCaps w:val="0"/>
      <w:spacing w:val="5"/>
      <w:lang w:val="en-US"/>
    </w:rPr>
  </w:style>
  <w:style w:type="paragraph" w:styleId="TableofAuthorities">
    <w:name w:val="table of authorities"/>
    <w:basedOn w:val="Normal"/>
    <w:next w:val="Normal"/>
    <w:uiPriority w:val="10"/>
    <w:semiHidden/>
    <w:rsid w:val="00920D86"/>
    <w:pPr>
      <w:ind w:right="567"/>
    </w:pPr>
  </w:style>
  <w:style w:type="paragraph" w:styleId="NormalIndent">
    <w:name w:val="Normal Indent"/>
    <w:basedOn w:val="Normal"/>
    <w:uiPriority w:val="99"/>
    <w:semiHidden/>
    <w:rsid w:val="00920D86"/>
    <w:pPr>
      <w:ind w:left="1134"/>
    </w:pPr>
  </w:style>
  <w:style w:type="table" w:styleId="TableGrid">
    <w:name w:val="Table Grid"/>
    <w:aliases w:val="Table long document,GT0,Table Grid Arial"/>
    <w:basedOn w:val="TableNormal"/>
    <w:qFormat/>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8"/>
    <w:semiHidden/>
    <w:rsid w:val="00920D86"/>
    <w:pPr>
      <w:spacing w:after="260"/>
      <w:contextualSpacing/>
    </w:pPr>
    <w:rPr>
      <w:b/>
      <w:caps/>
    </w:rPr>
  </w:style>
  <w:style w:type="paragraph" w:customStyle="1" w:styleId="DocumentName">
    <w:name w:val="Document Name"/>
    <w:basedOn w:val="Normal"/>
    <w:next w:val="Normal"/>
    <w:uiPriority w:val="8"/>
    <w:semiHidden/>
    <w:rsid w:val="00920D86"/>
    <w:pPr>
      <w:spacing w:after="160" w:line="440" w:lineRule="exact"/>
    </w:pPr>
    <w:rPr>
      <w:caps/>
      <w:sz w:val="44"/>
    </w:rPr>
  </w:style>
  <w:style w:type="paragraph" w:customStyle="1" w:styleId="Template-Date">
    <w:name w:val="Template - Date"/>
    <w:basedOn w:val="Template"/>
    <w:uiPriority w:val="8"/>
    <w:semiHidden/>
    <w:rsid w:val="00920D86"/>
  </w:style>
  <w:style w:type="table" w:customStyle="1" w:styleId="Blank">
    <w:name w:val="Blank"/>
    <w:basedOn w:val="TableNormal"/>
    <w:uiPriority w:val="99"/>
    <w:rsid w:val="00920D86"/>
    <w:pPr>
      <w:spacing w:line="240" w:lineRule="atLeast"/>
    </w:pPr>
    <w:tblPr>
      <w:tblCellMar>
        <w:left w:w="0" w:type="dxa"/>
        <w:right w:w="0" w:type="dxa"/>
      </w:tblCellMar>
    </w:tblPr>
  </w:style>
  <w:style w:type="paragraph" w:styleId="NoSpacing">
    <w:name w:val="No Spacing"/>
    <w:uiPriority w:val="99"/>
    <w:semiHidden/>
    <w:rsid w:val="00920D86"/>
    <w:pPr>
      <w:spacing w:line="240" w:lineRule="atLeast"/>
    </w:pPr>
    <w:rPr>
      <w:lang w:val="en-US"/>
    </w:rPr>
  </w:style>
  <w:style w:type="paragraph" w:customStyle="1" w:styleId="RecipientAddress">
    <w:name w:val="Recipient Address"/>
    <w:basedOn w:val="Normal"/>
    <w:uiPriority w:val="8"/>
    <w:semiHidden/>
    <w:rsid w:val="00920D86"/>
  </w:style>
  <w:style w:type="paragraph" w:customStyle="1" w:styleId="Table-Heading">
    <w:name w:val="Table - Heading"/>
    <w:basedOn w:val="Table"/>
    <w:uiPriority w:val="6"/>
    <w:rsid w:val="00920D86"/>
    <w:rPr>
      <w:b/>
    </w:rPr>
  </w:style>
  <w:style w:type="paragraph" w:customStyle="1" w:styleId="Table-HeadingRight">
    <w:name w:val="Table - Heading Right"/>
    <w:basedOn w:val="Table-Heading"/>
    <w:uiPriority w:val="6"/>
    <w:rsid w:val="00920D86"/>
    <w:pPr>
      <w:jc w:val="right"/>
    </w:pPr>
  </w:style>
  <w:style w:type="paragraph" w:customStyle="1" w:styleId="SenderName">
    <w:name w:val="Sender Name"/>
    <w:basedOn w:val="Normal"/>
    <w:uiPriority w:val="7"/>
    <w:semiHidden/>
    <w:rsid w:val="00920D86"/>
    <w:rPr>
      <w:rFonts w:eastAsia="Times New Roman" w:cs="Times New Roman"/>
      <w:b/>
    </w:rPr>
  </w:style>
  <w:style w:type="paragraph" w:customStyle="1" w:styleId="Senderinformation">
    <w:name w:val="Sender information"/>
    <w:basedOn w:val="Normal"/>
    <w:uiPriority w:val="7"/>
    <w:semiHidden/>
    <w:rsid w:val="00920D86"/>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920D86"/>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20D86"/>
    <w:rPr>
      <w:rFonts w:ascii="Segoe UI" w:hAnsi="Segoe UI" w:cs="Segoe UI"/>
      <w:lang w:val="en-US"/>
    </w:rPr>
  </w:style>
  <w:style w:type="paragraph" w:styleId="Bibliography">
    <w:name w:val="Bibliography"/>
    <w:basedOn w:val="Normal"/>
    <w:next w:val="Normal"/>
    <w:uiPriority w:val="99"/>
    <w:semiHidden/>
    <w:rsid w:val="00920D86"/>
  </w:style>
  <w:style w:type="paragraph" w:styleId="BodyText">
    <w:name w:val="Body Text"/>
    <w:basedOn w:val="Normal"/>
    <w:link w:val="BodyTextChar"/>
    <w:uiPriority w:val="99"/>
    <w:semiHidden/>
    <w:rsid w:val="00920D86"/>
    <w:pPr>
      <w:spacing w:after="120"/>
    </w:pPr>
  </w:style>
  <w:style w:type="character" w:customStyle="1" w:styleId="BodyTextChar">
    <w:name w:val="Body Text Char"/>
    <w:basedOn w:val="DefaultParagraphFont"/>
    <w:link w:val="BodyText"/>
    <w:uiPriority w:val="99"/>
    <w:semiHidden/>
    <w:rsid w:val="00920D86"/>
    <w:rPr>
      <w:lang w:val="en-US"/>
    </w:rPr>
  </w:style>
  <w:style w:type="paragraph" w:styleId="BodyText2">
    <w:name w:val="Body Text 2"/>
    <w:basedOn w:val="Normal"/>
    <w:link w:val="BodyText2Char"/>
    <w:uiPriority w:val="99"/>
    <w:semiHidden/>
    <w:rsid w:val="00920D86"/>
    <w:pPr>
      <w:spacing w:after="120" w:line="480" w:lineRule="auto"/>
    </w:pPr>
  </w:style>
  <w:style w:type="character" w:customStyle="1" w:styleId="BodyText2Char">
    <w:name w:val="Body Text 2 Char"/>
    <w:basedOn w:val="DefaultParagraphFont"/>
    <w:link w:val="BodyText2"/>
    <w:uiPriority w:val="99"/>
    <w:semiHidden/>
    <w:rsid w:val="00920D86"/>
    <w:rPr>
      <w:lang w:val="en-US"/>
    </w:rPr>
  </w:style>
  <w:style w:type="paragraph" w:styleId="BodyText3">
    <w:name w:val="Body Text 3"/>
    <w:basedOn w:val="Normal"/>
    <w:link w:val="BodyText3Char"/>
    <w:uiPriority w:val="99"/>
    <w:semiHidden/>
    <w:rsid w:val="00920D86"/>
    <w:pPr>
      <w:spacing w:after="120"/>
    </w:pPr>
    <w:rPr>
      <w:sz w:val="16"/>
      <w:szCs w:val="16"/>
    </w:rPr>
  </w:style>
  <w:style w:type="character" w:customStyle="1" w:styleId="BodyText3Char">
    <w:name w:val="Body Text 3 Char"/>
    <w:basedOn w:val="DefaultParagraphFont"/>
    <w:link w:val="BodyText3"/>
    <w:uiPriority w:val="99"/>
    <w:semiHidden/>
    <w:rsid w:val="00920D86"/>
    <w:rPr>
      <w:sz w:val="16"/>
      <w:szCs w:val="16"/>
      <w:lang w:val="en-US"/>
    </w:rPr>
  </w:style>
  <w:style w:type="paragraph" w:styleId="BodyTextFirstIndent">
    <w:name w:val="Body Text First Indent"/>
    <w:basedOn w:val="BodyText"/>
    <w:link w:val="BodyTextFirstIndentChar"/>
    <w:uiPriority w:val="99"/>
    <w:semiHidden/>
    <w:rsid w:val="00920D86"/>
    <w:pPr>
      <w:spacing w:after="0"/>
      <w:ind w:firstLine="360"/>
    </w:pPr>
  </w:style>
  <w:style w:type="character" w:customStyle="1" w:styleId="BodyTextFirstIndentChar">
    <w:name w:val="Body Text First Indent Char"/>
    <w:basedOn w:val="BodyTextChar"/>
    <w:link w:val="BodyTextFirstIndent"/>
    <w:uiPriority w:val="99"/>
    <w:semiHidden/>
    <w:rsid w:val="00920D86"/>
    <w:rPr>
      <w:lang w:val="en-US"/>
    </w:rPr>
  </w:style>
  <w:style w:type="paragraph" w:styleId="BodyTextIndent">
    <w:name w:val="Body Text Indent"/>
    <w:basedOn w:val="Normal"/>
    <w:link w:val="BodyTextIndentChar"/>
    <w:uiPriority w:val="99"/>
    <w:semiHidden/>
    <w:rsid w:val="00920D86"/>
    <w:pPr>
      <w:spacing w:after="120"/>
      <w:ind w:left="283"/>
    </w:pPr>
  </w:style>
  <w:style w:type="character" w:customStyle="1" w:styleId="BodyTextIndentChar">
    <w:name w:val="Body Text Indent Char"/>
    <w:basedOn w:val="DefaultParagraphFont"/>
    <w:link w:val="BodyTextIndent"/>
    <w:uiPriority w:val="99"/>
    <w:semiHidden/>
    <w:rsid w:val="00920D86"/>
    <w:rPr>
      <w:lang w:val="en-US"/>
    </w:rPr>
  </w:style>
  <w:style w:type="paragraph" w:styleId="BodyTextFirstIndent2">
    <w:name w:val="Body Text First Indent 2"/>
    <w:basedOn w:val="BodyTextIndent"/>
    <w:link w:val="BodyTextFirstIndent2Char"/>
    <w:uiPriority w:val="99"/>
    <w:semiHidden/>
    <w:rsid w:val="00920D86"/>
    <w:pPr>
      <w:spacing w:after="0"/>
      <w:ind w:left="360" w:firstLine="360"/>
    </w:pPr>
  </w:style>
  <w:style w:type="character" w:customStyle="1" w:styleId="BodyTextFirstIndent2Char">
    <w:name w:val="Body Text First Indent 2 Char"/>
    <w:basedOn w:val="BodyTextIndentChar"/>
    <w:link w:val="BodyTextFirstIndent2"/>
    <w:uiPriority w:val="99"/>
    <w:semiHidden/>
    <w:rsid w:val="00920D86"/>
    <w:rPr>
      <w:lang w:val="en-US"/>
    </w:rPr>
  </w:style>
  <w:style w:type="paragraph" w:styleId="BodyTextIndent2">
    <w:name w:val="Body Text Indent 2"/>
    <w:basedOn w:val="Normal"/>
    <w:link w:val="BodyTextIndent2Char"/>
    <w:uiPriority w:val="99"/>
    <w:semiHidden/>
    <w:rsid w:val="00920D86"/>
    <w:pPr>
      <w:spacing w:after="120" w:line="480" w:lineRule="auto"/>
      <w:ind w:left="283"/>
    </w:pPr>
  </w:style>
  <w:style w:type="character" w:customStyle="1" w:styleId="BodyTextIndent2Char">
    <w:name w:val="Body Text Indent 2 Char"/>
    <w:basedOn w:val="DefaultParagraphFont"/>
    <w:link w:val="BodyTextIndent2"/>
    <w:uiPriority w:val="99"/>
    <w:semiHidden/>
    <w:rsid w:val="00920D86"/>
    <w:rPr>
      <w:lang w:val="en-US"/>
    </w:rPr>
  </w:style>
  <w:style w:type="paragraph" w:styleId="BodyTextIndent3">
    <w:name w:val="Body Text Indent 3"/>
    <w:basedOn w:val="Normal"/>
    <w:link w:val="BodyTextIndent3Char"/>
    <w:uiPriority w:val="99"/>
    <w:semiHidden/>
    <w:rsid w:val="00920D8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20D86"/>
    <w:rPr>
      <w:sz w:val="16"/>
      <w:szCs w:val="16"/>
      <w:lang w:val="en-US"/>
    </w:rPr>
  </w:style>
  <w:style w:type="paragraph" w:styleId="Closing">
    <w:name w:val="Closing"/>
    <w:basedOn w:val="Normal"/>
    <w:link w:val="ClosingChar"/>
    <w:uiPriority w:val="99"/>
    <w:semiHidden/>
    <w:rsid w:val="00920D86"/>
    <w:pPr>
      <w:spacing w:line="240" w:lineRule="auto"/>
      <w:ind w:left="4252"/>
    </w:pPr>
  </w:style>
  <w:style w:type="character" w:customStyle="1" w:styleId="ClosingChar">
    <w:name w:val="Closing Char"/>
    <w:basedOn w:val="DefaultParagraphFont"/>
    <w:link w:val="Closing"/>
    <w:uiPriority w:val="99"/>
    <w:semiHidden/>
    <w:rsid w:val="00920D86"/>
    <w:rPr>
      <w:lang w:val="en-US"/>
    </w:rPr>
  </w:style>
  <w:style w:type="table" w:styleId="ColorfulGrid">
    <w:name w:val="Colorful Grid"/>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3D2FB" w:themeFill="accent1" w:themeFillTint="33"/>
    </w:tcPr>
    <w:tblStylePr w:type="firstRow">
      <w:rPr>
        <w:b/>
        <w:bCs/>
      </w:rPr>
      <w:tblPr/>
      <w:tcPr>
        <w:shd w:val="clear" w:color="auto" w:fill="67A5F8" w:themeFill="accent1" w:themeFillTint="66"/>
      </w:tcPr>
    </w:tblStylePr>
    <w:tblStylePr w:type="lastRow">
      <w:rPr>
        <w:b/>
        <w:bCs/>
        <w:color w:val="000000" w:themeColor="text1"/>
      </w:rPr>
      <w:tblPr/>
      <w:tcPr>
        <w:shd w:val="clear" w:color="auto" w:fill="67A5F8" w:themeFill="accent1" w:themeFillTint="66"/>
      </w:tcPr>
    </w:tblStylePr>
    <w:tblStylePr w:type="firstCol">
      <w:rPr>
        <w:color w:val="FFFFFF" w:themeColor="background1"/>
      </w:rPr>
      <w:tblPr/>
      <w:tcPr>
        <w:shd w:val="clear" w:color="auto" w:fill="032552" w:themeFill="accent1" w:themeFillShade="BF"/>
      </w:tcPr>
    </w:tblStylePr>
    <w:tblStylePr w:type="lastCol">
      <w:rPr>
        <w:color w:val="FFFFFF" w:themeColor="background1"/>
      </w:rPr>
      <w:tblPr/>
      <w:tcPr>
        <w:shd w:val="clear" w:color="auto" w:fill="032552" w:themeFill="accent1" w:themeFillShade="BF"/>
      </w:tc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ColorfulGrid-Accent2">
    <w:name w:val="Colorful Grid Accent 2"/>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BF1DD" w:themeFill="accent2" w:themeFillTint="33"/>
    </w:tcPr>
    <w:tblStylePr w:type="firstRow">
      <w:rPr>
        <w:b/>
        <w:bCs/>
      </w:rPr>
      <w:tblPr/>
      <w:tcPr>
        <w:shd w:val="clear" w:color="auto" w:fill="78E4BD" w:themeFill="accent2" w:themeFillTint="66"/>
      </w:tcPr>
    </w:tblStylePr>
    <w:tblStylePr w:type="lastRow">
      <w:rPr>
        <w:b/>
        <w:bCs/>
        <w:color w:val="000000" w:themeColor="text1"/>
      </w:rPr>
      <w:tblPr/>
      <w:tcPr>
        <w:shd w:val="clear" w:color="auto" w:fill="78E4BD" w:themeFill="accent2" w:themeFillTint="66"/>
      </w:tcPr>
    </w:tblStylePr>
    <w:tblStylePr w:type="firstCol">
      <w:rPr>
        <w:color w:val="FFFFFF" w:themeColor="background1"/>
      </w:rPr>
      <w:tblPr/>
      <w:tcPr>
        <w:shd w:val="clear" w:color="auto" w:fill="0D432F" w:themeFill="accent2" w:themeFillShade="BF"/>
      </w:tcPr>
    </w:tblStylePr>
    <w:tblStylePr w:type="lastCol">
      <w:rPr>
        <w:color w:val="FFFFFF" w:themeColor="background1"/>
      </w:rPr>
      <w:tblPr/>
      <w:tcPr>
        <w:shd w:val="clear" w:color="auto" w:fill="0D432F" w:themeFill="accent2" w:themeFillShade="BF"/>
      </w:tc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ColorfulGrid-Accent3">
    <w:name w:val="Colorful Grid Accent 3"/>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EF5E9" w:themeFill="accent3" w:themeFillTint="33"/>
    </w:tcPr>
    <w:tblStylePr w:type="firstRow">
      <w:rPr>
        <w:b/>
        <w:bCs/>
      </w:rPr>
      <w:tblPr/>
      <w:tcPr>
        <w:shd w:val="clear" w:color="auto" w:fill="DEECD4" w:themeFill="accent3" w:themeFillTint="66"/>
      </w:tcPr>
    </w:tblStylePr>
    <w:tblStylePr w:type="lastRow">
      <w:rPr>
        <w:b/>
        <w:bCs/>
        <w:color w:val="000000" w:themeColor="text1"/>
      </w:rPr>
      <w:tblPr/>
      <w:tcPr>
        <w:shd w:val="clear" w:color="auto" w:fill="DEECD4" w:themeFill="accent3" w:themeFillTint="66"/>
      </w:tcPr>
    </w:tblStylePr>
    <w:tblStylePr w:type="firstCol">
      <w:rPr>
        <w:color w:val="FFFFFF" w:themeColor="background1"/>
      </w:rPr>
      <w:tblPr/>
      <w:tcPr>
        <w:shd w:val="clear" w:color="auto" w:fill="7CB456" w:themeFill="accent3" w:themeFillShade="BF"/>
      </w:tcPr>
    </w:tblStylePr>
    <w:tblStylePr w:type="lastCol">
      <w:rPr>
        <w:color w:val="FFFFFF" w:themeColor="background1"/>
      </w:rPr>
      <w:tblPr/>
      <w:tcPr>
        <w:shd w:val="clear" w:color="auto" w:fill="7CB456" w:themeFill="accent3" w:themeFillShade="BF"/>
      </w:tc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ColorfulGrid-Accent4">
    <w:name w:val="Colorful Grid Accent 4"/>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9CADC" w:themeFill="accent4" w:themeFillTint="33"/>
    </w:tcPr>
    <w:tblStylePr w:type="firstRow">
      <w:rPr>
        <w:b/>
        <w:bCs/>
      </w:rPr>
      <w:tblPr/>
      <w:tcPr>
        <w:shd w:val="clear" w:color="auto" w:fill="D396BA" w:themeFill="accent4" w:themeFillTint="66"/>
      </w:tcPr>
    </w:tblStylePr>
    <w:tblStylePr w:type="lastRow">
      <w:rPr>
        <w:b/>
        <w:bCs/>
        <w:color w:val="000000" w:themeColor="text1"/>
      </w:rPr>
      <w:tblPr/>
      <w:tcPr>
        <w:shd w:val="clear" w:color="auto" w:fill="D396BA" w:themeFill="accent4" w:themeFillTint="66"/>
      </w:tcPr>
    </w:tblStylePr>
    <w:tblStylePr w:type="firstCol">
      <w:rPr>
        <w:color w:val="FFFFFF" w:themeColor="background1"/>
      </w:rPr>
      <w:tblPr/>
      <w:tcPr>
        <w:shd w:val="clear" w:color="auto" w:fill="491E38" w:themeFill="accent4" w:themeFillShade="BF"/>
      </w:tcPr>
    </w:tblStylePr>
    <w:tblStylePr w:type="lastCol">
      <w:rPr>
        <w:color w:val="FFFFFF" w:themeColor="background1"/>
      </w:rPr>
      <w:tblPr/>
      <w:tcPr>
        <w:shd w:val="clear" w:color="auto" w:fill="491E38" w:themeFill="accent4" w:themeFillShade="BF"/>
      </w:tc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ColorfulGrid-Accent5">
    <w:name w:val="Colorful Grid Accent 5"/>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7DD" w:themeFill="accent5" w:themeFillTint="33"/>
    </w:tcPr>
    <w:tblStylePr w:type="firstRow">
      <w:rPr>
        <w:b/>
        <w:bCs/>
      </w:rPr>
      <w:tblPr/>
      <w:tcPr>
        <w:shd w:val="clear" w:color="auto" w:fill="FFCFBB" w:themeFill="accent5" w:themeFillTint="66"/>
      </w:tcPr>
    </w:tblStylePr>
    <w:tblStylePr w:type="lastRow">
      <w:rPr>
        <w:b/>
        <w:bCs/>
        <w:color w:val="000000" w:themeColor="text1"/>
      </w:rPr>
      <w:tblPr/>
      <w:tcPr>
        <w:shd w:val="clear" w:color="auto" w:fill="FFCFBB" w:themeFill="accent5" w:themeFillTint="66"/>
      </w:tcPr>
    </w:tblStylePr>
    <w:tblStylePr w:type="firstCol">
      <w:rPr>
        <w:color w:val="FFFFFF" w:themeColor="background1"/>
      </w:rPr>
      <w:tblPr/>
      <w:tcPr>
        <w:shd w:val="clear" w:color="auto" w:fill="FE4B00" w:themeFill="accent5" w:themeFillShade="BF"/>
      </w:tcPr>
    </w:tblStylePr>
    <w:tblStylePr w:type="lastCol">
      <w:rPr>
        <w:color w:val="FFFFFF" w:themeColor="background1"/>
      </w:rPr>
      <w:tblPr/>
      <w:tcPr>
        <w:shd w:val="clear" w:color="auto" w:fill="FE4B00" w:themeFill="accent5" w:themeFillShade="BF"/>
      </w:tc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ColorfulGrid-Accent6">
    <w:name w:val="Colorful Grid Accent 6"/>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8F7" w:themeFill="accent6" w:themeFillTint="33"/>
    </w:tcPr>
    <w:tblStylePr w:type="firstRow">
      <w:rPr>
        <w:b/>
        <w:bCs/>
      </w:rPr>
      <w:tblPr/>
      <w:tcPr>
        <w:shd w:val="clear" w:color="auto" w:fill="F3F2EF" w:themeFill="accent6" w:themeFillTint="66"/>
      </w:tcPr>
    </w:tblStylePr>
    <w:tblStylePr w:type="lastRow">
      <w:rPr>
        <w:b/>
        <w:bCs/>
        <w:color w:val="000000" w:themeColor="text1"/>
      </w:rPr>
      <w:tblPr/>
      <w:tcPr>
        <w:shd w:val="clear" w:color="auto" w:fill="F3F2EF" w:themeFill="accent6" w:themeFillTint="66"/>
      </w:tcPr>
    </w:tblStylePr>
    <w:tblStylePr w:type="firstCol">
      <w:rPr>
        <w:color w:val="FFFFFF" w:themeColor="background1"/>
      </w:rPr>
      <w:tblPr/>
      <w:tcPr>
        <w:shd w:val="clear" w:color="auto" w:fill="B4AF97" w:themeFill="accent6" w:themeFillShade="BF"/>
      </w:tcPr>
    </w:tblStylePr>
    <w:tblStylePr w:type="lastCol">
      <w:rPr>
        <w:color w:val="FFFFFF" w:themeColor="background1"/>
      </w:rPr>
      <w:tblPr/>
      <w:tcPr>
        <w:shd w:val="clear" w:color="auto" w:fill="B4AF97" w:themeFill="accent6" w:themeFillShade="BF"/>
      </w:tc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ColorfulList">
    <w:name w:val="Colorful List"/>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9E8FD" w:themeFill="accen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7FA" w:themeFill="accent1" w:themeFillTint="3F"/>
      </w:tcPr>
    </w:tblStylePr>
    <w:tblStylePr w:type="band1Horz">
      <w:tblPr/>
      <w:tcPr>
        <w:shd w:val="clear" w:color="auto" w:fill="B3D2FB" w:themeFill="accent1" w:themeFillTint="33"/>
      </w:tcPr>
    </w:tblStylePr>
  </w:style>
  <w:style w:type="table" w:styleId="ColorfulList-Accent2">
    <w:name w:val="Colorful List Accent 2"/>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DF8EE" w:themeFill="accent2"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EED6" w:themeFill="accent2" w:themeFillTint="3F"/>
      </w:tcPr>
    </w:tblStylePr>
    <w:tblStylePr w:type="band1Horz">
      <w:tblPr/>
      <w:tcPr>
        <w:shd w:val="clear" w:color="auto" w:fill="BBF1DD" w:themeFill="accent2" w:themeFillTint="33"/>
      </w:tcPr>
    </w:tblStylePr>
  </w:style>
  <w:style w:type="table" w:styleId="ColorfulList-Accent3">
    <w:name w:val="Colorful List Accent 3"/>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6FAF4" w:themeFill="accent3" w:themeFillTint="19"/>
    </w:tcPr>
    <w:tblStylePr w:type="firstRow">
      <w:rPr>
        <w:b/>
        <w:bCs/>
        <w:color w:val="FFFFFF" w:themeColor="background1"/>
      </w:rPr>
      <w:tblPr/>
      <w:tcPr>
        <w:tcBorders>
          <w:bottom w:val="single" w:sz="12" w:space="0" w:color="FFFFFF" w:themeColor="background1"/>
        </w:tcBorders>
        <w:shd w:val="clear" w:color="auto" w:fill="4E203B" w:themeFill="accent4" w:themeFillShade="CC"/>
      </w:tcPr>
    </w:tblStylePr>
    <w:tblStylePr w:type="lastRow">
      <w:rPr>
        <w:b/>
        <w:bCs/>
        <w:color w:val="4E203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3E4" w:themeFill="accent3" w:themeFillTint="3F"/>
      </w:tcPr>
    </w:tblStylePr>
    <w:tblStylePr w:type="band1Horz">
      <w:tblPr/>
      <w:tcPr>
        <w:shd w:val="clear" w:color="auto" w:fill="EEF5E9" w:themeFill="accent3" w:themeFillTint="33"/>
      </w:tcPr>
    </w:tblStylePr>
  </w:style>
  <w:style w:type="table" w:styleId="ColorfulList-Accent4">
    <w:name w:val="Colorful List Accent 4"/>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4E5EE" w:themeFill="accent4" w:themeFillTint="19"/>
    </w:tcPr>
    <w:tblStylePr w:type="firstRow">
      <w:rPr>
        <w:b/>
        <w:bCs/>
        <w:color w:val="FFFFFF" w:themeColor="background1"/>
      </w:rPr>
      <w:tblPr/>
      <w:tcPr>
        <w:tcBorders>
          <w:bottom w:val="single" w:sz="12" w:space="0" w:color="FFFFFF" w:themeColor="background1"/>
        </w:tcBorders>
        <w:shd w:val="clear" w:color="auto" w:fill="86BA63" w:themeFill="accent3" w:themeFillShade="CC"/>
      </w:tcPr>
    </w:tblStylePr>
    <w:tblStylePr w:type="lastRow">
      <w:rPr>
        <w:b/>
        <w:bCs/>
        <w:color w:val="86BA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ED4" w:themeFill="accent4" w:themeFillTint="3F"/>
      </w:tcPr>
    </w:tblStylePr>
    <w:tblStylePr w:type="band1Horz">
      <w:tblPr/>
      <w:tcPr>
        <w:shd w:val="clear" w:color="auto" w:fill="E9CADC" w:themeFill="accent4" w:themeFillTint="33"/>
      </w:tcPr>
    </w:tblStylePr>
  </w:style>
  <w:style w:type="table" w:styleId="ColorfulList-Accent5">
    <w:name w:val="Colorful List Accent 5"/>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FF3EE" w:themeFill="accent5" w:themeFillTint="19"/>
    </w:tcPr>
    <w:tblStylePr w:type="firstRow">
      <w:rPr>
        <w:b/>
        <w:bCs/>
        <w:color w:val="FFFFFF" w:themeColor="background1"/>
      </w:rPr>
      <w:tblPr/>
      <w:tcPr>
        <w:tcBorders>
          <w:bottom w:val="single" w:sz="12" w:space="0" w:color="FFFFFF" w:themeColor="background1"/>
        </w:tcBorders>
        <w:shd w:val="clear" w:color="auto" w:fill="BEB9A4" w:themeFill="accent6" w:themeFillShade="CC"/>
      </w:tcPr>
    </w:tblStylePr>
    <w:tblStylePr w:type="lastRow">
      <w:rPr>
        <w:b/>
        <w:bCs/>
        <w:color w:val="BEB9A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D5" w:themeFill="accent5" w:themeFillTint="3F"/>
      </w:tcPr>
    </w:tblStylePr>
    <w:tblStylePr w:type="band1Horz">
      <w:tblPr/>
      <w:tcPr>
        <w:shd w:val="clear" w:color="auto" w:fill="FFE7DD" w:themeFill="accent5" w:themeFillTint="33"/>
      </w:tcPr>
    </w:tblStylePr>
  </w:style>
  <w:style w:type="table" w:styleId="ColorfulList-Accent6">
    <w:name w:val="Colorful List Accent 6"/>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CFCFB" w:themeFill="accent6" w:themeFillTint="19"/>
    </w:tcPr>
    <w:tblStylePr w:type="firstRow">
      <w:rPr>
        <w:b/>
        <w:bCs/>
        <w:color w:val="FFFFFF" w:themeColor="background1"/>
      </w:rPr>
      <w:tblPr/>
      <w:tcPr>
        <w:tcBorders>
          <w:bottom w:val="single" w:sz="12" w:space="0" w:color="FFFFFF" w:themeColor="background1"/>
        </w:tcBorders>
        <w:shd w:val="clear" w:color="auto" w:fill="FF5711" w:themeFill="accent5" w:themeFillShade="CC"/>
      </w:tcPr>
    </w:tblStylePr>
    <w:tblStylePr w:type="lastRow">
      <w:rPr>
        <w:b/>
        <w:bCs/>
        <w:color w:val="FF571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5" w:themeFill="accent6" w:themeFillTint="3F"/>
      </w:tcPr>
    </w:tblStylePr>
    <w:tblStylePr w:type="band1Horz">
      <w:tblPr/>
      <w:tcPr>
        <w:shd w:val="clear" w:color="auto" w:fill="F9F8F7" w:themeFill="accent6" w:themeFillTint="33"/>
      </w:tcPr>
    </w:tblStylePr>
  </w:style>
  <w:style w:type="table" w:styleId="ColorfulShading">
    <w:name w:val="Colorful Shading"/>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5326E" w:themeColor="accent1"/>
        <w:bottom w:val="single" w:sz="4" w:space="0" w:color="05326E" w:themeColor="accent1"/>
        <w:right w:val="single" w:sz="4" w:space="0" w:color="05326E" w:themeColor="accent1"/>
        <w:insideH w:val="single" w:sz="4" w:space="0" w:color="FFFFFF" w:themeColor="background1"/>
        <w:insideV w:val="single" w:sz="4" w:space="0" w:color="FFFFFF" w:themeColor="background1"/>
      </w:tblBorders>
    </w:tblPr>
    <w:tcPr>
      <w:shd w:val="clear" w:color="auto" w:fill="D9E8FD" w:themeFill="accen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1D41" w:themeFill="accent1" w:themeFillShade="99"/>
      </w:tcPr>
    </w:tblStylePr>
    <w:tblStylePr w:type="firstCol">
      <w:rPr>
        <w:color w:val="FFFFFF" w:themeColor="background1"/>
      </w:rPr>
      <w:tblPr/>
      <w:tcPr>
        <w:tcBorders>
          <w:top w:val="nil"/>
          <w:left w:val="nil"/>
          <w:bottom w:val="nil"/>
          <w:right w:val="nil"/>
          <w:insideH w:val="single" w:sz="4" w:space="0" w:color="031D41" w:themeColor="accent1" w:themeShade="99"/>
          <w:insideV w:val="nil"/>
        </w:tcBorders>
        <w:shd w:val="clear" w:color="auto" w:fill="031D4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31D41" w:themeFill="accent1" w:themeFillShade="99"/>
      </w:tcPr>
    </w:tblStylePr>
    <w:tblStylePr w:type="band1Vert">
      <w:tblPr/>
      <w:tcPr>
        <w:shd w:val="clear" w:color="auto" w:fill="67A5F8" w:themeFill="accent1" w:themeFillTint="66"/>
      </w:tcPr>
    </w:tblStylePr>
    <w:tblStylePr w:type="band1Horz">
      <w:tblPr/>
      <w:tcPr>
        <w:shd w:val="clear" w:color="auto" w:fill="428FF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125A40" w:themeColor="accent2"/>
        <w:bottom w:val="single" w:sz="4" w:space="0" w:color="125A40" w:themeColor="accent2"/>
        <w:right w:val="single" w:sz="4" w:space="0" w:color="125A40" w:themeColor="accent2"/>
        <w:insideH w:val="single" w:sz="4" w:space="0" w:color="FFFFFF" w:themeColor="background1"/>
        <w:insideV w:val="single" w:sz="4" w:space="0" w:color="FFFFFF" w:themeColor="background1"/>
      </w:tblBorders>
    </w:tblPr>
    <w:tcPr>
      <w:shd w:val="clear" w:color="auto" w:fill="DDF8EE" w:themeFill="accent2"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3526" w:themeFill="accent2" w:themeFillShade="99"/>
      </w:tcPr>
    </w:tblStylePr>
    <w:tblStylePr w:type="firstCol">
      <w:rPr>
        <w:color w:val="FFFFFF" w:themeColor="background1"/>
      </w:rPr>
      <w:tblPr/>
      <w:tcPr>
        <w:tcBorders>
          <w:top w:val="nil"/>
          <w:left w:val="nil"/>
          <w:bottom w:val="nil"/>
          <w:right w:val="nil"/>
          <w:insideH w:val="single" w:sz="4" w:space="0" w:color="0A3526" w:themeColor="accent2" w:themeShade="99"/>
          <w:insideV w:val="nil"/>
        </w:tcBorders>
        <w:shd w:val="clear" w:color="auto" w:fill="0A352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3526" w:themeFill="accent2" w:themeFillShade="99"/>
      </w:tcPr>
    </w:tblStylePr>
    <w:tblStylePr w:type="band1Vert">
      <w:tblPr/>
      <w:tcPr>
        <w:shd w:val="clear" w:color="auto" w:fill="78E4BD" w:themeFill="accent2" w:themeFillTint="66"/>
      </w:tcPr>
    </w:tblStylePr>
    <w:tblStylePr w:type="band1Horz">
      <w:tblPr/>
      <w:tcPr>
        <w:shd w:val="clear" w:color="auto" w:fill="58DDA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62294B" w:themeColor="accent4"/>
        <w:left w:val="single" w:sz="4" w:space="0" w:color="ADD095" w:themeColor="accent3"/>
        <w:bottom w:val="single" w:sz="4" w:space="0" w:color="ADD095" w:themeColor="accent3"/>
        <w:right w:val="single" w:sz="4" w:space="0" w:color="ADD095" w:themeColor="accent3"/>
        <w:insideH w:val="single" w:sz="4" w:space="0" w:color="FFFFFF" w:themeColor="background1"/>
        <w:insideV w:val="single" w:sz="4" w:space="0" w:color="FFFFFF" w:themeColor="background1"/>
      </w:tblBorders>
    </w:tblPr>
    <w:tcPr>
      <w:shd w:val="clear" w:color="auto" w:fill="F6FAF4" w:themeFill="accent3" w:themeFillTint="19"/>
    </w:tcPr>
    <w:tblStylePr w:type="firstRow">
      <w:rPr>
        <w:b/>
        <w:bCs/>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9441" w:themeFill="accent3" w:themeFillShade="99"/>
      </w:tcPr>
    </w:tblStylePr>
    <w:tblStylePr w:type="firstCol">
      <w:rPr>
        <w:color w:val="FFFFFF" w:themeColor="background1"/>
      </w:rPr>
      <w:tblPr/>
      <w:tcPr>
        <w:tcBorders>
          <w:top w:val="nil"/>
          <w:left w:val="nil"/>
          <w:bottom w:val="nil"/>
          <w:right w:val="nil"/>
          <w:insideH w:val="single" w:sz="4" w:space="0" w:color="639441" w:themeColor="accent3" w:themeShade="99"/>
          <w:insideV w:val="nil"/>
        </w:tcBorders>
        <w:shd w:val="clear" w:color="auto" w:fill="63944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9441" w:themeFill="accent3" w:themeFillShade="99"/>
      </w:tcPr>
    </w:tblStylePr>
    <w:tblStylePr w:type="band1Vert">
      <w:tblPr/>
      <w:tcPr>
        <w:shd w:val="clear" w:color="auto" w:fill="DEECD4" w:themeFill="accent3" w:themeFillTint="66"/>
      </w:tcPr>
    </w:tblStylePr>
    <w:tblStylePr w:type="band1Horz">
      <w:tblPr/>
      <w:tcPr>
        <w:shd w:val="clear" w:color="auto" w:fill="D5E7CA" w:themeFill="accent3" w:themeFillTint="7F"/>
      </w:tcPr>
    </w:tblStylePr>
  </w:style>
  <w:style w:type="table" w:styleId="ColorfulShading-Accent4">
    <w:name w:val="Colorful Shading Accent 4"/>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ADD095" w:themeColor="accent3"/>
        <w:left w:val="single" w:sz="4" w:space="0" w:color="62294B" w:themeColor="accent4"/>
        <w:bottom w:val="single" w:sz="4" w:space="0" w:color="62294B" w:themeColor="accent4"/>
        <w:right w:val="single" w:sz="4" w:space="0" w:color="62294B" w:themeColor="accent4"/>
        <w:insideH w:val="single" w:sz="4" w:space="0" w:color="FFFFFF" w:themeColor="background1"/>
        <w:insideV w:val="single" w:sz="4" w:space="0" w:color="FFFFFF" w:themeColor="background1"/>
      </w:tblBorders>
    </w:tblPr>
    <w:tcPr>
      <w:shd w:val="clear" w:color="auto" w:fill="F4E5EE" w:themeFill="accent4" w:themeFillTint="19"/>
    </w:tcPr>
    <w:tblStylePr w:type="firstRow">
      <w:rPr>
        <w:b/>
        <w:bCs/>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182C" w:themeFill="accent4" w:themeFillShade="99"/>
      </w:tcPr>
    </w:tblStylePr>
    <w:tblStylePr w:type="firstCol">
      <w:rPr>
        <w:color w:val="FFFFFF" w:themeColor="background1"/>
      </w:rPr>
      <w:tblPr/>
      <w:tcPr>
        <w:tcBorders>
          <w:top w:val="nil"/>
          <w:left w:val="nil"/>
          <w:bottom w:val="nil"/>
          <w:right w:val="nil"/>
          <w:insideH w:val="single" w:sz="4" w:space="0" w:color="3A182C" w:themeColor="accent4" w:themeShade="99"/>
          <w:insideV w:val="nil"/>
        </w:tcBorders>
        <w:shd w:val="clear" w:color="auto" w:fill="3A182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182C" w:themeFill="accent4" w:themeFillShade="99"/>
      </w:tcPr>
    </w:tblStylePr>
    <w:tblStylePr w:type="band1Vert">
      <w:tblPr/>
      <w:tcPr>
        <w:shd w:val="clear" w:color="auto" w:fill="D396BA" w:themeFill="accent4" w:themeFillTint="66"/>
      </w:tcPr>
    </w:tblStylePr>
    <w:tblStylePr w:type="band1Horz">
      <w:tblPr/>
      <w:tcPr>
        <w:shd w:val="clear" w:color="auto" w:fill="C87C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E3E1D8" w:themeColor="accent6"/>
        <w:left w:val="single" w:sz="4" w:space="0" w:color="FF8855" w:themeColor="accent5"/>
        <w:bottom w:val="single" w:sz="4" w:space="0" w:color="FF8855" w:themeColor="accent5"/>
        <w:right w:val="single" w:sz="4" w:space="0" w:color="FF8855" w:themeColor="accent5"/>
        <w:insideH w:val="single" w:sz="4" w:space="0" w:color="FFFFFF" w:themeColor="background1"/>
        <w:insideV w:val="single" w:sz="4" w:space="0" w:color="FFFFFF" w:themeColor="background1"/>
      </w:tblBorders>
    </w:tblPr>
    <w:tcPr>
      <w:shd w:val="clear" w:color="auto" w:fill="FFF3EE" w:themeFill="accent5" w:themeFillTint="19"/>
    </w:tcPr>
    <w:tblStylePr w:type="firstRow">
      <w:rPr>
        <w:b/>
        <w:bCs/>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C3C00" w:themeFill="accent5" w:themeFillShade="99"/>
      </w:tcPr>
    </w:tblStylePr>
    <w:tblStylePr w:type="firstCol">
      <w:rPr>
        <w:color w:val="FFFFFF" w:themeColor="background1"/>
      </w:rPr>
      <w:tblPr/>
      <w:tcPr>
        <w:tcBorders>
          <w:top w:val="nil"/>
          <w:left w:val="nil"/>
          <w:bottom w:val="nil"/>
          <w:right w:val="nil"/>
          <w:insideH w:val="single" w:sz="4" w:space="0" w:color="CC3C00" w:themeColor="accent5" w:themeShade="99"/>
          <w:insideV w:val="nil"/>
        </w:tcBorders>
        <w:shd w:val="clear" w:color="auto" w:fill="CC3C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C3C00" w:themeFill="accent5" w:themeFillShade="99"/>
      </w:tcPr>
    </w:tblStylePr>
    <w:tblStylePr w:type="band1Vert">
      <w:tblPr/>
      <w:tcPr>
        <w:shd w:val="clear" w:color="auto" w:fill="FFCFBB" w:themeFill="accent5" w:themeFillTint="66"/>
      </w:tcPr>
    </w:tblStylePr>
    <w:tblStylePr w:type="band1Horz">
      <w:tblPr/>
      <w:tcPr>
        <w:shd w:val="clear" w:color="auto" w:fill="FFC3A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FF8855" w:themeColor="accent5"/>
        <w:left w:val="single" w:sz="4" w:space="0" w:color="E3E1D8" w:themeColor="accent6"/>
        <w:bottom w:val="single" w:sz="4" w:space="0" w:color="E3E1D8" w:themeColor="accent6"/>
        <w:right w:val="single" w:sz="4" w:space="0" w:color="E3E1D8" w:themeColor="accent6"/>
        <w:insideH w:val="single" w:sz="4" w:space="0" w:color="FFFFFF" w:themeColor="background1"/>
        <w:insideV w:val="single" w:sz="4" w:space="0" w:color="FFFFFF" w:themeColor="background1"/>
      </w:tblBorders>
    </w:tblPr>
    <w:tcPr>
      <w:shd w:val="clear" w:color="auto" w:fill="FCFCFB" w:themeFill="accent6" w:themeFillTint="19"/>
    </w:tcPr>
    <w:tblStylePr w:type="firstRow">
      <w:rPr>
        <w:b/>
        <w:bCs/>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170" w:themeFill="accent6" w:themeFillShade="99"/>
      </w:tcPr>
    </w:tblStylePr>
    <w:tblStylePr w:type="firstCol">
      <w:rPr>
        <w:color w:val="FFFFFF" w:themeColor="background1"/>
      </w:rPr>
      <w:tblPr/>
      <w:tcPr>
        <w:tcBorders>
          <w:top w:val="nil"/>
          <w:left w:val="nil"/>
          <w:bottom w:val="nil"/>
          <w:right w:val="nil"/>
          <w:insideH w:val="single" w:sz="4" w:space="0" w:color="999170" w:themeColor="accent6" w:themeShade="99"/>
          <w:insideV w:val="nil"/>
        </w:tcBorders>
        <w:shd w:val="clear" w:color="auto" w:fill="9991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170" w:themeFill="accent6" w:themeFillShade="99"/>
      </w:tcPr>
    </w:tblStylePr>
    <w:tblStylePr w:type="band1Vert">
      <w:tblPr/>
      <w:tcPr>
        <w:shd w:val="clear" w:color="auto" w:fill="F3F2EF" w:themeFill="accent6" w:themeFillTint="66"/>
      </w:tcPr>
    </w:tblStylePr>
    <w:tblStylePr w:type="band1Horz">
      <w:tblPr/>
      <w:tcPr>
        <w:shd w:val="clear" w:color="auto" w:fill="F1EFEB"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20D86"/>
    <w:rPr>
      <w:sz w:val="16"/>
      <w:szCs w:val="16"/>
      <w:lang w:val="en-US"/>
    </w:rPr>
  </w:style>
  <w:style w:type="paragraph" w:styleId="CommentText">
    <w:name w:val="annotation text"/>
    <w:basedOn w:val="Normal"/>
    <w:link w:val="CommentTextChar"/>
    <w:uiPriority w:val="99"/>
    <w:semiHidden/>
    <w:rsid w:val="00920D86"/>
    <w:pPr>
      <w:spacing w:line="240" w:lineRule="auto"/>
    </w:pPr>
    <w:rPr>
      <w:sz w:val="20"/>
      <w:szCs w:val="20"/>
    </w:rPr>
  </w:style>
  <w:style w:type="character" w:customStyle="1" w:styleId="CommentTextChar">
    <w:name w:val="Comment Text Char"/>
    <w:basedOn w:val="DefaultParagraphFont"/>
    <w:link w:val="CommentText"/>
    <w:uiPriority w:val="99"/>
    <w:semiHidden/>
    <w:rsid w:val="00920D86"/>
    <w:rPr>
      <w:sz w:val="20"/>
      <w:szCs w:val="20"/>
      <w:lang w:val="en-US"/>
    </w:rPr>
  </w:style>
  <w:style w:type="paragraph" w:styleId="CommentSubject">
    <w:name w:val="annotation subject"/>
    <w:basedOn w:val="CommentText"/>
    <w:next w:val="CommentText"/>
    <w:link w:val="CommentSubjectChar"/>
    <w:uiPriority w:val="99"/>
    <w:semiHidden/>
    <w:rsid w:val="00920D86"/>
    <w:rPr>
      <w:b/>
      <w:bCs/>
    </w:rPr>
  </w:style>
  <w:style w:type="character" w:customStyle="1" w:styleId="CommentSubjectChar">
    <w:name w:val="Comment Subject Char"/>
    <w:basedOn w:val="CommentTextChar"/>
    <w:link w:val="CommentSubject"/>
    <w:uiPriority w:val="99"/>
    <w:semiHidden/>
    <w:rsid w:val="00920D86"/>
    <w:rPr>
      <w:b/>
      <w:bCs/>
      <w:sz w:val="20"/>
      <w:szCs w:val="20"/>
      <w:lang w:val="en-US"/>
    </w:rPr>
  </w:style>
  <w:style w:type="table" w:styleId="DarkList">
    <w:name w:val="Dark List"/>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5326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183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3255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32552" w:themeFill="accent1" w:themeFillShade="BF"/>
      </w:tcPr>
    </w:tblStylePr>
    <w:tblStylePr w:type="band1Vert">
      <w:tblPr/>
      <w:tcPr>
        <w:tcBorders>
          <w:top w:val="nil"/>
          <w:left w:val="nil"/>
          <w:bottom w:val="nil"/>
          <w:right w:val="nil"/>
          <w:insideH w:val="nil"/>
          <w:insideV w:val="nil"/>
        </w:tcBorders>
        <w:shd w:val="clear" w:color="auto" w:fill="032552" w:themeFill="accent1" w:themeFillShade="BF"/>
      </w:tcPr>
    </w:tblStylePr>
    <w:tblStylePr w:type="band1Horz">
      <w:tblPr/>
      <w:tcPr>
        <w:tcBorders>
          <w:top w:val="nil"/>
          <w:left w:val="nil"/>
          <w:bottom w:val="nil"/>
          <w:right w:val="nil"/>
          <w:insideH w:val="nil"/>
          <w:insideV w:val="nil"/>
        </w:tcBorders>
        <w:shd w:val="clear" w:color="auto" w:fill="032552" w:themeFill="accent1" w:themeFillShade="BF"/>
      </w:tcPr>
    </w:tblStylePr>
  </w:style>
  <w:style w:type="table" w:styleId="DarkList-Accent2">
    <w:name w:val="Dark List Accent 2"/>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125A4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2C1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D432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D432F" w:themeFill="accent2" w:themeFillShade="BF"/>
      </w:tcPr>
    </w:tblStylePr>
    <w:tblStylePr w:type="band1Vert">
      <w:tblPr/>
      <w:tcPr>
        <w:tcBorders>
          <w:top w:val="nil"/>
          <w:left w:val="nil"/>
          <w:bottom w:val="nil"/>
          <w:right w:val="nil"/>
          <w:insideH w:val="nil"/>
          <w:insideV w:val="nil"/>
        </w:tcBorders>
        <w:shd w:val="clear" w:color="auto" w:fill="0D432F" w:themeFill="accent2" w:themeFillShade="BF"/>
      </w:tcPr>
    </w:tblStylePr>
    <w:tblStylePr w:type="band1Horz">
      <w:tblPr/>
      <w:tcPr>
        <w:tcBorders>
          <w:top w:val="nil"/>
          <w:left w:val="nil"/>
          <w:bottom w:val="nil"/>
          <w:right w:val="nil"/>
          <w:insideH w:val="nil"/>
          <w:insideV w:val="nil"/>
        </w:tcBorders>
        <w:shd w:val="clear" w:color="auto" w:fill="0D432F" w:themeFill="accent2" w:themeFillShade="BF"/>
      </w:tcPr>
    </w:tblStylePr>
  </w:style>
  <w:style w:type="table" w:styleId="DarkList-Accent3">
    <w:name w:val="Dark List Accent 3"/>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ADD09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7B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CB45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CB456" w:themeFill="accent3" w:themeFillShade="BF"/>
      </w:tcPr>
    </w:tblStylePr>
    <w:tblStylePr w:type="band1Vert">
      <w:tblPr/>
      <w:tcPr>
        <w:tcBorders>
          <w:top w:val="nil"/>
          <w:left w:val="nil"/>
          <w:bottom w:val="nil"/>
          <w:right w:val="nil"/>
          <w:insideH w:val="nil"/>
          <w:insideV w:val="nil"/>
        </w:tcBorders>
        <w:shd w:val="clear" w:color="auto" w:fill="7CB456" w:themeFill="accent3" w:themeFillShade="BF"/>
      </w:tcPr>
    </w:tblStylePr>
    <w:tblStylePr w:type="band1Horz">
      <w:tblPr/>
      <w:tcPr>
        <w:tcBorders>
          <w:top w:val="nil"/>
          <w:left w:val="nil"/>
          <w:bottom w:val="nil"/>
          <w:right w:val="nil"/>
          <w:insideH w:val="nil"/>
          <w:insideV w:val="nil"/>
        </w:tcBorders>
        <w:shd w:val="clear" w:color="auto" w:fill="7CB456" w:themeFill="accent3" w:themeFillShade="BF"/>
      </w:tcPr>
    </w:tblStylePr>
  </w:style>
  <w:style w:type="table" w:styleId="DarkList-Accent4">
    <w:name w:val="Dark List Accent 4"/>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62294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142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1E3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1E38" w:themeFill="accent4" w:themeFillShade="BF"/>
      </w:tcPr>
    </w:tblStylePr>
    <w:tblStylePr w:type="band1Vert">
      <w:tblPr/>
      <w:tcPr>
        <w:tcBorders>
          <w:top w:val="nil"/>
          <w:left w:val="nil"/>
          <w:bottom w:val="nil"/>
          <w:right w:val="nil"/>
          <w:insideH w:val="nil"/>
          <w:insideV w:val="nil"/>
        </w:tcBorders>
        <w:shd w:val="clear" w:color="auto" w:fill="491E38" w:themeFill="accent4" w:themeFillShade="BF"/>
      </w:tcPr>
    </w:tblStylePr>
    <w:tblStylePr w:type="band1Horz">
      <w:tblPr/>
      <w:tcPr>
        <w:tcBorders>
          <w:top w:val="nil"/>
          <w:left w:val="nil"/>
          <w:bottom w:val="nil"/>
          <w:right w:val="nil"/>
          <w:insideH w:val="nil"/>
          <w:insideV w:val="nil"/>
        </w:tcBorders>
        <w:shd w:val="clear" w:color="auto" w:fill="491E38" w:themeFill="accent4" w:themeFillShade="BF"/>
      </w:tcPr>
    </w:tblStylePr>
  </w:style>
  <w:style w:type="table" w:styleId="DarkList-Accent5">
    <w:name w:val="Dark List Accent 5"/>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FF885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93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E4B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E4B00" w:themeFill="accent5" w:themeFillShade="BF"/>
      </w:tcPr>
    </w:tblStylePr>
    <w:tblStylePr w:type="band1Vert">
      <w:tblPr/>
      <w:tcPr>
        <w:tcBorders>
          <w:top w:val="nil"/>
          <w:left w:val="nil"/>
          <w:bottom w:val="nil"/>
          <w:right w:val="nil"/>
          <w:insideH w:val="nil"/>
          <w:insideV w:val="nil"/>
        </w:tcBorders>
        <w:shd w:val="clear" w:color="auto" w:fill="FE4B00" w:themeFill="accent5" w:themeFillShade="BF"/>
      </w:tcPr>
    </w:tblStylePr>
    <w:tblStylePr w:type="band1Horz">
      <w:tblPr/>
      <w:tcPr>
        <w:tcBorders>
          <w:top w:val="nil"/>
          <w:left w:val="nil"/>
          <w:bottom w:val="nil"/>
          <w:right w:val="nil"/>
          <w:insideH w:val="nil"/>
          <w:insideV w:val="nil"/>
        </w:tcBorders>
        <w:shd w:val="clear" w:color="auto" w:fill="FE4B00" w:themeFill="accent5" w:themeFillShade="BF"/>
      </w:tcPr>
    </w:tblStylePr>
  </w:style>
  <w:style w:type="table" w:styleId="DarkList-Accent6">
    <w:name w:val="Dark List Accent 6"/>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E3E1D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795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4AF9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4AF97" w:themeFill="accent6" w:themeFillShade="BF"/>
      </w:tcPr>
    </w:tblStylePr>
    <w:tblStylePr w:type="band1Vert">
      <w:tblPr/>
      <w:tcPr>
        <w:tcBorders>
          <w:top w:val="nil"/>
          <w:left w:val="nil"/>
          <w:bottom w:val="nil"/>
          <w:right w:val="nil"/>
          <w:insideH w:val="nil"/>
          <w:insideV w:val="nil"/>
        </w:tcBorders>
        <w:shd w:val="clear" w:color="auto" w:fill="B4AF97" w:themeFill="accent6" w:themeFillShade="BF"/>
      </w:tcPr>
    </w:tblStylePr>
    <w:tblStylePr w:type="band1Horz">
      <w:tblPr/>
      <w:tcPr>
        <w:tcBorders>
          <w:top w:val="nil"/>
          <w:left w:val="nil"/>
          <w:bottom w:val="nil"/>
          <w:right w:val="nil"/>
          <w:insideH w:val="nil"/>
          <w:insideV w:val="nil"/>
        </w:tcBorders>
        <w:shd w:val="clear" w:color="auto" w:fill="B4AF97" w:themeFill="accent6" w:themeFillShade="BF"/>
      </w:tcPr>
    </w:tblStylePr>
  </w:style>
  <w:style w:type="paragraph" w:styleId="Date">
    <w:name w:val="Date"/>
    <w:basedOn w:val="Normal"/>
    <w:next w:val="Normal"/>
    <w:link w:val="DateChar"/>
    <w:uiPriority w:val="99"/>
    <w:semiHidden/>
    <w:rsid w:val="00920D86"/>
  </w:style>
  <w:style w:type="character" w:customStyle="1" w:styleId="DateChar">
    <w:name w:val="Date Char"/>
    <w:basedOn w:val="DefaultParagraphFont"/>
    <w:link w:val="Date"/>
    <w:uiPriority w:val="99"/>
    <w:semiHidden/>
    <w:rsid w:val="00920D86"/>
    <w:rPr>
      <w:lang w:val="en-US"/>
    </w:rPr>
  </w:style>
  <w:style w:type="paragraph" w:styleId="DocumentMap">
    <w:name w:val="Document Map"/>
    <w:basedOn w:val="Normal"/>
    <w:link w:val="DocumentMapChar"/>
    <w:uiPriority w:val="99"/>
    <w:semiHidden/>
    <w:rsid w:val="00920D86"/>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20D86"/>
    <w:rPr>
      <w:rFonts w:ascii="Segoe UI" w:hAnsi="Segoe UI" w:cs="Segoe UI"/>
      <w:sz w:val="16"/>
      <w:szCs w:val="16"/>
      <w:lang w:val="en-US"/>
    </w:rPr>
  </w:style>
  <w:style w:type="paragraph" w:styleId="E-mailSignature">
    <w:name w:val="E-mail Signature"/>
    <w:basedOn w:val="Normal"/>
    <w:link w:val="E-mailSignatureChar"/>
    <w:uiPriority w:val="99"/>
    <w:semiHidden/>
    <w:rsid w:val="00920D86"/>
    <w:pPr>
      <w:spacing w:line="240" w:lineRule="auto"/>
    </w:pPr>
  </w:style>
  <w:style w:type="character" w:customStyle="1" w:styleId="E-mailSignatureChar">
    <w:name w:val="E-mail Signature Char"/>
    <w:basedOn w:val="DefaultParagraphFont"/>
    <w:link w:val="E-mailSignature"/>
    <w:uiPriority w:val="99"/>
    <w:semiHidden/>
    <w:rsid w:val="00920D86"/>
    <w:rPr>
      <w:lang w:val="en-US"/>
    </w:rPr>
  </w:style>
  <w:style w:type="character" w:styleId="Emphasis">
    <w:name w:val="Emphasis"/>
    <w:basedOn w:val="DefaultParagraphFont"/>
    <w:uiPriority w:val="19"/>
    <w:semiHidden/>
    <w:rsid w:val="00920D86"/>
    <w:rPr>
      <w:i/>
      <w:iCs/>
      <w:lang w:val="en-US"/>
    </w:rPr>
  </w:style>
  <w:style w:type="paragraph" w:styleId="EnvelopeAddress">
    <w:name w:val="envelope address"/>
    <w:basedOn w:val="Normal"/>
    <w:uiPriority w:val="99"/>
    <w:semiHidden/>
    <w:rsid w:val="00920D86"/>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920D86"/>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920D86"/>
    <w:rPr>
      <w:color w:val="CCEBFD" w:themeColor="followedHyperlink"/>
      <w:u w:val="single"/>
      <w:lang w:val="en-US"/>
    </w:rPr>
  </w:style>
  <w:style w:type="character" w:styleId="FootnoteReference">
    <w:name w:val="footnote reference"/>
    <w:aliases w:val="Heading 6 Char1,-E Fußnotenzeichen,Footnote Reference Superscript,Footnote Reference/,Footnote Reference text,Footnote symbol,Voetnootverwijzing,footnote ref,FR,Fußnotenzeichen diss neu,Times 10 Point,Exposant 3 Point,BVI fnr,note TES"/>
    <w:basedOn w:val="DefaultParagraphFont"/>
    <w:uiPriority w:val="99"/>
    <w:qFormat/>
    <w:rsid w:val="00920D86"/>
    <w:rPr>
      <w:vertAlign w:val="superscript"/>
      <w:lang w:val="en-US"/>
    </w:rPr>
  </w:style>
  <w:style w:type="table" w:styleId="GridTable1Light">
    <w:name w:val="Grid Table 1 Light"/>
    <w:basedOn w:val="TableNormal"/>
    <w:uiPriority w:val="46"/>
    <w:rsid w:val="00920D8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20D86"/>
    <w:pPr>
      <w:spacing w:line="240" w:lineRule="auto"/>
    </w:pPr>
    <w:tblPr>
      <w:tblStyleRowBandSize w:val="1"/>
      <w:tblStyleColBandSize w:val="1"/>
      <w:tblBorders>
        <w:top w:val="single" w:sz="4" w:space="0" w:color="67A5F8" w:themeColor="accent1" w:themeTint="66"/>
        <w:left w:val="single" w:sz="4" w:space="0" w:color="67A5F8" w:themeColor="accent1" w:themeTint="66"/>
        <w:bottom w:val="single" w:sz="4" w:space="0" w:color="67A5F8" w:themeColor="accent1" w:themeTint="66"/>
        <w:right w:val="single" w:sz="4" w:space="0" w:color="67A5F8" w:themeColor="accent1" w:themeTint="66"/>
        <w:insideH w:val="single" w:sz="4" w:space="0" w:color="67A5F8" w:themeColor="accent1" w:themeTint="66"/>
        <w:insideV w:val="single" w:sz="4" w:space="0" w:color="67A5F8" w:themeColor="accent1" w:themeTint="66"/>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2" w:space="0" w:color="1C78F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20D86"/>
    <w:pPr>
      <w:spacing w:line="240" w:lineRule="auto"/>
    </w:pPr>
    <w:tblPr>
      <w:tblStyleRowBandSize w:val="1"/>
      <w:tblStyleColBandSize w:val="1"/>
      <w:tblBorders>
        <w:top w:val="single" w:sz="4" w:space="0" w:color="78E4BD" w:themeColor="accent2" w:themeTint="66"/>
        <w:left w:val="single" w:sz="4" w:space="0" w:color="78E4BD" w:themeColor="accent2" w:themeTint="66"/>
        <w:bottom w:val="single" w:sz="4" w:space="0" w:color="78E4BD" w:themeColor="accent2" w:themeTint="66"/>
        <w:right w:val="single" w:sz="4" w:space="0" w:color="78E4BD" w:themeColor="accent2" w:themeTint="66"/>
        <w:insideH w:val="single" w:sz="4" w:space="0" w:color="78E4BD" w:themeColor="accent2" w:themeTint="66"/>
        <w:insideV w:val="single" w:sz="4" w:space="0" w:color="78E4BD" w:themeColor="accent2" w:themeTint="66"/>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2" w:space="0" w:color="35D69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20D86"/>
    <w:pPr>
      <w:spacing w:line="240" w:lineRule="auto"/>
    </w:pPr>
    <w:tblPr>
      <w:tblStyleRowBandSize w:val="1"/>
      <w:tblStyleColBandSize w:val="1"/>
      <w:tblBorders>
        <w:top w:val="single" w:sz="4" w:space="0" w:color="DEECD4" w:themeColor="accent3" w:themeTint="66"/>
        <w:left w:val="single" w:sz="4" w:space="0" w:color="DEECD4" w:themeColor="accent3" w:themeTint="66"/>
        <w:bottom w:val="single" w:sz="4" w:space="0" w:color="DEECD4" w:themeColor="accent3" w:themeTint="66"/>
        <w:right w:val="single" w:sz="4" w:space="0" w:color="DEECD4" w:themeColor="accent3" w:themeTint="66"/>
        <w:insideH w:val="single" w:sz="4" w:space="0" w:color="DEECD4" w:themeColor="accent3" w:themeTint="66"/>
        <w:insideV w:val="single" w:sz="4" w:space="0" w:color="DEECD4" w:themeColor="accent3" w:themeTint="66"/>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2" w:space="0" w:color="CDE2B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20D86"/>
    <w:pPr>
      <w:spacing w:line="240" w:lineRule="auto"/>
    </w:pPr>
    <w:tblPr>
      <w:tblStyleRowBandSize w:val="1"/>
      <w:tblStyleColBandSize w:val="1"/>
      <w:tblBorders>
        <w:top w:val="single" w:sz="4" w:space="0" w:color="D396BA" w:themeColor="accent4" w:themeTint="66"/>
        <w:left w:val="single" w:sz="4" w:space="0" w:color="D396BA" w:themeColor="accent4" w:themeTint="66"/>
        <w:bottom w:val="single" w:sz="4" w:space="0" w:color="D396BA" w:themeColor="accent4" w:themeTint="66"/>
        <w:right w:val="single" w:sz="4" w:space="0" w:color="D396BA" w:themeColor="accent4" w:themeTint="66"/>
        <w:insideH w:val="single" w:sz="4" w:space="0" w:color="D396BA" w:themeColor="accent4" w:themeTint="66"/>
        <w:insideV w:val="single" w:sz="4" w:space="0" w:color="D396BA" w:themeColor="accent4" w:themeTint="66"/>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2" w:space="0" w:color="BD629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20D86"/>
    <w:pPr>
      <w:spacing w:line="240" w:lineRule="auto"/>
    </w:pPr>
    <w:tblPr>
      <w:tblStyleRowBandSize w:val="1"/>
      <w:tblStyleColBandSize w:val="1"/>
      <w:tblBorders>
        <w:top w:val="single" w:sz="4" w:space="0" w:color="FFCFBB" w:themeColor="accent5" w:themeTint="66"/>
        <w:left w:val="single" w:sz="4" w:space="0" w:color="FFCFBB" w:themeColor="accent5" w:themeTint="66"/>
        <w:bottom w:val="single" w:sz="4" w:space="0" w:color="FFCFBB" w:themeColor="accent5" w:themeTint="66"/>
        <w:right w:val="single" w:sz="4" w:space="0" w:color="FFCFBB" w:themeColor="accent5" w:themeTint="66"/>
        <w:insideH w:val="single" w:sz="4" w:space="0" w:color="FFCFBB" w:themeColor="accent5" w:themeTint="66"/>
        <w:insideV w:val="single" w:sz="4" w:space="0" w:color="FFCFBB" w:themeColor="accent5" w:themeTint="66"/>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2" w:space="0" w:color="FFB79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20D86"/>
    <w:pPr>
      <w:spacing w:line="240" w:lineRule="auto"/>
    </w:pPr>
    <w:tblPr>
      <w:tblStyleRowBandSize w:val="1"/>
      <w:tblStyleColBandSize w:val="1"/>
      <w:tblBorders>
        <w:top w:val="single" w:sz="4" w:space="0" w:color="F3F2EF" w:themeColor="accent6" w:themeTint="66"/>
        <w:left w:val="single" w:sz="4" w:space="0" w:color="F3F2EF" w:themeColor="accent6" w:themeTint="66"/>
        <w:bottom w:val="single" w:sz="4" w:space="0" w:color="F3F2EF" w:themeColor="accent6" w:themeTint="66"/>
        <w:right w:val="single" w:sz="4" w:space="0" w:color="F3F2EF" w:themeColor="accent6" w:themeTint="66"/>
        <w:insideH w:val="single" w:sz="4" w:space="0" w:color="F3F2EF" w:themeColor="accent6" w:themeTint="66"/>
        <w:insideV w:val="single" w:sz="4" w:space="0" w:color="F3F2EF" w:themeColor="accent6" w:themeTint="66"/>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2" w:space="0" w:color="EEECE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20D8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20D86"/>
    <w:pPr>
      <w:spacing w:line="240" w:lineRule="auto"/>
    </w:pPr>
    <w:tblPr>
      <w:tblStyleRowBandSize w:val="1"/>
      <w:tblStyleColBandSize w:val="1"/>
      <w:tblBorders>
        <w:top w:val="single" w:sz="2" w:space="0" w:color="1C78F4" w:themeColor="accent1" w:themeTint="99"/>
        <w:bottom w:val="single" w:sz="2" w:space="0" w:color="1C78F4" w:themeColor="accent1" w:themeTint="99"/>
        <w:insideH w:val="single" w:sz="2" w:space="0" w:color="1C78F4" w:themeColor="accent1" w:themeTint="99"/>
        <w:insideV w:val="single" w:sz="2" w:space="0" w:color="1C78F4" w:themeColor="accent1" w:themeTint="99"/>
      </w:tblBorders>
    </w:tblPr>
    <w:tblStylePr w:type="firstRow">
      <w:rPr>
        <w:b/>
        <w:bCs/>
      </w:rPr>
      <w:tblPr/>
      <w:tcPr>
        <w:tcBorders>
          <w:top w:val="nil"/>
          <w:bottom w:val="single" w:sz="12" w:space="0" w:color="1C78F4" w:themeColor="accent1" w:themeTint="99"/>
          <w:insideH w:val="nil"/>
          <w:insideV w:val="nil"/>
        </w:tcBorders>
        <w:shd w:val="clear" w:color="auto" w:fill="FFFFFF" w:themeFill="background1"/>
      </w:tcPr>
    </w:tblStylePr>
    <w:tblStylePr w:type="lastRow">
      <w:rPr>
        <w:b/>
        <w:bCs/>
      </w:rPr>
      <w:tblPr/>
      <w:tcPr>
        <w:tcBorders>
          <w:top w:val="double" w:sz="2" w:space="0" w:color="1C78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2-Accent2">
    <w:name w:val="Grid Table 2 Accent 2"/>
    <w:basedOn w:val="TableNormal"/>
    <w:uiPriority w:val="47"/>
    <w:rsid w:val="00920D86"/>
    <w:pPr>
      <w:spacing w:line="240" w:lineRule="auto"/>
    </w:pPr>
    <w:tblPr>
      <w:tblStyleRowBandSize w:val="1"/>
      <w:tblStyleColBandSize w:val="1"/>
      <w:tblBorders>
        <w:top w:val="single" w:sz="2" w:space="0" w:color="35D69C" w:themeColor="accent2" w:themeTint="99"/>
        <w:bottom w:val="single" w:sz="2" w:space="0" w:color="35D69C" w:themeColor="accent2" w:themeTint="99"/>
        <w:insideH w:val="single" w:sz="2" w:space="0" w:color="35D69C" w:themeColor="accent2" w:themeTint="99"/>
        <w:insideV w:val="single" w:sz="2" w:space="0" w:color="35D69C" w:themeColor="accent2" w:themeTint="99"/>
      </w:tblBorders>
    </w:tblPr>
    <w:tblStylePr w:type="firstRow">
      <w:rPr>
        <w:b/>
        <w:bCs/>
      </w:rPr>
      <w:tblPr/>
      <w:tcPr>
        <w:tcBorders>
          <w:top w:val="nil"/>
          <w:bottom w:val="single" w:sz="12" w:space="0" w:color="35D69C" w:themeColor="accent2" w:themeTint="99"/>
          <w:insideH w:val="nil"/>
          <w:insideV w:val="nil"/>
        </w:tcBorders>
        <w:shd w:val="clear" w:color="auto" w:fill="FFFFFF" w:themeFill="background1"/>
      </w:tcPr>
    </w:tblStylePr>
    <w:tblStylePr w:type="lastRow">
      <w:rPr>
        <w:b/>
        <w:bCs/>
      </w:rPr>
      <w:tblPr/>
      <w:tcPr>
        <w:tcBorders>
          <w:top w:val="double" w:sz="2" w:space="0" w:color="35D69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2-Accent3">
    <w:name w:val="Grid Table 2 Accent 3"/>
    <w:basedOn w:val="TableNormal"/>
    <w:uiPriority w:val="47"/>
    <w:rsid w:val="00920D86"/>
    <w:pPr>
      <w:spacing w:line="240" w:lineRule="auto"/>
    </w:pPr>
    <w:tblPr>
      <w:tblStyleRowBandSize w:val="1"/>
      <w:tblStyleColBandSize w:val="1"/>
      <w:tblBorders>
        <w:top w:val="single" w:sz="2" w:space="0" w:color="CDE2BF" w:themeColor="accent3" w:themeTint="99"/>
        <w:bottom w:val="single" w:sz="2" w:space="0" w:color="CDE2BF" w:themeColor="accent3" w:themeTint="99"/>
        <w:insideH w:val="single" w:sz="2" w:space="0" w:color="CDE2BF" w:themeColor="accent3" w:themeTint="99"/>
        <w:insideV w:val="single" w:sz="2" w:space="0" w:color="CDE2BF" w:themeColor="accent3" w:themeTint="99"/>
      </w:tblBorders>
    </w:tblPr>
    <w:tblStylePr w:type="firstRow">
      <w:rPr>
        <w:b/>
        <w:bCs/>
      </w:rPr>
      <w:tblPr/>
      <w:tcPr>
        <w:tcBorders>
          <w:top w:val="nil"/>
          <w:bottom w:val="single" w:sz="12" w:space="0" w:color="CDE2BF" w:themeColor="accent3" w:themeTint="99"/>
          <w:insideH w:val="nil"/>
          <w:insideV w:val="nil"/>
        </w:tcBorders>
        <w:shd w:val="clear" w:color="auto" w:fill="FFFFFF" w:themeFill="background1"/>
      </w:tcPr>
    </w:tblStylePr>
    <w:tblStylePr w:type="lastRow">
      <w:rPr>
        <w:b/>
        <w:bCs/>
      </w:rPr>
      <w:tblPr/>
      <w:tcPr>
        <w:tcBorders>
          <w:top w:val="double" w:sz="2" w:space="0" w:color="CDE2B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2-Accent4">
    <w:name w:val="Grid Table 2 Accent 4"/>
    <w:basedOn w:val="TableNormal"/>
    <w:uiPriority w:val="47"/>
    <w:rsid w:val="00920D86"/>
    <w:pPr>
      <w:spacing w:line="240" w:lineRule="auto"/>
    </w:pPr>
    <w:tblPr>
      <w:tblStyleRowBandSize w:val="1"/>
      <w:tblStyleColBandSize w:val="1"/>
      <w:tblBorders>
        <w:top w:val="single" w:sz="2" w:space="0" w:color="BD6298" w:themeColor="accent4" w:themeTint="99"/>
        <w:bottom w:val="single" w:sz="2" w:space="0" w:color="BD6298" w:themeColor="accent4" w:themeTint="99"/>
        <w:insideH w:val="single" w:sz="2" w:space="0" w:color="BD6298" w:themeColor="accent4" w:themeTint="99"/>
        <w:insideV w:val="single" w:sz="2" w:space="0" w:color="BD6298" w:themeColor="accent4" w:themeTint="99"/>
      </w:tblBorders>
    </w:tblPr>
    <w:tblStylePr w:type="firstRow">
      <w:rPr>
        <w:b/>
        <w:bCs/>
      </w:rPr>
      <w:tblPr/>
      <w:tcPr>
        <w:tcBorders>
          <w:top w:val="nil"/>
          <w:bottom w:val="single" w:sz="12" w:space="0" w:color="BD6298" w:themeColor="accent4" w:themeTint="99"/>
          <w:insideH w:val="nil"/>
          <w:insideV w:val="nil"/>
        </w:tcBorders>
        <w:shd w:val="clear" w:color="auto" w:fill="FFFFFF" w:themeFill="background1"/>
      </w:tcPr>
    </w:tblStylePr>
    <w:tblStylePr w:type="lastRow">
      <w:rPr>
        <w:b/>
        <w:bCs/>
      </w:rPr>
      <w:tblPr/>
      <w:tcPr>
        <w:tcBorders>
          <w:top w:val="double" w:sz="2" w:space="0" w:color="BD629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2-Accent5">
    <w:name w:val="Grid Table 2 Accent 5"/>
    <w:basedOn w:val="TableNormal"/>
    <w:uiPriority w:val="47"/>
    <w:rsid w:val="00920D86"/>
    <w:pPr>
      <w:spacing w:line="240" w:lineRule="auto"/>
    </w:pPr>
    <w:tblPr>
      <w:tblStyleRowBandSize w:val="1"/>
      <w:tblStyleColBandSize w:val="1"/>
      <w:tblBorders>
        <w:top w:val="single" w:sz="2" w:space="0" w:color="FFB799" w:themeColor="accent5" w:themeTint="99"/>
        <w:bottom w:val="single" w:sz="2" w:space="0" w:color="FFB799" w:themeColor="accent5" w:themeTint="99"/>
        <w:insideH w:val="single" w:sz="2" w:space="0" w:color="FFB799" w:themeColor="accent5" w:themeTint="99"/>
        <w:insideV w:val="single" w:sz="2" w:space="0" w:color="FFB799" w:themeColor="accent5" w:themeTint="99"/>
      </w:tblBorders>
    </w:tblPr>
    <w:tblStylePr w:type="firstRow">
      <w:rPr>
        <w:b/>
        <w:bCs/>
      </w:rPr>
      <w:tblPr/>
      <w:tcPr>
        <w:tcBorders>
          <w:top w:val="nil"/>
          <w:bottom w:val="single" w:sz="12" w:space="0" w:color="FFB799" w:themeColor="accent5" w:themeTint="99"/>
          <w:insideH w:val="nil"/>
          <w:insideV w:val="nil"/>
        </w:tcBorders>
        <w:shd w:val="clear" w:color="auto" w:fill="FFFFFF" w:themeFill="background1"/>
      </w:tcPr>
    </w:tblStylePr>
    <w:tblStylePr w:type="lastRow">
      <w:rPr>
        <w:b/>
        <w:bCs/>
      </w:rPr>
      <w:tblPr/>
      <w:tcPr>
        <w:tcBorders>
          <w:top w:val="double" w:sz="2" w:space="0" w:color="FFB79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2-Accent6">
    <w:name w:val="Grid Table 2 Accent 6"/>
    <w:basedOn w:val="TableNormal"/>
    <w:uiPriority w:val="47"/>
    <w:rsid w:val="00920D86"/>
    <w:pPr>
      <w:spacing w:line="240" w:lineRule="auto"/>
    </w:pPr>
    <w:tblPr>
      <w:tblStyleRowBandSize w:val="1"/>
      <w:tblStyleColBandSize w:val="1"/>
      <w:tblBorders>
        <w:top w:val="single" w:sz="2" w:space="0" w:color="EEECE7" w:themeColor="accent6" w:themeTint="99"/>
        <w:bottom w:val="single" w:sz="2" w:space="0" w:color="EEECE7" w:themeColor="accent6" w:themeTint="99"/>
        <w:insideH w:val="single" w:sz="2" w:space="0" w:color="EEECE7" w:themeColor="accent6" w:themeTint="99"/>
        <w:insideV w:val="single" w:sz="2" w:space="0" w:color="EEECE7" w:themeColor="accent6" w:themeTint="99"/>
      </w:tblBorders>
    </w:tblPr>
    <w:tblStylePr w:type="firstRow">
      <w:rPr>
        <w:b/>
        <w:bCs/>
      </w:rPr>
      <w:tblPr/>
      <w:tcPr>
        <w:tcBorders>
          <w:top w:val="nil"/>
          <w:bottom w:val="single" w:sz="12" w:space="0" w:color="EEECE7" w:themeColor="accent6" w:themeTint="99"/>
          <w:insideH w:val="nil"/>
          <w:insideV w:val="nil"/>
        </w:tcBorders>
        <w:shd w:val="clear" w:color="auto" w:fill="FFFFFF" w:themeFill="background1"/>
      </w:tcPr>
    </w:tblStylePr>
    <w:tblStylePr w:type="lastRow">
      <w:rPr>
        <w:b/>
        <w:bCs/>
      </w:rPr>
      <w:tblPr/>
      <w:tcPr>
        <w:tcBorders>
          <w:top w:val="double" w:sz="2" w:space="0" w:color="EEECE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3">
    <w:name w:val="Grid Table 3"/>
    <w:basedOn w:val="TableNormal"/>
    <w:uiPriority w:val="48"/>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3-Accent2">
    <w:name w:val="Grid Table 3 Accent 2"/>
    <w:basedOn w:val="TableNormal"/>
    <w:uiPriority w:val="48"/>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3-Accent3">
    <w:name w:val="Grid Table 3 Accent 3"/>
    <w:basedOn w:val="TableNormal"/>
    <w:uiPriority w:val="48"/>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3-Accent4">
    <w:name w:val="Grid Table 3 Accent 4"/>
    <w:basedOn w:val="TableNormal"/>
    <w:uiPriority w:val="48"/>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3-Accent5">
    <w:name w:val="Grid Table 3 Accent 5"/>
    <w:basedOn w:val="TableNormal"/>
    <w:uiPriority w:val="48"/>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3-Accent6">
    <w:name w:val="Grid Table 3 Accent 6"/>
    <w:basedOn w:val="TableNormal"/>
    <w:uiPriority w:val="48"/>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table" w:styleId="GridTable4">
    <w:name w:val="Grid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insideV w:val="nil"/>
        </w:tcBorders>
        <w:shd w:val="clear" w:color="auto" w:fill="05326E" w:themeFill="accent1"/>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4-Accent2">
    <w:name w:val="Grid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insideV w:val="nil"/>
        </w:tcBorders>
        <w:shd w:val="clear" w:color="auto" w:fill="125A40" w:themeFill="accent2"/>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4-Accent3">
    <w:name w:val="Grid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insideV w:val="nil"/>
        </w:tcBorders>
        <w:shd w:val="clear" w:color="auto" w:fill="ADD095" w:themeFill="accent3"/>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4-Accent4">
    <w:name w:val="Grid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insideV w:val="nil"/>
        </w:tcBorders>
        <w:shd w:val="clear" w:color="auto" w:fill="62294B" w:themeFill="accent4"/>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4-Accent5">
    <w:name w:val="Grid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insideV w:val="nil"/>
        </w:tcBorders>
        <w:shd w:val="clear" w:color="auto" w:fill="FF8855" w:themeFill="accent5"/>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4-Accent6">
    <w:name w:val="Grid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insideV w:val="nil"/>
        </w:tcBorders>
        <w:shd w:val="clear" w:color="auto" w:fill="E3E1D8" w:themeFill="accent6"/>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5Dark">
    <w:name w:val="Grid Table 5 Dark"/>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D2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326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326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326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326E" w:themeFill="accent1"/>
      </w:tcPr>
    </w:tblStylePr>
    <w:tblStylePr w:type="band1Vert">
      <w:tblPr/>
      <w:tcPr>
        <w:shd w:val="clear" w:color="auto" w:fill="67A5F8" w:themeFill="accent1" w:themeFillTint="66"/>
      </w:tcPr>
    </w:tblStylePr>
    <w:tblStylePr w:type="band1Horz">
      <w:tblPr/>
      <w:tcPr>
        <w:shd w:val="clear" w:color="auto" w:fill="67A5F8" w:themeFill="accent1" w:themeFillTint="66"/>
      </w:tcPr>
    </w:tblStylePr>
  </w:style>
  <w:style w:type="table" w:styleId="GridTable5Dark-Accent2">
    <w:name w:val="Grid Table 5 Dark Accent 2"/>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F1D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25A4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25A4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25A4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25A40" w:themeFill="accent2"/>
      </w:tcPr>
    </w:tblStylePr>
    <w:tblStylePr w:type="band1Vert">
      <w:tblPr/>
      <w:tcPr>
        <w:shd w:val="clear" w:color="auto" w:fill="78E4BD" w:themeFill="accent2" w:themeFillTint="66"/>
      </w:tcPr>
    </w:tblStylePr>
    <w:tblStylePr w:type="band1Horz">
      <w:tblPr/>
      <w:tcPr>
        <w:shd w:val="clear" w:color="auto" w:fill="78E4BD" w:themeFill="accent2" w:themeFillTint="66"/>
      </w:tcPr>
    </w:tblStylePr>
  </w:style>
  <w:style w:type="table" w:styleId="GridTable5Dark-Accent3">
    <w:name w:val="Grid Table 5 Dark Accent 3"/>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5E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09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09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09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095" w:themeFill="accent3"/>
      </w:tcPr>
    </w:tblStylePr>
    <w:tblStylePr w:type="band1Vert">
      <w:tblPr/>
      <w:tcPr>
        <w:shd w:val="clear" w:color="auto" w:fill="DEECD4" w:themeFill="accent3" w:themeFillTint="66"/>
      </w:tcPr>
    </w:tblStylePr>
    <w:tblStylePr w:type="band1Horz">
      <w:tblPr/>
      <w:tcPr>
        <w:shd w:val="clear" w:color="auto" w:fill="DEECD4" w:themeFill="accent3" w:themeFillTint="66"/>
      </w:tcPr>
    </w:tblStylePr>
  </w:style>
  <w:style w:type="table" w:styleId="GridTable5Dark-Accent4">
    <w:name w:val="Grid Table 5 Dark Accent 4"/>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CAD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294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294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294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294B" w:themeFill="accent4"/>
      </w:tcPr>
    </w:tblStylePr>
    <w:tblStylePr w:type="band1Vert">
      <w:tblPr/>
      <w:tcPr>
        <w:shd w:val="clear" w:color="auto" w:fill="D396BA" w:themeFill="accent4" w:themeFillTint="66"/>
      </w:tcPr>
    </w:tblStylePr>
    <w:tblStylePr w:type="band1Horz">
      <w:tblPr/>
      <w:tcPr>
        <w:shd w:val="clear" w:color="auto" w:fill="D396BA" w:themeFill="accent4" w:themeFillTint="66"/>
      </w:tcPr>
    </w:tblStylePr>
  </w:style>
  <w:style w:type="table" w:styleId="GridTable5Dark-Accent5">
    <w:name w:val="Grid Table 5 Dark Accent 5"/>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D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85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85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85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855" w:themeFill="accent5"/>
      </w:tcPr>
    </w:tblStylePr>
    <w:tblStylePr w:type="band1Vert">
      <w:tblPr/>
      <w:tcPr>
        <w:shd w:val="clear" w:color="auto" w:fill="FFCFBB" w:themeFill="accent5" w:themeFillTint="66"/>
      </w:tcPr>
    </w:tblStylePr>
    <w:tblStylePr w:type="band1Horz">
      <w:tblPr/>
      <w:tcPr>
        <w:shd w:val="clear" w:color="auto" w:fill="FFCFBB" w:themeFill="accent5" w:themeFillTint="66"/>
      </w:tcPr>
    </w:tblStylePr>
  </w:style>
  <w:style w:type="table" w:styleId="GridTable5Dark-Accent6">
    <w:name w:val="Grid Table 5 Dark Accent 6"/>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8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E1D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E1D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E1D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E1D8" w:themeFill="accent6"/>
      </w:tcPr>
    </w:tblStylePr>
    <w:tblStylePr w:type="band1Vert">
      <w:tblPr/>
      <w:tcPr>
        <w:shd w:val="clear" w:color="auto" w:fill="F3F2EF" w:themeFill="accent6" w:themeFillTint="66"/>
      </w:tcPr>
    </w:tblStylePr>
    <w:tblStylePr w:type="band1Horz">
      <w:tblPr/>
      <w:tcPr>
        <w:shd w:val="clear" w:color="auto" w:fill="F3F2EF" w:themeFill="accent6" w:themeFillTint="66"/>
      </w:tcPr>
    </w:tblStylePr>
  </w:style>
  <w:style w:type="table" w:styleId="GridTable6Colorful">
    <w:name w:val="Grid Table 6 Colorful"/>
    <w:basedOn w:val="TableNormal"/>
    <w:uiPriority w:val="51"/>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6Colorful-Accent2">
    <w:name w:val="Grid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6Colorful-Accent3">
    <w:name w:val="Grid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6Colorful-Accent4">
    <w:name w:val="Grid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6Colorful-Accent5">
    <w:name w:val="Grid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6Colorful-Accent6">
    <w:name w:val="Grid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7Colorful">
    <w:name w:val="Grid Table 7 Colorful"/>
    <w:basedOn w:val="TableNormal"/>
    <w:uiPriority w:val="52"/>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7Colorful-Accent2">
    <w:name w:val="Grid Table 7 Colorful Accent 2"/>
    <w:basedOn w:val="TableNormal"/>
    <w:uiPriority w:val="52"/>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7Colorful-Accent3">
    <w:name w:val="Grid Table 7 Colorful Accent 3"/>
    <w:basedOn w:val="TableNormal"/>
    <w:uiPriority w:val="52"/>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7Colorful-Accent4">
    <w:name w:val="Grid Table 7 Colorful Accent 4"/>
    <w:basedOn w:val="TableNormal"/>
    <w:uiPriority w:val="52"/>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7Colorful-Accent5">
    <w:name w:val="Grid Table 7 Colorful Accent 5"/>
    <w:basedOn w:val="TableNormal"/>
    <w:uiPriority w:val="52"/>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7Colorful-Accent6">
    <w:name w:val="Grid Table 7 Colorful Accent 6"/>
    <w:basedOn w:val="TableNormal"/>
    <w:uiPriority w:val="52"/>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character" w:styleId="Hashtag">
    <w:name w:val="Hashtag"/>
    <w:basedOn w:val="DefaultParagraphFont"/>
    <w:uiPriority w:val="99"/>
    <w:semiHidden/>
    <w:rsid w:val="00920D86"/>
    <w:rPr>
      <w:color w:val="2B579A"/>
      <w:shd w:val="clear" w:color="auto" w:fill="E6E6E6"/>
      <w:lang w:val="en-US"/>
    </w:rPr>
  </w:style>
  <w:style w:type="character" w:styleId="HTMLAcronym">
    <w:name w:val="HTML Acronym"/>
    <w:basedOn w:val="DefaultParagraphFont"/>
    <w:uiPriority w:val="99"/>
    <w:semiHidden/>
    <w:rsid w:val="00920D86"/>
    <w:rPr>
      <w:lang w:val="en-US"/>
    </w:rPr>
  </w:style>
  <w:style w:type="paragraph" w:styleId="HTMLAddress">
    <w:name w:val="HTML Address"/>
    <w:basedOn w:val="Normal"/>
    <w:link w:val="HTMLAddressChar"/>
    <w:uiPriority w:val="99"/>
    <w:semiHidden/>
    <w:rsid w:val="00920D86"/>
    <w:pPr>
      <w:spacing w:line="240" w:lineRule="auto"/>
    </w:pPr>
    <w:rPr>
      <w:i/>
      <w:iCs/>
    </w:rPr>
  </w:style>
  <w:style w:type="character" w:customStyle="1" w:styleId="HTMLAddressChar">
    <w:name w:val="HTML Address Char"/>
    <w:basedOn w:val="DefaultParagraphFont"/>
    <w:link w:val="HTMLAddress"/>
    <w:uiPriority w:val="99"/>
    <w:semiHidden/>
    <w:rsid w:val="00920D86"/>
    <w:rPr>
      <w:i/>
      <w:iCs/>
      <w:lang w:val="en-US"/>
    </w:rPr>
  </w:style>
  <w:style w:type="character" w:styleId="HTMLCite">
    <w:name w:val="HTML Cite"/>
    <w:basedOn w:val="DefaultParagraphFont"/>
    <w:uiPriority w:val="99"/>
    <w:semiHidden/>
    <w:rsid w:val="00920D86"/>
    <w:rPr>
      <w:i/>
      <w:iCs/>
      <w:lang w:val="en-US"/>
    </w:rPr>
  </w:style>
  <w:style w:type="character" w:styleId="HTMLCode">
    <w:name w:val="HTML Code"/>
    <w:basedOn w:val="DefaultParagraphFont"/>
    <w:uiPriority w:val="99"/>
    <w:semiHidden/>
    <w:rsid w:val="00920D86"/>
    <w:rPr>
      <w:rFonts w:ascii="Consolas" w:hAnsi="Consolas"/>
      <w:sz w:val="20"/>
      <w:szCs w:val="20"/>
      <w:lang w:val="en-US"/>
    </w:rPr>
  </w:style>
  <w:style w:type="character" w:styleId="HTMLDefinition">
    <w:name w:val="HTML Definition"/>
    <w:basedOn w:val="DefaultParagraphFont"/>
    <w:uiPriority w:val="99"/>
    <w:semiHidden/>
    <w:rsid w:val="00920D86"/>
    <w:rPr>
      <w:i/>
      <w:iCs/>
      <w:lang w:val="en-US"/>
    </w:rPr>
  </w:style>
  <w:style w:type="character" w:styleId="HTMLKeyboard">
    <w:name w:val="HTML Keyboard"/>
    <w:basedOn w:val="DefaultParagraphFont"/>
    <w:uiPriority w:val="99"/>
    <w:semiHidden/>
    <w:rsid w:val="00920D86"/>
    <w:rPr>
      <w:rFonts w:ascii="Consolas" w:hAnsi="Consolas"/>
      <w:sz w:val="20"/>
      <w:szCs w:val="20"/>
      <w:lang w:val="en-US"/>
    </w:rPr>
  </w:style>
  <w:style w:type="paragraph" w:styleId="HTMLPreformatted">
    <w:name w:val="HTML Preformatted"/>
    <w:basedOn w:val="Normal"/>
    <w:link w:val="HTMLPreformattedChar"/>
    <w:uiPriority w:val="99"/>
    <w:semiHidden/>
    <w:rsid w:val="00920D8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0D86"/>
    <w:rPr>
      <w:rFonts w:ascii="Consolas" w:hAnsi="Consolas"/>
      <w:sz w:val="20"/>
      <w:szCs w:val="20"/>
      <w:lang w:val="en-US"/>
    </w:rPr>
  </w:style>
  <w:style w:type="character" w:styleId="HTMLSample">
    <w:name w:val="HTML Sample"/>
    <w:basedOn w:val="DefaultParagraphFont"/>
    <w:uiPriority w:val="99"/>
    <w:semiHidden/>
    <w:rsid w:val="00920D86"/>
    <w:rPr>
      <w:rFonts w:ascii="Consolas" w:hAnsi="Consolas"/>
      <w:sz w:val="24"/>
      <w:szCs w:val="24"/>
      <w:lang w:val="en-US"/>
    </w:rPr>
  </w:style>
  <w:style w:type="character" w:styleId="HTMLTypewriter">
    <w:name w:val="HTML Typewriter"/>
    <w:basedOn w:val="DefaultParagraphFont"/>
    <w:uiPriority w:val="99"/>
    <w:semiHidden/>
    <w:rsid w:val="00920D86"/>
    <w:rPr>
      <w:rFonts w:ascii="Consolas" w:hAnsi="Consolas"/>
      <w:sz w:val="20"/>
      <w:szCs w:val="20"/>
      <w:lang w:val="en-US"/>
    </w:rPr>
  </w:style>
  <w:style w:type="character" w:styleId="HTMLVariable">
    <w:name w:val="HTML Variable"/>
    <w:basedOn w:val="DefaultParagraphFont"/>
    <w:uiPriority w:val="99"/>
    <w:semiHidden/>
    <w:rsid w:val="00920D86"/>
    <w:rPr>
      <w:i/>
      <w:iCs/>
      <w:lang w:val="en-US"/>
    </w:rPr>
  </w:style>
  <w:style w:type="character" w:styleId="Hyperlink">
    <w:name w:val="Hyperlink"/>
    <w:basedOn w:val="DefaultParagraphFont"/>
    <w:uiPriority w:val="99"/>
    <w:rsid w:val="00920D86"/>
    <w:rPr>
      <w:color w:val="009DF0" w:themeColor="hyperlink"/>
      <w:u w:val="single"/>
      <w:lang w:val="en-US"/>
    </w:rPr>
  </w:style>
  <w:style w:type="paragraph" w:styleId="Index1">
    <w:name w:val="index 1"/>
    <w:basedOn w:val="Normal"/>
    <w:next w:val="Normal"/>
    <w:autoRedefine/>
    <w:uiPriority w:val="99"/>
    <w:semiHidden/>
    <w:rsid w:val="00920D86"/>
    <w:pPr>
      <w:spacing w:line="240" w:lineRule="auto"/>
      <w:ind w:left="180" w:hanging="180"/>
    </w:pPr>
  </w:style>
  <w:style w:type="paragraph" w:styleId="Index2">
    <w:name w:val="index 2"/>
    <w:basedOn w:val="Normal"/>
    <w:next w:val="Normal"/>
    <w:autoRedefine/>
    <w:uiPriority w:val="99"/>
    <w:semiHidden/>
    <w:rsid w:val="00920D86"/>
    <w:pPr>
      <w:spacing w:line="240" w:lineRule="auto"/>
      <w:ind w:left="360" w:hanging="180"/>
    </w:pPr>
  </w:style>
  <w:style w:type="paragraph" w:styleId="Index3">
    <w:name w:val="index 3"/>
    <w:basedOn w:val="Normal"/>
    <w:next w:val="Normal"/>
    <w:autoRedefine/>
    <w:uiPriority w:val="99"/>
    <w:semiHidden/>
    <w:rsid w:val="00920D86"/>
    <w:pPr>
      <w:spacing w:line="240" w:lineRule="auto"/>
      <w:ind w:left="540" w:hanging="180"/>
    </w:pPr>
  </w:style>
  <w:style w:type="paragraph" w:styleId="Index4">
    <w:name w:val="index 4"/>
    <w:basedOn w:val="Normal"/>
    <w:next w:val="Normal"/>
    <w:autoRedefine/>
    <w:uiPriority w:val="99"/>
    <w:semiHidden/>
    <w:rsid w:val="00920D86"/>
    <w:pPr>
      <w:spacing w:line="240" w:lineRule="auto"/>
      <w:ind w:left="720" w:hanging="180"/>
    </w:pPr>
  </w:style>
  <w:style w:type="paragraph" w:styleId="Index5">
    <w:name w:val="index 5"/>
    <w:basedOn w:val="Normal"/>
    <w:next w:val="Normal"/>
    <w:autoRedefine/>
    <w:uiPriority w:val="99"/>
    <w:semiHidden/>
    <w:rsid w:val="00920D86"/>
    <w:pPr>
      <w:spacing w:line="240" w:lineRule="auto"/>
      <w:ind w:left="900" w:hanging="180"/>
    </w:pPr>
  </w:style>
  <w:style w:type="paragraph" w:styleId="Index6">
    <w:name w:val="index 6"/>
    <w:basedOn w:val="Normal"/>
    <w:next w:val="Normal"/>
    <w:autoRedefine/>
    <w:uiPriority w:val="99"/>
    <w:semiHidden/>
    <w:rsid w:val="00920D86"/>
    <w:pPr>
      <w:spacing w:line="240" w:lineRule="auto"/>
      <w:ind w:left="1080" w:hanging="180"/>
    </w:pPr>
  </w:style>
  <w:style w:type="paragraph" w:styleId="Index7">
    <w:name w:val="index 7"/>
    <w:basedOn w:val="Normal"/>
    <w:next w:val="Normal"/>
    <w:autoRedefine/>
    <w:uiPriority w:val="99"/>
    <w:semiHidden/>
    <w:rsid w:val="00920D86"/>
    <w:pPr>
      <w:spacing w:line="240" w:lineRule="auto"/>
      <w:ind w:left="1260" w:hanging="180"/>
    </w:pPr>
  </w:style>
  <w:style w:type="paragraph" w:styleId="Index8">
    <w:name w:val="index 8"/>
    <w:basedOn w:val="Normal"/>
    <w:next w:val="Normal"/>
    <w:autoRedefine/>
    <w:uiPriority w:val="99"/>
    <w:semiHidden/>
    <w:rsid w:val="00920D86"/>
    <w:pPr>
      <w:spacing w:line="240" w:lineRule="auto"/>
      <w:ind w:left="1440" w:hanging="180"/>
    </w:pPr>
  </w:style>
  <w:style w:type="paragraph" w:styleId="Index9">
    <w:name w:val="index 9"/>
    <w:basedOn w:val="Normal"/>
    <w:next w:val="Normal"/>
    <w:autoRedefine/>
    <w:uiPriority w:val="99"/>
    <w:semiHidden/>
    <w:rsid w:val="00920D86"/>
    <w:pPr>
      <w:spacing w:line="240" w:lineRule="auto"/>
      <w:ind w:left="1620" w:hanging="180"/>
    </w:pPr>
  </w:style>
  <w:style w:type="paragraph" w:styleId="IndexHeading">
    <w:name w:val="index heading"/>
    <w:basedOn w:val="Normal"/>
    <w:next w:val="Index1"/>
    <w:uiPriority w:val="99"/>
    <w:semiHidden/>
    <w:rsid w:val="00920D86"/>
    <w:rPr>
      <w:rFonts w:asciiTheme="majorHAnsi" w:eastAsiaTheme="majorEastAsia" w:hAnsiTheme="majorHAnsi" w:cstheme="majorBidi"/>
      <w:b/>
      <w:bCs/>
    </w:rPr>
  </w:style>
  <w:style w:type="table" w:styleId="LightGrid">
    <w:name w:val="Light Grid"/>
    <w:basedOn w:val="TableNormal"/>
    <w:uiPriority w:val="62"/>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18" w:space="0" w:color="05326E" w:themeColor="accent1"/>
          <w:right w:val="single" w:sz="8" w:space="0" w:color="05326E" w:themeColor="accent1"/>
          <w:insideH w:val="nil"/>
          <w:insideV w:val="single" w:sz="8" w:space="0" w:color="05326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insideH w:val="nil"/>
          <w:insideV w:val="single" w:sz="8" w:space="0" w:color="05326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shd w:val="clear" w:color="auto" w:fill="A1C7FA" w:themeFill="accent1" w:themeFillTint="3F"/>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shd w:val="clear" w:color="auto" w:fill="A1C7FA" w:themeFill="accent1" w:themeFillTint="3F"/>
      </w:tcPr>
    </w:tblStylePr>
    <w:tblStylePr w:type="band2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tcPr>
    </w:tblStylePr>
  </w:style>
  <w:style w:type="table" w:styleId="LightGrid-Accent2">
    <w:name w:val="Light Grid Accent 2"/>
    <w:basedOn w:val="TableNormal"/>
    <w:uiPriority w:val="62"/>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18" w:space="0" w:color="125A40" w:themeColor="accent2"/>
          <w:right w:val="single" w:sz="8" w:space="0" w:color="125A40" w:themeColor="accent2"/>
          <w:insideH w:val="nil"/>
          <w:insideV w:val="single" w:sz="8" w:space="0" w:color="125A4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insideH w:val="nil"/>
          <w:insideV w:val="single" w:sz="8" w:space="0" w:color="125A4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shd w:val="clear" w:color="auto" w:fill="ACEED6" w:themeFill="accent2" w:themeFillTint="3F"/>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shd w:val="clear" w:color="auto" w:fill="ACEED6" w:themeFill="accent2" w:themeFillTint="3F"/>
      </w:tcPr>
    </w:tblStylePr>
    <w:tblStylePr w:type="band2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tcPr>
    </w:tblStylePr>
  </w:style>
  <w:style w:type="table" w:styleId="LightGrid-Accent3">
    <w:name w:val="Light Grid Accent 3"/>
    <w:basedOn w:val="TableNormal"/>
    <w:uiPriority w:val="62"/>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18" w:space="0" w:color="ADD095" w:themeColor="accent3"/>
          <w:right w:val="single" w:sz="8" w:space="0" w:color="ADD095" w:themeColor="accent3"/>
          <w:insideH w:val="nil"/>
          <w:insideV w:val="single" w:sz="8" w:space="0" w:color="ADD09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insideH w:val="nil"/>
          <w:insideV w:val="single" w:sz="8" w:space="0" w:color="ADD09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shd w:val="clear" w:color="auto" w:fill="EAF3E4" w:themeFill="accent3" w:themeFillTint="3F"/>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shd w:val="clear" w:color="auto" w:fill="EAF3E4" w:themeFill="accent3" w:themeFillTint="3F"/>
      </w:tcPr>
    </w:tblStylePr>
    <w:tblStylePr w:type="band2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tcPr>
    </w:tblStylePr>
  </w:style>
  <w:style w:type="table" w:styleId="LightGrid-Accent4">
    <w:name w:val="Light Grid Accent 4"/>
    <w:basedOn w:val="TableNormal"/>
    <w:uiPriority w:val="62"/>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18" w:space="0" w:color="62294B" w:themeColor="accent4"/>
          <w:right w:val="single" w:sz="8" w:space="0" w:color="62294B" w:themeColor="accent4"/>
          <w:insideH w:val="nil"/>
          <w:insideV w:val="single" w:sz="8" w:space="0" w:color="62294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insideH w:val="nil"/>
          <w:insideV w:val="single" w:sz="8" w:space="0" w:color="62294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shd w:val="clear" w:color="auto" w:fill="E4BED4" w:themeFill="accent4" w:themeFillTint="3F"/>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shd w:val="clear" w:color="auto" w:fill="E4BED4" w:themeFill="accent4" w:themeFillTint="3F"/>
      </w:tcPr>
    </w:tblStylePr>
    <w:tblStylePr w:type="band2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tcPr>
    </w:tblStylePr>
  </w:style>
  <w:style w:type="table" w:styleId="LightGrid-Accent5">
    <w:name w:val="Light Grid Accent 5"/>
    <w:basedOn w:val="TableNormal"/>
    <w:uiPriority w:val="62"/>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18" w:space="0" w:color="FF8855" w:themeColor="accent5"/>
          <w:right w:val="single" w:sz="8" w:space="0" w:color="FF8855" w:themeColor="accent5"/>
          <w:insideH w:val="nil"/>
          <w:insideV w:val="single" w:sz="8" w:space="0" w:color="FF885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insideH w:val="nil"/>
          <w:insideV w:val="single" w:sz="8" w:space="0" w:color="FF885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shd w:val="clear" w:color="auto" w:fill="FFE1D5" w:themeFill="accent5" w:themeFillTint="3F"/>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shd w:val="clear" w:color="auto" w:fill="FFE1D5" w:themeFill="accent5" w:themeFillTint="3F"/>
      </w:tcPr>
    </w:tblStylePr>
    <w:tblStylePr w:type="band2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tcPr>
    </w:tblStylePr>
  </w:style>
  <w:style w:type="table" w:styleId="LightGrid-Accent6">
    <w:name w:val="Light Grid Accent 6"/>
    <w:basedOn w:val="TableNormal"/>
    <w:uiPriority w:val="62"/>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18" w:space="0" w:color="E3E1D8" w:themeColor="accent6"/>
          <w:right w:val="single" w:sz="8" w:space="0" w:color="E3E1D8" w:themeColor="accent6"/>
          <w:insideH w:val="nil"/>
          <w:insideV w:val="single" w:sz="8" w:space="0" w:color="E3E1D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insideH w:val="nil"/>
          <w:insideV w:val="single" w:sz="8" w:space="0" w:color="E3E1D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shd w:val="clear" w:color="auto" w:fill="F8F7F5" w:themeFill="accent6" w:themeFillTint="3F"/>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shd w:val="clear" w:color="auto" w:fill="F8F7F5" w:themeFill="accent6" w:themeFillTint="3F"/>
      </w:tcPr>
    </w:tblStylePr>
    <w:tblStylePr w:type="band2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tcPr>
    </w:tblStylePr>
  </w:style>
  <w:style w:type="table" w:styleId="LightList">
    <w:name w:val="Light List"/>
    <w:basedOn w:val="TableNormal"/>
    <w:uiPriority w:val="61"/>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pPr>
        <w:spacing w:before="0" w:after="0" w:line="240" w:lineRule="auto"/>
      </w:pPr>
      <w:rPr>
        <w:b/>
        <w:bCs/>
        <w:color w:val="FFFFFF" w:themeColor="background1"/>
      </w:rPr>
      <w:tblPr/>
      <w:tcPr>
        <w:shd w:val="clear" w:color="auto" w:fill="05326E" w:themeFill="accent1"/>
      </w:tcPr>
    </w:tblStylePr>
    <w:tblStylePr w:type="lastRow">
      <w:pPr>
        <w:spacing w:before="0" w:after="0" w:line="240" w:lineRule="auto"/>
      </w:pPr>
      <w:rPr>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tcBorders>
      </w:tcPr>
    </w:tblStylePr>
    <w:tblStylePr w:type="firstCol">
      <w:rPr>
        <w:b/>
        <w:bCs/>
      </w:rPr>
    </w:tblStylePr>
    <w:tblStylePr w:type="lastCol">
      <w:rPr>
        <w:b/>
        <w:bCs/>
      </w:r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style>
  <w:style w:type="table" w:styleId="LightList-Accent2">
    <w:name w:val="Light List Accent 2"/>
    <w:basedOn w:val="TableNormal"/>
    <w:uiPriority w:val="61"/>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pPr>
        <w:spacing w:before="0" w:after="0" w:line="240" w:lineRule="auto"/>
      </w:pPr>
      <w:rPr>
        <w:b/>
        <w:bCs/>
        <w:color w:val="FFFFFF" w:themeColor="background1"/>
      </w:rPr>
      <w:tblPr/>
      <w:tcPr>
        <w:shd w:val="clear" w:color="auto" w:fill="125A40" w:themeFill="accent2"/>
      </w:tcPr>
    </w:tblStylePr>
    <w:tblStylePr w:type="lastRow">
      <w:pPr>
        <w:spacing w:before="0" w:after="0" w:line="240" w:lineRule="auto"/>
      </w:pPr>
      <w:rPr>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tcBorders>
      </w:tcPr>
    </w:tblStylePr>
    <w:tblStylePr w:type="firstCol">
      <w:rPr>
        <w:b/>
        <w:bCs/>
      </w:rPr>
    </w:tblStylePr>
    <w:tblStylePr w:type="lastCol">
      <w:rPr>
        <w:b/>
        <w:bCs/>
      </w:r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style>
  <w:style w:type="table" w:styleId="LightList-Accent3">
    <w:name w:val="Light List Accent 3"/>
    <w:basedOn w:val="TableNormal"/>
    <w:uiPriority w:val="61"/>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pPr>
        <w:spacing w:before="0" w:after="0" w:line="240" w:lineRule="auto"/>
      </w:pPr>
      <w:rPr>
        <w:b/>
        <w:bCs/>
        <w:color w:val="FFFFFF" w:themeColor="background1"/>
      </w:rPr>
      <w:tblPr/>
      <w:tcPr>
        <w:shd w:val="clear" w:color="auto" w:fill="ADD095" w:themeFill="accent3"/>
      </w:tcPr>
    </w:tblStylePr>
    <w:tblStylePr w:type="lastRow">
      <w:pPr>
        <w:spacing w:before="0" w:after="0" w:line="240" w:lineRule="auto"/>
      </w:pPr>
      <w:rPr>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tcBorders>
      </w:tcPr>
    </w:tblStylePr>
    <w:tblStylePr w:type="firstCol">
      <w:rPr>
        <w:b/>
        <w:bCs/>
      </w:rPr>
    </w:tblStylePr>
    <w:tblStylePr w:type="lastCol">
      <w:rPr>
        <w:b/>
        <w:bCs/>
      </w:r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style>
  <w:style w:type="table" w:styleId="LightList-Accent4">
    <w:name w:val="Light List Accent 4"/>
    <w:basedOn w:val="TableNormal"/>
    <w:uiPriority w:val="61"/>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pPr>
        <w:spacing w:before="0" w:after="0" w:line="240" w:lineRule="auto"/>
      </w:pPr>
      <w:rPr>
        <w:b/>
        <w:bCs/>
        <w:color w:val="FFFFFF" w:themeColor="background1"/>
      </w:rPr>
      <w:tblPr/>
      <w:tcPr>
        <w:shd w:val="clear" w:color="auto" w:fill="62294B" w:themeFill="accent4"/>
      </w:tcPr>
    </w:tblStylePr>
    <w:tblStylePr w:type="lastRow">
      <w:pPr>
        <w:spacing w:before="0" w:after="0" w:line="240" w:lineRule="auto"/>
      </w:pPr>
      <w:rPr>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tcBorders>
      </w:tcPr>
    </w:tblStylePr>
    <w:tblStylePr w:type="firstCol">
      <w:rPr>
        <w:b/>
        <w:bCs/>
      </w:rPr>
    </w:tblStylePr>
    <w:tblStylePr w:type="lastCol">
      <w:rPr>
        <w:b/>
        <w:bCs/>
      </w:r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style>
  <w:style w:type="table" w:styleId="LightList-Accent5">
    <w:name w:val="Light List Accent 5"/>
    <w:basedOn w:val="TableNormal"/>
    <w:uiPriority w:val="61"/>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pPr>
        <w:spacing w:before="0" w:after="0" w:line="240" w:lineRule="auto"/>
      </w:pPr>
      <w:rPr>
        <w:b/>
        <w:bCs/>
        <w:color w:val="FFFFFF" w:themeColor="background1"/>
      </w:rPr>
      <w:tblPr/>
      <w:tcPr>
        <w:shd w:val="clear" w:color="auto" w:fill="FF8855" w:themeFill="accent5"/>
      </w:tcPr>
    </w:tblStylePr>
    <w:tblStylePr w:type="lastRow">
      <w:pPr>
        <w:spacing w:before="0" w:after="0" w:line="240" w:lineRule="auto"/>
      </w:pPr>
      <w:rPr>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tcBorders>
      </w:tcPr>
    </w:tblStylePr>
    <w:tblStylePr w:type="firstCol">
      <w:rPr>
        <w:b/>
        <w:bCs/>
      </w:rPr>
    </w:tblStylePr>
    <w:tblStylePr w:type="lastCol">
      <w:rPr>
        <w:b/>
        <w:bCs/>
      </w:r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style>
  <w:style w:type="table" w:styleId="LightList-Accent6">
    <w:name w:val="Light List Accent 6"/>
    <w:basedOn w:val="TableNormal"/>
    <w:uiPriority w:val="61"/>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pPr>
        <w:spacing w:before="0" w:after="0" w:line="240" w:lineRule="auto"/>
      </w:pPr>
      <w:rPr>
        <w:b/>
        <w:bCs/>
        <w:color w:val="FFFFFF" w:themeColor="background1"/>
      </w:rPr>
      <w:tblPr/>
      <w:tcPr>
        <w:shd w:val="clear" w:color="auto" w:fill="E3E1D8" w:themeFill="accent6"/>
      </w:tcPr>
    </w:tblStylePr>
    <w:tblStylePr w:type="lastRow">
      <w:pPr>
        <w:spacing w:before="0" w:after="0" w:line="240" w:lineRule="auto"/>
      </w:pPr>
      <w:rPr>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tcBorders>
      </w:tcPr>
    </w:tblStylePr>
    <w:tblStylePr w:type="firstCol">
      <w:rPr>
        <w:b/>
        <w:bCs/>
      </w:rPr>
    </w:tblStylePr>
    <w:tblStylePr w:type="lastCol">
      <w:rPr>
        <w:b/>
        <w:bCs/>
      </w:r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style>
  <w:style w:type="table" w:styleId="LightShading">
    <w:name w:val="Light Shading"/>
    <w:basedOn w:val="TableNormal"/>
    <w:uiPriority w:val="60"/>
    <w:semiHidden/>
    <w:unhideWhenUsed/>
    <w:rsid w:val="00920D8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20D86"/>
    <w:pPr>
      <w:spacing w:line="240" w:lineRule="auto"/>
    </w:pPr>
    <w:rPr>
      <w:color w:val="032552" w:themeColor="accent1" w:themeShade="BF"/>
    </w:rPr>
    <w:tblPr>
      <w:tblStyleRowBandSize w:val="1"/>
      <w:tblStyleColBandSize w:val="1"/>
      <w:tblBorders>
        <w:top w:val="single" w:sz="8" w:space="0" w:color="05326E" w:themeColor="accent1"/>
        <w:bottom w:val="single" w:sz="8" w:space="0" w:color="05326E" w:themeColor="accent1"/>
      </w:tblBorders>
    </w:tblPr>
    <w:tblStylePr w:type="fir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la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left w:val="nil"/>
          <w:right w:val="nil"/>
          <w:insideH w:val="nil"/>
          <w:insideV w:val="nil"/>
        </w:tcBorders>
        <w:shd w:val="clear" w:color="auto" w:fill="A1C7FA" w:themeFill="accent1" w:themeFillTint="3F"/>
      </w:tcPr>
    </w:tblStylePr>
  </w:style>
  <w:style w:type="table" w:styleId="LightShading-Accent2">
    <w:name w:val="Light Shading Accent 2"/>
    <w:basedOn w:val="TableNormal"/>
    <w:uiPriority w:val="60"/>
    <w:semiHidden/>
    <w:unhideWhenUsed/>
    <w:rsid w:val="00920D86"/>
    <w:pPr>
      <w:spacing w:line="240" w:lineRule="auto"/>
    </w:pPr>
    <w:rPr>
      <w:color w:val="0D432F" w:themeColor="accent2" w:themeShade="BF"/>
    </w:rPr>
    <w:tblPr>
      <w:tblStyleRowBandSize w:val="1"/>
      <w:tblStyleColBandSize w:val="1"/>
      <w:tblBorders>
        <w:top w:val="single" w:sz="8" w:space="0" w:color="125A40" w:themeColor="accent2"/>
        <w:bottom w:val="single" w:sz="8" w:space="0" w:color="125A40" w:themeColor="accent2"/>
      </w:tblBorders>
    </w:tblPr>
    <w:tblStylePr w:type="fir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la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left w:val="nil"/>
          <w:right w:val="nil"/>
          <w:insideH w:val="nil"/>
          <w:insideV w:val="nil"/>
        </w:tcBorders>
        <w:shd w:val="clear" w:color="auto" w:fill="ACEED6" w:themeFill="accent2" w:themeFillTint="3F"/>
      </w:tcPr>
    </w:tblStylePr>
  </w:style>
  <w:style w:type="table" w:styleId="LightShading-Accent3">
    <w:name w:val="Light Shading Accent 3"/>
    <w:basedOn w:val="TableNormal"/>
    <w:uiPriority w:val="60"/>
    <w:semiHidden/>
    <w:unhideWhenUsed/>
    <w:rsid w:val="00920D86"/>
    <w:pPr>
      <w:spacing w:line="240" w:lineRule="auto"/>
    </w:pPr>
    <w:rPr>
      <w:color w:val="7CB456" w:themeColor="accent3" w:themeShade="BF"/>
    </w:rPr>
    <w:tblPr>
      <w:tblStyleRowBandSize w:val="1"/>
      <w:tblStyleColBandSize w:val="1"/>
      <w:tblBorders>
        <w:top w:val="single" w:sz="8" w:space="0" w:color="ADD095" w:themeColor="accent3"/>
        <w:bottom w:val="single" w:sz="8" w:space="0" w:color="ADD095" w:themeColor="accent3"/>
      </w:tblBorders>
    </w:tblPr>
    <w:tblStylePr w:type="fir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la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left w:val="nil"/>
          <w:right w:val="nil"/>
          <w:insideH w:val="nil"/>
          <w:insideV w:val="nil"/>
        </w:tcBorders>
        <w:shd w:val="clear" w:color="auto" w:fill="EAF3E4" w:themeFill="accent3" w:themeFillTint="3F"/>
      </w:tcPr>
    </w:tblStylePr>
  </w:style>
  <w:style w:type="table" w:styleId="LightShading-Accent4">
    <w:name w:val="Light Shading Accent 4"/>
    <w:basedOn w:val="TableNormal"/>
    <w:uiPriority w:val="60"/>
    <w:semiHidden/>
    <w:unhideWhenUsed/>
    <w:rsid w:val="00920D86"/>
    <w:pPr>
      <w:spacing w:line="240" w:lineRule="auto"/>
    </w:pPr>
    <w:rPr>
      <w:color w:val="491E38" w:themeColor="accent4" w:themeShade="BF"/>
    </w:rPr>
    <w:tblPr>
      <w:tblStyleRowBandSize w:val="1"/>
      <w:tblStyleColBandSize w:val="1"/>
      <w:tblBorders>
        <w:top w:val="single" w:sz="8" w:space="0" w:color="62294B" w:themeColor="accent4"/>
        <w:bottom w:val="single" w:sz="8" w:space="0" w:color="62294B" w:themeColor="accent4"/>
      </w:tblBorders>
    </w:tblPr>
    <w:tblStylePr w:type="fir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la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left w:val="nil"/>
          <w:right w:val="nil"/>
          <w:insideH w:val="nil"/>
          <w:insideV w:val="nil"/>
        </w:tcBorders>
        <w:shd w:val="clear" w:color="auto" w:fill="E4BED4" w:themeFill="accent4" w:themeFillTint="3F"/>
      </w:tcPr>
    </w:tblStylePr>
  </w:style>
  <w:style w:type="table" w:styleId="LightShading-Accent5">
    <w:name w:val="Light Shading Accent 5"/>
    <w:basedOn w:val="TableNormal"/>
    <w:uiPriority w:val="60"/>
    <w:semiHidden/>
    <w:unhideWhenUsed/>
    <w:rsid w:val="00920D86"/>
    <w:pPr>
      <w:spacing w:line="240" w:lineRule="auto"/>
    </w:pPr>
    <w:rPr>
      <w:color w:val="FE4B00" w:themeColor="accent5" w:themeShade="BF"/>
    </w:rPr>
    <w:tblPr>
      <w:tblStyleRowBandSize w:val="1"/>
      <w:tblStyleColBandSize w:val="1"/>
      <w:tblBorders>
        <w:top w:val="single" w:sz="8" w:space="0" w:color="FF8855" w:themeColor="accent5"/>
        <w:bottom w:val="single" w:sz="8" w:space="0" w:color="FF8855" w:themeColor="accent5"/>
      </w:tblBorders>
    </w:tblPr>
    <w:tblStylePr w:type="fir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la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left w:val="nil"/>
          <w:right w:val="nil"/>
          <w:insideH w:val="nil"/>
          <w:insideV w:val="nil"/>
        </w:tcBorders>
        <w:shd w:val="clear" w:color="auto" w:fill="FFE1D5" w:themeFill="accent5" w:themeFillTint="3F"/>
      </w:tcPr>
    </w:tblStylePr>
  </w:style>
  <w:style w:type="table" w:styleId="LightShading-Accent6">
    <w:name w:val="Light Shading Accent 6"/>
    <w:basedOn w:val="TableNormal"/>
    <w:uiPriority w:val="60"/>
    <w:semiHidden/>
    <w:unhideWhenUsed/>
    <w:rsid w:val="00920D86"/>
    <w:pPr>
      <w:spacing w:line="240" w:lineRule="auto"/>
    </w:pPr>
    <w:rPr>
      <w:color w:val="B4AF97" w:themeColor="accent6" w:themeShade="BF"/>
    </w:rPr>
    <w:tblPr>
      <w:tblStyleRowBandSize w:val="1"/>
      <w:tblStyleColBandSize w:val="1"/>
      <w:tblBorders>
        <w:top w:val="single" w:sz="8" w:space="0" w:color="E3E1D8" w:themeColor="accent6"/>
        <w:bottom w:val="single" w:sz="8" w:space="0" w:color="E3E1D8" w:themeColor="accent6"/>
      </w:tblBorders>
    </w:tblPr>
    <w:tblStylePr w:type="fir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la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left w:val="nil"/>
          <w:right w:val="nil"/>
          <w:insideH w:val="nil"/>
          <w:insideV w:val="nil"/>
        </w:tcBorders>
        <w:shd w:val="clear" w:color="auto" w:fill="F8F7F5" w:themeFill="accent6" w:themeFillTint="3F"/>
      </w:tcPr>
    </w:tblStylePr>
  </w:style>
  <w:style w:type="character" w:styleId="LineNumber">
    <w:name w:val="line number"/>
    <w:basedOn w:val="DefaultParagraphFont"/>
    <w:uiPriority w:val="99"/>
    <w:semiHidden/>
    <w:rsid w:val="00920D86"/>
    <w:rPr>
      <w:lang w:val="en-US"/>
    </w:rPr>
  </w:style>
  <w:style w:type="paragraph" w:styleId="List">
    <w:name w:val="List"/>
    <w:basedOn w:val="Normal"/>
    <w:uiPriority w:val="99"/>
    <w:semiHidden/>
    <w:rsid w:val="00920D86"/>
    <w:pPr>
      <w:ind w:left="283" w:hanging="283"/>
      <w:contextualSpacing/>
    </w:pPr>
  </w:style>
  <w:style w:type="paragraph" w:styleId="List2">
    <w:name w:val="List 2"/>
    <w:basedOn w:val="Normal"/>
    <w:uiPriority w:val="99"/>
    <w:semiHidden/>
    <w:rsid w:val="00920D86"/>
    <w:pPr>
      <w:ind w:left="566" w:hanging="283"/>
      <w:contextualSpacing/>
    </w:pPr>
  </w:style>
  <w:style w:type="paragraph" w:styleId="List3">
    <w:name w:val="List 3"/>
    <w:basedOn w:val="Normal"/>
    <w:uiPriority w:val="99"/>
    <w:semiHidden/>
    <w:rsid w:val="00920D86"/>
    <w:pPr>
      <w:ind w:left="849" w:hanging="283"/>
      <w:contextualSpacing/>
    </w:pPr>
  </w:style>
  <w:style w:type="paragraph" w:styleId="List4">
    <w:name w:val="List 4"/>
    <w:basedOn w:val="Normal"/>
    <w:uiPriority w:val="99"/>
    <w:semiHidden/>
    <w:rsid w:val="00920D86"/>
    <w:pPr>
      <w:ind w:left="1132" w:hanging="283"/>
      <w:contextualSpacing/>
    </w:pPr>
  </w:style>
  <w:style w:type="paragraph" w:styleId="List5">
    <w:name w:val="List 5"/>
    <w:basedOn w:val="Normal"/>
    <w:uiPriority w:val="99"/>
    <w:semiHidden/>
    <w:rsid w:val="00920D86"/>
    <w:pPr>
      <w:ind w:left="1415" w:hanging="283"/>
      <w:contextualSpacing/>
    </w:pPr>
  </w:style>
  <w:style w:type="paragraph" w:styleId="ListBullet2">
    <w:name w:val="List Bullet 2"/>
    <w:basedOn w:val="Normal"/>
    <w:uiPriority w:val="99"/>
    <w:semiHidden/>
    <w:rsid w:val="00920D86"/>
    <w:pPr>
      <w:numPr>
        <w:numId w:val="4"/>
      </w:numPr>
      <w:contextualSpacing/>
    </w:pPr>
  </w:style>
  <w:style w:type="paragraph" w:styleId="ListBullet3">
    <w:name w:val="List Bullet 3"/>
    <w:basedOn w:val="Normal"/>
    <w:uiPriority w:val="99"/>
    <w:semiHidden/>
    <w:rsid w:val="00920D86"/>
    <w:pPr>
      <w:numPr>
        <w:numId w:val="5"/>
      </w:numPr>
      <w:contextualSpacing/>
    </w:pPr>
  </w:style>
  <w:style w:type="paragraph" w:styleId="ListBullet4">
    <w:name w:val="List Bullet 4"/>
    <w:basedOn w:val="Normal"/>
    <w:uiPriority w:val="99"/>
    <w:semiHidden/>
    <w:rsid w:val="00920D86"/>
    <w:pPr>
      <w:numPr>
        <w:numId w:val="6"/>
      </w:numPr>
      <w:contextualSpacing/>
    </w:pPr>
  </w:style>
  <w:style w:type="paragraph" w:styleId="ListBullet5">
    <w:name w:val="List Bullet 5"/>
    <w:basedOn w:val="Normal"/>
    <w:uiPriority w:val="99"/>
    <w:semiHidden/>
    <w:rsid w:val="00920D86"/>
    <w:pPr>
      <w:numPr>
        <w:numId w:val="7"/>
      </w:numPr>
      <w:contextualSpacing/>
    </w:pPr>
  </w:style>
  <w:style w:type="paragraph" w:styleId="ListContinue">
    <w:name w:val="List Continue"/>
    <w:basedOn w:val="Normal"/>
    <w:uiPriority w:val="99"/>
    <w:semiHidden/>
    <w:rsid w:val="00920D86"/>
    <w:pPr>
      <w:spacing w:after="120"/>
      <w:ind w:left="283"/>
      <w:contextualSpacing/>
    </w:pPr>
  </w:style>
  <w:style w:type="paragraph" w:styleId="ListContinue2">
    <w:name w:val="List Continue 2"/>
    <w:basedOn w:val="Normal"/>
    <w:uiPriority w:val="99"/>
    <w:semiHidden/>
    <w:rsid w:val="00920D86"/>
    <w:pPr>
      <w:spacing w:after="120"/>
      <w:ind w:left="566"/>
      <w:contextualSpacing/>
    </w:pPr>
  </w:style>
  <w:style w:type="paragraph" w:styleId="ListContinue3">
    <w:name w:val="List Continue 3"/>
    <w:basedOn w:val="Normal"/>
    <w:uiPriority w:val="99"/>
    <w:semiHidden/>
    <w:rsid w:val="00920D86"/>
    <w:pPr>
      <w:spacing w:after="120"/>
      <w:ind w:left="849"/>
      <w:contextualSpacing/>
    </w:pPr>
  </w:style>
  <w:style w:type="paragraph" w:styleId="ListContinue4">
    <w:name w:val="List Continue 4"/>
    <w:basedOn w:val="Normal"/>
    <w:uiPriority w:val="99"/>
    <w:semiHidden/>
    <w:rsid w:val="00920D86"/>
    <w:pPr>
      <w:spacing w:after="120"/>
      <w:ind w:left="1132"/>
      <w:contextualSpacing/>
    </w:pPr>
  </w:style>
  <w:style w:type="paragraph" w:styleId="ListContinue5">
    <w:name w:val="List Continue 5"/>
    <w:basedOn w:val="Normal"/>
    <w:uiPriority w:val="99"/>
    <w:semiHidden/>
    <w:rsid w:val="00920D86"/>
    <w:pPr>
      <w:spacing w:after="120"/>
      <w:ind w:left="1415"/>
      <w:contextualSpacing/>
    </w:pPr>
  </w:style>
  <w:style w:type="paragraph" w:styleId="ListNumber2">
    <w:name w:val="List Number 2"/>
    <w:basedOn w:val="Normal"/>
    <w:uiPriority w:val="99"/>
    <w:semiHidden/>
    <w:rsid w:val="00920D86"/>
    <w:pPr>
      <w:numPr>
        <w:numId w:val="9"/>
      </w:numPr>
      <w:contextualSpacing/>
    </w:pPr>
  </w:style>
  <w:style w:type="paragraph" w:styleId="ListNumber3">
    <w:name w:val="List Number 3"/>
    <w:basedOn w:val="Normal"/>
    <w:uiPriority w:val="99"/>
    <w:semiHidden/>
    <w:rsid w:val="00920D86"/>
    <w:pPr>
      <w:numPr>
        <w:numId w:val="10"/>
      </w:numPr>
      <w:contextualSpacing/>
    </w:pPr>
  </w:style>
  <w:style w:type="paragraph" w:styleId="ListNumber4">
    <w:name w:val="List Number 4"/>
    <w:basedOn w:val="Normal"/>
    <w:uiPriority w:val="99"/>
    <w:semiHidden/>
    <w:rsid w:val="00920D86"/>
    <w:pPr>
      <w:numPr>
        <w:numId w:val="11"/>
      </w:numPr>
      <w:contextualSpacing/>
    </w:pPr>
  </w:style>
  <w:style w:type="paragraph" w:styleId="ListNumber5">
    <w:name w:val="List Number 5"/>
    <w:basedOn w:val="Normal"/>
    <w:uiPriority w:val="99"/>
    <w:semiHidden/>
    <w:rsid w:val="00920D86"/>
    <w:pPr>
      <w:numPr>
        <w:numId w:val="12"/>
      </w:numPr>
      <w:contextualSpacing/>
    </w:pPr>
  </w:style>
  <w:style w:type="paragraph" w:styleId="ListParagraph">
    <w:name w:val="List Paragraph"/>
    <w:aliases w:val="Heading1,body 2,List Paragraph1,Header bold,heading 7,List Paragraph11,bullets,Arial,Normal bullet 2,Forth level,List_Paragraph,Multilevel para_II,Listă colorată - Accentuare 11,Bullet,Citation List,Bullet line,Lista bullet,EU,lp1,Lista 1"/>
    <w:basedOn w:val="Normal"/>
    <w:link w:val="ListParagraphChar"/>
    <w:qFormat/>
    <w:rsid w:val="00920D86"/>
    <w:pPr>
      <w:ind w:left="720"/>
      <w:contextualSpacing/>
    </w:pPr>
  </w:style>
  <w:style w:type="table" w:styleId="ListTable1Light">
    <w:name w:val="List Table 1 Light"/>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1C78F4" w:themeColor="accent1" w:themeTint="99"/>
        </w:tcBorders>
      </w:tcPr>
    </w:tblStylePr>
    <w:tblStylePr w:type="lastRow">
      <w:rPr>
        <w:b/>
        <w:bCs/>
      </w:rPr>
      <w:tblPr/>
      <w:tcPr>
        <w:tcBorders>
          <w:top w:val="sing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1Light-Accent2">
    <w:name w:val="List Table 1 Light Accent 2"/>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35D69C" w:themeColor="accent2" w:themeTint="99"/>
        </w:tcBorders>
      </w:tcPr>
    </w:tblStylePr>
    <w:tblStylePr w:type="lastRow">
      <w:rPr>
        <w:b/>
        <w:bCs/>
      </w:rPr>
      <w:tblPr/>
      <w:tcPr>
        <w:tcBorders>
          <w:top w:val="sing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1Light-Accent3">
    <w:name w:val="List Table 1 Light Accent 3"/>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CDE2BF" w:themeColor="accent3" w:themeTint="99"/>
        </w:tcBorders>
      </w:tcPr>
    </w:tblStylePr>
    <w:tblStylePr w:type="lastRow">
      <w:rPr>
        <w:b/>
        <w:bCs/>
      </w:rPr>
      <w:tblPr/>
      <w:tcPr>
        <w:tcBorders>
          <w:top w:val="sing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1Light-Accent4">
    <w:name w:val="List Table 1 Light Accent 4"/>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BD6298" w:themeColor="accent4" w:themeTint="99"/>
        </w:tcBorders>
      </w:tcPr>
    </w:tblStylePr>
    <w:tblStylePr w:type="lastRow">
      <w:rPr>
        <w:b/>
        <w:bCs/>
      </w:rPr>
      <w:tblPr/>
      <w:tcPr>
        <w:tcBorders>
          <w:top w:val="sing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1Light-Accent5">
    <w:name w:val="List Table 1 Light Accent 5"/>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FFB799" w:themeColor="accent5" w:themeTint="99"/>
        </w:tcBorders>
      </w:tcPr>
    </w:tblStylePr>
    <w:tblStylePr w:type="lastRow">
      <w:rPr>
        <w:b/>
        <w:bCs/>
      </w:rPr>
      <w:tblPr/>
      <w:tcPr>
        <w:tcBorders>
          <w:top w:val="sing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1Light-Accent6">
    <w:name w:val="List Table 1 Light Accent 6"/>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EEECE7" w:themeColor="accent6" w:themeTint="99"/>
        </w:tcBorders>
      </w:tcPr>
    </w:tblStylePr>
    <w:tblStylePr w:type="lastRow">
      <w:rPr>
        <w:b/>
        <w:bCs/>
      </w:rPr>
      <w:tblPr/>
      <w:tcPr>
        <w:tcBorders>
          <w:top w:val="sing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2">
    <w:name w:val="List Table 2"/>
    <w:basedOn w:val="TableNormal"/>
    <w:uiPriority w:val="47"/>
    <w:rsid w:val="00920D8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20D86"/>
    <w:pPr>
      <w:spacing w:line="240" w:lineRule="auto"/>
    </w:pPr>
    <w:tblPr>
      <w:tblStyleRowBandSize w:val="1"/>
      <w:tblStyleColBandSize w:val="1"/>
      <w:tblBorders>
        <w:top w:val="single" w:sz="4" w:space="0" w:color="1C78F4" w:themeColor="accent1" w:themeTint="99"/>
        <w:bottom w:val="single" w:sz="4" w:space="0" w:color="1C78F4" w:themeColor="accent1" w:themeTint="99"/>
        <w:insideH w:val="single" w:sz="4" w:space="0" w:color="1C78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2-Accent2">
    <w:name w:val="List Table 2 Accent 2"/>
    <w:basedOn w:val="TableNormal"/>
    <w:uiPriority w:val="47"/>
    <w:rsid w:val="00920D86"/>
    <w:pPr>
      <w:spacing w:line="240" w:lineRule="auto"/>
    </w:pPr>
    <w:tblPr>
      <w:tblStyleRowBandSize w:val="1"/>
      <w:tblStyleColBandSize w:val="1"/>
      <w:tblBorders>
        <w:top w:val="single" w:sz="4" w:space="0" w:color="35D69C" w:themeColor="accent2" w:themeTint="99"/>
        <w:bottom w:val="single" w:sz="4" w:space="0" w:color="35D69C" w:themeColor="accent2" w:themeTint="99"/>
        <w:insideH w:val="single" w:sz="4" w:space="0" w:color="35D69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2-Accent3">
    <w:name w:val="List Table 2 Accent 3"/>
    <w:basedOn w:val="TableNormal"/>
    <w:uiPriority w:val="47"/>
    <w:rsid w:val="00920D86"/>
    <w:pPr>
      <w:spacing w:line="240" w:lineRule="auto"/>
    </w:pPr>
    <w:tblPr>
      <w:tblStyleRowBandSize w:val="1"/>
      <w:tblStyleColBandSize w:val="1"/>
      <w:tblBorders>
        <w:top w:val="single" w:sz="4" w:space="0" w:color="CDE2BF" w:themeColor="accent3" w:themeTint="99"/>
        <w:bottom w:val="single" w:sz="4" w:space="0" w:color="CDE2BF" w:themeColor="accent3" w:themeTint="99"/>
        <w:insideH w:val="single" w:sz="4" w:space="0" w:color="CDE2B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2-Accent4">
    <w:name w:val="List Table 2 Accent 4"/>
    <w:basedOn w:val="TableNormal"/>
    <w:uiPriority w:val="47"/>
    <w:rsid w:val="00920D86"/>
    <w:pPr>
      <w:spacing w:line="240" w:lineRule="auto"/>
    </w:pPr>
    <w:tblPr>
      <w:tblStyleRowBandSize w:val="1"/>
      <w:tblStyleColBandSize w:val="1"/>
      <w:tblBorders>
        <w:top w:val="single" w:sz="4" w:space="0" w:color="BD6298" w:themeColor="accent4" w:themeTint="99"/>
        <w:bottom w:val="single" w:sz="4" w:space="0" w:color="BD6298" w:themeColor="accent4" w:themeTint="99"/>
        <w:insideH w:val="single" w:sz="4" w:space="0" w:color="BD629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2-Accent5">
    <w:name w:val="List Table 2 Accent 5"/>
    <w:basedOn w:val="TableNormal"/>
    <w:uiPriority w:val="47"/>
    <w:rsid w:val="00920D86"/>
    <w:pPr>
      <w:spacing w:line="240" w:lineRule="auto"/>
    </w:pPr>
    <w:tblPr>
      <w:tblStyleRowBandSize w:val="1"/>
      <w:tblStyleColBandSize w:val="1"/>
      <w:tblBorders>
        <w:top w:val="single" w:sz="4" w:space="0" w:color="FFB799" w:themeColor="accent5" w:themeTint="99"/>
        <w:bottom w:val="single" w:sz="4" w:space="0" w:color="FFB799" w:themeColor="accent5" w:themeTint="99"/>
        <w:insideH w:val="single" w:sz="4" w:space="0" w:color="FFB79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2-Accent6">
    <w:name w:val="List Table 2 Accent 6"/>
    <w:basedOn w:val="TableNormal"/>
    <w:uiPriority w:val="47"/>
    <w:rsid w:val="00920D86"/>
    <w:pPr>
      <w:spacing w:line="240" w:lineRule="auto"/>
    </w:pPr>
    <w:tblPr>
      <w:tblStyleRowBandSize w:val="1"/>
      <w:tblStyleColBandSize w:val="1"/>
      <w:tblBorders>
        <w:top w:val="single" w:sz="4" w:space="0" w:color="EEECE7" w:themeColor="accent6" w:themeTint="99"/>
        <w:bottom w:val="single" w:sz="4" w:space="0" w:color="EEECE7" w:themeColor="accent6" w:themeTint="99"/>
        <w:insideH w:val="single" w:sz="4" w:space="0" w:color="EEECE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3">
    <w:name w:val="List Table 3"/>
    <w:basedOn w:val="TableNormal"/>
    <w:uiPriority w:val="48"/>
    <w:rsid w:val="00920D8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20D86"/>
    <w:pPr>
      <w:spacing w:line="240" w:lineRule="auto"/>
    </w:pPr>
    <w:tblPr>
      <w:tblStyleRowBandSize w:val="1"/>
      <w:tblStyleColBandSize w:val="1"/>
      <w:tblBorders>
        <w:top w:val="single" w:sz="4" w:space="0" w:color="05326E" w:themeColor="accent1"/>
        <w:left w:val="single" w:sz="4" w:space="0" w:color="05326E" w:themeColor="accent1"/>
        <w:bottom w:val="single" w:sz="4" w:space="0" w:color="05326E" w:themeColor="accent1"/>
        <w:right w:val="single" w:sz="4" w:space="0" w:color="05326E" w:themeColor="accent1"/>
      </w:tblBorders>
    </w:tblPr>
    <w:tblStylePr w:type="firstRow">
      <w:rPr>
        <w:b/>
        <w:bCs/>
        <w:color w:val="FFFFFF" w:themeColor="background1"/>
      </w:rPr>
      <w:tblPr/>
      <w:tcPr>
        <w:shd w:val="clear" w:color="auto" w:fill="05326E" w:themeFill="accent1"/>
      </w:tcPr>
    </w:tblStylePr>
    <w:tblStylePr w:type="lastRow">
      <w:rPr>
        <w:b/>
        <w:bCs/>
      </w:rPr>
      <w:tblPr/>
      <w:tcPr>
        <w:tcBorders>
          <w:top w:val="double" w:sz="4" w:space="0" w:color="05326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326E" w:themeColor="accent1"/>
          <w:right w:val="single" w:sz="4" w:space="0" w:color="05326E" w:themeColor="accent1"/>
        </w:tcBorders>
      </w:tcPr>
    </w:tblStylePr>
    <w:tblStylePr w:type="band1Horz">
      <w:tblPr/>
      <w:tcPr>
        <w:tcBorders>
          <w:top w:val="single" w:sz="4" w:space="0" w:color="05326E" w:themeColor="accent1"/>
          <w:bottom w:val="single" w:sz="4" w:space="0" w:color="05326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326E" w:themeColor="accent1"/>
          <w:left w:val="nil"/>
        </w:tcBorders>
      </w:tcPr>
    </w:tblStylePr>
    <w:tblStylePr w:type="swCell">
      <w:tblPr/>
      <w:tcPr>
        <w:tcBorders>
          <w:top w:val="double" w:sz="4" w:space="0" w:color="05326E" w:themeColor="accent1"/>
          <w:right w:val="nil"/>
        </w:tcBorders>
      </w:tcPr>
    </w:tblStylePr>
  </w:style>
  <w:style w:type="table" w:styleId="ListTable3-Accent2">
    <w:name w:val="List Table 3 Accent 2"/>
    <w:basedOn w:val="TableNormal"/>
    <w:uiPriority w:val="48"/>
    <w:rsid w:val="00920D86"/>
    <w:pPr>
      <w:spacing w:line="240" w:lineRule="auto"/>
    </w:pPr>
    <w:tblPr>
      <w:tblStyleRowBandSize w:val="1"/>
      <w:tblStyleColBandSize w:val="1"/>
      <w:tblBorders>
        <w:top w:val="single" w:sz="4" w:space="0" w:color="125A40" w:themeColor="accent2"/>
        <w:left w:val="single" w:sz="4" w:space="0" w:color="125A40" w:themeColor="accent2"/>
        <w:bottom w:val="single" w:sz="4" w:space="0" w:color="125A40" w:themeColor="accent2"/>
        <w:right w:val="single" w:sz="4" w:space="0" w:color="125A40" w:themeColor="accent2"/>
      </w:tblBorders>
    </w:tblPr>
    <w:tblStylePr w:type="firstRow">
      <w:rPr>
        <w:b/>
        <w:bCs/>
        <w:color w:val="FFFFFF" w:themeColor="background1"/>
      </w:rPr>
      <w:tblPr/>
      <w:tcPr>
        <w:shd w:val="clear" w:color="auto" w:fill="125A40" w:themeFill="accent2"/>
      </w:tcPr>
    </w:tblStylePr>
    <w:tblStylePr w:type="lastRow">
      <w:rPr>
        <w:b/>
        <w:bCs/>
      </w:rPr>
      <w:tblPr/>
      <w:tcPr>
        <w:tcBorders>
          <w:top w:val="double" w:sz="4" w:space="0" w:color="125A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25A40" w:themeColor="accent2"/>
          <w:right w:val="single" w:sz="4" w:space="0" w:color="125A40" w:themeColor="accent2"/>
        </w:tcBorders>
      </w:tcPr>
    </w:tblStylePr>
    <w:tblStylePr w:type="band1Horz">
      <w:tblPr/>
      <w:tcPr>
        <w:tcBorders>
          <w:top w:val="single" w:sz="4" w:space="0" w:color="125A40" w:themeColor="accent2"/>
          <w:bottom w:val="single" w:sz="4" w:space="0" w:color="125A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25A40" w:themeColor="accent2"/>
          <w:left w:val="nil"/>
        </w:tcBorders>
      </w:tcPr>
    </w:tblStylePr>
    <w:tblStylePr w:type="swCell">
      <w:tblPr/>
      <w:tcPr>
        <w:tcBorders>
          <w:top w:val="double" w:sz="4" w:space="0" w:color="125A40" w:themeColor="accent2"/>
          <w:right w:val="nil"/>
        </w:tcBorders>
      </w:tcPr>
    </w:tblStylePr>
  </w:style>
  <w:style w:type="table" w:styleId="ListTable3-Accent3">
    <w:name w:val="List Table 3 Accent 3"/>
    <w:basedOn w:val="TableNormal"/>
    <w:uiPriority w:val="48"/>
    <w:rsid w:val="00920D86"/>
    <w:pPr>
      <w:spacing w:line="240" w:lineRule="auto"/>
    </w:pPr>
    <w:tblPr>
      <w:tblStyleRowBandSize w:val="1"/>
      <w:tblStyleColBandSize w:val="1"/>
      <w:tblBorders>
        <w:top w:val="single" w:sz="4" w:space="0" w:color="ADD095" w:themeColor="accent3"/>
        <w:left w:val="single" w:sz="4" w:space="0" w:color="ADD095" w:themeColor="accent3"/>
        <w:bottom w:val="single" w:sz="4" w:space="0" w:color="ADD095" w:themeColor="accent3"/>
        <w:right w:val="single" w:sz="4" w:space="0" w:color="ADD095" w:themeColor="accent3"/>
      </w:tblBorders>
    </w:tblPr>
    <w:tblStylePr w:type="firstRow">
      <w:rPr>
        <w:b/>
        <w:bCs/>
        <w:color w:val="FFFFFF" w:themeColor="background1"/>
      </w:rPr>
      <w:tblPr/>
      <w:tcPr>
        <w:shd w:val="clear" w:color="auto" w:fill="ADD095" w:themeFill="accent3"/>
      </w:tcPr>
    </w:tblStylePr>
    <w:tblStylePr w:type="lastRow">
      <w:rPr>
        <w:b/>
        <w:bCs/>
      </w:rPr>
      <w:tblPr/>
      <w:tcPr>
        <w:tcBorders>
          <w:top w:val="double" w:sz="4" w:space="0" w:color="ADD09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095" w:themeColor="accent3"/>
          <w:right w:val="single" w:sz="4" w:space="0" w:color="ADD095" w:themeColor="accent3"/>
        </w:tcBorders>
      </w:tcPr>
    </w:tblStylePr>
    <w:tblStylePr w:type="band1Horz">
      <w:tblPr/>
      <w:tcPr>
        <w:tcBorders>
          <w:top w:val="single" w:sz="4" w:space="0" w:color="ADD095" w:themeColor="accent3"/>
          <w:bottom w:val="single" w:sz="4" w:space="0" w:color="ADD09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095" w:themeColor="accent3"/>
          <w:left w:val="nil"/>
        </w:tcBorders>
      </w:tcPr>
    </w:tblStylePr>
    <w:tblStylePr w:type="swCell">
      <w:tblPr/>
      <w:tcPr>
        <w:tcBorders>
          <w:top w:val="double" w:sz="4" w:space="0" w:color="ADD095" w:themeColor="accent3"/>
          <w:right w:val="nil"/>
        </w:tcBorders>
      </w:tcPr>
    </w:tblStylePr>
  </w:style>
  <w:style w:type="table" w:styleId="ListTable3-Accent4">
    <w:name w:val="List Table 3 Accent 4"/>
    <w:basedOn w:val="TableNormal"/>
    <w:uiPriority w:val="48"/>
    <w:rsid w:val="00920D86"/>
    <w:pPr>
      <w:spacing w:line="240" w:lineRule="auto"/>
    </w:pPr>
    <w:tblPr>
      <w:tblStyleRowBandSize w:val="1"/>
      <w:tblStyleColBandSize w:val="1"/>
      <w:tblBorders>
        <w:top w:val="single" w:sz="4" w:space="0" w:color="62294B" w:themeColor="accent4"/>
        <w:left w:val="single" w:sz="4" w:space="0" w:color="62294B" w:themeColor="accent4"/>
        <w:bottom w:val="single" w:sz="4" w:space="0" w:color="62294B" w:themeColor="accent4"/>
        <w:right w:val="single" w:sz="4" w:space="0" w:color="62294B" w:themeColor="accent4"/>
      </w:tblBorders>
    </w:tblPr>
    <w:tblStylePr w:type="firstRow">
      <w:rPr>
        <w:b/>
        <w:bCs/>
        <w:color w:val="FFFFFF" w:themeColor="background1"/>
      </w:rPr>
      <w:tblPr/>
      <w:tcPr>
        <w:shd w:val="clear" w:color="auto" w:fill="62294B" w:themeFill="accent4"/>
      </w:tcPr>
    </w:tblStylePr>
    <w:tblStylePr w:type="lastRow">
      <w:rPr>
        <w:b/>
        <w:bCs/>
      </w:rPr>
      <w:tblPr/>
      <w:tcPr>
        <w:tcBorders>
          <w:top w:val="double" w:sz="4" w:space="0" w:color="62294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294B" w:themeColor="accent4"/>
          <w:right w:val="single" w:sz="4" w:space="0" w:color="62294B" w:themeColor="accent4"/>
        </w:tcBorders>
      </w:tcPr>
    </w:tblStylePr>
    <w:tblStylePr w:type="band1Horz">
      <w:tblPr/>
      <w:tcPr>
        <w:tcBorders>
          <w:top w:val="single" w:sz="4" w:space="0" w:color="62294B" w:themeColor="accent4"/>
          <w:bottom w:val="single" w:sz="4" w:space="0" w:color="62294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294B" w:themeColor="accent4"/>
          <w:left w:val="nil"/>
        </w:tcBorders>
      </w:tcPr>
    </w:tblStylePr>
    <w:tblStylePr w:type="swCell">
      <w:tblPr/>
      <w:tcPr>
        <w:tcBorders>
          <w:top w:val="double" w:sz="4" w:space="0" w:color="62294B" w:themeColor="accent4"/>
          <w:right w:val="nil"/>
        </w:tcBorders>
      </w:tcPr>
    </w:tblStylePr>
  </w:style>
  <w:style w:type="table" w:styleId="ListTable3-Accent5">
    <w:name w:val="List Table 3 Accent 5"/>
    <w:basedOn w:val="TableNormal"/>
    <w:uiPriority w:val="48"/>
    <w:rsid w:val="00920D86"/>
    <w:pPr>
      <w:spacing w:line="240" w:lineRule="auto"/>
    </w:pPr>
    <w:tblPr>
      <w:tblStyleRowBandSize w:val="1"/>
      <w:tblStyleColBandSize w:val="1"/>
      <w:tblBorders>
        <w:top w:val="single" w:sz="4" w:space="0" w:color="FF8855" w:themeColor="accent5"/>
        <w:left w:val="single" w:sz="4" w:space="0" w:color="FF8855" w:themeColor="accent5"/>
        <w:bottom w:val="single" w:sz="4" w:space="0" w:color="FF8855" w:themeColor="accent5"/>
        <w:right w:val="single" w:sz="4" w:space="0" w:color="FF8855" w:themeColor="accent5"/>
      </w:tblBorders>
    </w:tblPr>
    <w:tblStylePr w:type="firstRow">
      <w:rPr>
        <w:b/>
        <w:bCs/>
        <w:color w:val="FFFFFF" w:themeColor="background1"/>
      </w:rPr>
      <w:tblPr/>
      <w:tcPr>
        <w:shd w:val="clear" w:color="auto" w:fill="FF8855" w:themeFill="accent5"/>
      </w:tcPr>
    </w:tblStylePr>
    <w:tblStylePr w:type="lastRow">
      <w:rPr>
        <w:b/>
        <w:bCs/>
      </w:rPr>
      <w:tblPr/>
      <w:tcPr>
        <w:tcBorders>
          <w:top w:val="double" w:sz="4" w:space="0" w:color="FF885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855" w:themeColor="accent5"/>
          <w:right w:val="single" w:sz="4" w:space="0" w:color="FF8855" w:themeColor="accent5"/>
        </w:tcBorders>
      </w:tcPr>
    </w:tblStylePr>
    <w:tblStylePr w:type="band1Horz">
      <w:tblPr/>
      <w:tcPr>
        <w:tcBorders>
          <w:top w:val="single" w:sz="4" w:space="0" w:color="FF8855" w:themeColor="accent5"/>
          <w:bottom w:val="single" w:sz="4" w:space="0" w:color="FF885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855" w:themeColor="accent5"/>
          <w:left w:val="nil"/>
        </w:tcBorders>
      </w:tcPr>
    </w:tblStylePr>
    <w:tblStylePr w:type="swCell">
      <w:tblPr/>
      <w:tcPr>
        <w:tcBorders>
          <w:top w:val="double" w:sz="4" w:space="0" w:color="FF8855" w:themeColor="accent5"/>
          <w:right w:val="nil"/>
        </w:tcBorders>
      </w:tcPr>
    </w:tblStylePr>
  </w:style>
  <w:style w:type="table" w:styleId="ListTable3-Accent6">
    <w:name w:val="List Table 3 Accent 6"/>
    <w:basedOn w:val="TableNormal"/>
    <w:uiPriority w:val="48"/>
    <w:rsid w:val="00920D86"/>
    <w:pPr>
      <w:spacing w:line="240" w:lineRule="auto"/>
    </w:pPr>
    <w:tblPr>
      <w:tblStyleRowBandSize w:val="1"/>
      <w:tblStyleColBandSize w:val="1"/>
      <w:tblBorders>
        <w:top w:val="single" w:sz="4" w:space="0" w:color="E3E1D8" w:themeColor="accent6"/>
        <w:left w:val="single" w:sz="4" w:space="0" w:color="E3E1D8" w:themeColor="accent6"/>
        <w:bottom w:val="single" w:sz="4" w:space="0" w:color="E3E1D8" w:themeColor="accent6"/>
        <w:right w:val="single" w:sz="4" w:space="0" w:color="E3E1D8" w:themeColor="accent6"/>
      </w:tblBorders>
    </w:tblPr>
    <w:tblStylePr w:type="firstRow">
      <w:rPr>
        <w:b/>
        <w:bCs/>
        <w:color w:val="FFFFFF" w:themeColor="background1"/>
      </w:rPr>
      <w:tblPr/>
      <w:tcPr>
        <w:shd w:val="clear" w:color="auto" w:fill="E3E1D8" w:themeFill="accent6"/>
      </w:tcPr>
    </w:tblStylePr>
    <w:tblStylePr w:type="lastRow">
      <w:rPr>
        <w:b/>
        <w:bCs/>
      </w:rPr>
      <w:tblPr/>
      <w:tcPr>
        <w:tcBorders>
          <w:top w:val="double" w:sz="4" w:space="0" w:color="E3E1D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E1D8" w:themeColor="accent6"/>
          <w:right w:val="single" w:sz="4" w:space="0" w:color="E3E1D8" w:themeColor="accent6"/>
        </w:tcBorders>
      </w:tcPr>
    </w:tblStylePr>
    <w:tblStylePr w:type="band1Horz">
      <w:tblPr/>
      <w:tcPr>
        <w:tcBorders>
          <w:top w:val="single" w:sz="4" w:space="0" w:color="E3E1D8" w:themeColor="accent6"/>
          <w:bottom w:val="single" w:sz="4" w:space="0" w:color="E3E1D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E1D8" w:themeColor="accent6"/>
          <w:left w:val="nil"/>
        </w:tcBorders>
      </w:tcPr>
    </w:tblStylePr>
    <w:tblStylePr w:type="swCell">
      <w:tblPr/>
      <w:tcPr>
        <w:tcBorders>
          <w:top w:val="double" w:sz="4" w:space="0" w:color="E3E1D8" w:themeColor="accent6"/>
          <w:right w:val="nil"/>
        </w:tcBorders>
      </w:tcPr>
    </w:tblStylePr>
  </w:style>
  <w:style w:type="table" w:styleId="ListTable4">
    <w:name w:val="List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tcBorders>
        <w:shd w:val="clear" w:color="auto" w:fill="05326E" w:themeFill="accent1"/>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4-Accent2">
    <w:name w:val="List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tcBorders>
        <w:shd w:val="clear" w:color="auto" w:fill="125A40" w:themeFill="accent2"/>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4-Accent3">
    <w:name w:val="List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tcBorders>
        <w:shd w:val="clear" w:color="auto" w:fill="ADD095" w:themeFill="accent3"/>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4-Accent4">
    <w:name w:val="List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tcBorders>
        <w:shd w:val="clear" w:color="auto" w:fill="62294B" w:themeFill="accent4"/>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4-Accent5">
    <w:name w:val="List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tcBorders>
        <w:shd w:val="clear" w:color="auto" w:fill="FF8855" w:themeFill="accent5"/>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4-Accent6">
    <w:name w:val="List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tcBorders>
        <w:shd w:val="clear" w:color="auto" w:fill="E3E1D8" w:themeFill="accent6"/>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5Dark">
    <w:name w:val="List Table 5 Dark"/>
    <w:basedOn w:val="TableNormal"/>
    <w:uiPriority w:val="50"/>
    <w:rsid w:val="00920D8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20D86"/>
    <w:pPr>
      <w:spacing w:line="240" w:lineRule="auto"/>
    </w:pPr>
    <w:rPr>
      <w:color w:val="FFFFFF" w:themeColor="background1"/>
    </w:rPr>
    <w:tblPr>
      <w:tblStyleRowBandSize w:val="1"/>
      <w:tblStyleColBandSize w:val="1"/>
      <w:tblBorders>
        <w:top w:val="single" w:sz="24" w:space="0" w:color="05326E" w:themeColor="accent1"/>
        <w:left w:val="single" w:sz="24" w:space="0" w:color="05326E" w:themeColor="accent1"/>
        <w:bottom w:val="single" w:sz="24" w:space="0" w:color="05326E" w:themeColor="accent1"/>
        <w:right w:val="single" w:sz="24" w:space="0" w:color="05326E" w:themeColor="accent1"/>
      </w:tblBorders>
    </w:tblPr>
    <w:tcPr>
      <w:shd w:val="clear" w:color="auto" w:fill="05326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20D86"/>
    <w:pPr>
      <w:spacing w:line="240" w:lineRule="auto"/>
    </w:pPr>
    <w:rPr>
      <w:color w:val="FFFFFF" w:themeColor="background1"/>
    </w:rPr>
    <w:tblPr>
      <w:tblStyleRowBandSize w:val="1"/>
      <w:tblStyleColBandSize w:val="1"/>
      <w:tblBorders>
        <w:top w:val="single" w:sz="24" w:space="0" w:color="125A40" w:themeColor="accent2"/>
        <w:left w:val="single" w:sz="24" w:space="0" w:color="125A40" w:themeColor="accent2"/>
        <w:bottom w:val="single" w:sz="24" w:space="0" w:color="125A40" w:themeColor="accent2"/>
        <w:right w:val="single" w:sz="24" w:space="0" w:color="125A40" w:themeColor="accent2"/>
      </w:tblBorders>
    </w:tblPr>
    <w:tcPr>
      <w:shd w:val="clear" w:color="auto" w:fill="125A4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20D86"/>
    <w:pPr>
      <w:spacing w:line="240" w:lineRule="auto"/>
    </w:pPr>
    <w:rPr>
      <w:color w:val="FFFFFF" w:themeColor="background1"/>
    </w:rPr>
    <w:tblPr>
      <w:tblStyleRowBandSize w:val="1"/>
      <w:tblStyleColBandSize w:val="1"/>
      <w:tblBorders>
        <w:top w:val="single" w:sz="24" w:space="0" w:color="ADD095" w:themeColor="accent3"/>
        <w:left w:val="single" w:sz="24" w:space="0" w:color="ADD095" w:themeColor="accent3"/>
        <w:bottom w:val="single" w:sz="24" w:space="0" w:color="ADD095" w:themeColor="accent3"/>
        <w:right w:val="single" w:sz="24" w:space="0" w:color="ADD095" w:themeColor="accent3"/>
      </w:tblBorders>
    </w:tblPr>
    <w:tcPr>
      <w:shd w:val="clear" w:color="auto" w:fill="ADD09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20D86"/>
    <w:pPr>
      <w:spacing w:line="240" w:lineRule="auto"/>
    </w:pPr>
    <w:rPr>
      <w:color w:val="FFFFFF" w:themeColor="background1"/>
    </w:rPr>
    <w:tblPr>
      <w:tblStyleRowBandSize w:val="1"/>
      <w:tblStyleColBandSize w:val="1"/>
      <w:tblBorders>
        <w:top w:val="single" w:sz="24" w:space="0" w:color="62294B" w:themeColor="accent4"/>
        <w:left w:val="single" w:sz="24" w:space="0" w:color="62294B" w:themeColor="accent4"/>
        <w:bottom w:val="single" w:sz="24" w:space="0" w:color="62294B" w:themeColor="accent4"/>
        <w:right w:val="single" w:sz="24" w:space="0" w:color="62294B" w:themeColor="accent4"/>
      </w:tblBorders>
    </w:tblPr>
    <w:tcPr>
      <w:shd w:val="clear" w:color="auto" w:fill="62294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20D86"/>
    <w:pPr>
      <w:spacing w:line="240" w:lineRule="auto"/>
    </w:pPr>
    <w:rPr>
      <w:color w:val="FFFFFF" w:themeColor="background1"/>
    </w:rPr>
    <w:tblPr>
      <w:tblStyleRowBandSize w:val="1"/>
      <w:tblStyleColBandSize w:val="1"/>
      <w:tblBorders>
        <w:top w:val="single" w:sz="24" w:space="0" w:color="FF8855" w:themeColor="accent5"/>
        <w:left w:val="single" w:sz="24" w:space="0" w:color="FF8855" w:themeColor="accent5"/>
        <w:bottom w:val="single" w:sz="24" w:space="0" w:color="FF8855" w:themeColor="accent5"/>
        <w:right w:val="single" w:sz="24" w:space="0" w:color="FF8855" w:themeColor="accent5"/>
      </w:tblBorders>
    </w:tblPr>
    <w:tcPr>
      <w:shd w:val="clear" w:color="auto" w:fill="FF885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20D86"/>
    <w:pPr>
      <w:spacing w:line="240" w:lineRule="auto"/>
    </w:pPr>
    <w:rPr>
      <w:color w:val="FFFFFF" w:themeColor="background1"/>
    </w:rPr>
    <w:tblPr>
      <w:tblStyleRowBandSize w:val="1"/>
      <w:tblStyleColBandSize w:val="1"/>
      <w:tblBorders>
        <w:top w:val="single" w:sz="24" w:space="0" w:color="E3E1D8" w:themeColor="accent6"/>
        <w:left w:val="single" w:sz="24" w:space="0" w:color="E3E1D8" w:themeColor="accent6"/>
        <w:bottom w:val="single" w:sz="24" w:space="0" w:color="E3E1D8" w:themeColor="accent6"/>
        <w:right w:val="single" w:sz="24" w:space="0" w:color="E3E1D8" w:themeColor="accent6"/>
      </w:tblBorders>
    </w:tblPr>
    <w:tcPr>
      <w:shd w:val="clear" w:color="auto" w:fill="E3E1D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20D8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05326E" w:themeColor="accent1"/>
        <w:bottom w:val="single" w:sz="4" w:space="0" w:color="05326E" w:themeColor="accent1"/>
      </w:tblBorders>
    </w:tblPr>
    <w:tblStylePr w:type="firstRow">
      <w:rPr>
        <w:b/>
        <w:bCs/>
      </w:rPr>
      <w:tblPr/>
      <w:tcPr>
        <w:tcBorders>
          <w:bottom w:val="single" w:sz="4" w:space="0" w:color="05326E" w:themeColor="accent1"/>
        </w:tcBorders>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6Colorful-Accent2">
    <w:name w:val="List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125A40" w:themeColor="accent2"/>
        <w:bottom w:val="single" w:sz="4" w:space="0" w:color="125A40" w:themeColor="accent2"/>
      </w:tblBorders>
    </w:tblPr>
    <w:tblStylePr w:type="firstRow">
      <w:rPr>
        <w:b/>
        <w:bCs/>
      </w:rPr>
      <w:tblPr/>
      <w:tcPr>
        <w:tcBorders>
          <w:bottom w:val="single" w:sz="4" w:space="0" w:color="125A40" w:themeColor="accent2"/>
        </w:tcBorders>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6Colorful-Accent3">
    <w:name w:val="List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ADD095" w:themeColor="accent3"/>
        <w:bottom w:val="single" w:sz="4" w:space="0" w:color="ADD095" w:themeColor="accent3"/>
      </w:tblBorders>
    </w:tblPr>
    <w:tblStylePr w:type="firstRow">
      <w:rPr>
        <w:b/>
        <w:bCs/>
      </w:rPr>
      <w:tblPr/>
      <w:tcPr>
        <w:tcBorders>
          <w:bottom w:val="single" w:sz="4" w:space="0" w:color="ADD095" w:themeColor="accent3"/>
        </w:tcBorders>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6Colorful-Accent4">
    <w:name w:val="List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62294B" w:themeColor="accent4"/>
        <w:bottom w:val="single" w:sz="4" w:space="0" w:color="62294B" w:themeColor="accent4"/>
      </w:tblBorders>
    </w:tblPr>
    <w:tblStylePr w:type="firstRow">
      <w:rPr>
        <w:b/>
        <w:bCs/>
      </w:rPr>
      <w:tblPr/>
      <w:tcPr>
        <w:tcBorders>
          <w:bottom w:val="single" w:sz="4" w:space="0" w:color="62294B" w:themeColor="accent4"/>
        </w:tcBorders>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6Colorful-Accent5">
    <w:name w:val="List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8855" w:themeColor="accent5"/>
        <w:bottom w:val="single" w:sz="4" w:space="0" w:color="FF8855" w:themeColor="accent5"/>
      </w:tblBorders>
    </w:tblPr>
    <w:tblStylePr w:type="firstRow">
      <w:rPr>
        <w:b/>
        <w:bCs/>
      </w:rPr>
      <w:tblPr/>
      <w:tcPr>
        <w:tcBorders>
          <w:bottom w:val="single" w:sz="4" w:space="0" w:color="FF8855" w:themeColor="accent5"/>
        </w:tcBorders>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6Colorful-Accent6">
    <w:name w:val="List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3E1D8" w:themeColor="accent6"/>
        <w:bottom w:val="single" w:sz="4" w:space="0" w:color="E3E1D8" w:themeColor="accent6"/>
      </w:tblBorders>
    </w:tblPr>
    <w:tblStylePr w:type="firstRow">
      <w:rPr>
        <w:b/>
        <w:bCs/>
      </w:rPr>
      <w:tblPr/>
      <w:tcPr>
        <w:tcBorders>
          <w:bottom w:val="single" w:sz="4" w:space="0" w:color="E3E1D8" w:themeColor="accent6"/>
        </w:tcBorders>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7Colorful">
    <w:name w:val="List Table 7 Colorful"/>
    <w:basedOn w:val="TableNormal"/>
    <w:uiPriority w:val="52"/>
    <w:rsid w:val="00920D8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20D86"/>
    <w:pPr>
      <w:spacing w:line="240" w:lineRule="auto"/>
    </w:pPr>
    <w:rPr>
      <w:color w:val="03255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5326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5326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5326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5326E" w:themeColor="accent1"/>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20D86"/>
    <w:pPr>
      <w:spacing w:line="240" w:lineRule="auto"/>
    </w:pPr>
    <w:rPr>
      <w:color w:val="0D432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25A4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25A4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25A4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25A40" w:themeColor="accent2"/>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20D86"/>
    <w:pPr>
      <w:spacing w:line="240" w:lineRule="auto"/>
    </w:pPr>
    <w:rPr>
      <w:color w:val="7CB45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09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09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09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095" w:themeColor="accent3"/>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20D86"/>
    <w:pPr>
      <w:spacing w:line="240" w:lineRule="auto"/>
    </w:pPr>
    <w:rPr>
      <w:color w:val="491E3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294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294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294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294B" w:themeColor="accent4"/>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20D86"/>
    <w:pPr>
      <w:spacing w:line="240" w:lineRule="auto"/>
    </w:pPr>
    <w:rPr>
      <w:color w:val="FE4B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85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85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85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855" w:themeColor="accent5"/>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20D86"/>
    <w:pPr>
      <w:spacing w:line="240" w:lineRule="auto"/>
    </w:pPr>
    <w:rPr>
      <w:color w:val="B4AF9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E1D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E1D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E1D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E1D8" w:themeColor="accent6"/>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20D86"/>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920D86"/>
    <w:rPr>
      <w:rFonts w:ascii="Consolas" w:hAnsi="Consolas"/>
      <w:sz w:val="20"/>
      <w:szCs w:val="20"/>
      <w:lang w:val="en-US"/>
    </w:rPr>
  </w:style>
  <w:style w:type="table" w:styleId="MediumGrid1">
    <w:name w:val="Medium Grid 1"/>
    <w:basedOn w:val="TableNormal"/>
    <w:uiPriority w:val="67"/>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insideV w:val="single" w:sz="8" w:space="0" w:color="095CCC" w:themeColor="accent1" w:themeTint="BF"/>
      </w:tblBorders>
    </w:tblPr>
    <w:tcPr>
      <w:shd w:val="clear" w:color="auto" w:fill="A1C7FA" w:themeFill="accent1" w:themeFillTint="3F"/>
    </w:tcPr>
    <w:tblStylePr w:type="firstRow">
      <w:rPr>
        <w:b/>
        <w:bCs/>
      </w:rPr>
    </w:tblStylePr>
    <w:tblStylePr w:type="lastRow">
      <w:rPr>
        <w:b/>
        <w:bCs/>
      </w:rPr>
      <w:tblPr/>
      <w:tcPr>
        <w:tcBorders>
          <w:top w:val="single" w:sz="18" w:space="0" w:color="095CCC" w:themeColor="accent1" w:themeTint="BF"/>
        </w:tcBorders>
      </w:tcPr>
    </w:tblStylePr>
    <w:tblStylePr w:type="firstCol">
      <w:rPr>
        <w:b/>
        <w:bCs/>
      </w:rPr>
    </w:tblStylePr>
    <w:tblStylePr w:type="lastCol">
      <w:rPr>
        <w:b/>
        <w:bCs/>
      </w:r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MediumGrid1-Accent2">
    <w:name w:val="Medium Grid 1 Accent 2"/>
    <w:basedOn w:val="TableNormal"/>
    <w:uiPriority w:val="67"/>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insideV w:val="single" w:sz="8" w:space="0" w:color="22AD7B" w:themeColor="accent2" w:themeTint="BF"/>
      </w:tblBorders>
    </w:tblPr>
    <w:tcPr>
      <w:shd w:val="clear" w:color="auto" w:fill="ACEED6" w:themeFill="accent2" w:themeFillTint="3F"/>
    </w:tcPr>
    <w:tblStylePr w:type="firstRow">
      <w:rPr>
        <w:b/>
        <w:bCs/>
      </w:rPr>
    </w:tblStylePr>
    <w:tblStylePr w:type="lastRow">
      <w:rPr>
        <w:b/>
        <w:bCs/>
      </w:rPr>
      <w:tblPr/>
      <w:tcPr>
        <w:tcBorders>
          <w:top w:val="single" w:sz="18" w:space="0" w:color="22AD7B" w:themeColor="accent2" w:themeTint="BF"/>
        </w:tcBorders>
      </w:tcPr>
    </w:tblStylePr>
    <w:tblStylePr w:type="firstCol">
      <w:rPr>
        <w:b/>
        <w:bCs/>
      </w:rPr>
    </w:tblStylePr>
    <w:tblStylePr w:type="lastCol">
      <w:rPr>
        <w:b/>
        <w:bCs/>
      </w:r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MediumGrid1-Accent3">
    <w:name w:val="Medium Grid 1 Accent 3"/>
    <w:basedOn w:val="TableNormal"/>
    <w:uiPriority w:val="67"/>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insideV w:val="single" w:sz="8" w:space="0" w:color="C1DBAF" w:themeColor="accent3" w:themeTint="BF"/>
      </w:tblBorders>
    </w:tblPr>
    <w:tcPr>
      <w:shd w:val="clear" w:color="auto" w:fill="EAF3E4" w:themeFill="accent3" w:themeFillTint="3F"/>
    </w:tcPr>
    <w:tblStylePr w:type="firstRow">
      <w:rPr>
        <w:b/>
        <w:bCs/>
      </w:rPr>
    </w:tblStylePr>
    <w:tblStylePr w:type="lastRow">
      <w:rPr>
        <w:b/>
        <w:bCs/>
      </w:rPr>
      <w:tblPr/>
      <w:tcPr>
        <w:tcBorders>
          <w:top w:val="single" w:sz="18" w:space="0" w:color="C1DBAF" w:themeColor="accent3" w:themeTint="BF"/>
        </w:tcBorders>
      </w:tcPr>
    </w:tblStylePr>
    <w:tblStylePr w:type="firstCol">
      <w:rPr>
        <w:b/>
        <w:bCs/>
      </w:rPr>
    </w:tblStylePr>
    <w:tblStylePr w:type="lastCol">
      <w:rPr>
        <w:b/>
        <w:bCs/>
      </w:r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MediumGrid1-Accent4">
    <w:name w:val="Medium Grid 1 Accent 4"/>
    <w:basedOn w:val="TableNormal"/>
    <w:uiPriority w:val="67"/>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insideV w:val="single" w:sz="8" w:space="0" w:color="A3447D" w:themeColor="accent4" w:themeTint="BF"/>
      </w:tblBorders>
    </w:tblPr>
    <w:tcPr>
      <w:shd w:val="clear" w:color="auto" w:fill="E4BED4" w:themeFill="accent4" w:themeFillTint="3F"/>
    </w:tcPr>
    <w:tblStylePr w:type="firstRow">
      <w:rPr>
        <w:b/>
        <w:bCs/>
      </w:rPr>
    </w:tblStylePr>
    <w:tblStylePr w:type="lastRow">
      <w:rPr>
        <w:b/>
        <w:bCs/>
      </w:rPr>
      <w:tblPr/>
      <w:tcPr>
        <w:tcBorders>
          <w:top w:val="single" w:sz="18" w:space="0" w:color="A3447D" w:themeColor="accent4" w:themeTint="BF"/>
        </w:tcBorders>
      </w:tcPr>
    </w:tblStylePr>
    <w:tblStylePr w:type="firstCol">
      <w:rPr>
        <w:b/>
        <w:bCs/>
      </w:rPr>
    </w:tblStylePr>
    <w:tblStylePr w:type="lastCol">
      <w:rPr>
        <w:b/>
        <w:bCs/>
      </w:r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MediumGrid1-Accent5">
    <w:name w:val="Medium Grid 1 Accent 5"/>
    <w:basedOn w:val="TableNormal"/>
    <w:uiPriority w:val="67"/>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insideV w:val="single" w:sz="8" w:space="0" w:color="FFA57F" w:themeColor="accent5" w:themeTint="BF"/>
      </w:tblBorders>
    </w:tblPr>
    <w:tcPr>
      <w:shd w:val="clear" w:color="auto" w:fill="FFE1D5" w:themeFill="accent5" w:themeFillTint="3F"/>
    </w:tcPr>
    <w:tblStylePr w:type="firstRow">
      <w:rPr>
        <w:b/>
        <w:bCs/>
      </w:rPr>
    </w:tblStylePr>
    <w:tblStylePr w:type="lastRow">
      <w:rPr>
        <w:b/>
        <w:bCs/>
      </w:rPr>
      <w:tblPr/>
      <w:tcPr>
        <w:tcBorders>
          <w:top w:val="single" w:sz="18" w:space="0" w:color="FFA57F" w:themeColor="accent5" w:themeTint="BF"/>
        </w:tcBorders>
      </w:tcPr>
    </w:tblStylePr>
    <w:tblStylePr w:type="firstCol">
      <w:rPr>
        <w:b/>
        <w:bCs/>
      </w:rPr>
    </w:tblStylePr>
    <w:tblStylePr w:type="lastCol">
      <w:rPr>
        <w:b/>
        <w:bCs/>
      </w:r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MediumGrid1-Accent6">
    <w:name w:val="Medium Grid 1 Accent 6"/>
    <w:basedOn w:val="TableNormal"/>
    <w:uiPriority w:val="67"/>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insideV w:val="single" w:sz="8" w:space="0" w:color="EAE8E1" w:themeColor="accent6" w:themeTint="BF"/>
      </w:tblBorders>
    </w:tblPr>
    <w:tcPr>
      <w:shd w:val="clear" w:color="auto" w:fill="F8F7F5" w:themeFill="accent6" w:themeFillTint="3F"/>
    </w:tcPr>
    <w:tblStylePr w:type="firstRow">
      <w:rPr>
        <w:b/>
        <w:bCs/>
      </w:rPr>
    </w:tblStylePr>
    <w:tblStylePr w:type="lastRow">
      <w:rPr>
        <w:b/>
        <w:bCs/>
      </w:rPr>
      <w:tblPr/>
      <w:tcPr>
        <w:tcBorders>
          <w:top w:val="single" w:sz="18" w:space="0" w:color="EAE8E1" w:themeColor="accent6" w:themeTint="BF"/>
        </w:tcBorders>
      </w:tcPr>
    </w:tblStylePr>
    <w:tblStylePr w:type="firstCol">
      <w:rPr>
        <w:b/>
        <w:bCs/>
      </w:rPr>
    </w:tblStylePr>
    <w:tblStylePr w:type="lastCol">
      <w:rPr>
        <w:b/>
        <w:bCs/>
      </w:r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MediumGrid2">
    <w:name w:val="Medium Grid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cPr>
      <w:shd w:val="clear" w:color="auto" w:fill="A1C7FA" w:themeFill="accent1" w:themeFillTint="3F"/>
    </w:tcPr>
    <w:tblStylePr w:type="firstRow">
      <w:rPr>
        <w:b/>
        <w:bCs/>
        <w:color w:val="000000" w:themeColor="text1"/>
      </w:rPr>
      <w:tblPr/>
      <w:tcPr>
        <w:shd w:val="clear" w:color="auto" w:fill="D9E8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D2FB" w:themeFill="accent1" w:themeFillTint="33"/>
      </w:tcPr>
    </w:tblStylePr>
    <w:tblStylePr w:type="band1Vert">
      <w:tblPr/>
      <w:tcPr>
        <w:shd w:val="clear" w:color="auto" w:fill="428FF6" w:themeFill="accent1" w:themeFillTint="7F"/>
      </w:tcPr>
    </w:tblStylePr>
    <w:tblStylePr w:type="band1Horz">
      <w:tblPr/>
      <w:tcPr>
        <w:tcBorders>
          <w:insideH w:val="single" w:sz="6" w:space="0" w:color="05326E" w:themeColor="accent1"/>
          <w:insideV w:val="single" w:sz="6" w:space="0" w:color="05326E" w:themeColor="accent1"/>
        </w:tcBorders>
        <w:shd w:val="clear" w:color="auto" w:fill="428FF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cPr>
      <w:shd w:val="clear" w:color="auto" w:fill="ACEED6" w:themeFill="accent2" w:themeFillTint="3F"/>
    </w:tcPr>
    <w:tblStylePr w:type="firstRow">
      <w:rPr>
        <w:b/>
        <w:bCs/>
        <w:color w:val="000000" w:themeColor="text1"/>
      </w:rPr>
      <w:tblPr/>
      <w:tcPr>
        <w:shd w:val="clear" w:color="auto" w:fill="DDF8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F1DD" w:themeFill="accent2" w:themeFillTint="33"/>
      </w:tcPr>
    </w:tblStylePr>
    <w:tblStylePr w:type="band1Vert">
      <w:tblPr/>
      <w:tcPr>
        <w:shd w:val="clear" w:color="auto" w:fill="58DDAC" w:themeFill="accent2" w:themeFillTint="7F"/>
      </w:tcPr>
    </w:tblStylePr>
    <w:tblStylePr w:type="band1Horz">
      <w:tblPr/>
      <w:tcPr>
        <w:tcBorders>
          <w:insideH w:val="single" w:sz="6" w:space="0" w:color="125A40" w:themeColor="accent2"/>
          <w:insideV w:val="single" w:sz="6" w:space="0" w:color="125A40" w:themeColor="accent2"/>
        </w:tcBorders>
        <w:shd w:val="clear" w:color="auto" w:fill="58DD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cPr>
      <w:shd w:val="clear" w:color="auto" w:fill="EAF3E4" w:themeFill="accent3" w:themeFillTint="3F"/>
    </w:tcPr>
    <w:tblStylePr w:type="firstRow">
      <w:rPr>
        <w:b/>
        <w:bCs/>
        <w:color w:val="000000" w:themeColor="text1"/>
      </w:rPr>
      <w:tblPr/>
      <w:tcPr>
        <w:shd w:val="clear" w:color="auto" w:fill="F6FA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F5E9" w:themeFill="accent3" w:themeFillTint="33"/>
      </w:tcPr>
    </w:tblStylePr>
    <w:tblStylePr w:type="band1Vert">
      <w:tblPr/>
      <w:tcPr>
        <w:shd w:val="clear" w:color="auto" w:fill="D5E7CA" w:themeFill="accent3" w:themeFillTint="7F"/>
      </w:tcPr>
    </w:tblStylePr>
    <w:tblStylePr w:type="band1Horz">
      <w:tblPr/>
      <w:tcPr>
        <w:tcBorders>
          <w:insideH w:val="single" w:sz="6" w:space="0" w:color="ADD095" w:themeColor="accent3"/>
          <w:insideV w:val="single" w:sz="6" w:space="0" w:color="ADD095" w:themeColor="accent3"/>
        </w:tcBorders>
        <w:shd w:val="clear" w:color="auto" w:fill="D5E7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cPr>
      <w:shd w:val="clear" w:color="auto" w:fill="E4BED4" w:themeFill="accent4" w:themeFillTint="3F"/>
    </w:tcPr>
    <w:tblStylePr w:type="firstRow">
      <w:rPr>
        <w:b/>
        <w:bCs/>
        <w:color w:val="000000" w:themeColor="text1"/>
      </w:rPr>
      <w:tblPr/>
      <w:tcPr>
        <w:shd w:val="clear" w:color="auto" w:fill="F4E5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ADC" w:themeFill="accent4" w:themeFillTint="33"/>
      </w:tcPr>
    </w:tblStylePr>
    <w:tblStylePr w:type="band1Vert">
      <w:tblPr/>
      <w:tcPr>
        <w:shd w:val="clear" w:color="auto" w:fill="C87CA9" w:themeFill="accent4" w:themeFillTint="7F"/>
      </w:tcPr>
    </w:tblStylePr>
    <w:tblStylePr w:type="band1Horz">
      <w:tblPr/>
      <w:tcPr>
        <w:tcBorders>
          <w:insideH w:val="single" w:sz="6" w:space="0" w:color="62294B" w:themeColor="accent4"/>
          <w:insideV w:val="single" w:sz="6" w:space="0" w:color="62294B" w:themeColor="accent4"/>
        </w:tcBorders>
        <w:shd w:val="clear" w:color="auto" w:fill="C87C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cPr>
      <w:shd w:val="clear" w:color="auto" w:fill="FFE1D5" w:themeFill="accent5" w:themeFillTint="3F"/>
    </w:tcPr>
    <w:tblStylePr w:type="firstRow">
      <w:rPr>
        <w:b/>
        <w:bCs/>
        <w:color w:val="000000" w:themeColor="text1"/>
      </w:rPr>
      <w:tblPr/>
      <w:tcPr>
        <w:shd w:val="clear" w:color="auto" w:fill="FFF3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7DD" w:themeFill="accent5" w:themeFillTint="33"/>
      </w:tcPr>
    </w:tblStylePr>
    <w:tblStylePr w:type="band1Vert">
      <w:tblPr/>
      <w:tcPr>
        <w:shd w:val="clear" w:color="auto" w:fill="FFC3AA" w:themeFill="accent5" w:themeFillTint="7F"/>
      </w:tcPr>
    </w:tblStylePr>
    <w:tblStylePr w:type="band1Horz">
      <w:tblPr/>
      <w:tcPr>
        <w:tcBorders>
          <w:insideH w:val="single" w:sz="6" w:space="0" w:color="FF8855" w:themeColor="accent5"/>
          <w:insideV w:val="single" w:sz="6" w:space="0" w:color="FF8855" w:themeColor="accent5"/>
        </w:tcBorders>
        <w:shd w:val="clear" w:color="auto" w:fill="FFC3A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cPr>
      <w:shd w:val="clear" w:color="auto" w:fill="F8F7F5" w:themeFill="accent6" w:themeFillTint="3F"/>
    </w:tcPr>
    <w:tblStylePr w:type="firstRow">
      <w:rPr>
        <w:b/>
        <w:bCs/>
        <w:color w:val="000000" w:themeColor="text1"/>
      </w:rPr>
      <w:tblPr/>
      <w:tcPr>
        <w:shd w:val="clear" w:color="auto" w:fill="FCFC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8F7" w:themeFill="accent6" w:themeFillTint="33"/>
      </w:tcPr>
    </w:tblStylePr>
    <w:tblStylePr w:type="band1Vert">
      <w:tblPr/>
      <w:tcPr>
        <w:shd w:val="clear" w:color="auto" w:fill="F1EFEB" w:themeFill="accent6" w:themeFillTint="7F"/>
      </w:tcPr>
    </w:tblStylePr>
    <w:tblStylePr w:type="band1Horz">
      <w:tblPr/>
      <w:tcPr>
        <w:tcBorders>
          <w:insideH w:val="single" w:sz="6" w:space="0" w:color="E3E1D8" w:themeColor="accent6"/>
          <w:insideV w:val="single" w:sz="6" w:space="0" w:color="E3E1D8" w:themeColor="accent6"/>
        </w:tcBorders>
        <w:shd w:val="clear" w:color="auto" w:fill="F1EFE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7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326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326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FF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FF6" w:themeFill="accent1" w:themeFillTint="7F"/>
      </w:tcPr>
    </w:tblStylePr>
  </w:style>
  <w:style w:type="table" w:styleId="MediumGrid3-Accent2">
    <w:name w:val="Medium Grid 3 Accent 2"/>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EED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25A4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25A4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8DDA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8DDAC" w:themeFill="accent2" w:themeFillTint="7F"/>
      </w:tcPr>
    </w:tblStylePr>
  </w:style>
  <w:style w:type="table" w:styleId="MediumGrid3-Accent3">
    <w:name w:val="Medium Grid 3 Accent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3E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09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09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7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7CA" w:themeFill="accent3" w:themeFillTint="7F"/>
      </w:tcPr>
    </w:tblStylePr>
  </w:style>
  <w:style w:type="table" w:styleId="MediumGrid3-Accent4">
    <w:name w:val="Medium Grid 3 Accent 4"/>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E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294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294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7C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7CA9" w:themeFill="accent4" w:themeFillTint="7F"/>
      </w:tcPr>
    </w:tblStylePr>
  </w:style>
  <w:style w:type="table" w:styleId="MediumGrid3-Accent5">
    <w:name w:val="Medium Grid 3 Accent 5"/>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D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85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85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3A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3AA" w:themeFill="accent5" w:themeFillTint="7F"/>
      </w:tcPr>
    </w:tblStylePr>
  </w:style>
  <w:style w:type="table" w:styleId="MediumGrid3-Accent6">
    <w:name w:val="Medium Grid 3 Accent 6"/>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E1D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E1D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EF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EFEB" w:themeFill="accent6" w:themeFillTint="7F"/>
      </w:tcPr>
    </w:tblStylePr>
  </w:style>
  <w:style w:type="table" w:styleId="MediumList1">
    <w:name w:val="Medium Lis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DF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5326E" w:themeColor="accent1"/>
        <w:bottom w:val="single" w:sz="8" w:space="0" w:color="05326E" w:themeColor="accent1"/>
      </w:tblBorders>
    </w:tblPr>
    <w:tblStylePr w:type="firstRow">
      <w:rPr>
        <w:rFonts w:asciiTheme="majorHAnsi" w:eastAsiaTheme="majorEastAsia" w:hAnsiTheme="majorHAnsi" w:cstheme="majorBidi"/>
      </w:rPr>
      <w:tblPr/>
      <w:tcPr>
        <w:tcBorders>
          <w:top w:val="nil"/>
          <w:bottom w:val="single" w:sz="8" w:space="0" w:color="05326E" w:themeColor="accent1"/>
        </w:tcBorders>
      </w:tcPr>
    </w:tblStylePr>
    <w:tblStylePr w:type="lastRow">
      <w:rPr>
        <w:b/>
        <w:bCs/>
        <w:color w:val="009DF0" w:themeColor="text2"/>
      </w:rPr>
      <w:tblPr/>
      <w:tcPr>
        <w:tcBorders>
          <w:top w:val="single" w:sz="8" w:space="0" w:color="05326E" w:themeColor="accent1"/>
          <w:bottom w:val="single" w:sz="8" w:space="0" w:color="05326E" w:themeColor="accent1"/>
        </w:tcBorders>
      </w:tcPr>
    </w:tblStylePr>
    <w:tblStylePr w:type="firstCol">
      <w:rPr>
        <w:b/>
        <w:bCs/>
      </w:rPr>
    </w:tblStylePr>
    <w:tblStylePr w:type="lastCol">
      <w:rPr>
        <w:b/>
        <w:bCs/>
      </w:rPr>
      <w:tblPr/>
      <w:tcPr>
        <w:tcBorders>
          <w:top w:val="single" w:sz="8" w:space="0" w:color="05326E" w:themeColor="accent1"/>
          <w:bottom w:val="single" w:sz="8" w:space="0" w:color="05326E" w:themeColor="accent1"/>
        </w:tcBorders>
      </w:tcPr>
    </w:tblStylePr>
    <w:tblStylePr w:type="band1Vert">
      <w:tblPr/>
      <w:tcPr>
        <w:shd w:val="clear" w:color="auto" w:fill="A1C7FA" w:themeFill="accent1" w:themeFillTint="3F"/>
      </w:tcPr>
    </w:tblStylePr>
    <w:tblStylePr w:type="band1Horz">
      <w:tblPr/>
      <w:tcPr>
        <w:shd w:val="clear" w:color="auto" w:fill="A1C7FA" w:themeFill="accent1" w:themeFillTint="3F"/>
      </w:tcPr>
    </w:tblStylePr>
  </w:style>
  <w:style w:type="table" w:styleId="MediumList1-Accent2">
    <w:name w:val="Medium List 1 Accent 2"/>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125A40" w:themeColor="accent2"/>
        <w:bottom w:val="single" w:sz="8" w:space="0" w:color="125A40" w:themeColor="accent2"/>
      </w:tblBorders>
    </w:tblPr>
    <w:tblStylePr w:type="firstRow">
      <w:rPr>
        <w:rFonts w:asciiTheme="majorHAnsi" w:eastAsiaTheme="majorEastAsia" w:hAnsiTheme="majorHAnsi" w:cstheme="majorBidi"/>
      </w:rPr>
      <w:tblPr/>
      <w:tcPr>
        <w:tcBorders>
          <w:top w:val="nil"/>
          <w:bottom w:val="single" w:sz="8" w:space="0" w:color="125A40" w:themeColor="accent2"/>
        </w:tcBorders>
      </w:tcPr>
    </w:tblStylePr>
    <w:tblStylePr w:type="lastRow">
      <w:rPr>
        <w:b/>
        <w:bCs/>
        <w:color w:val="009DF0" w:themeColor="text2"/>
      </w:rPr>
      <w:tblPr/>
      <w:tcPr>
        <w:tcBorders>
          <w:top w:val="single" w:sz="8" w:space="0" w:color="125A40" w:themeColor="accent2"/>
          <w:bottom w:val="single" w:sz="8" w:space="0" w:color="125A40" w:themeColor="accent2"/>
        </w:tcBorders>
      </w:tcPr>
    </w:tblStylePr>
    <w:tblStylePr w:type="firstCol">
      <w:rPr>
        <w:b/>
        <w:bCs/>
      </w:rPr>
    </w:tblStylePr>
    <w:tblStylePr w:type="lastCol">
      <w:rPr>
        <w:b/>
        <w:bCs/>
      </w:rPr>
      <w:tblPr/>
      <w:tcPr>
        <w:tcBorders>
          <w:top w:val="single" w:sz="8" w:space="0" w:color="125A40" w:themeColor="accent2"/>
          <w:bottom w:val="single" w:sz="8" w:space="0" w:color="125A40" w:themeColor="accent2"/>
        </w:tcBorders>
      </w:tcPr>
    </w:tblStylePr>
    <w:tblStylePr w:type="band1Vert">
      <w:tblPr/>
      <w:tcPr>
        <w:shd w:val="clear" w:color="auto" w:fill="ACEED6" w:themeFill="accent2" w:themeFillTint="3F"/>
      </w:tcPr>
    </w:tblStylePr>
    <w:tblStylePr w:type="band1Horz">
      <w:tblPr/>
      <w:tcPr>
        <w:shd w:val="clear" w:color="auto" w:fill="ACEED6" w:themeFill="accent2" w:themeFillTint="3F"/>
      </w:tcPr>
    </w:tblStylePr>
  </w:style>
  <w:style w:type="table" w:styleId="MediumList1-Accent3">
    <w:name w:val="Medium List 1 Accent 3"/>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ADD095" w:themeColor="accent3"/>
        <w:bottom w:val="single" w:sz="8" w:space="0" w:color="ADD095" w:themeColor="accent3"/>
      </w:tblBorders>
    </w:tblPr>
    <w:tblStylePr w:type="firstRow">
      <w:rPr>
        <w:rFonts w:asciiTheme="majorHAnsi" w:eastAsiaTheme="majorEastAsia" w:hAnsiTheme="majorHAnsi" w:cstheme="majorBidi"/>
      </w:rPr>
      <w:tblPr/>
      <w:tcPr>
        <w:tcBorders>
          <w:top w:val="nil"/>
          <w:bottom w:val="single" w:sz="8" w:space="0" w:color="ADD095" w:themeColor="accent3"/>
        </w:tcBorders>
      </w:tcPr>
    </w:tblStylePr>
    <w:tblStylePr w:type="lastRow">
      <w:rPr>
        <w:b/>
        <w:bCs/>
        <w:color w:val="009DF0" w:themeColor="text2"/>
      </w:rPr>
      <w:tblPr/>
      <w:tcPr>
        <w:tcBorders>
          <w:top w:val="single" w:sz="8" w:space="0" w:color="ADD095" w:themeColor="accent3"/>
          <w:bottom w:val="single" w:sz="8" w:space="0" w:color="ADD095" w:themeColor="accent3"/>
        </w:tcBorders>
      </w:tcPr>
    </w:tblStylePr>
    <w:tblStylePr w:type="firstCol">
      <w:rPr>
        <w:b/>
        <w:bCs/>
      </w:rPr>
    </w:tblStylePr>
    <w:tblStylePr w:type="lastCol">
      <w:rPr>
        <w:b/>
        <w:bCs/>
      </w:rPr>
      <w:tblPr/>
      <w:tcPr>
        <w:tcBorders>
          <w:top w:val="single" w:sz="8" w:space="0" w:color="ADD095" w:themeColor="accent3"/>
          <w:bottom w:val="single" w:sz="8" w:space="0" w:color="ADD095" w:themeColor="accent3"/>
        </w:tcBorders>
      </w:tcPr>
    </w:tblStylePr>
    <w:tblStylePr w:type="band1Vert">
      <w:tblPr/>
      <w:tcPr>
        <w:shd w:val="clear" w:color="auto" w:fill="EAF3E4" w:themeFill="accent3" w:themeFillTint="3F"/>
      </w:tcPr>
    </w:tblStylePr>
    <w:tblStylePr w:type="band1Horz">
      <w:tblPr/>
      <w:tcPr>
        <w:shd w:val="clear" w:color="auto" w:fill="EAF3E4" w:themeFill="accent3" w:themeFillTint="3F"/>
      </w:tcPr>
    </w:tblStylePr>
  </w:style>
  <w:style w:type="table" w:styleId="MediumList1-Accent4">
    <w:name w:val="Medium List 1 Accent 4"/>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62294B" w:themeColor="accent4"/>
        <w:bottom w:val="single" w:sz="8" w:space="0" w:color="62294B" w:themeColor="accent4"/>
      </w:tblBorders>
    </w:tblPr>
    <w:tblStylePr w:type="firstRow">
      <w:rPr>
        <w:rFonts w:asciiTheme="majorHAnsi" w:eastAsiaTheme="majorEastAsia" w:hAnsiTheme="majorHAnsi" w:cstheme="majorBidi"/>
      </w:rPr>
      <w:tblPr/>
      <w:tcPr>
        <w:tcBorders>
          <w:top w:val="nil"/>
          <w:bottom w:val="single" w:sz="8" w:space="0" w:color="62294B" w:themeColor="accent4"/>
        </w:tcBorders>
      </w:tcPr>
    </w:tblStylePr>
    <w:tblStylePr w:type="lastRow">
      <w:rPr>
        <w:b/>
        <w:bCs/>
        <w:color w:val="009DF0" w:themeColor="text2"/>
      </w:rPr>
      <w:tblPr/>
      <w:tcPr>
        <w:tcBorders>
          <w:top w:val="single" w:sz="8" w:space="0" w:color="62294B" w:themeColor="accent4"/>
          <w:bottom w:val="single" w:sz="8" w:space="0" w:color="62294B" w:themeColor="accent4"/>
        </w:tcBorders>
      </w:tcPr>
    </w:tblStylePr>
    <w:tblStylePr w:type="firstCol">
      <w:rPr>
        <w:b/>
        <w:bCs/>
      </w:rPr>
    </w:tblStylePr>
    <w:tblStylePr w:type="lastCol">
      <w:rPr>
        <w:b/>
        <w:bCs/>
      </w:rPr>
      <w:tblPr/>
      <w:tcPr>
        <w:tcBorders>
          <w:top w:val="single" w:sz="8" w:space="0" w:color="62294B" w:themeColor="accent4"/>
          <w:bottom w:val="single" w:sz="8" w:space="0" w:color="62294B" w:themeColor="accent4"/>
        </w:tcBorders>
      </w:tcPr>
    </w:tblStylePr>
    <w:tblStylePr w:type="band1Vert">
      <w:tblPr/>
      <w:tcPr>
        <w:shd w:val="clear" w:color="auto" w:fill="E4BED4" w:themeFill="accent4" w:themeFillTint="3F"/>
      </w:tcPr>
    </w:tblStylePr>
    <w:tblStylePr w:type="band1Horz">
      <w:tblPr/>
      <w:tcPr>
        <w:shd w:val="clear" w:color="auto" w:fill="E4BED4" w:themeFill="accent4" w:themeFillTint="3F"/>
      </w:tcPr>
    </w:tblStylePr>
  </w:style>
  <w:style w:type="table" w:styleId="MediumList1-Accent5">
    <w:name w:val="Medium List 1 Accent 5"/>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FF8855" w:themeColor="accent5"/>
        <w:bottom w:val="single" w:sz="8" w:space="0" w:color="FF8855" w:themeColor="accent5"/>
      </w:tblBorders>
    </w:tblPr>
    <w:tblStylePr w:type="firstRow">
      <w:rPr>
        <w:rFonts w:asciiTheme="majorHAnsi" w:eastAsiaTheme="majorEastAsia" w:hAnsiTheme="majorHAnsi" w:cstheme="majorBidi"/>
      </w:rPr>
      <w:tblPr/>
      <w:tcPr>
        <w:tcBorders>
          <w:top w:val="nil"/>
          <w:bottom w:val="single" w:sz="8" w:space="0" w:color="FF8855" w:themeColor="accent5"/>
        </w:tcBorders>
      </w:tcPr>
    </w:tblStylePr>
    <w:tblStylePr w:type="lastRow">
      <w:rPr>
        <w:b/>
        <w:bCs/>
        <w:color w:val="009DF0" w:themeColor="text2"/>
      </w:rPr>
      <w:tblPr/>
      <w:tcPr>
        <w:tcBorders>
          <w:top w:val="single" w:sz="8" w:space="0" w:color="FF8855" w:themeColor="accent5"/>
          <w:bottom w:val="single" w:sz="8" w:space="0" w:color="FF8855" w:themeColor="accent5"/>
        </w:tcBorders>
      </w:tcPr>
    </w:tblStylePr>
    <w:tblStylePr w:type="firstCol">
      <w:rPr>
        <w:b/>
        <w:bCs/>
      </w:rPr>
    </w:tblStylePr>
    <w:tblStylePr w:type="lastCol">
      <w:rPr>
        <w:b/>
        <w:bCs/>
      </w:rPr>
      <w:tblPr/>
      <w:tcPr>
        <w:tcBorders>
          <w:top w:val="single" w:sz="8" w:space="0" w:color="FF8855" w:themeColor="accent5"/>
          <w:bottom w:val="single" w:sz="8" w:space="0" w:color="FF8855" w:themeColor="accent5"/>
        </w:tcBorders>
      </w:tcPr>
    </w:tblStylePr>
    <w:tblStylePr w:type="band1Vert">
      <w:tblPr/>
      <w:tcPr>
        <w:shd w:val="clear" w:color="auto" w:fill="FFE1D5" w:themeFill="accent5" w:themeFillTint="3F"/>
      </w:tcPr>
    </w:tblStylePr>
    <w:tblStylePr w:type="band1Horz">
      <w:tblPr/>
      <w:tcPr>
        <w:shd w:val="clear" w:color="auto" w:fill="FFE1D5" w:themeFill="accent5" w:themeFillTint="3F"/>
      </w:tcPr>
    </w:tblStylePr>
  </w:style>
  <w:style w:type="table" w:styleId="MediumList1-Accent6">
    <w:name w:val="Medium List 1 Accent 6"/>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E3E1D8" w:themeColor="accent6"/>
        <w:bottom w:val="single" w:sz="8" w:space="0" w:color="E3E1D8" w:themeColor="accent6"/>
      </w:tblBorders>
    </w:tblPr>
    <w:tblStylePr w:type="firstRow">
      <w:rPr>
        <w:rFonts w:asciiTheme="majorHAnsi" w:eastAsiaTheme="majorEastAsia" w:hAnsiTheme="majorHAnsi" w:cstheme="majorBidi"/>
      </w:rPr>
      <w:tblPr/>
      <w:tcPr>
        <w:tcBorders>
          <w:top w:val="nil"/>
          <w:bottom w:val="single" w:sz="8" w:space="0" w:color="E3E1D8" w:themeColor="accent6"/>
        </w:tcBorders>
      </w:tcPr>
    </w:tblStylePr>
    <w:tblStylePr w:type="lastRow">
      <w:rPr>
        <w:b/>
        <w:bCs/>
        <w:color w:val="009DF0" w:themeColor="text2"/>
      </w:rPr>
      <w:tblPr/>
      <w:tcPr>
        <w:tcBorders>
          <w:top w:val="single" w:sz="8" w:space="0" w:color="E3E1D8" w:themeColor="accent6"/>
          <w:bottom w:val="single" w:sz="8" w:space="0" w:color="E3E1D8" w:themeColor="accent6"/>
        </w:tcBorders>
      </w:tcPr>
    </w:tblStylePr>
    <w:tblStylePr w:type="firstCol">
      <w:rPr>
        <w:b/>
        <w:bCs/>
      </w:rPr>
    </w:tblStylePr>
    <w:tblStylePr w:type="lastCol">
      <w:rPr>
        <w:b/>
        <w:bCs/>
      </w:rPr>
      <w:tblPr/>
      <w:tcPr>
        <w:tcBorders>
          <w:top w:val="single" w:sz="8" w:space="0" w:color="E3E1D8" w:themeColor="accent6"/>
          <w:bottom w:val="single" w:sz="8" w:space="0" w:color="E3E1D8" w:themeColor="accent6"/>
        </w:tcBorders>
      </w:tcPr>
    </w:tblStylePr>
    <w:tblStylePr w:type="band1Vert">
      <w:tblPr/>
      <w:tcPr>
        <w:shd w:val="clear" w:color="auto" w:fill="F8F7F5" w:themeFill="accent6" w:themeFillTint="3F"/>
      </w:tcPr>
    </w:tblStylePr>
    <w:tblStylePr w:type="band1Horz">
      <w:tblPr/>
      <w:tcPr>
        <w:shd w:val="clear" w:color="auto" w:fill="F8F7F5" w:themeFill="accent6" w:themeFillTint="3F"/>
      </w:tcPr>
    </w:tblStylePr>
  </w:style>
  <w:style w:type="table" w:styleId="MediumList2">
    <w:name w:val="Medium Lis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rPr>
        <w:sz w:val="24"/>
        <w:szCs w:val="24"/>
      </w:rPr>
      <w:tblPr/>
      <w:tcPr>
        <w:tcBorders>
          <w:top w:val="nil"/>
          <w:left w:val="nil"/>
          <w:bottom w:val="single" w:sz="24" w:space="0" w:color="05326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326E" w:themeColor="accent1"/>
          <w:insideH w:val="nil"/>
          <w:insideV w:val="nil"/>
        </w:tcBorders>
        <w:shd w:val="clear" w:color="auto" w:fill="FFFFFF" w:themeFill="background1"/>
      </w:tcPr>
    </w:tblStylePr>
    <w:tblStylePr w:type="lastCol">
      <w:tblPr/>
      <w:tcPr>
        <w:tcBorders>
          <w:top w:val="nil"/>
          <w:left w:val="single" w:sz="8" w:space="0" w:color="05326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top w:val="nil"/>
          <w:bottom w:val="nil"/>
          <w:insideH w:val="nil"/>
          <w:insideV w:val="nil"/>
        </w:tcBorders>
        <w:shd w:val="clear" w:color="auto" w:fill="A1C7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rPr>
        <w:sz w:val="24"/>
        <w:szCs w:val="24"/>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25A40" w:themeColor="accent2"/>
          <w:insideH w:val="nil"/>
          <w:insideV w:val="nil"/>
        </w:tcBorders>
        <w:shd w:val="clear" w:color="auto" w:fill="FFFFFF" w:themeFill="background1"/>
      </w:tcPr>
    </w:tblStylePr>
    <w:tblStylePr w:type="lastCol">
      <w:tblPr/>
      <w:tcPr>
        <w:tcBorders>
          <w:top w:val="nil"/>
          <w:left w:val="single" w:sz="8" w:space="0" w:color="125A4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top w:val="nil"/>
          <w:bottom w:val="nil"/>
          <w:insideH w:val="nil"/>
          <w:insideV w:val="nil"/>
        </w:tcBorders>
        <w:shd w:val="clear" w:color="auto" w:fill="ACEED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rPr>
        <w:sz w:val="24"/>
        <w:szCs w:val="24"/>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095" w:themeColor="accent3"/>
          <w:insideH w:val="nil"/>
          <w:insideV w:val="nil"/>
        </w:tcBorders>
        <w:shd w:val="clear" w:color="auto" w:fill="FFFFFF" w:themeFill="background1"/>
      </w:tcPr>
    </w:tblStylePr>
    <w:tblStylePr w:type="lastCol">
      <w:tblPr/>
      <w:tcPr>
        <w:tcBorders>
          <w:top w:val="nil"/>
          <w:left w:val="single" w:sz="8" w:space="0" w:color="ADD09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top w:val="nil"/>
          <w:bottom w:val="nil"/>
          <w:insideH w:val="nil"/>
          <w:insideV w:val="nil"/>
        </w:tcBorders>
        <w:shd w:val="clear" w:color="auto" w:fill="EAF3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rPr>
        <w:sz w:val="24"/>
        <w:szCs w:val="24"/>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294B" w:themeColor="accent4"/>
          <w:insideH w:val="nil"/>
          <w:insideV w:val="nil"/>
        </w:tcBorders>
        <w:shd w:val="clear" w:color="auto" w:fill="FFFFFF" w:themeFill="background1"/>
      </w:tcPr>
    </w:tblStylePr>
    <w:tblStylePr w:type="lastCol">
      <w:tblPr/>
      <w:tcPr>
        <w:tcBorders>
          <w:top w:val="nil"/>
          <w:left w:val="single" w:sz="8" w:space="0" w:color="62294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top w:val="nil"/>
          <w:bottom w:val="nil"/>
          <w:insideH w:val="nil"/>
          <w:insideV w:val="nil"/>
        </w:tcBorders>
        <w:shd w:val="clear" w:color="auto" w:fill="E4BE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rPr>
        <w:sz w:val="24"/>
        <w:szCs w:val="24"/>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855" w:themeColor="accent5"/>
          <w:insideH w:val="nil"/>
          <w:insideV w:val="nil"/>
        </w:tcBorders>
        <w:shd w:val="clear" w:color="auto" w:fill="FFFFFF" w:themeFill="background1"/>
      </w:tcPr>
    </w:tblStylePr>
    <w:tblStylePr w:type="lastCol">
      <w:tblPr/>
      <w:tcPr>
        <w:tcBorders>
          <w:top w:val="nil"/>
          <w:left w:val="single" w:sz="8" w:space="0" w:color="FF885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top w:val="nil"/>
          <w:bottom w:val="nil"/>
          <w:insideH w:val="nil"/>
          <w:insideV w:val="nil"/>
        </w:tcBorders>
        <w:shd w:val="clear" w:color="auto" w:fill="FFE1D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rPr>
        <w:sz w:val="24"/>
        <w:szCs w:val="24"/>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E1D8" w:themeColor="accent6"/>
          <w:insideH w:val="nil"/>
          <w:insideV w:val="nil"/>
        </w:tcBorders>
        <w:shd w:val="clear" w:color="auto" w:fill="FFFFFF" w:themeFill="background1"/>
      </w:tcPr>
    </w:tblStylePr>
    <w:tblStylePr w:type="lastCol">
      <w:tblPr/>
      <w:tcPr>
        <w:tcBorders>
          <w:top w:val="nil"/>
          <w:left w:val="single" w:sz="8" w:space="0" w:color="E3E1D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top w:val="nil"/>
          <w:bottom w:val="nil"/>
          <w:insideH w:val="nil"/>
          <w:insideV w:val="nil"/>
        </w:tcBorders>
        <w:shd w:val="clear" w:color="auto" w:fill="F8F7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tblBorders>
    </w:tblPr>
    <w:tblStylePr w:type="firstRow">
      <w:pPr>
        <w:spacing w:before="0" w:after="0" w:line="240" w:lineRule="auto"/>
      </w:pPr>
      <w:rPr>
        <w:b/>
        <w:bCs/>
        <w:color w:val="FFFFFF" w:themeColor="background1"/>
      </w:rPr>
      <w:tblPr/>
      <w:tcPr>
        <w:tc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shd w:val="clear" w:color="auto" w:fill="05326E" w:themeFill="accent1"/>
      </w:tcPr>
    </w:tblStylePr>
    <w:tblStylePr w:type="lastRow">
      <w:pPr>
        <w:spacing w:before="0" w:after="0" w:line="240" w:lineRule="auto"/>
      </w:pPr>
      <w:rPr>
        <w:b/>
        <w:bCs/>
      </w:rPr>
      <w:tblPr/>
      <w:tcPr>
        <w:tcBorders>
          <w:top w:val="double" w:sz="6"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7FA" w:themeFill="accent1" w:themeFillTint="3F"/>
      </w:tcPr>
    </w:tblStylePr>
    <w:tblStylePr w:type="band1Horz">
      <w:tblPr/>
      <w:tcPr>
        <w:tcBorders>
          <w:insideH w:val="nil"/>
          <w:insideV w:val="nil"/>
        </w:tcBorders>
        <w:shd w:val="clear" w:color="auto" w:fill="A1C7F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tblBorders>
    </w:tblPr>
    <w:tblStylePr w:type="firstRow">
      <w:pPr>
        <w:spacing w:before="0" w:after="0" w:line="240" w:lineRule="auto"/>
      </w:pPr>
      <w:rPr>
        <w:b/>
        <w:bCs/>
        <w:color w:val="FFFFFF" w:themeColor="background1"/>
      </w:rPr>
      <w:tblPr/>
      <w:tcPr>
        <w:tc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shd w:val="clear" w:color="auto" w:fill="125A40" w:themeFill="accent2"/>
      </w:tcPr>
    </w:tblStylePr>
    <w:tblStylePr w:type="lastRow">
      <w:pPr>
        <w:spacing w:before="0" w:after="0" w:line="240" w:lineRule="auto"/>
      </w:pPr>
      <w:rPr>
        <w:b/>
        <w:bCs/>
      </w:rPr>
      <w:tblPr/>
      <w:tcPr>
        <w:tcBorders>
          <w:top w:val="double" w:sz="6"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tcPr>
    </w:tblStylePr>
    <w:tblStylePr w:type="firstCol">
      <w:rPr>
        <w:b/>
        <w:bCs/>
      </w:rPr>
    </w:tblStylePr>
    <w:tblStylePr w:type="lastCol">
      <w:rPr>
        <w:b/>
        <w:bCs/>
      </w:rPr>
    </w:tblStylePr>
    <w:tblStylePr w:type="band1Vert">
      <w:tblPr/>
      <w:tcPr>
        <w:shd w:val="clear" w:color="auto" w:fill="ACEED6" w:themeFill="accent2" w:themeFillTint="3F"/>
      </w:tcPr>
    </w:tblStylePr>
    <w:tblStylePr w:type="band1Horz">
      <w:tblPr/>
      <w:tcPr>
        <w:tcBorders>
          <w:insideH w:val="nil"/>
          <w:insideV w:val="nil"/>
        </w:tcBorders>
        <w:shd w:val="clear" w:color="auto" w:fill="ACEED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tblBorders>
    </w:tblPr>
    <w:tblStylePr w:type="firstRow">
      <w:pPr>
        <w:spacing w:before="0" w:after="0" w:line="240" w:lineRule="auto"/>
      </w:pPr>
      <w:rPr>
        <w:b/>
        <w:bCs/>
        <w:color w:val="FFFFFF" w:themeColor="background1"/>
      </w:rPr>
      <w:tblPr/>
      <w:tcPr>
        <w:tc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shd w:val="clear" w:color="auto" w:fill="ADD095" w:themeFill="accent3"/>
      </w:tcPr>
    </w:tblStylePr>
    <w:tblStylePr w:type="lastRow">
      <w:pPr>
        <w:spacing w:before="0" w:after="0" w:line="240" w:lineRule="auto"/>
      </w:pPr>
      <w:rPr>
        <w:b/>
        <w:bCs/>
      </w:rPr>
      <w:tblPr/>
      <w:tcPr>
        <w:tcBorders>
          <w:top w:val="double" w:sz="6"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AF3E4" w:themeFill="accent3" w:themeFillTint="3F"/>
      </w:tcPr>
    </w:tblStylePr>
    <w:tblStylePr w:type="band1Horz">
      <w:tblPr/>
      <w:tcPr>
        <w:tcBorders>
          <w:insideH w:val="nil"/>
          <w:insideV w:val="nil"/>
        </w:tcBorders>
        <w:shd w:val="clear" w:color="auto" w:fill="EAF3E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tblBorders>
    </w:tblPr>
    <w:tblStylePr w:type="firstRow">
      <w:pPr>
        <w:spacing w:before="0" w:after="0" w:line="240" w:lineRule="auto"/>
      </w:pPr>
      <w:rPr>
        <w:b/>
        <w:bCs/>
        <w:color w:val="FFFFFF" w:themeColor="background1"/>
      </w:rPr>
      <w:tblPr/>
      <w:tcPr>
        <w:tc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shd w:val="clear" w:color="auto" w:fill="62294B" w:themeFill="accent4"/>
      </w:tcPr>
    </w:tblStylePr>
    <w:tblStylePr w:type="lastRow">
      <w:pPr>
        <w:spacing w:before="0" w:after="0" w:line="240" w:lineRule="auto"/>
      </w:pPr>
      <w:rPr>
        <w:b/>
        <w:bCs/>
      </w:rPr>
      <w:tblPr/>
      <w:tcPr>
        <w:tcBorders>
          <w:top w:val="double" w:sz="6"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ED4" w:themeFill="accent4" w:themeFillTint="3F"/>
      </w:tcPr>
    </w:tblStylePr>
    <w:tblStylePr w:type="band1Horz">
      <w:tblPr/>
      <w:tcPr>
        <w:tcBorders>
          <w:insideH w:val="nil"/>
          <w:insideV w:val="nil"/>
        </w:tcBorders>
        <w:shd w:val="clear" w:color="auto" w:fill="E4BE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tblBorders>
    </w:tblPr>
    <w:tblStylePr w:type="firstRow">
      <w:pPr>
        <w:spacing w:before="0" w:after="0" w:line="240" w:lineRule="auto"/>
      </w:pPr>
      <w:rPr>
        <w:b/>
        <w:bCs/>
        <w:color w:val="FFFFFF" w:themeColor="background1"/>
      </w:rPr>
      <w:tblPr/>
      <w:tcPr>
        <w:tc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shd w:val="clear" w:color="auto" w:fill="FF8855" w:themeFill="accent5"/>
      </w:tcPr>
    </w:tblStylePr>
    <w:tblStylePr w:type="lastRow">
      <w:pPr>
        <w:spacing w:before="0" w:after="0" w:line="240" w:lineRule="auto"/>
      </w:pPr>
      <w:rPr>
        <w:b/>
        <w:bCs/>
      </w:rPr>
      <w:tblPr/>
      <w:tcPr>
        <w:tcBorders>
          <w:top w:val="double" w:sz="6"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1D5" w:themeFill="accent5" w:themeFillTint="3F"/>
      </w:tcPr>
    </w:tblStylePr>
    <w:tblStylePr w:type="band1Horz">
      <w:tblPr/>
      <w:tcPr>
        <w:tcBorders>
          <w:insideH w:val="nil"/>
          <w:insideV w:val="nil"/>
        </w:tcBorders>
        <w:shd w:val="clear" w:color="auto" w:fill="FFE1D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tblBorders>
    </w:tblPr>
    <w:tblStylePr w:type="firstRow">
      <w:pPr>
        <w:spacing w:before="0" w:after="0" w:line="240" w:lineRule="auto"/>
      </w:pPr>
      <w:rPr>
        <w:b/>
        <w:bCs/>
        <w:color w:val="FFFFFF" w:themeColor="background1"/>
      </w:rPr>
      <w:tblPr/>
      <w:tcPr>
        <w:tc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shd w:val="clear" w:color="auto" w:fill="E3E1D8" w:themeFill="accent6"/>
      </w:tcPr>
    </w:tblStylePr>
    <w:tblStylePr w:type="lastRow">
      <w:pPr>
        <w:spacing w:before="0" w:after="0" w:line="240" w:lineRule="auto"/>
      </w:pPr>
      <w:rPr>
        <w:b/>
        <w:bCs/>
      </w:rPr>
      <w:tblPr/>
      <w:tcPr>
        <w:tcBorders>
          <w:top w:val="double" w:sz="6"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F7F5" w:themeFill="accent6" w:themeFillTint="3F"/>
      </w:tcPr>
    </w:tblStylePr>
    <w:tblStylePr w:type="band1Horz">
      <w:tblPr/>
      <w:tcPr>
        <w:tcBorders>
          <w:insideH w:val="nil"/>
          <w:insideV w:val="nil"/>
        </w:tcBorders>
        <w:shd w:val="clear" w:color="auto" w:fill="F8F7F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326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5326E" w:themeFill="accent1"/>
      </w:tcPr>
    </w:tblStylePr>
    <w:tblStylePr w:type="lastCol">
      <w:rPr>
        <w:b/>
        <w:bCs/>
        <w:color w:val="FFFFFF" w:themeColor="background1"/>
      </w:rPr>
      <w:tblPr/>
      <w:tcPr>
        <w:tcBorders>
          <w:left w:val="nil"/>
          <w:right w:val="nil"/>
          <w:insideH w:val="nil"/>
          <w:insideV w:val="nil"/>
        </w:tcBorders>
        <w:shd w:val="clear" w:color="auto" w:fill="05326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25A4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25A40" w:themeFill="accent2"/>
      </w:tcPr>
    </w:tblStylePr>
    <w:tblStylePr w:type="lastCol">
      <w:rPr>
        <w:b/>
        <w:bCs/>
        <w:color w:val="FFFFFF" w:themeColor="background1"/>
      </w:rPr>
      <w:tblPr/>
      <w:tcPr>
        <w:tcBorders>
          <w:left w:val="nil"/>
          <w:right w:val="nil"/>
          <w:insideH w:val="nil"/>
          <w:insideV w:val="nil"/>
        </w:tcBorders>
        <w:shd w:val="clear" w:color="auto" w:fill="125A4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09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095" w:themeFill="accent3"/>
      </w:tcPr>
    </w:tblStylePr>
    <w:tblStylePr w:type="lastCol">
      <w:rPr>
        <w:b/>
        <w:bCs/>
        <w:color w:val="FFFFFF" w:themeColor="background1"/>
      </w:rPr>
      <w:tblPr/>
      <w:tcPr>
        <w:tcBorders>
          <w:left w:val="nil"/>
          <w:right w:val="nil"/>
          <w:insideH w:val="nil"/>
          <w:insideV w:val="nil"/>
        </w:tcBorders>
        <w:shd w:val="clear" w:color="auto" w:fill="ADD09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294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294B" w:themeFill="accent4"/>
      </w:tcPr>
    </w:tblStylePr>
    <w:tblStylePr w:type="lastCol">
      <w:rPr>
        <w:b/>
        <w:bCs/>
        <w:color w:val="FFFFFF" w:themeColor="background1"/>
      </w:rPr>
      <w:tblPr/>
      <w:tcPr>
        <w:tcBorders>
          <w:left w:val="nil"/>
          <w:right w:val="nil"/>
          <w:insideH w:val="nil"/>
          <w:insideV w:val="nil"/>
        </w:tcBorders>
        <w:shd w:val="clear" w:color="auto" w:fill="62294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85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855" w:themeFill="accent5"/>
      </w:tcPr>
    </w:tblStylePr>
    <w:tblStylePr w:type="lastCol">
      <w:rPr>
        <w:b/>
        <w:bCs/>
        <w:color w:val="FFFFFF" w:themeColor="background1"/>
      </w:rPr>
      <w:tblPr/>
      <w:tcPr>
        <w:tcBorders>
          <w:left w:val="nil"/>
          <w:right w:val="nil"/>
          <w:insideH w:val="nil"/>
          <w:insideV w:val="nil"/>
        </w:tcBorders>
        <w:shd w:val="clear" w:color="auto" w:fill="FF885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E1D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E1D8" w:themeFill="accent6"/>
      </w:tcPr>
    </w:tblStylePr>
    <w:tblStylePr w:type="lastCol">
      <w:rPr>
        <w:b/>
        <w:bCs/>
        <w:color w:val="FFFFFF" w:themeColor="background1"/>
      </w:rPr>
      <w:tblPr/>
      <w:tcPr>
        <w:tcBorders>
          <w:left w:val="nil"/>
          <w:right w:val="nil"/>
          <w:insideH w:val="nil"/>
          <w:insideV w:val="nil"/>
        </w:tcBorders>
        <w:shd w:val="clear" w:color="auto" w:fill="E3E1D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920D86"/>
    <w:rPr>
      <w:color w:val="2B579A"/>
      <w:shd w:val="clear" w:color="auto" w:fill="E6E6E6"/>
      <w:lang w:val="en-US"/>
    </w:rPr>
  </w:style>
  <w:style w:type="paragraph" w:styleId="MessageHeader">
    <w:name w:val="Message Header"/>
    <w:basedOn w:val="Normal"/>
    <w:link w:val="MessageHeaderChar"/>
    <w:uiPriority w:val="99"/>
    <w:semiHidden/>
    <w:rsid w:val="00920D86"/>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20D86"/>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920D86"/>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920D86"/>
    <w:pPr>
      <w:spacing w:line="240" w:lineRule="auto"/>
    </w:pPr>
  </w:style>
  <w:style w:type="character" w:customStyle="1" w:styleId="NoteHeadingChar">
    <w:name w:val="Note Heading Char"/>
    <w:basedOn w:val="DefaultParagraphFont"/>
    <w:link w:val="NoteHeading"/>
    <w:uiPriority w:val="99"/>
    <w:semiHidden/>
    <w:rsid w:val="00920D86"/>
    <w:rPr>
      <w:lang w:val="en-US"/>
    </w:rPr>
  </w:style>
  <w:style w:type="table" w:styleId="PlainTable1">
    <w:name w:val="Plain Table 1"/>
    <w:basedOn w:val="TableNormal"/>
    <w:uiPriority w:val="41"/>
    <w:rsid w:val="00920D8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0D8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0D8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0D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0D8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920D8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20D86"/>
    <w:rPr>
      <w:rFonts w:ascii="Consolas" w:hAnsi="Consolas"/>
      <w:sz w:val="21"/>
      <w:szCs w:val="21"/>
      <w:lang w:val="en-US"/>
    </w:rPr>
  </w:style>
  <w:style w:type="paragraph" w:styleId="Salutation">
    <w:name w:val="Salutation"/>
    <w:basedOn w:val="Normal"/>
    <w:next w:val="Normal"/>
    <w:link w:val="SalutationChar"/>
    <w:uiPriority w:val="99"/>
    <w:semiHidden/>
    <w:rsid w:val="00920D86"/>
  </w:style>
  <w:style w:type="character" w:customStyle="1" w:styleId="SalutationChar">
    <w:name w:val="Salutation Char"/>
    <w:basedOn w:val="DefaultParagraphFont"/>
    <w:link w:val="Salutation"/>
    <w:uiPriority w:val="99"/>
    <w:semiHidden/>
    <w:rsid w:val="00920D86"/>
    <w:rPr>
      <w:lang w:val="en-US"/>
    </w:rPr>
  </w:style>
  <w:style w:type="character" w:styleId="SmartHyperlink">
    <w:name w:val="Smart Hyperlink"/>
    <w:basedOn w:val="DefaultParagraphFont"/>
    <w:uiPriority w:val="99"/>
    <w:semiHidden/>
    <w:rsid w:val="00920D86"/>
    <w:rPr>
      <w:u w:val="dotted"/>
      <w:lang w:val="en-US"/>
    </w:rPr>
  </w:style>
  <w:style w:type="table" w:styleId="Table3Deffects1">
    <w:name w:val="Table 3D effects 1"/>
    <w:basedOn w:val="TableNormal"/>
    <w:uiPriority w:val="99"/>
    <w:semiHidden/>
    <w:unhideWhenUsed/>
    <w:rsid w:val="00920D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20D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20D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20D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20D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20D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20D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20D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20D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20D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20D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20D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20D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20D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20D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20D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20D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20D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20D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20D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20D8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20D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20D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20D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20D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20D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20D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20D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20D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20D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20D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20D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rsid w:val="00920D86"/>
    <w:rPr>
      <w:color w:val="808080"/>
      <w:shd w:val="clear" w:color="auto" w:fill="E6E6E6"/>
      <w:lang w:val="en-US"/>
    </w:rPr>
  </w:style>
  <w:style w:type="paragraph" w:customStyle="1" w:styleId="DocumentInfo">
    <w:name w:val="Document Info"/>
    <w:basedOn w:val="Normal"/>
    <w:uiPriority w:val="6"/>
    <w:semiHidden/>
    <w:rsid w:val="00920D86"/>
    <w:pPr>
      <w:spacing w:line="200" w:lineRule="atLeast"/>
    </w:pPr>
    <w:rPr>
      <w:sz w:val="14"/>
    </w:rPr>
  </w:style>
  <w:style w:type="paragraph" w:customStyle="1" w:styleId="DearRow">
    <w:name w:val="DearRow"/>
    <w:basedOn w:val="Normal"/>
    <w:uiPriority w:val="99"/>
    <w:semiHidden/>
    <w:rsid w:val="00920D86"/>
    <w:pPr>
      <w:spacing w:after="40"/>
      <w:contextualSpacing/>
    </w:pPr>
    <w:rPr>
      <w:rFonts w:eastAsia="Times New Roman" w:cs="Times New Roman"/>
    </w:rPr>
  </w:style>
  <w:style w:type="paragraph" w:customStyle="1" w:styleId="Template-CompanyInfo">
    <w:name w:val="Template - Company Info"/>
    <w:basedOn w:val="Template"/>
    <w:uiPriority w:val="8"/>
    <w:semiHidden/>
    <w:rsid w:val="00920D86"/>
    <w:rPr>
      <w:sz w:val="12"/>
    </w:rPr>
  </w:style>
  <w:style w:type="paragraph" w:customStyle="1" w:styleId="Template-FilePath">
    <w:name w:val="Template - File Path"/>
    <w:basedOn w:val="Template"/>
    <w:uiPriority w:val="8"/>
    <w:semiHidden/>
    <w:rsid w:val="00920D86"/>
    <w:pPr>
      <w:spacing w:line="160" w:lineRule="atLeast"/>
    </w:pPr>
    <w:rPr>
      <w:sz w:val="10"/>
    </w:rPr>
  </w:style>
  <w:style w:type="paragraph" w:customStyle="1" w:styleId="Template-DocId">
    <w:name w:val="Template - Doc Id"/>
    <w:basedOn w:val="Template"/>
    <w:uiPriority w:val="8"/>
    <w:semiHidden/>
    <w:rsid w:val="00920D86"/>
    <w:rPr>
      <w:sz w:val="12"/>
    </w:rPr>
  </w:style>
  <w:style w:type="table" w:customStyle="1" w:styleId="Ramboll-Table">
    <w:name w:val="Ramboll - Table"/>
    <w:basedOn w:val="TableNormal"/>
    <w:uiPriority w:val="99"/>
    <w:rsid w:val="00920D86"/>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920D86"/>
    <w:rPr>
      <w:b/>
    </w:rPr>
  </w:style>
  <w:style w:type="character" w:customStyle="1" w:styleId="TOC4Char">
    <w:name w:val="TOC 4 Char"/>
    <w:basedOn w:val="DefaultParagraphFont"/>
    <w:link w:val="TOC4"/>
    <w:uiPriority w:val="39"/>
    <w:semiHidden/>
    <w:rsid w:val="00920D86"/>
    <w:rPr>
      <w:rFonts w:eastAsia="Times New Roman" w:cs="Times New Roman"/>
      <w:lang w:val="en-US"/>
    </w:rPr>
  </w:style>
  <w:style w:type="paragraph" w:customStyle="1" w:styleId="Documentdataleadtext">
    <w:name w:val="Document data leadtext"/>
    <w:basedOn w:val="Normal"/>
    <w:uiPriority w:val="8"/>
    <w:semiHidden/>
    <w:rsid w:val="00920D86"/>
    <w:rPr>
      <w:rFonts w:eastAsia="Times New Roman" w:cs="Times New Roman"/>
      <w:sz w:val="14"/>
    </w:rPr>
  </w:style>
  <w:style w:type="paragraph" w:customStyle="1" w:styleId="Documentdatatext">
    <w:name w:val="Document data text"/>
    <w:basedOn w:val="Normal"/>
    <w:uiPriority w:val="8"/>
    <w:semiHidden/>
    <w:rsid w:val="00920D86"/>
    <w:rPr>
      <w:rFonts w:eastAsia="Times New Roman" w:cs="Times New Roman"/>
      <w:b/>
    </w:rPr>
  </w:style>
  <w:style w:type="paragraph" w:customStyle="1" w:styleId="FrontpageHeading1">
    <w:name w:val="Frontpage Heading 1"/>
    <w:basedOn w:val="Normal"/>
    <w:link w:val="FrontpageHeading1Char"/>
    <w:uiPriority w:val="8"/>
    <w:rsid w:val="00053E7C"/>
    <w:pPr>
      <w:spacing w:after="500" w:line="1080" w:lineRule="exact"/>
      <w:contextualSpacing/>
    </w:pPr>
    <w:rPr>
      <w:rFonts w:eastAsia="Times New Roman" w:cs="Times New Roman"/>
      <w:color w:val="FFFFFF"/>
      <w:sz w:val="102"/>
    </w:rPr>
  </w:style>
  <w:style w:type="paragraph" w:customStyle="1" w:styleId="H1-NOTTOC">
    <w:name w:val="H1 - NOT TOC"/>
    <w:basedOn w:val="Heading1"/>
    <w:next w:val="Normal"/>
    <w:uiPriority w:val="4"/>
    <w:rsid w:val="00920D86"/>
    <w:pPr>
      <w:numPr>
        <w:numId w:val="1"/>
      </w:numPr>
      <w:outlineLvl w:val="9"/>
    </w:pPr>
  </w:style>
  <w:style w:type="character" w:customStyle="1" w:styleId="FrontpageHeading1Char">
    <w:name w:val="Frontpage Heading 1 Char"/>
    <w:basedOn w:val="DefaultParagraphFont"/>
    <w:link w:val="FrontpageHeading1"/>
    <w:uiPriority w:val="8"/>
    <w:rsid w:val="00053E7C"/>
    <w:rPr>
      <w:rFonts w:eastAsia="Times New Roman" w:cs="Times New Roman"/>
      <w:color w:val="FFFFFF"/>
      <w:sz w:val="102"/>
      <w:lang w:val="en-US"/>
    </w:rPr>
  </w:style>
  <w:style w:type="character" w:customStyle="1" w:styleId="Caption-Header">
    <w:name w:val="Caption - Header"/>
    <w:basedOn w:val="DefaultParagraphFont"/>
    <w:uiPriority w:val="6"/>
    <w:qFormat/>
    <w:rsid w:val="00920D86"/>
    <w:rPr>
      <w:rFonts w:ascii="Verdana" w:hAnsi="Verdana" w:cs="Times New Roman"/>
      <w:color w:val="009DE0"/>
      <w:sz w:val="13"/>
      <w:lang w:val="en-US"/>
    </w:rPr>
  </w:style>
  <w:style w:type="paragraph" w:customStyle="1" w:styleId="Template-ReftoFrontpageheading2">
    <w:name w:val="Template - Ref to Frontpage heading 2"/>
    <w:basedOn w:val="Normal"/>
    <w:link w:val="Template-ReftoFrontpageheading2Char"/>
    <w:uiPriority w:val="8"/>
    <w:semiHidden/>
    <w:rsid w:val="00920D86"/>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920D86"/>
    <w:rPr>
      <w:rFonts w:eastAsia="Times New Roman" w:cs="Times New Roman"/>
      <w:b/>
      <w:caps/>
      <w:noProof/>
      <w:color w:val="009DE0"/>
      <w:sz w:val="22"/>
      <w:szCs w:val="24"/>
      <w:lang w:val="en-US"/>
    </w:rPr>
  </w:style>
  <w:style w:type="paragraph" w:customStyle="1" w:styleId="RevisionData">
    <w:name w:val="Revision Data"/>
    <w:basedOn w:val="Normal"/>
    <w:uiPriority w:val="7"/>
    <w:semiHidden/>
    <w:rsid w:val="00920D86"/>
    <w:rPr>
      <w:rFonts w:eastAsia="Times New Roman" w:cs="Times New Roman"/>
      <w:sz w:val="14"/>
    </w:rPr>
  </w:style>
  <w:style w:type="paragraph" w:customStyle="1" w:styleId="RevisionDataText">
    <w:name w:val="Revision Data Text"/>
    <w:basedOn w:val="Normal"/>
    <w:uiPriority w:val="7"/>
    <w:semiHidden/>
    <w:rsid w:val="00920D86"/>
    <w:rPr>
      <w:rFonts w:eastAsia="Times New Roman" w:cs="Times New Roman"/>
      <w:b/>
    </w:rPr>
  </w:style>
  <w:style w:type="paragraph" w:customStyle="1" w:styleId="Optional1">
    <w:name w:val="Optional 1"/>
    <w:basedOn w:val="RevisionDataText"/>
    <w:uiPriority w:val="7"/>
    <w:semiHidden/>
    <w:rsid w:val="00920D86"/>
  </w:style>
  <w:style w:type="paragraph" w:customStyle="1" w:styleId="Optional2">
    <w:name w:val="Optional 2"/>
    <w:basedOn w:val="RevisionDataText"/>
    <w:uiPriority w:val="7"/>
    <w:semiHidden/>
    <w:rsid w:val="00920D86"/>
  </w:style>
  <w:style w:type="paragraph" w:customStyle="1" w:styleId="Normal-Optional1leadtext">
    <w:name w:val="Normal - Optional 1 leadtext"/>
    <w:basedOn w:val="Documentdataleadtext"/>
    <w:uiPriority w:val="99"/>
    <w:semiHidden/>
    <w:rsid w:val="00920D86"/>
  </w:style>
  <w:style w:type="paragraph" w:customStyle="1" w:styleId="Optional2leadtext">
    <w:name w:val="Optional 2 leadtext"/>
    <w:basedOn w:val="Normal-Optional1leadtext"/>
    <w:uiPriority w:val="7"/>
    <w:semiHidden/>
    <w:rsid w:val="00920D86"/>
  </w:style>
  <w:style w:type="paragraph" w:customStyle="1" w:styleId="Template-Disclaimer">
    <w:name w:val="Template - Disclaimer"/>
    <w:basedOn w:val="Normal"/>
    <w:uiPriority w:val="8"/>
    <w:semiHidden/>
    <w:rsid w:val="00920D86"/>
    <w:pPr>
      <w:spacing w:line="200" w:lineRule="atLeast"/>
    </w:pPr>
    <w:rPr>
      <w:sz w:val="14"/>
    </w:rPr>
  </w:style>
  <w:style w:type="paragraph" w:customStyle="1" w:styleId="FactBoxHeading1">
    <w:name w:val="Fact Box Heading 1"/>
    <w:basedOn w:val="Normal"/>
    <w:next w:val="Normal"/>
    <w:uiPriority w:val="7"/>
    <w:rsid w:val="00920D86"/>
    <w:pPr>
      <w:spacing w:line="320" w:lineRule="atLeast"/>
    </w:pPr>
    <w:rPr>
      <w:rFonts w:eastAsia="Times New Roman" w:cs="Times New Roman"/>
      <w:b/>
      <w:color w:val="FFFFFF"/>
      <w:sz w:val="30"/>
    </w:rPr>
  </w:style>
  <w:style w:type="paragraph" w:customStyle="1" w:styleId="FactBoxHeading3">
    <w:name w:val="Fact Box Heading 3"/>
    <w:basedOn w:val="Normal"/>
    <w:next w:val="FactBoxBodytext"/>
    <w:uiPriority w:val="7"/>
    <w:rsid w:val="00920D86"/>
    <w:pPr>
      <w:spacing w:after="100" w:line="220" w:lineRule="atLeast"/>
    </w:pPr>
    <w:rPr>
      <w:rFonts w:eastAsia="Times New Roman" w:cs="Times New Roman"/>
      <w:b/>
      <w:color w:val="FFFFFF"/>
    </w:rPr>
  </w:style>
  <w:style w:type="paragraph" w:customStyle="1" w:styleId="FactBoxBodytext">
    <w:name w:val="Fact Box Body text"/>
    <w:basedOn w:val="Normal"/>
    <w:uiPriority w:val="7"/>
    <w:rsid w:val="00920D86"/>
    <w:pPr>
      <w:spacing w:after="120" w:line="280" w:lineRule="atLeast"/>
      <w:contextualSpacing/>
    </w:pPr>
    <w:rPr>
      <w:rFonts w:eastAsia="Times New Roman" w:cs="Times New Roman"/>
      <w:color w:val="FFFFFF"/>
    </w:rPr>
  </w:style>
  <w:style w:type="paragraph" w:customStyle="1" w:styleId="Caption-Text">
    <w:name w:val="Caption - Text"/>
    <w:basedOn w:val="Normal"/>
    <w:next w:val="Normal"/>
    <w:qFormat/>
    <w:rsid w:val="00920D86"/>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7"/>
    <w:semiHidden/>
    <w:rsid w:val="00920D86"/>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7"/>
    <w:semiHidden/>
    <w:rsid w:val="00920D86"/>
    <w:pPr>
      <w:keepNext w:val="0"/>
      <w:keepLines w:val="0"/>
      <w:numPr>
        <w:numId w:val="13"/>
      </w:numPr>
      <w:spacing w:before="0"/>
      <w:outlineLvl w:val="7"/>
    </w:pPr>
  </w:style>
  <w:style w:type="paragraph" w:customStyle="1" w:styleId="TOCHeading-Indent">
    <w:name w:val="TOC Heading - Indent"/>
    <w:basedOn w:val="TOCHeading"/>
    <w:uiPriority w:val="39"/>
    <w:semiHidden/>
    <w:rsid w:val="00920D86"/>
    <w:pPr>
      <w:ind w:left="-567"/>
    </w:pPr>
  </w:style>
  <w:style w:type="paragraph" w:customStyle="1" w:styleId="FactBoxHeading2">
    <w:name w:val="Fact Box Heading 2"/>
    <w:basedOn w:val="Normal"/>
    <w:uiPriority w:val="7"/>
    <w:rsid w:val="00920D86"/>
    <w:pPr>
      <w:spacing w:after="160"/>
    </w:pPr>
    <w:rPr>
      <w:rFonts w:eastAsia="Times New Roman" w:cs="Times New Roman"/>
      <w:b/>
      <w:color w:val="FFFFFF"/>
      <w:sz w:val="22"/>
    </w:rPr>
  </w:style>
  <w:style w:type="paragraph" w:customStyle="1" w:styleId="FrontpageInfo">
    <w:name w:val="Frontpage Info"/>
    <w:basedOn w:val="Normal"/>
    <w:uiPriority w:val="8"/>
    <w:rsid w:val="00053E7C"/>
    <w:pPr>
      <w:spacing w:line="360" w:lineRule="atLeast"/>
    </w:pPr>
    <w:rPr>
      <w:color w:val="FFFFFF"/>
      <w:sz w:val="30"/>
    </w:rPr>
  </w:style>
  <w:style w:type="paragraph" w:customStyle="1" w:styleId="H2-NOTTOC">
    <w:name w:val="H2 - NOT TOC"/>
    <w:basedOn w:val="Heading2"/>
    <w:next w:val="Normal"/>
    <w:uiPriority w:val="4"/>
    <w:rsid w:val="00920D86"/>
    <w:pPr>
      <w:numPr>
        <w:numId w:val="1"/>
      </w:numPr>
      <w:outlineLvl w:val="9"/>
    </w:pPr>
  </w:style>
  <w:style w:type="paragraph" w:customStyle="1" w:styleId="H3-NOTTOC">
    <w:name w:val="H3 - NOT TOC"/>
    <w:basedOn w:val="Heading3"/>
    <w:next w:val="Normal"/>
    <w:uiPriority w:val="4"/>
    <w:rsid w:val="00920D86"/>
    <w:pPr>
      <w:numPr>
        <w:numId w:val="1"/>
      </w:numPr>
      <w:outlineLvl w:val="9"/>
    </w:pPr>
  </w:style>
  <w:style w:type="paragraph" w:customStyle="1" w:styleId="H4-NOTTOC">
    <w:name w:val="H4 - NOT TOC"/>
    <w:basedOn w:val="Heading4"/>
    <w:next w:val="Normal"/>
    <w:uiPriority w:val="4"/>
    <w:rsid w:val="00920D86"/>
    <w:pPr>
      <w:numPr>
        <w:numId w:val="1"/>
      </w:numPr>
      <w:outlineLvl w:val="9"/>
    </w:pPr>
  </w:style>
  <w:style w:type="paragraph" w:customStyle="1" w:styleId="Titlepage">
    <w:name w:val="Titlepage"/>
    <w:basedOn w:val="Subtitle"/>
    <w:uiPriority w:val="8"/>
    <w:semiHidden/>
    <w:qFormat/>
    <w:rsid w:val="00920D86"/>
    <w:pPr>
      <w:framePr w:wrap="around" w:vAnchor="page" w:hAnchor="page" w:x="1163" w:y="4310"/>
      <w:numPr>
        <w:ilvl w:val="0"/>
      </w:numPr>
      <w:contextualSpacing w:val="0"/>
    </w:pPr>
    <w:rPr>
      <w:rFonts w:eastAsia="Times New Roman" w:cs="Times New Roman"/>
      <w:b/>
      <w:iCs w:val="0"/>
      <w:color w:val="009DF0" w:themeColor="text2"/>
    </w:rPr>
  </w:style>
  <w:style w:type="paragraph" w:customStyle="1" w:styleId="Headnote">
    <w:name w:val="Head note"/>
    <w:basedOn w:val="Normal"/>
    <w:uiPriority w:val="2"/>
    <w:rsid w:val="00920D86"/>
    <w:pPr>
      <w:spacing w:after="280" w:line="280" w:lineRule="atLeast"/>
    </w:pPr>
    <w:rPr>
      <w:rFonts w:eastAsia="Times New Roman" w:cs="Times New Roman"/>
      <w:b/>
      <w:color w:val="4D4D4D"/>
      <w:sz w:val="21"/>
    </w:rPr>
  </w:style>
  <w:style w:type="paragraph" w:customStyle="1" w:styleId="FigureHeading">
    <w:name w:val="Figure Heading"/>
    <w:basedOn w:val="Normal"/>
    <w:uiPriority w:val="5"/>
    <w:rsid w:val="00920D86"/>
    <w:rPr>
      <w:b/>
      <w:color w:val="009DF0" w:themeColor="text2"/>
    </w:rPr>
  </w:style>
  <w:style w:type="paragraph" w:customStyle="1" w:styleId="OrgName">
    <w:name w:val="Org Name"/>
    <w:basedOn w:val="Normal"/>
    <w:uiPriority w:val="5"/>
    <w:rsid w:val="00920D86"/>
    <w:pPr>
      <w:spacing w:line="200" w:lineRule="atLeast"/>
    </w:pPr>
    <w:rPr>
      <w:rFonts w:eastAsia="Times New Roman" w:cs="Times New Roman"/>
      <w:b/>
      <w:color w:val="FFFFFF"/>
      <w:sz w:val="16"/>
    </w:rPr>
  </w:style>
  <w:style w:type="paragraph" w:customStyle="1" w:styleId="BackpageWeb">
    <w:name w:val="Backpage Web"/>
    <w:basedOn w:val="Normal"/>
    <w:uiPriority w:val="8"/>
    <w:rsid w:val="00E37AEE"/>
    <w:pPr>
      <w:spacing w:line="290" w:lineRule="atLeast"/>
    </w:pPr>
    <w:rPr>
      <w:color w:val="009DF0" w:themeColor="text2"/>
      <w:sz w:val="24"/>
    </w:rPr>
  </w:style>
  <w:style w:type="paragraph" w:customStyle="1" w:styleId="Default">
    <w:name w:val="Default"/>
    <w:rsid w:val="00964042"/>
    <w:pPr>
      <w:autoSpaceDE w:val="0"/>
      <w:autoSpaceDN w:val="0"/>
      <w:adjustRightInd w:val="0"/>
      <w:spacing w:line="240" w:lineRule="auto"/>
    </w:pPr>
    <w:rPr>
      <w:rFonts w:ascii="Calibri" w:hAnsi="Calibri" w:cs="Calibri"/>
      <w:color w:val="000000"/>
      <w:sz w:val="24"/>
      <w:szCs w:val="24"/>
      <w:lang w:val="ro-RO"/>
    </w:rPr>
  </w:style>
  <w:style w:type="character" w:customStyle="1" w:styleId="ListParagraphChar">
    <w:name w:val="List Paragraph Char"/>
    <w:aliases w:val="Heading1 Char,body 2 Char,List Paragraph1 Char,Header bold Char,heading 7 Char,List Paragraph11 Char,bullets Char,Arial Char,Normal bullet 2 Char,Forth level Char,List_Paragraph Char,Multilevel para_II Char,Bullet Char,EU Char"/>
    <w:link w:val="ListParagraph"/>
    <w:uiPriority w:val="34"/>
    <w:qFormat/>
    <w:locked/>
    <w:rsid w:val="00964042"/>
    <w:rPr>
      <w:lang w:val="en-US"/>
    </w:rPr>
  </w:style>
  <w:style w:type="character" w:customStyle="1" w:styleId="CaptionChar">
    <w:name w:val="Caption Char"/>
    <w:aliases w:val="Map Char Char1,Map Char1,Map Char Char Char Char Char Char,Caption Char Char Car Car Char,Caption Char Char Car Car Car Char,Map Char Char Char Car Car Char,Caption Char Char Char,Map Char Char Char1,Map Char Char Char Char,Titlu Tabel Char"/>
    <w:link w:val="Caption"/>
    <w:uiPriority w:val="3"/>
    <w:qFormat/>
    <w:locked/>
    <w:rsid w:val="00BC1CD7"/>
    <w:rPr>
      <w:b/>
      <w:bCs/>
      <w:color w:val="009DF0" w:themeColor="text2"/>
      <w:sz w:val="14"/>
      <w:lang w:val="en-US"/>
    </w:rPr>
  </w:style>
  <w:style w:type="paragraph" w:styleId="Revision">
    <w:name w:val="Revision"/>
    <w:hidden/>
    <w:uiPriority w:val="99"/>
    <w:semiHidden/>
    <w:rsid w:val="00693554"/>
    <w:pPr>
      <w:spacing w:line="240" w:lineRule="auto"/>
    </w:pPr>
    <w:rPr>
      <w:lang w:val="en-US"/>
    </w:rPr>
  </w:style>
  <w:style w:type="table" w:customStyle="1" w:styleId="Rambolltebel11">
    <w:name w:val="Ramboll tebel 11"/>
    <w:basedOn w:val="TableNormal"/>
    <w:next w:val="GridTable5Dark-Accent1"/>
    <w:uiPriority w:val="50"/>
    <w:rsid w:val="00FD4EE4"/>
    <w:pPr>
      <w:spacing w:before="60" w:after="60" w:line="276" w:lineRule="auto"/>
    </w:pPr>
    <w:rPr>
      <w:sz w:val="16"/>
    </w:rPr>
    <w:tblPr>
      <w:tblStyleRowBandSize w:val="1"/>
      <w:tblStyleCol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vAlign w:val="center"/>
    </w:tcPr>
    <w:tblStylePr w:type="firstRow">
      <w:rPr>
        <w:rFonts w:ascii="Verdana" w:hAnsi="Verdana"/>
        <w:b/>
        <w:bCs/>
        <w:color w:val="FFFFFF"/>
        <w:sz w:val="18"/>
      </w:rPr>
      <w:tblPr/>
      <w:tcPr>
        <w:shd w:val="clear" w:color="auto" w:fill="009DF0"/>
      </w:tcPr>
    </w:tblStylePr>
    <w:tblStylePr w:type="lastRow">
      <w:rPr>
        <w:rFonts w:ascii="Verdana" w:hAnsi="Verdana"/>
        <w:b/>
        <w:bCs/>
        <w:color w:val="auto"/>
        <w:sz w:val="18"/>
      </w:rPr>
      <w:tblPr/>
      <w:tcPr>
        <w:shd w:val="clear" w:color="auto" w:fill="BFBFBF"/>
      </w:tcPr>
    </w:tblStylePr>
    <w:tblStylePr w:type="firstCol">
      <w:pPr>
        <w:wordWrap/>
        <w:jc w:val="center"/>
      </w:pPr>
      <w:rPr>
        <w:rFonts w:ascii="Verdana" w:hAnsi="Verdana"/>
        <w:b/>
        <w:bCs/>
        <w:color w:val="FFFFFF"/>
        <w:sz w:val="16"/>
      </w:rPr>
      <w:tblPr/>
      <w:tcPr>
        <w:shd w:val="clear" w:color="auto" w:fill="009DF0"/>
      </w:tcPr>
    </w:tblStylePr>
    <w:tblStylePr w:type="lastCol">
      <w:rPr>
        <w:rFonts w:ascii="Verdana" w:hAnsi="Verdana"/>
        <w:b w:val="0"/>
        <w:bCs/>
        <w:color w:val="FFFFFF"/>
        <w:sz w:val="16"/>
      </w:rPr>
      <w:tblPr/>
      <w:tcPr>
        <w:shd w:val="clear" w:color="auto" w:fill="FFFFFF"/>
      </w:tcPr>
    </w:tblStylePr>
    <w:tblStylePr w:type="band1Vert">
      <w:rPr>
        <w:rFonts w:ascii="Verdana" w:hAnsi="Verdana"/>
        <w:sz w:val="16"/>
      </w:rPr>
      <w:tblPr/>
      <w:tcPr>
        <w:shd w:val="clear" w:color="auto" w:fill="FFFFFF"/>
      </w:tcPr>
    </w:tblStylePr>
    <w:tblStylePr w:type="band2Vert">
      <w:rPr>
        <w:rFonts w:ascii="Verdana" w:hAnsi="Verdana"/>
        <w:sz w:val="16"/>
      </w:rPr>
      <w:tblPr/>
      <w:tcPr>
        <w:shd w:val="clear" w:color="auto" w:fill="FFFFFF"/>
      </w:tcPr>
    </w:tblStylePr>
    <w:tblStylePr w:type="band1Horz">
      <w:rPr>
        <w:rFonts w:ascii="Verdana" w:hAnsi="Verdana"/>
        <w:sz w:val="16"/>
      </w:rPr>
    </w:tblStylePr>
    <w:tblStylePr w:type="band2Horz">
      <w:rPr>
        <w:rFonts w:ascii="Verdana" w:hAnsi="Verdana"/>
        <w:sz w:val="16"/>
      </w:rPr>
    </w:tblStylePr>
  </w:style>
  <w:style w:type="paragraph" w:customStyle="1" w:styleId="text-start">
    <w:name w:val="text-start"/>
    <w:basedOn w:val="Normal"/>
    <w:rsid w:val="00AF32D5"/>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msonormal0">
    <w:name w:val="msonormal"/>
    <w:basedOn w:val="Normal"/>
    <w:rsid w:val="00FC3738"/>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xl64">
    <w:name w:val="xl64"/>
    <w:basedOn w:val="Normal"/>
    <w:rsid w:val="00FC3738"/>
    <w:pPr>
      <w:spacing w:before="100" w:beforeAutospacing="1" w:after="100" w:afterAutospacing="1" w:line="240" w:lineRule="auto"/>
      <w:textAlignment w:val="center"/>
    </w:pPr>
    <w:rPr>
      <w:rFonts w:ascii="Times New Roman" w:eastAsia="Times New Roman" w:hAnsi="Times New Roman" w:cs="Times New Roman"/>
      <w:sz w:val="24"/>
      <w:szCs w:val="24"/>
      <w:lang w:val="ro-RO" w:eastAsia="ro-RO"/>
    </w:rPr>
  </w:style>
  <w:style w:type="paragraph" w:customStyle="1" w:styleId="xl65">
    <w:name w:val="xl65"/>
    <w:basedOn w:val="Normal"/>
    <w:rsid w:val="00FC3738"/>
    <w:pPr>
      <w:spacing w:before="100" w:beforeAutospacing="1" w:after="100" w:afterAutospacing="1" w:line="240" w:lineRule="auto"/>
      <w:jc w:val="center"/>
      <w:textAlignment w:val="center"/>
    </w:pPr>
    <w:rPr>
      <w:rFonts w:ascii="Times New Roman" w:eastAsia="Times New Roman" w:hAnsi="Times New Roman" w:cs="Times New Roman"/>
      <w:sz w:val="24"/>
      <w:szCs w:val="24"/>
      <w:lang w:val="ro-RO" w:eastAsia="ro-RO"/>
    </w:rPr>
  </w:style>
  <w:style w:type="table" w:customStyle="1" w:styleId="TableGrid0">
    <w:name w:val="TableGrid"/>
    <w:qFormat/>
    <w:rsid w:val="00A873A3"/>
    <w:pPr>
      <w:spacing w:line="240" w:lineRule="auto"/>
    </w:pPr>
    <w:rPr>
      <w:rFonts w:ascii="Aptos" w:eastAsia="DengXian" w:hAnsi="Aptos"/>
      <w:sz w:val="20"/>
      <w:szCs w:val="20"/>
      <w:lang w:val="ro-RO" w:eastAsia="ro-RO"/>
    </w:rPr>
    <w:tblPr>
      <w:tblCellMar>
        <w:top w:w="0" w:type="dxa"/>
        <w:left w:w="0" w:type="dxa"/>
        <w:bottom w:w="0" w:type="dxa"/>
        <w:right w:w="0" w:type="dxa"/>
      </w:tblCellMar>
    </w:tblPr>
  </w:style>
  <w:style w:type="paragraph" w:customStyle="1" w:styleId="footnotedescription">
    <w:name w:val="footnote description"/>
    <w:next w:val="Normal"/>
    <w:link w:val="footnotedescriptionChar"/>
    <w:qFormat/>
    <w:rsid w:val="002F0E1E"/>
    <w:pPr>
      <w:spacing w:after="80" w:line="259" w:lineRule="auto"/>
    </w:pPr>
    <w:rPr>
      <w:rFonts w:eastAsia="Verdana" w:cs="Verdana"/>
      <w:color w:val="000000"/>
      <w:sz w:val="13"/>
      <w:szCs w:val="22"/>
      <w:lang w:val="en-GB" w:eastAsia="en-GB"/>
    </w:rPr>
  </w:style>
  <w:style w:type="character" w:customStyle="1" w:styleId="footnotedescriptionChar">
    <w:name w:val="footnote description Char"/>
    <w:link w:val="footnotedescription"/>
    <w:qFormat/>
    <w:rsid w:val="002F0E1E"/>
    <w:rPr>
      <w:rFonts w:eastAsia="Verdana" w:cs="Verdana"/>
      <w:color w:val="000000"/>
      <w:sz w:val="13"/>
      <w:szCs w:val="22"/>
      <w:lang w:val="en-GB" w:eastAsia="en-GB"/>
    </w:rPr>
  </w:style>
  <w:style w:type="character" w:customStyle="1" w:styleId="footnotemark">
    <w:name w:val="footnote mark"/>
    <w:rsid w:val="002F0E1E"/>
    <w:rPr>
      <w:rFonts w:ascii="Verdana" w:eastAsia="Verdana" w:hAnsi="Verdana" w:cs="Verdana"/>
      <w:color w:val="000000"/>
      <w:sz w:val="13"/>
      <w:vertAlign w:val="superscript"/>
    </w:rPr>
  </w:style>
  <w:style w:type="paragraph" w:customStyle="1" w:styleId="xl66">
    <w:name w:val="xl66"/>
    <w:basedOn w:val="Normal"/>
    <w:rsid w:val="005B48A2"/>
    <w:pPr>
      <w:pBdr>
        <w:top w:val="single" w:sz="4" w:space="0" w:color="B0B0B0"/>
        <w:left w:val="single" w:sz="4" w:space="0" w:color="B0B0B0"/>
        <w:bottom w:val="single" w:sz="4" w:space="0" w:color="B0B0B0"/>
        <w:right w:val="single" w:sz="4" w:space="0" w:color="B0B0B0"/>
      </w:pBd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xl67">
    <w:name w:val="xl67"/>
    <w:basedOn w:val="Normal"/>
    <w:rsid w:val="005B48A2"/>
    <w:pPr>
      <w:pBdr>
        <w:top w:val="single" w:sz="4" w:space="0" w:color="B0B0B0"/>
        <w:left w:val="single" w:sz="4" w:space="0" w:color="B0B0B0"/>
        <w:bottom w:val="single" w:sz="4" w:space="0" w:color="B0B0B0"/>
        <w:right w:val="single" w:sz="4" w:space="0" w:color="B0B0B0"/>
      </w:pBdr>
      <w:shd w:val="clear" w:color="E8F4F4" w:fill="E0F0F0"/>
      <w:spacing w:before="100" w:beforeAutospacing="1" w:after="100" w:afterAutospacing="1" w:line="240" w:lineRule="auto"/>
      <w:jc w:val="center"/>
      <w:textAlignment w:val="center"/>
    </w:pPr>
    <w:rPr>
      <w:rFonts w:ascii="Arial" w:eastAsia="Times New Roman" w:hAnsi="Arial" w:cs="Arial"/>
      <w:b/>
      <w:bCs/>
      <w:sz w:val="20"/>
      <w:szCs w:val="20"/>
      <w:lang w:val="ro-RO" w:eastAsia="ro-RO"/>
    </w:rPr>
  </w:style>
  <w:style w:type="paragraph" w:customStyle="1" w:styleId="xl68">
    <w:name w:val="xl68"/>
    <w:basedOn w:val="Normal"/>
    <w:rsid w:val="005B48A2"/>
    <w:pPr>
      <w:pBdr>
        <w:top w:val="single" w:sz="4" w:space="0" w:color="B0B0B0"/>
        <w:left w:val="single" w:sz="4" w:space="0" w:color="B0B0B0"/>
        <w:bottom w:val="single" w:sz="4" w:space="0" w:color="B0B0B0"/>
        <w:right w:val="single" w:sz="4" w:space="0" w:color="B0B0B0"/>
      </w:pBdr>
      <w:shd w:val="clear" w:color="008080" w:fill="01696F"/>
      <w:spacing w:before="100" w:beforeAutospacing="1" w:after="100" w:afterAutospacing="1" w:line="240" w:lineRule="auto"/>
      <w:jc w:val="center"/>
      <w:textAlignment w:val="center"/>
    </w:pPr>
    <w:rPr>
      <w:rFonts w:ascii="Arial" w:eastAsia="Times New Roman" w:hAnsi="Arial" w:cs="Arial"/>
      <w:b/>
      <w:bCs/>
      <w:color w:val="FFFFFF"/>
      <w:lang w:val="ro-RO" w:eastAsia="ro-RO"/>
    </w:rPr>
  </w:style>
  <w:style w:type="paragraph" w:customStyle="1" w:styleId="xl69">
    <w:name w:val="xl69"/>
    <w:basedOn w:val="Normal"/>
    <w:rsid w:val="005B48A2"/>
    <w:pPr>
      <w:pBdr>
        <w:top w:val="single" w:sz="4" w:space="0" w:color="B0B0B0"/>
        <w:left w:val="single" w:sz="4" w:space="0" w:color="B0B0B0"/>
        <w:bottom w:val="single" w:sz="4" w:space="0" w:color="B0B0B0"/>
        <w:right w:val="single" w:sz="4" w:space="0" w:color="B0B0B0"/>
      </w:pBdr>
      <w:shd w:val="clear" w:color="F5F5F5" w:fill="F5FAFA"/>
      <w:spacing w:before="100" w:beforeAutospacing="1" w:after="100" w:afterAutospacing="1" w:line="240" w:lineRule="auto"/>
      <w:jc w:val="center"/>
      <w:textAlignment w:val="center"/>
    </w:pPr>
    <w:rPr>
      <w:rFonts w:ascii="Arial" w:eastAsia="Times New Roman" w:hAnsi="Arial" w:cs="Arial"/>
      <w:b/>
      <w:bCs/>
      <w:sz w:val="20"/>
      <w:szCs w:val="20"/>
      <w:lang w:val="ro-RO" w:eastAsia="ro-RO"/>
    </w:rPr>
  </w:style>
  <w:style w:type="paragraph" w:customStyle="1" w:styleId="xl70">
    <w:name w:val="xl70"/>
    <w:basedOn w:val="Normal"/>
    <w:rsid w:val="005B48A2"/>
    <w:pPr>
      <w:pBdr>
        <w:top w:val="single" w:sz="4" w:space="0" w:color="B0B0B0"/>
        <w:left w:val="single" w:sz="4" w:space="0" w:color="B0B0B0"/>
        <w:bottom w:val="single" w:sz="4" w:space="0" w:color="B0B0B0"/>
        <w:right w:val="single" w:sz="4" w:space="0" w:color="B0B0B0"/>
      </w:pBdr>
      <w:shd w:val="clear" w:color="F5F5F5" w:fill="F5FAFA"/>
      <w:spacing w:before="100" w:beforeAutospacing="1" w:after="100" w:afterAutospacing="1" w:line="240" w:lineRule="auto"/>
      <w:textAlignment w:val="center"/>
    </w:pPr>
    <w:rPr>
      <w:rFonts w:ascii="Arial" w:eastAsia="Times New Roman" w:hAnsi="Arial" w:cs="Arial"/>
      <w:b/>
      <w:bCs/>
      <w:sz w:val="20"/>
      <w:szCs w:val="20"/>
      <w:lang w:val="ro-RO" w:eastAsia="ro-RO"/>
    </w:rPr>
  </w:style>
  <w:style w:type="paragraph" w:customStyle="1" w:styleId="xl71">
    <w:name w:val="xl71"/>
    <w:basedOn w:val="Normal"/>
    <w:rsid w:val="005B48A2"/>
    <w:pPr>
      <w:pBdr>
        <w:top w:val="single" w:sz="4" w:space="0" w:color="B0B0B0"/>
        <w:left w:val="single" w:sz="4" w:space="0" w:color="B0B0B0"/>
        <w:bottom w:val="single" w:sz="4" w:space="0" w:color="B0B0B0"/>
        <w:right w:val="single" w:sz="4" w:space="0" w:color="B0B0B0"/>
      </w:pBdr>
      <w:shd w:val="clear" w:color="B0B0B0" w:fill="8BC34A"/>
      <w:spacing w:before="100" w:beforeAutospacing="1" w:after="100" w:afterAutospacing="1" w:line="240" w:lineRule="auto"/>
      <w:jc w:val="center"/>
      <w:textAlignment w:val="center"/>
    </w:pPr>
    <w:rPr>
      <w:rFonts w:ascii="Arial" w:eastAsia="Times New Roman" w:hAnsi="Arial" w:cs="Arial"/>
      <w:b/>
      <w:bCs/>
      <w:color w:val="1B5E20"/>
      <w:lang w:val="ro-RO" w:eastAsia="ro-RO"/>
    </w:rPr>
  </w:style>
  <w:style w:type="paragraph" w:customStyle="1" w:styleId="xl72">
    <w:name w:val="xl72"/>
    <w:basedOn w:val="Normal"/>
    <w:rsid w:val="005B48A2"/>
    <w:pPr>
      <w:pBdr>
        <w:top w:val="single" w:sz="4" w:space="0" w:color="B0B0B0"/>
        <w:left w:val="single" w:sz="4" w:space="0" w:color="B0B0B0"/>
        <w:bottom w:val="single" w:sz="4" w:space="0" w:color="B0B0B0"/>
        <w:right w:val="single" w:sz="4" w:space="0" w:color="B0B0B0"/>
      </w:pBdr>
      <w:shd w:val="clear" w:color="F5FAFA" w:fill="F5F5F5"/>
      <w:spacing w:before="100" w:beforeAutospacing="1" w:after="100" w:afterAutospacing="1" w:line="240" w:lineRule="auto"/>
      <w:jc w:val="center"/>
      <w:textAlignment w:val="center"/>
    </w:pPr>
    <w:rPr>
      <w:rFonts w:ascii="Arial" w:eastAsia="Times New Roman" w:hAnsi="Arial" w:cs="Arial"/>
      <w:color w:val="999999"/>
      <w:lang w:val="ro-RO" w:eastAsia="ro-RO"/>
    </w:rPr>
  </w:style>
  <w:style w:type="paragraph" w:customStyle="1" w:styleId="xl73">
    <w:name w:val="xl73"/>
    <w:basedOn w:val="Normal"/>
    <w:rsid w:val="005B48A2"/>
    <w:pPr>
      <w:pBdr>
        <w:top w:val="single" w:sz="4" w:space="0" w:color="B0B0B0"/>
        <w:left w:val="single" w:sz="4" w:space="0" w:color="B0B0B0"/>
        <w:bottom w:val="single" w:sz="4" w:space="0" w:color="B0B0B0"/>
        <w:right w:val="single" w:sz="4" w:space="0" w:color="B0B0B0"/>
      </w:pBdr>
      <w:shd w:val="clear" w:color="1B5E20" w:fill="1B7A3D"/>
      <w:spacing w:before="100" w:beforeAutospacing="1" w:after="100" w:afterAutospacing="1" w:line="240" w:lineRule="auto"/>
      <w:jc w:val="center"/>
      <w:textAlignment w:val="center"/>
    </w:pPr>
    <w:rPr>
      <w:rFonts w:ascii="Arial" w:eastAsia="Times New Roman" w:hAnsi="Arial" w:cs="Arial"/>
      <w:b/>
      <w:bCs/>
      <w:color w:val="FFFFFF"/>
      <w:lang w:val="ro-RO" w:eastAsia="ro-RO"/>
    </w:rPr>
  </w:style>
  <w:style w:type="paragraph" w:customStyle="1" w:styleId="xl74">
    <w:name w:val="xl74"/>
    <w:basedOn w:val="Normal"/>
    <w:rsid w:val="005B48A2"/>
    <w:pPr>
      <w:pBdr>
        <w:top w:val="single" w:sz="4" w:space="0" w:color="B0B0B0"/>
        <w:left w:val="single" w:sz="4" w:space="0" w:color="B0B0B0"/>
        <w:bottom w:val="single" w:sz="4" w:space="0" w:color="B0B0B0"/>
        <w:right w:val="single" w:sz="4" w:space="0" w:color="B0B0B0"/>
      </w:pBdr>
      <w:shd w:val="clear" w:color="FF6600" w:fill="FF9800"/>
      <w:spacing w:before="100" w:beforeAutospacing="1" w:after="100" w:afterAutospacing="1" w:line="240" w:lineRule="auto"/>
      <w:jc w:val="center"/>
      <w:textAlignment w:val="center"/>
    </w:pPr>
    <w:rPr>
      <w:rFonts w:ascii="Arial" w:eastAsia="Times New Roman" w:hAnsi="Arial" w:cs="Arial"/>
      <w:b/>
      <w:bCs/>
      <w:color w:val="FFFFFF"/>
      <w:lang w:val="ro-RO" w:eastAsia="ro-RO"/>
    </w:rPr>
  </w:style>
  <w:style w:type="paragraph" w:customStyle="1" w:styleId="xl75">
    <w:name w:val="xl75"/>
    <w:basedOn w:val="Normal"/>
    <w:rsid w:val="005B48A2"/>
    <w:pPr>
      <w:pBdr>
        <w:top w:val="single" w:sz="4" w:space="0" w:color="B0B0B0"/>
        <w:left w:val="single" w:sz="4" w:space="0" w:color="B0B0B0"/>
        <w:bottom w:val="single" w:sz="4" w:space="0" w:color="B0B0B0"/>
        <w:right w:val="single" w:sz="4" w:space="0" w:color="B0B0B0"/>
      </w:pBdr>
      <w:spacing w:before="100" w:beforeAutospacing="1" w:after="100" w:afterAutospacing="1" w:line="240" w:lineRule="auto"/>
      <w:jc w:val="center"/>
      <w:textAlignment w:val="center"/>
    </w:pPr>
    <w:rPr>
      <w:rFonts w:ascii="Arial" w:eastAsia="Times New Roman" w:hAnsi="Arial" w:cs="Arial"/>
      <w:b/>
      <w:bCs/>
      <w:sz w:val="20"/>
      <w:szCs w:val="20"/>
      <w:lang w:val="ro-RO" w:eastAsia="ro-RO"/>
    </w:rPr>
  </w:style>
  <w:style w:type="paragraph" w:customStyle="1" w:styleId="xl76">
    <w:name w:val="xl76"/>
    <w:basedOn w:val="Normal"/>
    <w:rsid w:val="005B48A2"/>
    <w:pPr>
      <w:pBdr>
        <w:top w:val="single" w:sz="4" w:space="0" w:color="B0B0B0"/>
        <w:left w:val="single" w:sz="4" w:space="0" w:color="B0B0B0"/>
        <w:bottom w:val="single" w:sz="4" w:space="0" w:color="B0B0B0"/>
        <w:right w:val="single" w:sz="4" w:space="0" w:color="B0B0B0"/>
      </w:pBdr>
      <w:spacing w:before="100" w:beforeAutospacing="1" w:after="100" w:afterAutospacing="1" w:line="240" w:lineRule="auto"/>
      <w:jc w:val="center"/>
      <w:textAlignment w:val="center"/>
    </w:pPr>
    <w:rPr>
      <w:rFonts w:ascii="Arial" w:eastAsia="Times New Roman" w:hAnsi="Arial" w:cs="Arial"/>
      <w:i/>
      <w:iCs/>
      <w:color w:val="555555"/>
      <w:lang w:val="ro-RO" w:eastAsia="ro-RO"/>
    </w:rPr>
  </w:style>
  <w:style w:type="paragraph" w:customStyle="1" w:styleId="xl77">
    <w:name w:val="xl77"/>
    <w:basedOn w:val="Normal"/>
    <w:rsid w:val="005B48A2"/>
    <w:pPr>
      <w:pBdr>
        <w:top w:val="single" w:sz="4" w:space="0" w:color="B0B0B0"/>
        <w:left w:val="single" w:sz="4" w:space="14" w:color="B0B0B0"/>
        <w:bottom w:val="single" w:sz="4" w:space="0" w:color="B0B0B0"/>
        <w:right w:val="single" w:sz="4" w:space="0" w:color="B0B0B0"/>
      </w:pBdr>
      <w:spacing w:before="100" w:beforeAutospacing="1" w:after="100" w:afterAutospacing="1" w:line="240" w:lineRule="auto"/>
      <w:ind w:firstLineChars="200" w:firstLine="200"/>
      <w:textAlignment w:val="center"/>
    </w:pPr>
    <w:rPr>
      <w:rFonts w:ascii="Arial" w:eastAsia="Times New Roman" w:hAnsi="Arial" w:cs="Arial"/>
      <w:lang w:val="ro-RO" w:eastAsia="ro-RO"/>
    </w:rPr>
  </w:style>
  <w:style w:type="paragraph" w:customStyle="1" w:styleId="xl78">
    <w:name w:val="xl78"/>
    <w:basedOn w:val="Normal"/>
    <w:rsid w:val="005B48A2"/>
    <w:pPr>
      <w:pBdr>
        <w:top w:val="single" w:sz="4" w:space="0" w:color="B0B0B0"/>
        <w:left w:val="single" w:sz="4" w:space="0" w:color="B0B0B0"/>
        <w:bottom w:val="single" w:sz="4" w:space="0" w:color="B0B0B0"/>
        <w:right w:val="single" w:sz="4" w:space="0" w:color="B0B0B0"/>
      </w:pBdr>
      <w:spacing w:before="100" w:beforeAutospacing="1" w:after="100" w:afterAutospacing="1" w:line="240" w:lineRule="auto"/>
      <w:jc w:val="center"/>
      <w:textAlignment w:val="center"/>
    </w:pPr>
    <w:rPr>
      <w:rFonts w:ascii="Arial" w:eastAsia="Times New Roman" w:hAnsi="Arial" w:cs="Arial"/>
      <w:color w:val="BBBBBB"/>
      <w:sz w:val="16"/>
      <w:szCs w:val="16"/>
      <w:lang w:val="ro-RO" w:eastAsia="ro-RO"/>
    </w:rPr>
  </w:style>
  <w:style w:type="paragraph" w:customStyle="1" w:styleId="xl79">
    <w:name w:val="xl79"/>
    <w:basedOn w:val="Normal"/>
    <w:rsid w:val="005B48A2"/>
    <w:pPr>
      <w:pBdr>
        <w:top w:val="single" w:sz="4" w:space="0" w:color="B0B0B0"/>
        <w:left w:val="single" w:sz="4" w:space="0" w:color="B0B0B0"/>
        <w:bottom w:val="single" w:sz="4" w:space="0" w:color="B0B0B0"/>
        <w:right w:val="single" w:sz="4" w:space="0" w:color="B0B0B0"/>
      </w:pBdr>
      <w:shd w:val="clear" w:color="993366" w:fill="D32F2F"/>
      <w:spacing w:before="100" w:beforeAutospacing="1" w:after="100" w:afterAutospacing="1" w:line="240" w:lineRule="auto"/>
      <w:jc w:val="center"/>
      <w:textAlignment w:val="center"/>
    </w:pPr>
    <w:rPr>
      <w:rFonts w:ascii="Arial" w:eastAsia="Times New Roman" w:hAnsi="Arial" w:cs="Arial"/>
      <w:b/>
      <w:bCs/>
      <w:color w:val="FFFFFF"/>
      <w:lang w:val="ro-RO" w:eastAsia="ro-RO"/>
    </w:rPr>
  </w:style>
  <w:style w:type="paragraph" w:customStyle="1" w:styleId="xl80">
    <w:name w:val="xl80"/>
    <w:basedOn w:val="Normal"/>
    <w:rsid w:val="005B48A2"/>
    <w:pPr>
      <w:pBdr>
        <w:top w:val="single" w:sz="4" w:space="0" w:color="B0B0B0"/>
        <w:left w:val="single" w:sz="4" w:space="0" w:color="B0B0B0"/>
        <w:bottom w:val="single" w:sz="4" w:space="0" w:color="B0B0B0"/>
        <w:right w:val="single" w:sz="4" w:space="0" w:color="B0B0B0"/>
      </w:pBdr>
      <w:shd w:val="clear" w:color="E8F4F4" w:fill="E0F0F0"/>
      <w:spacing w:before="100" w:beforeAutospacing="1" w:after="100" w:afterAutospacing="1" w:line="240" w:lineRule="auto"/>
      <w:textAlignment w:val="center"/>
    </w:pPr>
    <w:rPr>
      <w:rFonts w:ascii="Arial" w:eastAsia="Times New Roman" w:hAnsi="Arial" w:cs="Arial"/>
      <w:b/>
      <w:bCs/>
      <w:sz w:val="20"/>
      <w:szCs w:val="20"/>
      <w:lang w:val="ro-RO" w:eastAsia="ro-RO"/>
    </w:rPr>
  </w:style>
  <w:style w:type="paragraph" w:customStyle="1" w:styleId="xl81">
    <w:name w:val="xl81"/>
    <w:basedOn w:val="Normal"/>
    <w:rsid w:val="005B48A2"/>
    <w:pPr>
      <w:pBdr>
        <w:top w:val="single" w:sz="4" w:space="0" w:color="B0B0B0"/>
        <w:left w:val="single" w:sz="4" w:space="0" w:color="B0B0B0"/>
        <w:bottom w:val="single" w:sz="4" w:space="0" w:color="B0B0B0"/>
        <w:right w:val="single" w:sz="4" w:space="0" w:color="B0B0B0"/>
      </w:pBdr>
      <w:shd w:val="clear" w:color="E0F0F0" w:fill="E8F4F4"/>
      <w:spacing w:before="100" w:beforeAutospacing="1" w:after="100" w:afterAutospacing="1" w:line="240" w:lineRule="auto"/>
      <w:textAlignment w:val="center"/>
    </w:pPr>
    <w:rPr>
      <w:rFonts w:ascii="Arial" w:eastAsia="Times New Roman" w:hAnsi="Arial" w:cs="Arial"/>
      <w:b/>
      <w:bCs/>
      <w:color w:val="01696F"/>
      <w:sz w:val="20"/>
      <w:szCs w:val="20"/>
      <w:lang w:val="ro-RO" w:eastAsia="ro-RO"/>
    </w:rPr>
  </w:style>
  <w:style w:type="paragraph" w:customStyle="1" w:styleId="xl82">
    <w:name w:val="xl82"/>
    <w:basedOn w:val="Normal"/>
    <w:rsid w:val="00357859"/>
    <w:pPr>
      <w:pBdr>
        <w:top w:val="single" w:sz="4" w:space="0" w:color="B0B0B0"/>
        <w:left w:val="single" w:sz="4" w:space="0" w:color="B0B0B0"/>
        <w:bottom w:val="single" w:sz="4" w:space="0" w:color="B0B0B0"/>
        <w:right w:val="single" w:sz="4" w:space="0" w:color="B0B0B0"/>
      </w:pBdr>
      <w:shd w:val="clear" w:color="E8F4F4" w:fill="E0F0F0"/>
      <w:spacing w:before="100" w:beforeAutospacing="1" w:after="100" w:afterAutospacing="1" w:line="240" w:lineRule="auto"/>
      <w:textAlignment w:val="center"/>
    </w:pPr>
    <w:rPr>
      <w:rFonts w:ascii="Nunito" w:eastAsia="Times New Roman" w:hAnsi="Nunito" w:cs="Times New Roman"/>
      <w:b/>
      <w:bCs/>
      <w:sz w:val="16"/>
      <w:szCs w:val="16"/>
      <w:lang w:val="ro-RO" w:eastAsia="ro-RO"/>
    </w:rPr>
  </w:style>
  <w:style w:type="paragraph" w:customStyle="1" w:styleId="xl83">
    <w:name w:val="xl83"/>
    <w:basedOn w:val="Normal"/>
    <w:rsid w:val="00357859"/>
    <w:pPr>
      <w:pBdr>
        <w:top w:val="single" w:sz="4" w:space="0" w:color="B0B0B0"/>
        <w:left w:val="single" w:sz="4" w:space="0" w:color="B0B0B0"/>
        <w:bottom w:val="single" w:sz="4" w:space="0" w:color="B0B0B0"/>
        <w:right w:val="single" w:sz="4" w:space="0" w:color="B0B0B0"/>
      </w:pBdr>
      <w:shd w:val="clear" w:color="E8F4F4" w:fill="E0F0F0"/>
      <w:spacing w:before="100" w:beforeAutospacing="1" w:after="100" w:afterAutospacing="1" w:line="240" w:lineRule="auto"/>
      <w:jc w:val="center"/>
      <w:textAlignment w:val="center"/>
    </w:pPr>
    <w:rPr>
      <w:rFonts w:ascii="Nunito" w:eastAsia="Times New Roman" w:hAnsi="Nunito" w:cs="Times New Roman"/>
      <w:b/>
      <w:bCs/>
      <w:sz w:val="16"/>
      <w:szCs w:val="16"/>
      <w:lang w:val="ro-RO" w:eastAsia="ro-RO"/>
    </w:rPr>
  </w:style>
  <w:style w:type="numbering" w:customStyle="1" w:styleId="NoList1">
    <w:name w:val="No List1"/>
    <w:next w:val="NoList"/>
    <w:uiPriority w:val="99"/>
    <w:semiHidden/>
    <w:unhideWhenUsed/>
    <w:rsid w:val="00421B94"/>
  </w:style>
  <w:style w:type="paragraph" w:customStyle="1" w:styleId="Strong1">
    <w:name w:val="Strong1"/>
    <w:qFormat/>
    <w:rsid w:val="00421B94"/>
    <w:pPr>
      <w:spacing w:line="240" w:lineRule="auto"/>
    </w:pPr>
    <w:rPr>
      <w:rFonts w:ascii="Arial" w:eastAsia="Arial" w:hAnsi="Arial" w:cs="Arial"/>
      <w:b/>
      <w:bCs/>
      <w:sz w:val="20"/>
      <w:szCs w:val="20"/>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286">
      <w:bodyDiv w:val="1"/>
      <w:marLeft w:val="0"/>
      <w:marRight w:val="0"/>
      <w:marTop w:val="0"/>
      <w:marBottom w:val="0"/>
      <w:divBdr>
        <w:top w:val="none" w:sz="0" w:space="0" w:color="auto"/>
        <w:left w:val="none" w:sz="0" w:space="0" w:color="auto"/>
        <w:bottom w:val="none" w:sz="0" w:space="0" w:color="auto"/>
        <w:right w:val="none" w:sz="0" w:space="0" w:color="auto"/>
      </w:divBdr>
    </w:div>
    <w:div w:id="69355409">
      <w:bodyDiv w:val="1"/>
      <w:marLeft w:val="0"/>
      <w:marRight w:val="0"/>
      <w:marTop w:val="0"/>
      <w:marBottom w:val="0"/>
      <w:divBdr>
        <w:top w:val="none" w:sz="0" w:space="0" w:color="auto"/>
        <w:left w:val="none" w:sz="0" w:space="0" w:color="auto"/>
        <w:bottom w:val="none" w:sz="0" w:space="0" w:color="auto"/>
        <w:right w:val="none" w:sz="0" w:space="0" w:color="auto"/>
      </w:divBdr>
    </w:div>
    <w:div w:id="179439379">
      <w:bodyDiv w:val="1"/>
      <w:marLeft w:val="0"/>
      <w:marRight w:val="0"/>
      <w:marTop w:val="0"/>
      <w:marBottom w:val="0"/>
      <w:divBdr>
        <w:top w:val="none" w:sz="0" w:space="0" w:color="auto"/>
        <w:left w:val="none" w:sz="0" w:space="0" w:color="auto"/>
        <w:bottom w:val="none" w:sz="0" w:space="0" w:color="auto"/>
        <w:right w:val="none" w:sz="0" w:space="0" w:color="auto"/>
      </w:divBdr>
    </w:div>
    <w:div w:id="219950637">
      <w:bodyDiv w:val="1"/>
      <w:marLeft w:val="0"/>
      <w:marRight w:val="0"/>
      <w:marTop w:val="0"/>
      <w:marBottom w:val="0"/>
      <w:divBdr>
        <w:top w:val="none" w:sz="0" w:space="0" w:color="auto"/>
        <w:left w:val="none" w:sz="0" w:space="0" w:color="auto"/>
        <w:bottom w:val="none" w:sz="0" w:space="0" w:color="auto"/>
        <w:right w:val="none" w:sz="0" w:space="0" w:color="auto"/>
      </w:divBdr>
    </w:div>
    <w:div w:id="306008830">
      <w:bodyDiv w:val="1"/>
      <w:marLeft w:val="0"/>
      <w:marRight w:val="0"/>
      <w:marTop w:val="0"/>
      <w:marBottom w:val="0"/>
      <w:divBdr>
        <w:top w:val="none" w:sz="0" w:space="0" w:color="auto"/>
        <w:left w:val="none" w:sz="0" w:space="0" w:color="auto"/>
        <w:bottom w:val="none" w:sz="0" w:space="0" w:color="auto"/>
        <w:right w:val="none" w:sz="0" w:space="0" w:color="auto"/>
      </w:divBdr>
    </w:div>
    <w:div w:id="437992385">
      <w:bodyDiv w:val="1"/>
      <w:marLeft w:val="0"/>
      <w:marRight w:val="0"/>
      <w:marTop w:val="0"/>
      <w:marBottom w:val="0"/>
      <w:divBdr>
        <w:top w:val="none" w:sz="0" w:space="0" w:color="auto"/>
        <w:left w:val="none" w:sz="0" w:space="0" w:color="auto"/>
        <w:bottom w:val="none" w:sz="0" w:space="0" w:color="auto"/>
        <w:right w:val="none" w:sz="0" w:space="0" w:color="auto"/>
      </w:divBdr>
    </w:div>
    <w:div w:id="485780448">
      <w:bodyDiv w:val="1"/>
      <w:marLeft w:val="0"/>
      <w:marRight w:val="0"/>
      <w:marTop w:val="0"/>
      <w:marBottom w:val="0"/>
      <w:divBdr>
        <w:top w:val="none" w:sz="0" w:space="0" w:color="auto"/>
        <w:left w:val="none" w:sz="0" w:space="0" w:color="auto"/>
        <w:bottom w:val="none" w:sz="0" w:space="0" w:color="auto"/>
        <w:right w:val="none" w:sz="0" w:space="0" w:color="auto"/>
      </w:divBdr>
      <w:divsChild>
        <w:div w:id="120660124">
          <w:marLeft w:val="0"/>
          <w:marRight w:val="0"/>
          <w:marTop w:val="0"/>
          <w:marBottom w:val="0"/>
          <w:divBdr>
            <w:top w:val="none" w:sz="0" w:space="0" w:color="auto"/>
            <w:left w:val="none" w:sz="0" w:space="0" w:color="auto"/>
            <w:bottom w:val="none" w:sz="0" w:space="0" w:color="auto"/>
            <w:right w:val="none" w:sz="0" w:space="0" w:color="auto"/>
          </w:divBdr>
        </w:div>
      </w:divsChild>
    </w:div>
    <w:div w:id="524101729">
      <w:bodyDiv w:val="1"/>
      <w:marLeft w:val="0"/>
      <w:marRight w:val="0"/>
      <w:marTop w:val="0"/>
      <w:marBottom w:val="0"/>
      <w:divBdr>
        <w:top w:val="none" w:sz="0" w:space="0" w:color="auto"/>
        <w:left w:val="none" w:sz="0" w:space="0" w:color="auto"/>
        <w:bottom w:val="none" w:sz="0" w:space="0" w:color="auto"/>
        <w:right w:val="none" w:sz="0" w:space="0" w:color="auto"/>
      </w:divBdr>
    </w:div>
    <w:div w:id="575015896">
      <w:bodyDiv w:val="1"/>
      <w:marLeft w:val="0"/>
      <w:marRight w:val="0"/>
      <w:marTop w:val="0"/>
      <w:marBottom w:val="0"/>
      <w:divBdr>
        <w:top w:val="none" w:sz="0" w:space="0" w:color="auto"/>
        <w:left w:val="none" w:sz="0" w:space="0" w:color="auto"/>
        <w:bottom w:val="none" w:sz="0" w:space="0" w:color="auto"/>
        <w:right w:val="none" w:sz="0" w:space="0" w:color="auto"/>
      </w:divBdr>
    </w:div>
    <w:div w:id="744841612">
      <w:bodyDiv w:val="1"/>
      <w:marLeft w:val="0"/>
      <w:marRight w:val="0"/>
      <w:marTop w:val="0"/>
      <w:marBottom w:val="0"/>
      <w:divBdr>
        <w:top w:val="none" w:sz="0" w:space="0" w:color="auto"/>
        <w:left w:val="none" w:sz="0" w:space="0" w:color="auto"/>
        <w:bottom w:val="none" w:sz="0" w:space="0" w:color="auto"/>
        <w:right w:val="none" w:sz="0" w:space="0" w:color="auto"/>
      </w:divBdr>
    </w:div>
    <w:div w:id="772551189">
      <w:bodyDiv w:val="1"/>
      <w:marLeft w:val="0"/>
      <w:marRight w:val="0"/>
      <w:marTop w:val="0"/>
      <w:marBottom w:val="0"/>
      <w:divBdr>
        <w:top w:val="none" w:sz="0" w:space="0" w:color="auto"/>
        <w:left w:val="none" w:sz="0" w:space="0" w:color="auto"/>
        <w:bottom w:val="none" w:sz="0" w:space="0" w:color="auto"/>
        <w:right w:val="none" w:sz="0" w:space="0" w:color="auto"/>
      </w:divBdr>
    </w:div>
    <w:div w:id="796610543">
      <w:bodyDiv w:val="1"/>
      <w:marLeft w:val="0"/>
      <w:marRight w:val="0"/>
      <w:marTop w:val="0"/>
      <w:marBottom w:val="0"/>
      <w:divBdr>
        <w:top w:val="none" w:sz="0" w:space="0" w:color="auto"/>
        <w:left w:val="none" w:sz="0" w:space="0" w:color="auto"/>
        <w:bottom w:val="none" w:sz="0" w:space="0" w:color="auto"/>
        <w:right w:val="none" w:sz="0" w:space="0" w:color="auto"/>
      </w:divBdr>
    </w:div>
    <w:div w:id="844589142">
      <w:bodyDiv w:val="1"/>
      <w:marLeft w:val="0"/>
      <w:marRight w:val="0"/>
      <w:marTop w:val="0"/>
      <w:marBottom w:val="0"/>
      <w:divBdr>
        <w:top w:val="none" w:sz="0" w:space="0" w:color="auto"/>
        <w:left w:val="none" w:sz="0" w:space="0" w:color="auto"/>
        <w:bottom w:val="none" w:sz="0" w:space="0" w:color="auto"/>
        <w:right w:val="none" w:sz="0" w:space="0" w:color="auto"/>
      </w:divBdr>
    </w:div>
    <w:div w:id="845250324">
      <w:bodyDiv w:val="1"/>
      <w:marLeft w:val="0"/>
      <w:marRight w:val="0"/>
      <w:marTop w:val="0"/>
      <w:marBottom w:val="0"/>
      <w:divBdr>
        <w:top w:val="none" w:sz="0" w:space="0" w:color="auto"/>
        <w:left w:val="none" w:sz="0" w:space="0" w:color="auto"/>
        <w:bottom w:val="none" w:sz="0" w:space="0" w:color="auto"/>
        <w:right w:val="none" w:sz="0" w:space="0" w:color="auto"/>
      </w:divBdr>
    </w:div>
    <w:div w:id="847258411">
      <w:bodyDiv w:val="1"/>
      <w:marLeft w:val="0"/>
      <w:marRight w:val="0"/>
      <w:marTop w:val="0"/>
      <w:marBottom w:val="0"/>
      <w:divBdr>
        <w:top w:val="none" w:sz="0" w:space="0" w:color="auto"/>
        <w:left w:val="none" w:sz="0" w:space="0" w:color="auto"/>
        <w:bottom w:val="none" w:sz="0" w:space="0" w:color="auto"/>
        <w:right w:val="none" w:sz="0" w:space="0" w:color="auto"/>
      </w:divBdr>
    </w:div>
    <w:div w:id="908347972">
      <w:bodyDiv w:val="1"/>
      <w:marLeft w:val="0"/>
      <w:marRight w:val="0"/>
      <w:marTop w:val="0"/>
      <w:marBottom w:val="0"/>
      <w:divBdr>
        <w:top w:val="none" w:sz="0" w:space="0" w:color="auto"/>
        <w:left w:val="none" w:sz="0" w:space="0" w:color="auto"/>
        <w:bottom w:val="none" w:sz="0" w:space="0" w:color="auto"/>
        <w:right w:val="none" w:sz="0" w:space="0" w:color="auto"/>
      </w:divBdr>
    </w:div>
    <w:div w:id="962886031">
      <w:bodyDiv w:val="1"/>
      <w:marLeft w:val="0"/>
      <w:marRight w:val="0"/>
      <w:marTop w:val="0"/>
      <w:marBottom w:val="0"/>
      <w:divBdr>
        <w:top w:val="none" w:sz="0" w:space="0" w:color="auto"/>
        <w:left w:val="none" w:sz="0" w:space="0" w:color="auto"/>
        <w:bottom w:val="none" w:sz="0" w:space="0" w:color="auto"/>
        <w:right w:val="none" w:sz="0" w:space="0" w:color="auto"/>
      </w:divBdr>
    </w:div>
    <w:div w:id="1042628898">
      <w:bodyDiv w:val="1"/>
      <w:marLeft w:val="0"/>
      <w:marRight w:val="0"/>
      <w:marTop w:val="0"/>
      <w:marBottom w:val="0"/>
      <w:divBdr>
        <w:top w:val="none" w:sz="0" w:space="0" w:color="auto"/>
        <w:left w:val="none" w:sz="0" w:space="0" w:color="auto"/>
        <w:bottom w:val="none" w:sz="0" w:space="0" w:color="auto"/>
        <w:right w:val="none" w:sz="0" w:space="0" w:color="auto"/>
      </w:divBdr>
    </w:div>
    <w:div w:id="1067143826">
      <w:bodyDiv w:val="1"/>
      <w:marLeft w:val="0"/>
      <w:marRight w:val="0"/>
      <w:marTop w:val="0"/>
      <w:marBottom w:val="0"/>
      <w:divBdr>
        <w:top w:val="none" w:sz="0" w:space="0" w:color="auto"/>
        <w:left w:val="none" w:sz="0" w:space="0" w:color="auto"/>
        <w:bottom w:val="none" w:sz="0" w:space="0" w:color="auto"/>
        <w:right w:val="none" w:sz="0" w:space="0" w:color="auto"/>
      </w:divBdr>
    </w:div>
    <w:div w:id="1070536772">
      <w:bodyDiv w:val="1"/>
      <w:marLeft w:val="0"/>
      <w:marRight w:val="0"/>
      <w:marTop w:val="0"/>
      <w:marBottom w:val="0"/>
      <w:divBdr>
        <w:top w:val="none" w:sz="0" w:space="0" w:color="auto"/>
        <w:left w:val="none" w:sz="0" w:space="0" w:color="auto"/>
        <w:bottom w:val="none" w:sz="0" w:space="0" w:color="auto"/>
        <w:right w:val="none" w:sz="0" w:space="0" w:color="auto"/>
      </w:divBdr>
    </w:div>
    <w:div w:id="1107651467">
      <w:bodyDiv w:val="1"/>
      <w:marLeft w:val="0"/>
      <w:marRight w:val="0"/>
      <w:marTop w:val="0"/>
      <w:marBottom w:val="0"/>
      <w:divBdr>
        <w:top w:val="none" w:sz="0" w:space="0" w:color="auto"/>
        <w:left w:val="none" w:sz="0" w:space="0" w:color="auto"/>
        <w:bottom w:val="none" w:sz="0" w:space="0" w:color="auto"/>
        <w:right w:val="none" w:sz="0" w:space="0" w:color="auto"/>
      </w:divBdr>
    </w:div>
    <w:div w:id="1179390687">
      <w:bodyDiv w:val="1"/>
      <w:marLeft w:val="0"/>
      <w:marRight w:val="0"/>
      <w:marTop w:val="0"/>
      <w:marBottom w:val="0"/>
      <w:divBdr>
        <w:top w:val="none" w:sz="0" w:space="0" w:color="auto"/>
        <w:left w:val="none" w:sz="0" w:space="0" w:color="auto"/>
        <w:bottom w:val="none" w:sz="0" w:space="0" w:color="auto"/>
        <w:right w:val="none" w:sz="0" w:space="0" w:color="auto"/>
      </w:divBdr>
    </w:div>
    <w:div w:id="1197432036">
      <w:bodyDiv w:val="1"/>
      <w:marLeft w:val="0"/>
      <w:marRight w:val="0"/>
      <w:marTop w:val="0"/>
      <w:marBottom w:val="0"/>
      <w:divBdr>
        <w:top w:val="none" w:sz="0" w:space="0" w:color="auto"/>
        <w:left w:val="none" w:sz="0" w:space="0" w:color="auto"/>
        <w:bottom w:val="none" w:sz="0" w:space="0" w:color="auto"/>
        <w:right w:val="none" w:sz="0" w:space="0" w:color="auto"/>
      </w:divBdr>
    </w:div>
    <w:div w:id="1200627983">
      <w:bodyDiv w:val="1"/>
      <w:marLeft w:val="0"/>
      <w:marRight w:val="0"/>
      <w:marTop w:val="0"/>
      <w:marBottom w:val="0"/>
      <w:divBdr>
        <w:top w:val="none" w:sz="0" w:space="0" w:color="auto"/>
        <w:left w:val="none" w:sz="0" w:space="0" w:color="auto"/>
        <w:bottom w:val="none" w:sz="0" w:space="0" w:color="auto"/>
        <w:right w:val="none" w:sz="0" w:space="0" w:color="auto"/>
      </w:divBdr>
    </w:div>
    <w:div w:id="1228878081">
      <w:bodyDiv w:val="1"/>
      <w:marLeft w:val="0"/>
      <w:marRight w:val="0"/>
      <w:marTop w:val="0"/>
      <w:marBottom w:val="0"/>
      <w:divBdr>
        <w:top w:val="none" w:sz="0" w:space="0" w:color="auto"/>
        <w:left w:val="none" w:sz="0" w:space="0" w:color="auto"/>
        <w:bottom w:val="none" w:sz="0" w:space="0" w:color="auto"/>
        <w:right w:val="none" w:sz="0" w:space="0" w:color="auto"/>
      </w:divBdr>
    </w:div>
    <w:div w:id="1278869699">
      <w:bodyDiv w:val="1"/>
      <w:marLeft w:val="0"/>
      <w:marRight w:val="0"/>
      <w:marTop w:val="0"/>
      <w:marBottom w:val="0"/>
      <w:divBdr>
        <w:top w:val="none" w:sz="0" w:space="0" w:color="auto"/>
        <w:left w:val="none" w:sz="0" w:space="0" w:color="auto"/>
        <w:bottom w:val="none" w:sz="0" w:space="0" w:color="auto"/>
        <w:right w:val="none" w:sz="0" w:space="0" w:color="auto"/>
      </w:divBdr>
    </w:div>
    <w:div w:id="1305432530">
      <w:bodyDiv w:val="1"/>
      <w:marLeft w:val="0"/>
      <w:marRight w:val="0"/>
      <w:marTop w:val="0"/>
      <w:marBottom w:val="0"/>
      <w:divBdr>
        <w:top w:val="none" w:sz="0" w:space="0" w:color="auto"/>
        <w:left w:val="none" w:sz="0" w:space="0" w:color="auto"/>
        <w:bottom w:val="none" w:sz="0" w:space="0" w:color="auto"/>
        <w:right w:val="none" w:sz="0" w:space="0" w:color="auto"/>
      </w:divBdr>
    </w:div>
    <w:div w:id="1397776182">
      <w:bodyDiv w:val="1"/>
      <w:marLeft w:val="0"/>
      <w:marRight w:val="0"/>
      <w:marTop w:val="0"/>
      <w:marBottom w:val="0"/>
      <w:divBdr>
        <w:top w:val="none" w:sz="0" w:space="0" w:color="auto"/>
        <w:left w:val="none" w:sz="0" w:space="0" w:color="auto"/>
        <w:bottom w:val="none" w:sz="0" w:space="0" w:color="auto"/>
        <w:right w:val="none" w:sz="0" w:space="0" w:color="auto"/>
      </w:divBdr>
    </w:div>
    <w:div w:id="1451390707">
      <w:bodyDiv w:val="1"/>
      <w:marLeft w:val="0"/>
      <w:marRight w:val="0"/>
      <w:marTop w:val="0"/>
      <w:marBottom w:val="0"/>
      <w:divBdr>
        <w:top w:val="none" w:sz="0" w:space="0" w:color="auto"/>
        <w:left w:val="none" w:sz="0" w:space="0" w:color="auto"/>
        <w:bottom w:val="none" w:sz="0" w:space="0" w:color="auto"/>
        <w:right w:val="none" w:sz="0" w:space="0" w:color="auto"/>
      </w:divBdr>
    </w:div>
    <w:div w:id="1458530495">
      <w:bodyDiv w:val="1"/>
      <w:marLeft w:val="0"/>
      <w:marRight w:val="0"/>
      <w:marTop w:val="0"/>
      <w:marBottom w:val="0"/>
      <w:divBdr>
        <w:top w:val="none" w:sz="0" w:space="0" w:color="auto"/>
        <w:left w:val="none" w:sz="0" w:space="0" w:color="auto"/>
        <w:bottom w:val="none" w:sz="0" w:space="0" w:color="auto"/>
        <w:right w:val="none" w:sz="0" w:space="0" w:color="auto"/>
      </w:divBdr>
    </w:div>
    <w:div w:id="1496721669">
      <w:bodyDiv w:val="1"/>
      <w:marLeft w:val="0"/>
      <w:marRight w:val="0"/>
      <w:marTop w:val="0"/>
      <w:marBottom w:val="0"/>
      <w:divBdr>
        <w:top w:val="none" w:sz="0" w:space="0" w:color="auto"/>
        <w:left w:val="none" w:sz="0" w:space="0" w:color="auto"/>
        <w:bottom w:val="none" w:sz="0" w:space="0" w:color="auto"/>
        <w:right w:val="none" w:sz="0" w:space="0" w:color="auto"/>
      </w:divBdr>
    </w:div>
    <w:div w:id="1637444491">
      <w:bodyDiv w:val="1"/>
      <w:marLeft w:val="0"/>
      <w:marRight w:val="0"/>
      <w:marTop w:val="0"/>
      <w:marBottom w:val="0"/>
      <w:divBdr>
        <w:top w:val="none" w:sz="0" w:space="0" w:color="auto"/>
        <w:left w:val="none" w:sz="0" w:space="0" w:color="auto"/>
        <w:bottom w:val="none" w:sz="0" w:space="0" w:color="auto"/>
        <w:right w:val="none" w:sz="0" w:space="0" w:color="auto"/>
      </w:divBdr>
    </w:div>
    <w:div w:id="1669601416">
      <w:bodyDiv w:val="1"/>
      <w:marLeft w:val="0"/>
      <w:marRight w:val="0"/>
      <w:marTop w:val="0"/>
      <w:marBottom w:val="0"/>
      <w:divBdr>
        <w:top w:val="none" w:sz="0" w:space="0" w:color="auto"/>
        <w:left w:val="none" w:sz="0" w:space="0" w:color="auto"/>
        <w:bottom w:val="none" w:sz="0" w:space="0" w:color="auto"/>
        <w:right w:val="none" w:sz="0" w:space="0" w:color="auto"/>
      </w:divBdr>
    </w:div>
    <w:div w:id="1740251595">
      <w:bodyDiv w:val="1"/>
      <w:marLeft w:val="0"/>
      <w:marRight w:val="0"/>
      <w:marTop w:val="0"/>
      <w:marBottom w:val="0"/>
      <w:divBdr>
        <w:top w:val="none" w:sz="0" w:space="0" w:color="auto"/>
        <w:left w:val="none" w:sz="0" w:space="0" w:color="auto"/>
        <w:bottom w:val="none" w:sz="0" w:space="0" w:color="auto"/>
        <w:right w:val="none" w:sz="0" w:space="0" w:color="auto"/>
      </w:divBdr>
    </w:div>
    <w:div w:id="1801613136">
      <w:bodyDiv w:val="1"/>
      <w:marLeft w:val="0"/>
      <w:marRight w:val="0"/>
      <w:marTop w:val="0"/>
      <w:marBottom w:val="0"/>
      <w:divBdr>
        <w:top w:val="none" w:sz="0" w:space="0" w:color="auto"/>
        <w:left w:val="none" w:sz="0" w:space="0" w:color="auto"/>
        <w:bottom w:val="none" w:sz="0" w:space="0" w:color="auto"/>
        <w:right w:val="none" w:sz="0" w:space="0" w:color="auto"/>
      </w:divBdr>
    </w:div>
    <w:div w:id="1876501862">
      <w:bodyDiv w:val="1"/>
      <w:marLeft w:val="0"/>
      <w:marRight w:val="0"/>
      <w:marTop w:val="0"/>
      <w:marBottom w:val="0"/>
      <w:divBdr>
        <w:top w:val="none" w:sz="0" w:space="0" w:color="auto"/>
        <w:left w:val="none" w:sz="0" w:space="0" w:color="auto"/>
        <w:bottom w:val="none" w:sz="0" w:space="0" w:color="auto"/>
        <w:right w:val="none" w:sz="0" w:space="0" w:color="auto"/>
      </w:divBdr>
    </w:div>
    <w:div w:id="1936667938">
      <w:bodyDiv w:val="1"/>
      <w:marLeft w:val="0"/>
      <w:marRight w:val="0"/>
      <w:marTop w:val="0"/>
      <w:marBottom w:val="0"/>
      <w:divBdr>
        <w:top w:val="none" w:sz="0" w:space="0" w:color="auto"/>
        <w:left w:val="none" w:sz="0" w:space="0" w:color="auto"/>
        <w:bottom w:val="none" w:sz="0" w:space="0" w:color="auto"/>
        <w:right w:val="none" w:sz="0" w:space="0" w:color="auto"/>
      </w:divBdr>
    </w:div>
    <w:div w:id="1976332325">
      <w:bodyDiv w:val="1"/>
      <w:marLeft w:val="0"/>
      <w:marRight w:val="0"/>
      <w:marTop w:val="0"/>
      <w:marBottom w:val="0"/>
      <w:divBdr>
        <w:top w:val="none" w:sz="0" w:space="0" w:color="auto"/>
        <w:left w:val="none" w:sz="0" w:space="0" w:color="auto"/>
        <w:bottom w:val="none" w:sz="0" w:space="0" w:color="auto"/>
        <w:right w:val="none" w:sz="0" w:space="0" w:color="auto"/>
      </w:divBdr>
    </w:div>
    <w:div w:id="2001040855">
      <w:bodyDiv w:val="1"/>
      <w:marLeft w:val="0"/>
      <w:marRight w:val="0"/>
      <w:marTop w:val="0"/>
      <w:marBottom w:val="0"/>
      <w:divBdr>
        <w:top w:val="none" w:sz="0" w:space="0" w:color="auto"/>
        <w:left w:val="none" w:sz="0" w:space="0" w:color="auto"/>
        <w:bottom w:val="none" w:sz="0" w:space="0" w:color="auto"/>
        <w:right w:val="none" w:sz="0" w:space="0" w:color="auto"/>
      </w:divBdr>
    </w:div>
    <w:div w:id="2017687333">
      <w:bodyDiv w:val="1"/>
      <w:marLeft w:val="0"/>
      <w:marRight w:val="0"/>
      <w:marTop w:val="0"/>
      <w:marBottom w:val="0"/>
      <w:divBdr>
        <w:top w:val="none" w:sz="0" w:space="0" w:color="auto"/>
        <w:left w:val="none" w:sz="0" w:space="0" w:color="auto"/>
        <w:bottom w:val="none" w:sz="0" w:space="0" w:color="auto"/>
        <w:right w:val="none" w:sz="0" w:space="0" w:color="auto"/>
      </w:divBdr>
    </w:div>
    <w:div w:id="211828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musat\AppData\Local\Temp\Templafy\WordVsto\Cover%20and%20Content,%20narrow%20text.dotx" TargetMode="External"/></Relationships>
</file>

<file path=word/theme/theme1.xml><?xml version="1.0" encoding="utf-8"?>
<a:theme xmlns:a="http://schemas.openxmlformats.org/drawingml/2006/main" name="Ramboll">
  <a:themeElements>
    <a:clrScheme name="Rambøll_2021">
      <a:dk1>
        <a:srgbClr val="000000"/>
      </a:dk1>
      <a:lt1>
        <a:srgbClr val="FFFFFF"/>
      </a:lt1>
      <a:dk2>
        <a:srgbClr val="009DF0"/>
      </a:dk2>
      <a:lt2>
        <a:srgbClr val="273943"/>
      </a:lt2>
      <a:accent1>
        <a:srgbClr val="05326E"/>
      </a:accent1>
      <a:accent2>
        <a:srgbClr val="125A40"/>
      </a:accent2>
      <a:accent3>
        <a:srgbClr val="ADD095"/>
      </a:accent3>
      <a:accent4>
        <a:srgbClr val="62294B"/>
      </a:accent4>
      <a:accent5>
        <a:srgbClr val="FF8855"/>
      </a:accent5>
      <a:accent6>
        <a:srgbClr val="E3E1D8"/>
      </a:accent6>
      <a:hlink>
        <a:srgbClr val="009DF0"/>
      </a:hlink>
      <a:folHlink>
        <a:srgbClr val="CCEBFD"/>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ack">
      <a:srgbClr val="000000"/>
    </a:custClr>
    <a:custClr name="Mountain 100%">
      <a:srgbClr val="273943"/>
    </a:custClr>
    <a:custClr name="Cyan 100%">
      <a:srgbClr val="009DF0"/>
    </a:custClr>
    <a:custClr name="Ocean 100%">
      <a:srgbClr val="05326E"/>
    </a:custClr>
    <a:custClr name="Forest 100%">
      <a:srgbClr val="125A40"/>
    </a:custClr>
    <a:custClr name="Grass 100%">
      <a:srgbClr val="ADD095"/>
    </a:custClr>
    <a:custClr name="Heath 100%">
      <a:srgbClr val="61294B"/>
    </a:custClr>
    <a:custClr name="Field 100%">
      <a:srgbClr val="FF8855"/>
    </a:custClr>
    <a:custClr name="Pebble 100%">
      <a:srgbClr val="E3E1D8"/>
    </a:custClr>
    <a:custClr name="Sand 100%">
      <a:srgbClr val="FFE682"/>
    </a:custClr>
    <a:custClr name="Text color">
      <a:srgbClr val="333333"/>
    </a:custClr>
    <a:custClr name="Mountain 80%">
      <a:srgbClr val="47525A"/>
    </a:custClr>
    <a:custClr name="Cyan 80%">
      <a:srgbClr val="33B1F3"/>
    </a:custClr>
    <a:custClr name="Ocean 80%">
      <a:srgbClr val="375B8B"/>
    </a:custClr>
    <a:custClr name="Forest 80%">
      <a:srgbClr val="417B66"/>
    </a:custClr>
    <a:custClr name="Grass 80%">
      <a:srgbClr val="BDD9AA"/>
    </a:custClr>
    <a:custClr name="Heath 80%">
      <a:srgbClr val="794B62"/>
    </a:custClr>
    <a:custClr name="Field 80%">
      <a:srgbClr val="F89D73"/>
    </a:custClr>
    <a:custClr name="Pebble 80%">
      <a:srgbClr val="E9E7E0"/>
    </a:custClr>
    <a:custClr name="Sand 80%">
      <a:srgbClr val="FCE783"/>
    </a:custClr>
    <a:custClr name="White">
      <a:srgbClr val="FFFFFF"/>
    </a:custClr>
    <a:custClr name="Mountain 60%">
      <a:srgbClr val="7D888E"/>
    </a:custClr>
    <a:custClr name="Cyan 60%">
      <a:srgbClr val="66C4F6"/>
    </a:custClr>
    <a:custClr name="Ocean 60%">
      <a:srgbClr val="6984A8"/>
    </a:custClr>
    <a:custClr name="Forest 60%">
      <a:srgbClr val="719C8C"/>
    </a:custClr>
    <a:custClr name="Grass 60%">
      <a:srgbClr val="CEE3BF"/>
    </a:custClr>
    <a:custClr name="Heath 60%">
      <a:srgbClr val="A17F93"/>
    </a:custClr>
    <a:custClr name="Field 60%">
      <a:srgbClr val="FFB899"/>
    </a:custClr>
    <a:custClr name="Pebble 60%">
      <a:srgbClr val="EEEDE8"/>
    </a:custClr>
    <a:custClr name="Sand 60%">
      <a:srgbClr val="FFFAB4"/>
    </a:custClr>
    <a:custClr name="White">
      <a:srgbClr val="FFFFFF"/>
    </a:custClr>
    <a:custClr name="Mountain 40%">
      <a:srgbClr val="D3D7D9"/>
    </a:custClr>
    <a:custClr name="Cyan 40%">
      <a:srgbClr val="CCEBFD"/>
    </a:custClr>
    <a:custClr name="Ocean 40%">
      <a:srgbClr val="CED6E3"/>
    </a:custClr>
    <a:custClr name="Forest 40%">
      <a:srgbClr val="CFDED9"/>
    </a:custClr>
    <a:custClr name="Grass 40%">
      <a:srgbClr val="EFF7EA"/>
    </a:custClr>
    <a:custClr name="Heath 40%">
      <a:srgbClr val="DFD4DA"/>
    </a:custClr>
    <a:custClr name="Field 40%">
      <a:srgbClr val="FFE7DD"/>
    </a:custClr>
    <a:custClr name="Pebble 40%">
      <a:srgbClr val="F9F9F7"/>
    </a:custClr>
    <a:custClr name="Sand 40%">
      <a:srgbClr val="FFFAE6"/>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elementConfiguration":{"binding":"{{Translate(\"ProjectName\")}}","promptAiService":false,"visibility":"","removeAndKeepContent":false,"disableUpdates":false,"type":"text"},"type":"richTextContentControl","id":"88958f1b-2fd1-4a0f-a91f-5564b6dbf8a6"},{"elementConfiguration":{"binding":"{{Translate(\"ClientName\")}}","promptAiService":false,"visibility":"","removeAndKeepContent":false,"disableUpdates":false,"type":"text"},"type":"richTextContentControl","id":"0ca994c5-e279-4b3a-bf1b-8436622ea3ec"},{"elementConfiguration":{"binding":"{{Translate(\"PreparedBy\")}}","promptAiService":false,"visibility":"","removeAndKeepContent":false,"disableUpdates":false,"type":"text"},"type":"richTextContentControl","id":"a1b60c01-5927-4a20-a241-17f72813e87b"},{"elementConfiguration":{"binding":"{{Translate(\"Checkedby\")}}","promptAiService":false,"visibility":"","removeAndKeepContent":false,"disableUpdates":false,"type":"text"},"type":"richTextContentControl","id":"f0141311-fc6c-45c6-9129-212bafdb5c2e"},{"elementConfiguration":{"binding":"{{Translate(\"Approvedby\")}}","promptAiService":false,"visibility":"","removeAndKeepContent":false,"disableUpdates":false,"type":"text"},"type":"richTextContentControl","id":"cb73afe2-cc2f-41d8-bca4-6c95d505c659"},{"elementConfiguration":{"binding":"{{Translate(\"TypeOfProposal\")}}","promptAiService":false,"visibility":"","removeAndKeepContent":false,"disableUpdates":false,"type":"text"},"type":"richTextContentControl","id":"bf2a6679-18cb-4834-9f3f-122b270dc084"},{"elementConfiguration":{"binding":"{{Translate(\"Date\")}}","promptAiService":false,"visibility":"","removeAndKeepContent":false,"disableUpdates":false,"type":"text"},"type":"richTextContentControl","id":"d31364c2-7446-414c-b5c3-080ba40ccc6e"},{"elementConfiguration":{"binding":"{{Translate(\"BidderTender\")}}","promptAiService":false,"visibility":"","removeAndKeepContent":false,"disableUpdates":false,"type":"text"},"type":"richTextContentControl","id":"db5cae09-a890-4699-b9c4-d5d95c5b86fc"},{"elementConfiguration":{"binding":"{{Translate(\"Contents\")}}","promptAiService":false,"visibility":"","removeAndKeepContent":false,"disableUpdates":false,"type":"text"},"type":"richTextContentControl","id":"a3a0a0e1-d2dd-412a-af24-2b0b326f6eef"},{"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e9fc2e7d-f9ab-45c8-a6a8-51ae0e6c1fc5"},{"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93b35a16-eb92-4f02-a58d-14de74921cb4"},{"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7b7ccf6f-3a97-4579-8532-1560cbcaa7ef"},{"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6eb60b7b-2a9d-44e8-958d-78cf4cb3c4bc"},{"elementConfiguration":{"visibility":"{{IfElse(Equals(UserProfile.Office.Phone, \"\"), VisibilityType.Hidden, VisibilityType.Visible)}}","disableUpdates":false,"type":"group"},"type":"richTextContentControl","id":"96f6d9e1-727c-4c67-b7a9-1f4b5fae4de5"},{"elementConfiguration":{"binding":"{{Translate(\"T\")}}","promptAiService":false,"removeAndKeepContent":false,"disableUpdates":false,"type":"text"},"type":"richTextContentControl","id":"73cd7f23-a96b-4419-b07d-00b3d6b07ca8"},{"elementConfiguration":{"binding":"{{UserProfile.Office.Phone}}","promptAiService":false,"visibility":"","removeAndKeepContent":false,"disableUpdates":false,"type":"text"},"type":"richTextContentControl","id":"f3cbd38e-db8e-4638-82ae-5c1678e8403f"},{"elementConfiguration":{"visibility":"{{IfElse(Equals(UserProfile.Office.Fax, \"\"), VisibilityType.Hidden, VisibilityType.Visible)}}","disableUpdates":false,"type":"group"},"type":"richTextContentControl","id":"7ed455e6-08fe-494e-97ef-a8d7018dfe2c"},{"elementConfiguration":{"binding":"{{Translate(\"F\")}}","promptAiService":false,"removeAndKeepContent":false,"disableUpdates":false,"type":"text"},"type":"richTextContentControl","id":"0eb7b62b-f0df-4a76-971a-82b6a1ba1da0"},{"elementConfiguration":{"binding":"{{UserProfile.Office.Fax}}","promptAiService":false,"visibility":"","removeAndKeepContent":false,"disableUpdates":false,"type":"text"},"type":"richTextContentControl","id":"622dd437-b611-447a-94ab-4567187c07df"},{"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1af4992a-c2b3-4dbd-ad0a-ff0dcab3172b"},{"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a175b555-f159-4e99-b70d-b5a104e5b490"},{"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532dd737-ae3b-452d-aedb-b31857ce3e03"},{"elementConfiguration":{"visibility":"{{IfElse(Equals(UserProfile.Office.Phone, \"\"), VisibilityType.Hidden, VisibilityType.Visible)}}","disableUpdates":false,"type":"group"},"type":"richTextContentControl","id":"e96527c1-574f-4796-aa52-fcef5290427e"},{"elementConfiguration":{"binding":"{{Translate(\"T\")}}","promptAiService":false,"removeAndKeepContent":false,"disableUpdates":false,"type":"text"},"type":"richTextContentControl","id":"de55d772-de5e-40cb-a19d-48f8eb44cfb9"},{"elementConfiguration":{"binding":"{{UserProfile.Office.Phone}}","promptAiService":false,"visibility":"","removeAndKeepContent":false,"disableUpdates":false,"type":"text"},"type":"richTextContentControl","id":"f6fb2989-2b1c-4378-9844-d44a7c28cacc"},{"elementConfiguration":{"visibility":"{{IfElse(Equals(UserProfile.Office.Fax, \"\"), VisibilityType.Hidden, VisibilityType.Visible)}}","disableUpdates":false,"type":"group"},"type":"richTextContentControl","id":"7abd2dea-d451-4659-9dc0-8b502ce09a24"},{"elementConfiguration":{"binding":"{{Translate(\"F\")}}","promptAiService":false,"removeAndKeepContent":false,"disableUpdates":false,"type":"text"},"type":"richTextContentControl","id":"e80c302e-4df2-478d-913e-b69e28690acb"},{"elementConfiguration":{"binding":"{{UserProfile.Office.Fax}}","promptAiService":false,"visibility":"","removeAndKeepContent":false,"disableUpdates":false,"type":"text"},"type":"richTextContentControl","id":"be280105-98d7-475f-aaf2-22ecb2e5cb4a"},{"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3fec30a7-2e25-46d5-b530-f32c15ec9bd0"},{"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4b371d69-f070-4ff4-aba6-438d72ce10e5"},{"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baa9a91c-9345-45df-a1b1-e022ba846b44"},{"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b0a6ee81-aceb-48c5-a781-9a15d1dc504c"},{"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dc0f2c2d-99d8-49c1-8b86-9a467087b821"},{"elementConfiguration":{"visibility":"{{IfElse(Equals(Form.FilePath.Filename, \"Exclude\"), VisibilityType.Hidden, VisibilityType.Visible)}}","disableUpdates":false,"type":"group"},"type":"richTextContentControl","id":"aa43fd63-ad5b-4535-9f99-9df62477479d"},{"elementConfiguration":{"visibility":"{{IfElse(Equals(Form.FilePath.Filename, \"Exclude\"), VisibilityType.Hidden, VisibilityType.Visible)}}","disableUpdates":false,"type":"group"},"type":"richTextContentControl","id":"55a2c2cf-4462-4ede-a1e1-d86299c017a1"},{"elementConfiguration":{"visibility":"{{IfElse(Equals(Form.FilePath.Filename, \"Exclude\"), VisibilityType.Hidden, VisibilityType.Visible)}}","disableUpdates":false,"type":"group"},"type":"richTextContentControl","id":"d0a5646a-1610-4830-8f6c-868e492a9074"},{"elementConfiguration":{"visibility":"{{IfElse(Equals(Form.FilePath.Filename, \"Exclude\"), VisibilityType.Hidden, VisibilityType.Visible)}}","disableUpdates":false,"type":"group"},"type":"richTextContentControl","id":"2394fdb2-24f9-4f93-92bb-9ed6b26b8460"},{"elementConfiguration":{"visibility":"{{IfElse(Equals(Form.FilePath.Filename, \"Exclude\"), VisibilityType.Hidden, VisibilityType.Visible)}}","disableUpdates":false,"type":"group"},"type":"richTextContentControl","id":"6e43c3f8-6b6b-4b29-ba5a-8803f7dbfac3"},{"elementConfiguration":{"visibility":"{{IfElse(Equals(Form.FilePath.Filename, \"Exclude\"), VisibilityType.Hidden, VisibilityType.Visible)}}","disableUpdates":false,"type":"group"},"type":"richTextContentControl","id":"efe0fa0d-2619-4db6-bb15-57f384347c38"}],"transformationConfigurations":[{"language":"{{DocumentLanguage}}","disableUpdates":false,"type":"proofingLanguage"},{"colorTheme":"{{UserProfile.Office.ColorThemeRef.ColorTheme}}","disableUpdates":false,"originalColorThemeXml":"<a:clrScheme name=\"Ramboll\" xmlns:a=\"http://schemas.openxmlformats.org/drawingml/2006/main\"><a:dk1><a:srgbClr val=\"333333\" /></a:dk1><a:lt1><a:srgbClr val=\"FFFFFF\" /></a:lt1><a:dk2><a:srgbClr val=\"009DF0\" /></a:dk2><a:lt2><a:srgbClr val=\"797766\" /></a:lt2><a:accent1><a:srgbClr val=\"ADDDFF\" /></a:accent1><a:accent2><a:srgbClr val=\"3AA551\" /></a:accent2><a:accent3><a:srgbClr val=\"A8D100\" /></a:accent3><a:accent4><a:srgbClr val=\"C40079\" /></a:accent4><a:accent5><a:srgbClr val=\"C63418\" /></a:accent5><a:accent6><a:srgbClr val=\"D0CFC9\" /></a:accent6><a:hlink><a:srgbClr val=\"009DF0\" /></a:hlink><a:folHlink><a:srgbClr val=\"ADDDFF\" /></a:folHlink></a:clrScheme>","type":"colorTheme"},{"propertyName":"Ram_Document_Date","propertyValue":"{{FormatDateTime(Form.Date,Translate(\"DateCustomA\"),DocumentLanguage)}}","disableUpdates":false,"type":"customDocumentProperty"}],"templateName":"Cover and Content, narrow text","templateDescription":"","enableDocumentContentUpdater":true,"version":"2.0"}]]></TemplafyTemplateConfiguration>
</file>

<file path=customXml/item2.xml><?xml version="1.0" encoding="utf-8"?>
<TemplafyFormConfiguration><![CDATA[{"formFields":[{"required":true,"helpTexts":{},"spacing":{},"shareValue":false,"type":"datePicker","name":"Date","label":"Date"},{"distinct":false,"hideIfNoUserInteractionRequired":false,"required":true,"defaultValue":"Exclude","autoSelectFirstOption":false,"helpTexts":{},"spacing":{},"shareValue":false,"type":"dropDown","dataSourceName":"Filename","dataSourceFieldName":"Filename","name":"FilePath","label":"File Path"}],"formDataEntries":[{"name":"Date","value":"krZ8ZpOil6vw/DwGsFvYUQ=="},{"name":"FilePath","value":"bU6CliS5PQ96wPysEIuDxM9wxSC5U6AtqAVekLmyXrY="}]}]]></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C4ECF-2763-464C-AD61-D274C4536F32}">
  <ds:schemaRefs/>
</ds:datastoreItem>
</file>

<file path=customXml/itemProps2.xml><?xml version="1.0" encoding="utf-8"?>
<ds:datastoreItem xmlns:ds="http://schemas.openxmlformats.org/officeDocument/2006/customXml" ds:itemID="{05CFEE0F-62A4-4FEB-86F4-6D0D8E9653B3}">
  <ds:schemaRefs/>
</ds:datastoreItem>
</file>

<file path=customXml/itemProps3.xml><?xml version="1.0" encoding="utf-8"?>
<ds:datastoreItem xmlns:ds="http://schemas.openxmlformats.org/officeDocument/2006/customXml" ds:itemID="{BA0F4E66-68B3-4BA9-9FB3-36EF3CC0D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 and Content, narrow text.dotx</Template>
  <TotalTime>10</TotalTime>
  <Pages>9</Pages>
  <Words>4678</Words>
  <Characters>30737</Characters>
  <Application>Microsoft Office Word</Application>
  <DocSecurity>0</DocSecurity>
  <Lines>1059</Lines>
  <Paragraphs>448</Paragraphs>
  <ScaleCrop>false</ScaleCrop>
  <HeadingPairs>
    <vt:vector size="2" baseType="variant">
      <vt:variant>
        <vt:lpstr>Title</vt:lpstr>
      </vt:variant>
      <vt:variant>
        <vt:i4>1</vt:i4>
      </vt:variant>
    </vt:vector>
  </HeadingPairs>
  <TitlesOfParts>
    <vt:vector size="1" baseType="lpstr">
      <vt:lpstr>Raport Mediu</vt:lpstr>
    </vt:vector>
  </TitlesOfParts>
  <Company/>
  <LinksUpToDate>false</LinksUpToDate>
  <CharactersWithSpaces>34967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Mediu</dc:title>
  <dc:subject/>
  <dc:creator>Nicoleta Gabriela Musat</dc:creator>
  <cp:keywords/>
  <dc:description/>
  <cp:lastModifiedBy>Nicoleta Gabriela Musat</cp:lastModifiedBy>
  <cp:revision>3</cp:revision>
  <dcterms:created xsi:type="dcterms:W3CDTF">2026-07-21T21:33:00Z</dcterms:created>
  <dcterms:modified xsi:type="dcterms:W3CDTF">2026-07-21T21:41:00Z</dcterms:modified>
  <cp:category>PLANUL NAȚIONAL DE GESTIONARE A DEȘEURILOR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ctbox">
    <vt:lpwstr>True</vt:lpwstr>
  </property>
  <property fmtid="{D5CDD505-2E9C-101B-9397-08002B2CF9AE}" pid="3" name="TenderInsertImage">
    <vt:lpwstr>True</vt:lpwstr>
  </property>
  <property fmtid="{D5CDD505-2E9C-101B-9397-08002B2CF9AE}" pid="4" name="TenderWhiteBorder">
    <vt:lpwstr>True</vt:lpwstr>
  </property>
  <property fmtid="{D5CDD505-2E9C-101B-9397-08002B2CF9AE}" pid="5" name="templatetype">
    <vt:lpwstr>coverandcontent</vt:lpwstr>
  </property>
  <property fmtid="{D5CDD505-2E9C-101B-9397-08002B2CF9AE}" pid="6" name="Doc_AcceptedBy">
    <vt:lpwstr/>
  </property>
  <property fmtid="{D5CDD505-2E9C-101B-9397-08002B2CF9AE}" pid="7" name="Doc_AcceptedDate">
    <vt:lpwstr/>
  </property>
  <property fmtid="{D5CDD505-2E9C-101B-9397-08002B2CF9AE}" pid="8" name="Doc_ApprovedPublicationBy">
    <vt:lpwstr/>
  </property>
  <property fmtid="{D5CDD505-2E9C-101B-9397-08002B2CF9AE}" pid="9" name="Doc_ApprovedPublicationDate">
    <vt:lpwstr/>
  </property>
  <property fmtid="{D5CDD505-2E9C-101B-9397-08002B2CF9AE}" pid="10" name="Doc_ApprovedSharingBy">
    <vt:lpwstr/>
  </property>
  <property fmtid="{D5CDD505-2E9C-101B-9397-08002B2CF9AE}" pid="11" name="Doc_ApprovedSharingDate">
    <vt:lpwstr/>
  </property>
  <property fmtid="{D5CDD505-2E9C-101B-9397-08002B2CF9AE}" pid="12" name="Doc_CheckedBy">
    <vt:lpwstr/>
  </property>
  <property fmtid="{D5CDD505-2E9C-101B-9397-08002B2CF9AE}" pid="13" name="Doc_CheckedDate">
    <vt:lpwstr/>
  </property>
  <property fmtid="{D5CDD505-2E9C-101B-9397-08002B2CF9AE}" pid="14" name="Doc_Client">
    <vt:lpwstr/>
  </property>
  <property fmtid="{D5CDD505-2E9C-101B-9397-08002B2CF9AE}" pid="15" name="Doc_DesignStatus">
    <vt:lpwstr/>
  </property>
  <property fmtid="{D5CDD505-2E9C-101B-9397-08002B2CF9AE}" pid="16" name="Doc_DocNumber">
    <vt:lpwstr/>
  </property>
  <property fmtid="{D5CDD505-2E9C-101B-9397-08002B2CF9AE}" pid="17" name="Doc_DocTitle1">
    <vt:lpwstr/>
  </property>
  <property fmtid="{D5CDD505-2E9C-101B-9397-08002B2CF9AE}" pid="18" name="Doc_DocTitle2">
    <vt:lpwstr/>
  </property>
  <property fmtid="{D5CDD505-2E9C-101B-9397-08002B2CF9AE}" pid="19" name="Doc_DocTitle3">
    <vt:lpwstr/>
  </property>
  <property fmtid="{D5CDD505-2E9C-101B-9397-08002B2CF9AE}" pid="20" name="Doc_DocTitle4">
    <vt:lpwstr/>
  </property>
  <property fmtid="{D5CDD505-2E9C-101B-9397-08002B2CF9AE}" pid="21" name="Doc_MaconomyID">
    <vt:lpwstr/>
  </property>
  <property fmtid="{D5CDD505-2E9C-101B-9397-08002B2CF9AE}" pid="22" name="Doc_Originator">
    <vt:lpwstr/>
  </property>
  <property fmtid="{D5CDD505-2E9C-101B-9397-08002B2CF9AE}" pid="23" name="Doc_PreparedBy">
    <vt:lpwstr/>
  </property>
  <property fmtid="{D5CDD505-2E9C-101B-9397-08002B2CF9AE}" pid="24" name="Doc_PreparedDate">
    <vt:lpwstr/>
  </property>
  <property fmtid="{D5CDD505-2E9C-101B-9397-08002B2CF9AE}" pid="25" name="Doc_ProjectName">
    <vt:lpwstr/>
  </property>
  <property fmtid="{D5CDD505-2E9C-101B-9397-08002B2CF9AE}" pid="26" name="Doc_Revision">
    <vt:lpwstr/>
  </property>
  <property fmtid="{D5CDD505-2E9C-101B-9397-08002B2CF9AE}" pid="27" name="Doc_Revision1">
    <vt:lpwstr/>
  </property>
  <property fmtid="{D5CDD505-2E9C-101B-9397-08002B2CF9AE}" pid="28" name="Doc_Revision10">
    <vt:lpwstr/>
  </property>
  <property fmtid="{D5CDD505-2E9C-101B-9397-08002B2CF9AE}" pid="29" name="Doc_Revision10ApprovedBy">
    <vt:lpwstr/>
  </property>
  <property fmtid="{D5CDD505-2E9C-101B-9397-08002B2CF9AE}" pid="30" name="Doc_Revision10CheckedBy">
    <vt:lpwstr/>
  </property>
  <property fmtid="{D5CDD505-2E9C-101B-9397-08002B2CF9AE}" pid="31" name="Doc_Revision10Date">
    <vt:lpwstr/>
  </property>
  <property fmtid="{D5CDD505-2E9C-101B-9397-08002B2CF9AE}" pid="32" name="Doc_Revision10DesignedBy">
    <vt:lpwstr/>
  </property>
  <property fmtid="{D5CDD505-2E9C-101B-9397-08002B2CF9AE}" pid="33" name="Doc_Revision10Note">
    <vt:lpwstr/>
  </property>
  <property fmtid="{D5CDD505-2E9C-101B-9397-08002B2CF9AE}" pid="34" name="Doc_Revision10PreparedBy">
    <vt:lpwstr/>
  </property>
  <property fmtid="{D5CDD505-2E9C-101B-9397-08002B2CF9AE}" pid="35" name="Doc_Revision11">
    <vt:lpwstr/>
  </property>
  <property fmtid="{D5CDD505-2E9C-101B-9397-08002B2CF9AE}" pid="36" name="Doc_Revision11ApprovedBy">
    <vt:lpwstr/>
  </property>
  <property fmtid="{D5CDD505-2E9C-101B-9397-08002B2CF9AE}" pid="37" name="Doc_Revision11CheckedBy">
    <vt:lpwstr/>
  </property>
  <property fmtid="{D5CDD505-2E9C-101B-9397-08002B2CF9AE}" pid="38" name="Doc_Revision11Date">
    <vt:lpwstr/>
  </property>
  <property fmtid="{D5CDD505-2E9C-101B-9397-08002B2CF9AE}" pid="39" name="Doc_Revision11DesignedBy">
    <vt:lpwstr/>
  </property>
  <property fmtid="{D5CDD505-2E9C-101B-9397-08002B2CF9AE}" pid="40" name="Doc_Revision11Note">
    <vt:lpwstr/>
  </property>
  <property fmtid="{D5CDD505-2E9C-101B-9397-08002B2CF9AE}" pid="41" name="Doc_Revision11PreparedBy">
    <vt:lpwstr/>
  </property>
  <property fmtid="{D5CDD505-2E9C-101B-9397-08002B2CF9AE}" pid="42" name="Doc_Revision12">
    <vt:lpwstr/>
  </property>
  <property fmtid="{D5CDD505-2E9C-101B-9397-08002B2CF9AE}" pid="43" name="Doc_Revision12ApprovedBy">
    <vt:lpwstr/>
  </property>
  <property fmtid="{D5CDD505-2E9C-101B-9397-08002B2CF9AE}" pid="44" name="Doc_Revision12CheckedBy">
    <vt:lpwstr/>
  </property>
  <property fmtid="{D5CDD505-2E9C-101B-9397-08002B2CF9AE}" pid="45" name="Doc_Revision12Date">
    <vt:lpwstr/>
  </property>
  <property fmtid="{D5CDD505-2E9C-101B-9397-08002B2CF9AE}" pid="46" name="Doc_Revision12DesignedBy">
    <vt:lpwstr/>
  </property>
  <property fmtid="{D5CDD505-2E9C-101B-9397-08002B2CF9AE}" pid="47" name="Doc_Revision12Note">
    <vt:lpwstr/>
  </property>
  <property fmtid="{D5CDD505-2E9C-101B-9397-08002B2CF9AE}" pid="48" name="Doc_Revision12PreparedBy">
    <vt:lpwstr/>
  </property>
  <property fmtid="{D5CDD505-2E9C-101B-9397-08002B2CF9AE}" pid="49" name="Doc_Revision1ApprovedBy">
    <vt:lpwstr/>
  </property>
  <property fmtid="{D5CDD505-2E9C-101B-9397-08002B2CF9AE}" pid="50" name="Doc_Revision1CheckedBy">
    <vt:lpwstr/>
  </property>
  <property fmtid="{D5CDD505-2E9C-101B-9397-08002B2CF9AE}" pid="51" name="Doc_Revision1Date">
    <vt:lpwstr/>
  </property>
  <property fmtid="{D5CDD505-2E9C-101B-9397-08002B2CF9AE}" pid="52" name="Doc_Revision1DesignedBy">
    <vt:lpwstr/>
  </property>
  <property fmtid="{D5CDD505-2E9C-101B-9397-08002B2CF9AE}" pid="53" name="Doc_Revision1Note">
    <vt:lpwstr/>
  </property>
  <property fmtid="{D5CDD505-2E9C-101B-9397-08002B2CF9AE}" pid="54" name="Doc_Revision1PreparedBy">
    <vt:lpwstr/>
  </property>
  <property fmtid="{D5CDD505-2E9C-101B-9397-08002B2CF9AE}" pid="55" name="Doc_Revision2">
    <vt:lpwstr/>
  </property>
  <property fmtid="{D5CDD505-2E9C-101B-9397-08002B2CF9AE}" pid="56" name="Doc_Revision2ApprovedBy">
    <vt:lpwstr/>
  </property>
  <property fmtid="{D5CDD505-2E9C-101B-9397-08002B2CF9AE}" pid="57" name="Doc_Revision2CheckedBy">
    <vt:lpwstr/>
  </property>
  <property fmtid="{D5CDD505-2E9C-101B-9397-08002B2CF9AE}" pid="58" name="Doc_Revision2Date">
    <vt:lpwstr/>
  </property>
  <property fmtid="{D5CDD505-2E9C-101B-9397-08002B2CF9AE}" pid="59" name="Doc_Revision2DesignedBy">
    <vt:lpwstr/>
  </property>
  <property fmtid="{D5CDD505-2E9C-101B-9397-08002B2CF9AE}" pid="60" name="Doc_Revision2Note">
    <vt:lpwstr/>
  </property>
  <property fmtid="{D5CDD505-2E9C-101B-9397-08002B2CF9AE}" pid="61" name="Doc_Revision2PreparedBy">
    <vt:lpwstr/>
  </property>
  <property fmtid="{D5CDD505-2E9C-101B-9397-08002B2CF9AE}" pid="62" name="Doc_Revision3">
    <vt:lpwstr/>
  </property>
  <property fmtid="{D5CDD505-2E9C-101B-9397-08002B2CF9AE}" pid="63" name="Doc_Revision3ApprovedBy">
    <vt:lpwstr/>
  </property>
  <property fmtid="{D5CDD505-2E9C-101B-9397-08002B2CF9AE}" pid="64" name="Doc_Revision3CheckedBy">
    <vt:lpwstr/>
  </property>
  <property fmtid="{D5CDD505-2E9C-101B-9397-08002B2CF9AE}" pid="65" name="Doc_Revision3Date">
    <vt:lpwstr/>
  </property>
  <property fmtid="{D5CDD505-2E9C-101B-9397-08002B2CF9AE}" pid="66" name="Doc_Revision3DesignedBy">
    <vt:lpwstr/>
  </property>
  <property fmtid="{D5CDD505-2E9C-101B-9397-08002B2CF9AE}" pid="67" name="Doc_Revision3Note">
    <vt:lpwstr/>
  </property>
  <property fmtid="{D5CDD505-2E9C-101B-9397-08002B2CF9AE}" pid="68" name="Doc_Revision3PreparedBy">
    <vt:lpwstr/>
  </property>
  <property fmtid="{D5CDD505-2E9C-101B-9397-08002B2CF9AE}" pid="69" name="Doc_Revision4">
    <vt:lpwstr/>
  </property>
  <property fmtid="{D5CDD505-2E9C-101B-9397-08002B2CF9AE}" pid="70" name="Doc_Revision4ApprovedBy">
    <vt:lpwstr/>
  </property>
  <property fmtid="{D5CDD505-2E9C-101B-9397-08002B2CF9AE}" pid="71" name="Doc_Revision4CheckedBy">
    <vt:lpwstr/>
  </property>
  <property fmtid="{D5CDD505-2E9C-101B-9397-08002B2CF9AE}" pid="72" name="Doc_Revision4Date">
    <vt:lpwstr/>
  </property>
  <property fmtid="{D5CDD505-2E9C-101B-9397-08002B2CF9AE}" pid="73" name="Doc_Revision4DesignedBy">
    <vt:lpwstr/>
  </property>
  <property fmtid="{D5CDD505-2E9C-101B-9397-08002B2CF9AE}" pid="74" name="Doc_Revision4Note">
    <vt:lpwstr/>
  </property>
  <property fmtid="{D5CDD505-2E9C-101B-9397-08002B2CF9AE}" pid="75" name="Doc_Revision4PreparedBy">
    <vt:lpwstr/>
  </property>
  <property fmtid="{D5CDD505-2E9C-101B-9397-08002B2CF9AE}" pid="76" name="Doc_Revision5">
    <vt:lpwstr/>
  </property>
  <property fmtid="{D5CDD505-2E9C-101B-9397-08002B2CF9AE}" pid="77" name="Doc_Revision5ApprovedBy">
    <vt:lpwstr/>
  </property>
  <property fmtid="{D5CDD505-2E9C-101B-9397-08002B2CF9AE}" pid="78" name="Doc_Revision5CheckedBy">
    <vt:lpwstr/>
  </property>
  <property fmtid="{D5CDD505-2E9C-101B-9397-08002B2CF9AE}" pid="79" name="Doc_Revision5Date">
    <vt:lpwstr/>
  </property>
  <property fmtid="{D5CDD505-2E9C-101B-9397-08002B2CF9AE}" pid="80" name="Doc_Revision5DesignedBy">
    <vt:lpwstr/>
  </property>
  <property fmtid="{D5CDD505-2E9C-101B-9397-08002B2CF9AE}" pid="81" name="Doc_Revision5Note">
    <vt:lpwstr/>
  </property>
  <property fmtid="{D5CDD505-2E9C-101B-9397-08002B2CF9AE}" pid="82" name="Doc_Revision5PreparedBy">
    <vt:lpwstr/>
  </property>
  <property fmtid="{D5CDD505-2E9C-101B-9397-08002B2CF9AE}" pid="83" name="Doc_Revision6">
    <vt:lpwstr/>
  </property>
  <property fmtid="{D5CDD505-2E9C-101B-9397-08002B2CF9AE}" pid="84" name="Doc_Revision6ApprovedBy">
    <vt:lpwstr/>
  </property>
  <property fmtid="{D5CDD505-2E9C-101B-9397-08002B2CF9AE}" pid="85" name="Doc_Revision6CheckedBy">
    <vt:lpwstr/>
  </property>
  <property fmtid="{D5CDD505-2E9C-101B-9397-08002B2CF9AE}" pid="86" name="Doc_Revision6Date">
    <vt:lpwstr/>
  </property>
  <property fmtid="{D5CDD505-2E9C-101B-9397-08002B2CF9AE}" pid="87" name="Doc_Revision6DesignedBy">
    <vt:lpwstr/>
  </property>
  <property fmtid="{D5CDD505-2E9C-101B-9397-08002B2CF9AE}" pid="88" name="Doc_Revision6Note">
    <vt:lpwstr/>
  </property>
  <property fmtid="{D5CDD505-2E9C-101B-9397-08002B2CF9AE}" pid="89" name="Doc_Revision6PreparedBy">
    <vt:lpwstr/>
  </property>
  <property fmtid="{D5CDD505-2E9C-101B-9397-08002B2CF9AE}" pid="90" name="Doc_Revision7">
    <vt:lpwstr/>
  </property>
  <property fmtid="{D5CDD505-2E9C-101B-9397-08002B2CF9AE}" pid="91" name="Doc_Revision7ApprovedBy">
    <vt:lpwstr/>
  </property>
  <property fmtid="{D5CDD505-2E9C-101B-9397-08002B2CF9AE}" pid="92" name="Doc_Revision7CheckedBy">
    <vt:lpwstr/>
  </property>
  <property fmtid="{D5CDD505-2E9C-101B-9397-08002B2CF9AE}" pid="93" name="Doc_Revision7Date">
    <vt:lpwstr/>
  </property>
  <property fmtid="{D5CDD505-2E9C-101B-9397-08002B2CF9AE}" pid="94" name="Doc_Revision7DesignedBy">
    <vt:lpwstr/>
  </property>
  <property fmtid="{D5CDD505-2E9C-101B-9397-08002B2CF9AE}" pid="95" name="Doc_Revision7Note">
    <vt:lpwstr/>
  </property>
  <property fmtid="{D5CDD505-2E9C-101B-9397-08002B2CF9AE}" pid="96" name="Doc_Revision7PreparedBy">
    <vt:lpwstr/>
  </property>
  <property fmtid="{D5CDD505-2E9C-101B-9397-08002B2CF9AE}" pid="97" name="Doc_Revision8">
    <vt:lpwstr/>
  </property>
  <property fmtid="{D5CDD505-2E9C-101B-9397-08002B2CF9AE}" pid="98" name="Doc_Revision8ApprovedBy">
    <vt:lpwstr/>
  </property>
  <property fmtid="{D5CDD505-2E9C-101B-9397-08002B2CF9AE}" pid="99" name="Doc_Revision8CheckedBy">
    <vt:lpwstr/>
  </property>
  <property fmtid="{D5CDD505-2E9C-101B-9397-08002B2CF9AE}" pid="100" name="Doc_Revision8Date">
    <vt:lpwstr/>
  </property>
  <property fmtid="{D5CDD505-2E9C-101B-9397-08002B2CF9AE}" pid="101" name="Doc_Revision8DesignedBy">
    <vt:lpwstr/>
  </property>
  <property fmtid="{D5CDD505-2E9C-101B-9397-08002B2CF9AE}" pid="102" name="Doc_Revision8Note">
    <vt:lpwstr/>
  </property>
  <property fmtid="{D5CDD505-2E9C-101B-9397-08002B2CF9AE}" pid="103" name="Doc_Revision8PreparedBy">
    <vt:lpwstr/>
  </property>
  <property fmtid="{D5CDD505-2E9C-101B-9397-08002B2CF9AE}" pid="104" name="Doc_Revision9">
    <vt:lpwstr/>
  </property>
  <property fmtid="{D5CDD505-2E9C-101B-9397-08002B2CF9AE}" pid="105" name="Doc_Revision9ApprovedBy">
    <vt:lpwstr/>
  </property>
  <property fmtid="{D5CDD505-2E9C-101B-9397-08002B2CF9AE}" pid="106" name="Doc_Revision9CheckedBy">
    <vt:lpwstr/>
  </property>
  <property fmtid="{D5CDD505-2E9C-101B-9397-08002B2CF9AE}" pid="107" name="Doc_Revision9Date">
    <vt:lpwstr/>
  </property>
  <property fmtid="{D5CDD505-2E9C-101B-9397-08002B2CF9AE}" pid="108" name="Doc_Revision9DesignedBy">
    <vt:lpwstr/>
  </property>
  <property fmtid="{D5CDD505-2E9C-101B-9397-08002B2CF9AE}" pid="109" name="Doc_Revision9Note">
    <vt:lpwstr/>
  </property>
  <property fmtid="{D5CDD505-2E9C-101B-9397-08002B2CF9AE}" pid="110" name="Doc_Revision9PreparedBy">
    <vt:lpwstr/>
  </property>
  <property fmtid="{D5CDD505-2E9C-101B-9397-08002B2CF9AE}" pid="111" name="Doc_RevisionNote">
    <vt:lpwstr/>
  </property>
  <property fmtid="{D5CDD505-2E9C-101B-9397-08002B2CF9AE}" pid="112" name="Doc_SecurityClassification">
    <vt:lpwstr/>
  </property>
  <property fmtid="{D5CDD505-2E9C-101B-9397-08002B2CF9AE}" pid="113" name="Doc_Suitability">
    <vt:lpwstr/>
  </property>
  <property fmtid="{D5CDD505-2E9C-101B-9397-08002B2CF9AE}" pid="114" name="Doc_Unique_ProjectID">
    <vt:lpwstr/>
  </property>
  <property fmtid="{D5CDD505-2E9C-101B-9397-08002B2CF9AE}" pid="115" name="Document_FileName">
    <vt:lpwstr/>
  </property>
  <property fmtid="{D5CDD505-2E9C-101B-9397-08002B2CF9AE}" pid="116" name="Document_Name">
    <vt:lpwstr/>
  </property>
  <property fmtid="{D5CDD505-2E9C-101B-9397-08002B2CF9AE}" pid="117" name="Document_Number">
    <vt:lpwstr/>
  </property>
  <property fmtid="{D5CDD505-2E9C-101B-9397-08002B2CF9AE}" pid="118" name="Document_Version">
    <vt:lpwstr/>
  </property>
  <property fmtid="{D5CDD505-2E9C-101B-9397-08002B2CF9AE}" pid="119" name="Document_VersionSeq">
    <vt:lpwstr/>
  </property>
  <property fmtid="{D5CDD505-2E9C-101B-9397-08002B2CF9AE}" pid="120" name="Folder_Code">
    <vt:lpwstr/>
  </property>
  <property fmtid="{D5CDD505-2E9C-101B-9397-08002B2CF9AE}" pid="121" name="Folder_CreateDate">
    <vt:lpwstr/>
  </property>
  <property fmtid="{D5CDD505-2E9C-101B-9397-08002B2CF9AE}" pid="122" name="Folder_Creator">
    <vt:lpwstr/>
  </property>
  <property fmtid="{D5CDD505-2E9C-101B-9397-08002B2CF9AE}" pid="123" name="Folder_CreatorDesc">
    <vt:lpwstr/>
  </property>
  <property fmtid="{D5CDD505-2E9C-101B-9397-08002B2CF9AE}" pid="124" name="Folder_Description">
    <vt:lpwstr/>
  </property>
  <property fmtid="{D5CDD505-2E9C-101B-9397-08002B2CF9AE}" pid="125" name="Folder_Manager">
    <vt:lpwstr/>
  </property>
  <property fmtid="{D5CDD505-2E9C-101B-9397-08002B2CF9AE}" pid="126" name="Folder_ManagerDesc">
    <vt:lpwstr/>
  </property>
  <property fmtid="{D5CDD505-2E9C-101B-9397-08002B2CF9AE}" pid="127" name="Folder_Name">
    <vt:lpwstr/>
  </property>
  <property fmtid="{D5CDD505-2E9C-101B-9397-08002B2CF9AE}" pid="128" name="Folder_Number">
    <vt:lpwstr/>
  </property>
  <property fmtid="{D5CDD505-2E9C-101B-9397-08002B2CF9AE}" pid="129" name="Folder_Storage">
    <vt:lpwstr/>
  </property>
  <property fmtid="{D5CDD505-2E9C-101B-9397-08002B2CF9AE}" pid="130" name="Folder_StorageDesc">
    <vt:lpwstr/>
  </property>
  <property fmtid="{D5CDD505-2E9C-101B-9397-08002B2CF9AE}" pid="131" name="Folder_UpdateDate">
    <vt:lpwstr/>
  </property>
  <property fmtid="{D5CDD505-2E9C-101B-9397-08002B2CF9AE}" pid="132" name="Folder_UpdateDesc">
    <vt:lpwstr/>
  </property>
  <property fmtid="{D5CDD505-2E9C-101B-9397-08002B2CF9AE}" pid="133" name="Folder_Updater">
    <vt:lpwstr/>
  </property>
  <property fmtid="{D5CDD505-2E9C-101B-9397-08002B2CF9AE}" pid="134" name="Ram_Document_AltName_AltName">
    <vt:lpwstr/>
  </property>
  <property fmtid="{D5CDD505-2E9C-101B-9397-08002B2CF9AE}" pid="135" name="Ram_Document_AltName_DocName">
    <vt:lpwstr/>
  </property>
  <property fmtid="{D5CDD505-2E9C-101B-9397-08002B2CF9AE}" pid="136" name="Ram_Document_AltName_Part1">
    <vt:lpwstr/>
  </property>
  <property fmtid="{D5CDD505-2E9C-101B-9397-08002B2CF9AE}" pid="137" name="Ram_Document_AltName_Part2">
    <vt:lpwstr/>
  </property>
  <property fmtid="{D5CDD505-2E9C-101B-9397-08002B2CF9AE}" pid="138" name="Ram_Document_AltName_Part3">
    <vt:lpwstr/>
  </property>
  <property fmtid="{D5CDD505-2E9C-101B-9397-08002B2CF9AE}" pid="139" name="Ram_Document_AltName_Part4">
    <vt:lpwstr/>
  </property>
  <property fmtid="{D5CDD505-2E9C-101B-9397-08002B2CF9AE}" pid="140" name="Ram_Document_AltName_Part5">
    <vt:lpwstr/>
  </property>
  <property fmtid="{D5CDD505-2E9C-101B-9397-08002B2CF9AE}" pid="141" name="Ram_Document_AltName_Part6">
    <vt:lpwstr/>
  </property>
  <property fmtid="{D5CDD505-2E9C-101B-9397-08002B2CF9AE}" pid="142" name="Ram_Document_AltName_Part7">
    <vt:lpwstr/>
  </property>
  <property fmtid="{D5CDD505-2E9C-101B-9397-08002B2CF9AE}" pid="143" name="Ram_Document_AltName_Part8">
    <vt:lpwstr/>
  </property>
  <property fmtid="{D5CDD505-2E9C-101B-9397-08002B2CF9AE}" pid="144" name="Ram_Document_AltName_Part9">
    <vt:lpwstr/>
  </property>
  <property fmtid="{D5CDD505-2E9C-101B-9397-08002B2CF9AE}" pid="145" name="Ram_Document_CustomerDocName">
    <vt:lpwstr/>
  </property>
  <property fmtid="{D5CDD505-2E9C-101B-9397-08002B2CF9AE}" pid="146" name="Ram_Document_CustomerDocNumber">
    <vt:lpwstr/>
  </property>
  <property fmtid="{D5CDD505-2E9C-101B-9397-08002B2CF9AE}" pid="147" name="Ram_Project_ClientName">
    <vt:lpwstr/>
  </property>
  <property fmtid="{D5CDD505-2E9C-101B-9397-08002B2CF9AE}" pid="148" name="Ram_WorkArea_Client">
    <vt:lpwstr/>
  </property>
  <property fmtid="{D5CDD505-2E9C-101B-9397-08002B2CF9AE}" pid="149" name="Ram_WorkArea_ProjectName">
    <vt:lpwstr/>
  </property>
  <property fmtid="{D5CDD505-2E9C-101B-9397-08002B2CF9AE}" pid="150" name="Ram_Document_ApprovedBy">
    <vt:lpwstr/>
  </property>
  <property fmtid="{D5CDD505-2E9C-101B-9397-08002B2CF9AE}" pid="151" name="Ram_Document_CheckedBy">
    <vt:lpwstr/>
  </property>
  <property fmtid="{D5CDD505-2E9C-101B-9397-08002B2CF9AE}" pid="152" name="Ram_Document_Date">
    <vt:lpwstr>February 17, 2025</vt:lpwstr>
  </property>
  <property fmtid="{D5CDD505-2E9C-101B-9397-08002B2CF9AE}" pid="153" name="Ram_Document_DocID">
    <vt:lpwstr/>
  </property>
  <property fmtid="{D5CDD505-2E9C-101B-9397-08002B2CF9AE}" pid="154" name="Ram_Document_DocStructureID">
    <vt:lpwstr/>
  </property>
  <property fmtid="{D5CDD505-2E9C-101B-9397-08002B2CF9AE}" pid="155" name="Ram_Document_PreparedBy">
    <vt:lpwstr/>
  </property>
  <property fmtid="{D5CDD505-2E9C-101B-9397-08002B2CF9AE}" pid="156" name="Ram_Document_Title1">
    <vt:lpwstr/>
  </property>
  <property fmtid="{D5CDD505-2E9C-101B-9397-08002B2CF9AE}" pid="157" name="Ram_Document_Title2">
    <vt:lpwstr/>
  </property>
  <property fmtid="{D5CDD505-2E9C-101B-9397-08002B2CF9AE}" pid="158" name="Ram_Document_Version">
    <vt:lpwstr/>
  </property>
  <property fmtid="{D5CDD505-2E9C-101B-9397-08002B2CF9AE}" pid="159" name="Ram_Document_VersionDescription">
    <vt:lpwstr/>
  </property>
  <property fmtid="{D5CDD505-2E9C-101B-9397-08002B2CF9AE}" pid="160" name="Ram_Project_Name">
    <vt:lpwstr/>
  </property>
  <property fmtid="{D5CDD505-2E9C-101B-9397-08002B2CF9AE}" pid="161" name="Ram_Project_Number">
    <vt:lpwstr/>
  </property>
  <property fmtid="{D5CDD505-2E9C-101B-9397-08002B2CF9AE}" pid="162" name="Ram_Document_Project_Field1">
    <vt:lpwstr/>
  </property>
  <property fmtid="{D5CDD505-2E9C-101B-9397-08002B2CF9AE}" pid="163" name="Ram_Document_Project_Field2">
    <vt:lpwstr/>
  </property>
  <property fmtid="{D5CDD505-2E9C-101B-9397-08002B2CF9AE}" pid="164" name="Ram_Document_Project_Field3">
    <vt:lpwstr/>
  </property>
  <property fmtid="{D5CDD505-2E9C-101B-9397-08002B2CF9AE}" pid="165" name="Ram_Document_PreparedBy_FullName">
    <vt:lpwstr/>
  </property>
  <property fmtid="{D5CDD505-2E9C-101B-9397-08002B2CF9AE}" pid="166" name="Ram_Document_Client_Version">
    <vt:lpwstr/>
  </property>
  <property fmtid="{D5CDD505-2E9C-101B-9397-08002B2CF9AE}" pid="167" name="Ram_Document_Client_Version_Description">
    <vt:lpwstr/>
  </property>
  <property fmtid="{D5CDD505-2E9C-101B-9397-08002B2CF9AE}" pid="168" name="Ram_Document_URN">
    <vt:lpwstr/>
  </property>
  <property fmtid="{D5CDD505-2E9C-101B-9397-08002B2CF9AE}" pid="169" name="Doc_CreatedDate">
    <vt:lpwstr/>
  </property>
  <property fmtid="{D5CDD505-2E9C-101B-9397-08002B2CF9AE}" pid="170" name="InsertImageBackpage">
    <vt:lpwstr>True</vt:lpwstr>
  </property>
  <property fmtid="{D5CDD505-2E9C-101B-9397-08002B2CF9AE}" pid="171" name="TenderCoverpage">
    <vt:lpwstr>True</vt:lpwstr>
  </property>
  <property fmtid="{D5CDD505-2E9C-101B-9397-08002B2CF9AE}" pid="172" name="ExtraLogo">
    <vt:lpwstr>True</vt:lpwstr>
  </property>
  <property fmtid="{D5CDD505-2E9C-101B-9397-08002B2CF9AE}" pid="173" name="UpdateDocument">
    <vt:lpwstr>true</vt:lpwstr>
  </property>
  <property fmtid="{D5CDD505-2E9C-101B-9397-08002B2CF9AE}" pid="174" name="TemplafyTenantId">
    <vt:lpwstr>ramboll</vt:lpwstr>
  </property>
  <property fmtid="{D5CDD505-2E9C-101B-9397-08002B2CF9AE}" pid="175" name="TemplafyTemplateId">
    <vt:lpwstr>636452954907126925</vt:lpwstr>
  </property>
  <property fmtid="{D5CDD505-2E9C-101B-9397-08002B2CF9AE}" pid="176" name="TemplafyUserProfileId">
    <vt:lpwstr>637835489890785528</vt:lpwstr>
  </property>
  <property fmtid="{D5CDD505-2E9C-101B-9397-08002B2CF9AE}" pid="177" name="TemplafyLanguageCode">
    <vt:lpwstr>en-US</vt:lpwstr>
  </property>
  <property fmtid="{D5CDD505-2E9C-101B-9397-08002B2CF9AE}" pid="178" name="TemplafyFromBlank">
    <vt:bool>false</vt:bool>
  </property>
  <property fmtid="{D5CDD505-2E9C-101B-9397-08002B2CF9AE}" pid="179" name="Ram_Project_Manager">
    <vt:lpwstr/>
  </property>
  <property fmtid="{D5CDD505-2E9C-101B-9397-08002B2CF9AE}" pid="180" name="Ram_WorkArea_MaconomyProjectID">
    <vt:lpwstr/>
  </property>
  <property fmtid="{D5CDD505-2E9C-101B-9397-08002B2CF9AE}" pid="181" name="ClassificationContentMarkingFooterShapeIds">
    <vt:lpwstr>559068d4,177483f1,5b1f643f,478dd4c9,6fcb78c4,5469637d,75a54544,5e11480a,6a275e29,7e99c93b,6f23c499,568ddf07</vt:lpwstr>
  </property>
  <property fmtid="{D5CDD505-2E9C-101B-9397-08002B2CF9AE}" pid="182" name="ClassificationContentMarkingFooterFontProps">
    <vt:lpwstr>#000000,7,Verdana</vt:lpwstr>
  </property>
  <property fmtid="{D5CDD505-2E9C-101B-9397-08002B2CF9AE}" pid="183" name="ClassificationContentMarkingFooterText">
    <vt:lpwstr>Confidential</vt:lpwstr>
  </property>
  <property fmtid="{D5CDD505-2E9C-101B-9397-08002B2CF9AE}" pid="184" name="MSIP_Label_20ea7001-5c24-4702-a3ac-e436ccb02747_Enabled">
    <vt:lpwstr>true</vt:lpwstr>
  </property>
  <property fmtid="{D5CDD505-2E9C-101B-9397-08002B2CF9AE}" pid="185" name="MSIP_Label_20ea7001-5c24-4702-a3ac-e436ccb02747_SetDate">
    <vt:lpwstr>2025-02-17T15:31:52Z</vt:lpwstr>
  </property>
  <property fmtid="{D5CDD505-2E9C-101B-9397-08002B2CF9AE}" pid="186" name="MSIP_Label_20ea7001-5c24-4702-a3ac-e436ccb02747_Method">
    <vt:lpwstr>Standard</vt:lpwstr>
  </property>
  <property fmtid="{D5CDD505-2E9C-101B-9397-08002B2CF9AE}" pid="187" name="MSIP_Label_20ea7001-5c24-4702-a3ac-e436ccb02747_Name">
    <vt:lpwstr>Confidential</vt:lpwstr>
  </property>
  <property fmtid="{D5CDD505-2E9C-101B-9397-08002B2CF9AE}" pid="188" name="MSIP_Label_20ea7001-5c24-4702-a3ac-e436ccb02747_SiteId">
    <vt:lpwstr>c8823c91-be81-4f89-b024-6c3dd789c106</vt:lpwstr>
  </property>
  <property fmtid="{D5CDD505-2E9C-101B-9397-08002B2CF9AE}" pid="189" name="MSIP_Label_20ea7001-5c24-4702-a3ac-e436ccb02747_ActionId">
    <vt:lpwstr>2a488d5b-d9b7-4032-b03d-6fd4538dab35</vt:lpwstr>
  </property>
  <property fmtid="{D5CDD505-2E9C-101B-9397-08002B2CF9AE}" pid="190" name="MSIP_Label_20ea7001-5c24-4702-a3ac-e436ccb02747_ContentBits">
    <vt:lpwstr>2</vt:lpwstr>
  </property>
</Properties>
</file>