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18개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FIELD_ENCRYPTION_KEY_V2</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키 회전이 진행되지 않습니다. 설정하면 신규 저장은 즉시 새 키를 사용하고, 기존 v1 행은 회전 액션을 실행하기 전까지 FIELD_ENCRYPTION_KEY로 계속 복호화됩니다.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AUDIT_RETENTION_DAYS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감사 로그 보존 기간이 기본값 365일로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CRON_SECRET</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/api/cron/audit-archive 라우트가 모든 요청을 거부합니다(열림이 아닌 닫힘으로 실패). 스케줄러를 연결하려면 먼저 이 값을 설정해야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RESEND_API_KEY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규칙 엔진의 notify 효과가 실제 이메일 발송 대신 서버 로그로만 기록됩니다. 저장 동작 자체는 실패하지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NOTIFICATION_EMAIL_FROM</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RESEND_API_KEY와 함께 설정해야 이메일이 발송됩니다.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SALES_NOTIFICATION_EMAIL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랜딩페이지 무료체험 신청 폼의 알림 수신 주소입니다. 미설정 시 신청 내역은 TrialRequest 테이블에만 저장되고 알림 이메일은 발송되지 않습니다.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18개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22 이상과 npm 10 이상이 설치되어 있는지 확인합니다.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실행합니다.</w:t>
      </w:r>
    </w:p>
    <w:p>
      <w:pPr>
        <w:spacing w:after="100" w:line="300"/>
        <w:ind w:left="360" w:hanging="360"/>
      </w:pPr>
      <w:r>
        <w:rPr>
          <w:b/>
          <w:bCs/>
        </w:rPr>
        <w:t xml:space="preserve">3. </w:t>
      </w:r>
      <w:r>
        <w:t xml:space="preserve">환경변수 파일을 만듭니다. `.env.example`을 `.env.local`로 복사하면 되고, 이 단계에서는 값을 비워 두어도 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hd w:fill="F2F2F2" w:val="clear"/>
        <w:spacing w:after="0" w:line="260"/>
        <w:ind w:left="240"/>
      </w:pPr>
      <w:r>
        <w:rPr>
          <w:rFonts w:ascii="Consolas" w:cs="Consolas" w:eastAsia="Consolas" w:hAnsi="Consolas"/>
          <w:sz w:val="18"/>
          <w:szCs w:val="18"/>
        </w:rPr>
        <w:t xml:space="preserve">node -v &amp;&amp; npm -v</w:t>
      </w:r>
    </w:p>
    <w:p>
      <w:pPr>
        <w:shd w:fill="F2F2F2" w:val="clear"/>
        <w:spacing w:after="0" w:line="260"/>
        <w:ind w:left="240"/>
      </w:pPr>
      <w:r>
        <w:rPr>
          <w:rFonts w:ascii="Consolas" w:cs="Consolas" w:eastAsia="Consolas" w:hAnsi="Consolas"/>
          <w:sz w:val="18"/>
          <w:szCs w:val="18"/>
        </w:rPr>
        <w:t xml:space="preserve">git clone &lt;저장소 URL&gt; &amp;&amp; 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cp .env.example .env.local</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`npm test`가 실패 없이 종료됩니다(1,388개 테스트, 70개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`.env.local`의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`.env.local`에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.env.local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`.env.local`의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`.env.local`의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.env.local</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`.env.local`의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`.env.local`의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.env.local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.env.local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commitDataImportJobAction이 매핑된 각 행을 검증·규칙엔진 통과 후 DataImportJob과 ActivityDataEntry로 커밋하며, 행 단위 부분 성공을 지원합니다(예전 임시 이름 importActivityDataAction 대신 이 함수입니다).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대량 등록은 화면의 CSV import 탭 또는 `POST /api/v1/activity-data`로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규칙엔진의 notify 효과가 LoggingNotificationChannel(기본, 로그만) 또는 ResendNotificationChannel로 발송되며, 대상 문자열은 이메일이거나 조직 내 역할명으로 해석됩니다.</w:t>
            </w:r>
          </w:p>
        </w:tc>
        <w:tc>
          <w:tcPr>
            <w:tcMar>
              <w:top w:type="dxa" w:w="60"/>
              <w:left w:type="dxa" w:w="100"/>
              <w:bottom w:type="dxa" w:w="60"/>
              <w:right w:type="dxa" w:w="100"/>
            </w:tcMar>
            <w:vAlign w:val="top"/>
          </w:tcPr>
          <w:p>
            <w:pPr>
              <w:spacing w:after="0" w:line="260"/>
            </w:pPr>
            <w:r>
              <w:rPr>
                <w:b w:val="false"/>
                <w:bCs w:val="false"/>
                <w:sz w:val="18"/>
                <w:szCs w:val="18"/>
              </w:rPr>
              <w:t xml:space="preserve">실제 이메일 발송이 필요하면 4절이 아니라 이 표 다음에 있는 RESEND_API_KEY/NOTIFICATION_EMAIL_FROM을 설정하십시오. 미설정 시 발송 내역은 서버 로그로만 남습니다.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메시지 테이블(src/lib/i18n/messages.ts)의 오류 메시지 키는 전부 한국어가 채워져 있고, 쿠키 기반 로케일 전환(/settings의 Display language 토글, setLocaleAction)이 동작합니다. 화면 문구 자체는 설계상 영어로 유지됩니다.</w:t>
            </w:r>
          </w:p>
        </w:tc>
        <w:tc>
          <w:tcPr>
            <w:tcMar>
              <w:top w:type="dxa" w:w="60"/>
              <w:left w:type="dxa" w:w="100"/>
              <w:bottom w:type="dxa" w:w="60"/>
              <w:right w:type="dxa" w:w="100"/>
            </w:tcMar>
            <w:vAlign w:val="top"/>
          </w:tcPr>
          <w:p>
            <w:pPr>
              <w:spacing w:after="0" w:line="260"/>
            </w:pPr>
            <w:r>
              <w:rPr>
                <w:b w:val="false"/>
                <w:bCs w:val="false"/>
                <w:sz w:val="18"/>
                <w:szCs w:val="18"/>
              </w:rPr>
              <w:t xml:space="preserve">전면 한국어화가 필요하면 각 페이지 문구를 메시지 테이블 경유로 전환하는 i18n 후속 작업을 진행하십시오. 성공 메시지(action.success.*) 약 50개는 아직 한국어가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APIKey.rateLimitPerMinute 컬럼이 추가되었고, rateLimitForKey가 rate:unlimited 스코프 &gt; 키별 값 &gt; 전역 기본값(API_RATE_LIMIT_PER_MINUTE) 순으로 적용합니다. API 게이트웨이 화면에 유효 한도가 표시됩니다.</w:t>
            </w:r>
          </w:p>
        </w:tc>
        <w:tc>
          <w:tcPr>
            <w:tcMar>
              <w:top w:type="dxa" w:w="60"/>
              <w:left w:type="dxa" w:w="100"/>
              <w:bottom w:type="dxa" w:w="60"/>
              <w:right w:type="dxa" w:w="100"/>
            </w:tcMar>
            <w:vAlign w:val="top"/>
          </w:tcPr>
          <w:p>
            <w:pPr>
              <w:spacing w:after="0" w:line="260"/>
            </w:pPr>
            <w:r>
              <w:rPr>
                <w:b w:val="false"/>
                <w:bCs w:val="false"/>
                <w:sz w:val="18"/>
                <w:szCs w:val="18"/>
              </w:rPr>
              <w:t xml:space="preserve">키별 한도를 설정하려면 데이터베이스에서 직접 해당 APIKey 행의 rateLimitPerMinute을 갱신하십시오. 키 발급·관리 UI 자체는 아직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자체는 완성되어 있어 토큰만 있으면 즉시 동작합니다.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발급해 MAPBOX_ACCESS_TOKEN에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EmissionFactorEmbedding 테이블과 임베딩 클라이언트(OpenAI 또는 결정론적 대체)까지 구현되었으나, 코사인 유사도 원시 SQL과 벡터 인덱스는 실제 pgvector 데이터베이스에서만 검증할 수 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3절대로 pgvector 확장을 활성화한 뒤 `npm run embeddings:backfill`을 실행하십시오. 벡터 인덱스(ivfflat/hnsw)는 Prisma DSL이 지원하지 않아 수기로 추가해야 할 수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VerificationFinding에 misstatementAmount(정량 오기재), estimatedFinancialImpact·impactCurrency(금액, 정보 제공용) 정식 컬럼이 있습니다. 과거의 description 마커 인코딩 방식은 제거되었습니다.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estimatedFinancialImpact는 중요성 판정 계산에는 반영되지 않는 정보성 값입니다.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field-crypto.ts가 v1/v2 버전 암호문을 동시에 지원하고, rotateFieldEncryptionAction이 DataSource.credentials 행을 새 키로 재암호화합니다.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교체하려면 5절의 순서대로 FIELD_ENCRYPTION_KEY_V2를 설정한 뒤 rotateFieldEncryptionAction을 실행하고, 완료 후 기존 FIELD_ENCRYPTION_KEY를 새 값으로 교체하십시오.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archiveAuditTrailAction과 /api/cron/audit-archive가 보존기간(AUDIT_RETENTION_DAYS, 기본 365일)을 초과한 AuditTrail 행을 ArchivedAuditTrail로 이관합니다. 실제 스케줄 트리거만 아직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11절대로 CRON_SECRET을 설정한 뒤, Vercel Cron(vercel.json의 crons 항목) 또는 외부 스케줄러가 /api/cron/audit-archive를 주기 호출하도록 구성하십시오.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테넌트 간 데이터 격리(조직 멤버십)</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OrganizationMembership 모델이 도입되어 조직 전환(활성 조직 스위처)이 배포 전체 조직 목록이 아니라 사용자의 실제 멤버십으로 검증됩니다. 감사 로그, 배출계수 시맨틱 검색, DataSource 조회에도 조직 필터가 추가되었습니다.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구성원 초대·역할 변경·접근 철회는 보안 화면의 '구성원' 탭에서 수행하십시오. 다만 PostgreSQL Row-Level Security(RLS)는 아직 적용되지 않아 애플리케이션 계층 검증에만 의존합니다 — 3절대로 데이터베이스를 프로비저닝한 뒤 RLS 정책 추가를 검토하십시오.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SSO/SAML/OIDC 및 다요소인증(MFA)</w:t>
            </w:r>
          </w:p>
        </w:tc>
        <w:tc>
          <w:tcPr>
            <w:tcMar>
              <w:top w:type="dxa" w:w="60"/>
              <w:left w:type="dxa" w:w="100"/>
              <w:bottom w:type="dxa" w:w="60"/>
              <w:right w:type="dxa" w:w="100"/>
            </w:tcMar>
            <w:vAlign w:val="top"/>
          </w:tcPr>
          <w:p>
            <w:pPr>
              <w:spacing w:after="0" w:line="260"/>
            </w:pPr>
            <w:r>
              <w:rPr>
                <w:b w:val="false"/>
                <w:bCs w:val="false"/>
                <w:sz w:val="18"/>
                <w:szCs w:val="18"/>
              </w:rPr>
              <w:t xml:space="preserve">미구현. 현재 인증은 Supabase Auth(이메일·비밀번호) 또는 데모 세션만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사내 SSO가 필요하면 Okta·Azure AD·Google Workspace 등 ID 공급자를 선정하고 Supabase Auth의 SAML/OIDC 커넥터를 설정하십시오. MFA는 별도 개발이 필요합니다.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배출량 계산 재실행 시 이중 합산</w:t>
            </w:r>
          </w:p>
        </w:tc>
        <w:tc>
          <w:tcPr>
            <w:tcMar>
              <w:top w:type="dxa" w:w="60"/>
              <w:left w:type="dxa" w:w="100"/>
              <w:bottom w:type="dxa" w:w="60"/>
              <w:right w:type="dxa" w:w="100"/>
            </w:tcMar>
            <w:vAlign w:val="top"/>
          </w:tcPr>
          <w:p>
            <w:pPr>
              <w:spacing w:after="0" w:line="260"/>
            </w:pPr>
            <w:r>
              <w:rPr>
                <w:b w:val="false"/>
                <w:bCs w:val="false"/>
                <w:sz w:val="18"/>
                <w:szCs w:val="18"/>
              </w:rPr>
              <w:t xml:space="preserve">구현 완료(버그 수정). 동일 조직·연도를 재계산하면 이전 실행이 SUPERSEDED로 전이되고, 집계는 활성(COMPLETED) 실행만 반영합니다.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증빙 파일의 실제 오브젝트 스토리지 저장</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src/lib/storage의 팩토리 패턴이 증빙 파일을 실제 바이트 기준으로 해시하지만, 저장소 자체는 프로세스 메모리(MemoryObjectStorageClient)뿐이라 프로세스 재시작 시 소실됩니다.</w:t>
            </w:r>
          </w:p>
        </w:tc>
        <w:tc>
          <w:tcPr>
            <w:tcMar>
              <w:top w:type="dxa" w:w="60"/>
              <w:left w:type="dxa" w:w="100"/>
              <w:bottom w:type="dxa" w:w="60"/>
              <w:right w:type="dxa" w:w="100"/>
            </w:tcMar>
            <w:vAlign w:val="top"/>
          </w:tcPr>
          <w:p>
            <w:pPr>
              <w:spacing w:after="0" w:line="260"/>
            </w:pPr>
            <w:r>
              <w:rPr>
                <w:b w:val="false"/>
                <w:bCs w:val="false"/>
                <w:sz w:val="18"/>
                <w:szCs w:val="18"/>
              </w:rPr>
              <w:t xml:space="preserve">2절에서 만든 Supabase Storage 버킷(또는 S3)에 연결하는 구현체를 추가 개발해 getObjectStorageClient() 팩토리가 선택하도록 연결하십시오.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API 레이트리밋의 다중 인스턴스 지원</w:t>
            </w:r>
          </w:p>
        </w:tc>
        <w:tc>
          <w:tcPr>
            <w:tcMar>
              <w:top w:type="dxa" w:w="60"/>
              <w:left w:type="dxa" w:w="100"/>
              <w:bottom w:type="dxa" w:w="60"/>
              <w:right w:type="dxa" w:w="100"/>
            </w:tcMar>
            <w:vAlign w:val="top"/>
          </w:tcPr>
          <w:p>
            <w:pPr>
              <w:spacing w:after="0" w:line="260"/>
            </w:pPr>
            <w:r>
              <w:rPr>
                <w:b w:val="false"/>
                <w:bCs w:val="false"/>
                <w:sz w:val="18"/>
                <w:szCs w:val="18"/>
              </w:rPr>
              <w:t xml:space="preserve">미구현. 현재 레이트리미터는 프로세스 메모리 기반이라 서버 인스턴스마다 한도가 개별 적용됩니다. getRateLimiter() 팩토리 접점은 준비되어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7절에서 준비한 Redis/Upstash에 연결하는 구현체를 추가하고 getRateLimiter()가 이를 반환하도록 교체하십시오.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배출량 계산의 비동기 처리</w:t>
            </w:r>
          </w:p>
        </w:tc>
        <w:tc>
          <w:tcPr>
            <w:tcMar>
              <w:top w:type="dxa" w:w="60"/>
              <w:left w:type="dxa" w:w="100"/>
              <w:bottom w:type="dxa" w:w="60"/>
              <w:right w:type="dxa" w:w="100"/>
            </w:tcMar>
            <w:vAlign w:val="top"/>
          </w:tcPr>
          <w:p>
            <w:pPr>
              <w:spacing w:after="0" w:line="260"/>
            </w:pPr>
            <w:r>
              <w:rPr>
                <w:b w:val="false"/>
                <w:bCs w:val="false"/>
                <w:sz w:val="18"/>
                <w:szCs w:val="18"/>
              </w:rPr>
              <w:t xml:space="preserve">미구현. POST /api/v1/calculations는 요청 안에서 전체 계산을 동기 실행합니다(이전에는 202를 반환했으나 실제 동작과 맞지 않아 200으로 수정했습니다). 대량 데이터셋에서는 요청 타임아웃 위험이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대량 조직에서 타임아웃이 발생하면 Queue/Worker(Vercel Queue, BullMQ 등) 기반 비동기 처리와 상태 폴링 엔드포인트 도입을 검토하십시오.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금액·배출량 수치의 Decimal 정밀도</w:t>
            </w:r>
          </w:p>
        </w:tc>
        <w:tc>
          <w:tcPr>
            <w:tcMar>
              <w:top w:type="dxa" w:w="60"/>
              <w:left w:type="dxa" w:w="100"/>
              <w:bottom w:type="dxa" w:w="60"/>
              <w:right w:type="dxa" w:w="100"/>
            </w:tcMar>
            <w:vAlign w:val="top"/>
          </w:tcPr>
          <w:p>
            <w:pPr>
              <w:spacing w:after="0" w:line="260"/>
            </w:pPr>
            <w:r>
              <w:rPr>
                <w:b w:val="false"/>
                <w:bCs w:val="false"/>
                <w:sz w:val="18"/>
                <w:szCs w:val="18"/>
              </w:rPr>
              <w:t xml:space="preserve">미구현. 배출량·통화 수치가 Prisma Float로 저장됩니다. 부동소수점 반올림 오차가 있을 수 있으나, 이번에 확인·수정된 문제는 정밀도가 아니라 재실행 시 이중 집계였습니다.</w:t>
            </w:r>
          </w:p>
        </w:tc>
        <w:tc>
          <w:tcPr>
            <w:tcMar>
              <w:top w:type="dxa" w:w="60"/>
              <w:left w:type="dxa" w:w="100"/>
              <w:bottom w:type="dxa" w:w="60"/>
              <w:right w:type="dxa" w:w="100"/>
            </w:tcMar>
            <w:vAlign w:val="top"/>
          </w:tcPr>
          <w:p>
            <w:pPr>
              <w:spacing w:after="0" w:line="260"/>
            </w:pPr>
            <w:r>
              <w:rPr>
                <w:b w:val="false"/>
                <w:bCs w:val="false"/>
                <w:sz w:val="18"/>
                <w:szCs w:val="18"/>
              </w:rPr>
              <w:t xml:space="preserve">회계·감사상 소수점 정밀도가 계약상 요구되면 Decimal 컬럼 전환을 별도 프로젝트로 계획하십시오(도메인 계산 레이어 전체에 영향을 주는 규모입니다).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미사용 스키마 정리(Session.token, EncryptionKey)</w:t>
            </w:r>
          </w:p>
        </w:tc>
        <w:tc>
          <w:tcPr>
            <w:tcMar>
              <w:top w:type="dxa" w:w="60"/>
              <w:left w:type="dxa" w:w="100"/>
              <w:bottom w:type="dxa" w:w="60"/>
              <w:right w:type="dxa" w:w="100"/>
            </w:tcMar>
            <w:vAlign w:val="top"/>
          </w:tcPr>
          <w:p>
            <w:pPr>
              <w:spacing w:after="0" w:line="260"/>
            </w:pPr>
            <w:r>
              <w:rPr>
                <w:b w:val="false"/>
                <w:bCs w:val="false"/>
                <w:sz w:val="18"/>
                <w:szCs w:val="18"/>
              </w:rPr>
              <w:t xml:space="preserve">Session.token(평문 컬럼)과 EncryptionKey 모델은 코드 어디에서도 사용되지 않는 죽은 스키마입니다. 실제 인증은 Supabase가, 필드 암호화는 FIELD_ENCRYPTION_KEY 환경변수가 처리합니다.</w:t>
            </w:r>
          </w:p>
        </w:tc>
        <w:tc>
          <w:tcPr>
            <w:tcMar>
              <w:top w:type="dxa" w:w="60"/>
              <w:left w:type="dxa" w:w="100"/>
              <w:bottom w:type="dxa" w:w="60"/>
              <w:right w:type="dxa" w:w="100"/>
            </w:tcMar>
            <w:vAlign w:val="top"/>
          </w:tcPr>
          <w:p>
            <w:pPr>
              <w:spacing w:after="0" w:line="260"/>
            </w:pPr>
            <w:r>
              <w:rPr>
                <w:b w:val="false"/>
                <w:bCs w:val="false"/>
                <w:sz w:val="18"/>
                <w:szCs w:val="18"/>
              </w:rPr>
              <w:t xml:space="preserve">보안 감사 시 혼동을 피하려면 다음 스키마 변경 배치에 두 항목을 제거하는 마이그레이션을 포함하십시오.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2026-08-07T13:39:02.711Z</dcterms:created>
  <dcterms:modified xsi:type="dcterms:W3CDTF">2026-08-07T13:39:02.711Z</dcterms:modified>
</cp:coreProperties>
</file>

<file path=docProps/custom.xml><?xml version="1.0" encoding="utf-8"?>
<Properties xmlns="http://schemas.openxmlformats.org/officeDocument/2006/custom-properties" xmlns:vt="http://schemas.openxmlformats.org/officeDocument/2006/docPropsVTypes"/>
</file>