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rPr>
        <w:t xml:space="preserve">CIOS 직접 설정 가이드</w:t>
      </w:r>
    </w:p>
    <w:p>
      <w:pPr>
        <w:spacing w:after="320"/>
        <w:jc w:val="center"/>
      </w:pPr>
      <w:r>
        <w:rPr>
          <w:sz w:val="24"/>
          <w:szCs w:val="24"/>
        </w:rPr>
        <w:t xml:space="preserve">탄소 인텔리전스 운영 시스템 — 사용자가 직접 수행해야 하는 작업 정리</w:t>
      </w:r>
    </w:p>
    <w:p>
      <w:pPr>
        <w:pStyle w:val="Heading2"/>
        <w:spacing w:after="100" w:before="200"/>
      </w:pPr>
      <w:r>
        <w:rPr>
          <w:b/>
          <w:bCs/>
        </w:rPr>
        <w:t xml:space="preserve">이 문서의 목적</w:t>
      </w:r>
    </w:p>
    <w:p>
      <w:pPr>
        <w:spacing w:after="120" w:line="300"/>
      </w:pPr>
      <w:r>
        <w:rPr>
          <w:b w:val="false"/>
          <w:bCs w:val="false"/>
        </w:rPr>
        <w:t xml:space="preserve">이 시스템의 계산·검증·공시 로직은 코드로 구현되어 있고 테스트로 검증되어 있습니다. 그러나 데이터베이스, 인증 공급자, 언어모델, 유료 배출계수 데이터, 제3자 검증, 규제 제출은 사용자의 계정·비용·법적 판단이 필요하므로 개발 단계에서 대신 수행할 수 없습니다. 이 문서는 그 경계를 명확히 하고, 사용자가 해야 하는 작업을 실행 가능한 순서와 명령까지 정리한 인수 문서입니다.</w:t>
      </w:r>
    </w:p>
    <w:p>
      <w:pPr>
        <w:spacing w:after="120" w:line="300"/>
      </w:pPr>
      <w:r>
        <w:rPr>
          <w:b w:val="false"/>
          <w:bCs w:val="false"/>
        </w:rPr>
        <w:t xml:space="preserve">개발 환경에는 접속 가능한 PostgreSQL 서버, Supabase 프로젝트, OpenAI 키, Mapbox 토큰이 없었습니다. 따라서 모든 자동 검증은 목(mock) 처리된 Prisma 또는 데모 경로로 수행되었습니다. 데이터베이스를 준비한 뒤 가장 먼저 실행해야 하는 작업은 `npx prisma migrate deploy`이며, 이어서 `npm run db:seed`를 실행하십시오(3절).</w:t>
      </w:r>
    </w:p>
    <w:p>
      <w:pPr>
        <w:spacing w:after="120" w:line="300"/>
      </w:pPr>
      <w:r>
        <w:rPr>
          <w:b w:val="false"/>
          <w:bCs w:val="false"/>
        </w:rPr>
        <w:t xml:space="preserve">각 절은 '절차(번호별 단계) → 예상 비용 → 완료 확인 방법' 순으로 구성되어 있습니다. 완료 확인 방법을 통과하지 못하면 그 절은 끝난 것이 아닙니다.</w:t>
      </w:r>
    </w:p>
    <w:p>
      <w:pPr>
        <w:pStyle w:val="Heading2"/>
        <w:spacing w:after="100" w:before="200"/>
      </w:pPr>
      <w:r>
        <w:rPr>
          <w:b/>
          <w:bCs/>
        </w:rPr>
        <w:t xml:space="preserve">현재 상태 요약</w:t>
      </w:r>
    </w:p>
    <w:p>
      <w:pPr>
        <w:spacing w:after="120" w:line="300"/>
      </w:pPr>
      <w:r>
        <w:rPr>
          <w:b w:val="false"/>
          <w:bCs w:val="false"/>
        </w:rPr>
        <w:t xml:space="preserve">환경변수를 하나도 설정하지 않아도 애플리케이션은 실행됩니다. 이 '데모 모드'에서 18개 대시보드 화면의 모든 수치는 내장 샘플 데이터를 실제 계산 엔진으로 계산한 값이며, 저장(쓰기) 동작만 거부됩니다. 즉, 지금 화면에 보이는 숫자는 하드코딩된 값이 아니라 계산된 값이고, 데이터베이스를 연결하는 즉시 같은 엔진이 실제 데이터를 계산합니다.</w:t>
      </w:r>
    </w:p>
    <w:p>
      <w:pPr>
        <w:pStyle w:val="Heading2"/>
        <w:spacing w:after="100" w:before="200"/>
      </w:pPr>
      <w:r>
        <w:rPr>
          <w:b/>
          <w:bCs/>
        </w:rPr>
        <w:t xml:space="preserve">환경변수 요약</w:t>
      </w:r>
    </w:p>
    <w:p>
      <w:pPr>
        <w:spacing w:after="120" w:line="300"/>
      </w:pPr>
      <w:r>
        <w:rPr>
          <w:b w:val="false"/>
          <w:bCs w:val="false"/>
        </w:rPr>
        <w:t xml:space="preserve">표 0-1은 코드가 실제로 읽는 모든 환경변수와, 설정하지 않았을 때 무엇이 동작하지 않는지를 정리한 것입니다. 저장소의 `.env.example`과 애플리케이션의 /settings 화면이 동일한 내용을 표시합니다.</w:t>
      </w:r>
    </w:p>
    <w:p>
      <w:pPr>
        <w:spacing w:after="120" w:line="300"/>
      </w:pPr>
      <w:r>
        <w:rPr>
          <w:b/>
          <w:bCs/>
        </w:rPr>
        <w:t xml:space="preserve">표 0-1. 환경변수와 미설정 시 영향</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rPr>
          <w:tblHeader/>
        </w:trPr>
        <w:tc>
          <w:tcPr>
            <w:shd w:fill="E7E6E6" w:val="clear"/>
            <w:tcMar>
              <w:top w:type="dxa" w:w="60"/>
              <w:left w:type="dxa" w:w="100"/>
              <w:bottom w:type="dxa" w:w="60"/>
              <w:right w:type="dxa" w:w="100"/>
            </w:tcMar>
            <w:vAlign w:val="top"/>
          </w:tcPr>
          <w:p>
            <w:pPr>
              <w:spacing w:after="0" w:line="260"/>
            </w:pPr>
            <w:r>
              <w:rPr>
                <w:b/>
                <w:bCs/>
                <w:sz w:val="18"/>
                <w:szCs w:val="18"/>
              </w:rPr>
              <w:t xml:space="preserve">환경변수</w:t>
            </w:r>
          </w:p>
        </w:tc>
        <w:tc>
          <w:tcPr>
            <w:shd w:fill="E7E6E6" w:val="clear"/>
            <w:tcMar>
              <w:top w:type="dxa" w:w="60"/>
              <w:left w:type="dxa" w:w="100"/>
              <w:bottom w:type="dxa" w:w="60"/>
              <w:right w:type="dxa" w:w="100"/>
            </w:tcMar>
            <w:vAlign w:val="top"/>
          </w:tcPr>
          <w:p>
            <w:pPr>
              <w:spacing w:after="0" w:line="260"/>
            </w:pPr>
            <w:r>
              <w:rPr>
                <w:b/>
                <w:bCs/>
                <w:sz w:val="18"/>
                <w:szCs w:val="18"/>
              </w:rPr>
              <w:t xml:space="preserve">필수 여부</w:t>
            </w:r>
          </w:p>
        </w:tc>
        <w:tc>
          <w:tcPr>
            <w:shd w:fill="E7E6E6" w:val="clear"/>
            <w:tcMar>
              <w:top w:type="dxa" w:w="60"/>
              <w:left w:type="dxa" w:w="100"/>
              <w:bottom w:type="dxa" w:w="60"/>
              <w:right w:type="dxa" w:w="100"/>
            </w:tcMar>
            <w:vAlign w:val="top"/>
          </w:tcPr>
          <w:p>
            <w:pPr>
              <w:spacing w:after="0" w:line="260"/>
            </w:pPr>
            <w:r>
              <w:rPr>
                <w:b/>
                <w:bCs/>
                <w:sz w:val="18"/>
                <w:szCs w:val="18"/>
              </w:rPr>
              <w:t xml:space="preserve">설정하지 않으면</w:t>
            </w:r>
          </w:p>
        </w:tc>
      </w:tr>
      <w:tr>
        <w:tc>
          <w:tcPr>
            <w:tcMar>
              <w:top w:type="dxa" w:w="60"/>
              <w:left w:type="dxa" w:w="100"/>
              <w:bottom w:type="dxa" w:w="60"/>
              <w:right w:type="dxa" w:w="100"/>
            </w:tcMar>
            <w:vAlign w:val="top"/>
          </w:tcPr>
          <w:p>
            <w:pPr>
              <w:spacing w:after="0" w:line="260"/>
            </w:pPr>
            <w:r>
              <w:rPr>
                <w:b w:val="false"/>
                <w:bCs w:val="false"/>
                <w:sz w:val="18"/>
                <w:szCs w:val="18"/>
              </w:rPr>
              <w:t xml:space="preserve">DATABASE_URL</w:t>
            </w:r>
          </w:p>
        </w:tc>
        <w:tc>
          <w:tcPr>
            <w:tcMar>
              <w:top w:type="dxa" w:w="60"/>
              <w:left w:type="dxa" w:w="100"/>
              <w:bottom w:type="dxa" w:w="60"/>
              <w:right w:type="dxa" w:w="100"/>
            </w:tcMar>
            <w:vAlign w:val="top"/>
          </w:tcPr>
          <w:p>
            <w:pPr>
              <w:spacing w:after="0" w:line="260"/>
            </w:pPr>
            <w:r>
              <w:rPr>
                <w:b w:val="false"/>
                <w:bCs w:val="false"/>
                <w:sz w:val="18"/>
                <w:szCs w:val="18"/>
              </w:rPr>
              <w:t xml:space="preserve">필수</w:t>
            </w:r>
          </w:p>
        </w:tc>
        <w:tc>
          <w:tcPr>
            <w:tcMar>
              <w:top w:type="dxa" w:w="60"/>
              <w:left w:type="dxa" w:w="100"/>
              <w:bottom w:type="dxa" w:w="60"/>
              <w:right w:type="dxa" w:w="100"/>
            </w:tcMar>
            <w:vAlign w:val="top"/>
          </w:tcPr>
          <w:p>
            <w:pPr>
              <w:spacing w:after="0" w:line="260"/>
            </w:pPr>
            <w:r>
              <w:rPr>
                <w:b w:val="false"/>
                <w:bCs w:val="false"/>
                <w:sz w:val="18"/>
                <w:szCs w:val="18"/>
              </w:rPr>
              <w:t xml:space="preserve">데모 모드로 동작합니다. 조회는 내장 샘플 데이터를 실제 계산 엔진으로 계산해 보여주지만, 모든 저장 동작은 DEMO_MODE를 반환하고 데이터베이스에 기록되지 않습니다.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DIRECT_URL</w:t>
            </w:r>
          </w:p>
        </w:tc>
        <w:tc>
          <w:tcPr>
            <w:tcMar>
              <w:top w:type="dxa" w:w="60"/>
              <w:left w:type="dxa" w:w="100"/>
              <w:bottom w:type="dxa" w:w="60"/>
              <w:right w:type="dxa" w:w="100"/>
            </w:tcMar>
            <w:vAlign w:val="top"/>
          </w:tcPr>
          <w:p>
            <w:pPr>
              <w:spacing w:after="0" w:line="260"/>
            </w:pPr>
            <w:r>
              <w:rPr>
                <w:b w:val="false"/>
                <w:bCs w:val="false"/>
                <w:sz w:val="18"/>
                <w:szCs w:val="18"/>
              </w:rPr>
              <w:t xml:space="preserve">필수</w:t>
            </w:r>
          </w:p>
        </w:tc>
        <w:tc>
          <w:tcPr>
            <w:tcMar>
              <w:top w:type="dxa" w:w="60"/>
              <w:left w:type="dxa" w:w="100"/>
              <w:bottom w:type="dxa" w:w="60"/>
              <w:right w:type="dxa" w:w="100"/>
            </w:tcMar>
            <w:vAlign w:val="top"/>
          </w:tcPr>
          <w:p>
            <w:pPr>
              <w:spacing w:after="0" w:line="260"/>
            </w:pPr>
            <w:r>
              <w:rPr>
                <w:b w:val="false"/>
                <w:bCs w:val="false"/>
                <w:sz w:val="18"/>
                <w:szCs w:val="18"/>
              </w:rPr>
              <w:t xml:space="preserve">마이그레이션용 직결 연결 문자열입니다. 없으면 풀러(pgBouncer) 연결만으로 DDL을 허용하지 않는 공급자에서 `npx prisma migrate deploy`가 실패합니다.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NEXT_PUBLIC_SUPABASE_URL</w:t>
            </w:r>
          </w:p>
        </w:tc>
        <w:tc>
          <w:tcPr>
            <w:tcMar>
              <w:top w:type="dxa" w:w="60"/>
              <w:left w:type="dxa" w:w="100"/>
              <w:bottom w:type="dxa" w:w="60"/>
              <w:right w:type="dxa" w:w="100"/>
            </w:tcMar>
            <w:vAlign w:val="top"/>
          </w:tcPr>
          <w:p>
            <w:pPr>
              <w:spacing w:after="0" w:line="260"/>
            </w:pPr>
            <w:r>
              <w:rPr>
                <w:b w:val="false"/>
                <w:bCs w:val="false"/>
                <w:sz w:val="18"/>
                <w:szCs w:val="18"/>
              </w:rPr>
              <w:t xml:space="preserve">필수</w:t>
            </w:r>
          </w:p>
        </w:tc>
        <w:tc>
          <w:tcPr>
            <w:tcMar>
              <w:top w:type="dxa" w:w="60"/>
              <w:left w:type="dxa" w:w="100"/>
              <w:bottom w:type="dxa" w:w="60"/>
              <w:right w:type="dxa" w:w="100"/>
            </w:tcMar>
            <w:vAlign w:val="top"/>
          </w:tcPr>
          <w:p>
            <w:pPr>
              <w:spacing w:after="0" w:line="260"/>
            </w:pPr>
            <w:r>
              <w:rPr>
                <w:b w:val="false"/>
                <w:bCs w:val="false"/>
                <w:sz w:val="18"/>
                <w:szCs w:val="18"/>
              </w:rPr>
              <w:t xml:space="preserve">인증 공급자가 없습니다. 데모 관리자 세션으로 동작하고, 로그인·회원가입 화면이 설정 오류를 안내하며, OAuth를 사용할 수 없습니다.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NEXT_PUBLIC_SUPABASE_ANON_KEY</w:t>
            </w:r>
          </w:p>
        </w:tc>
        <w:tc>
          <w:tcPr>
            <w:tcMar>
              <w:top w:type="dxa" w:w="60"/>
              <w:left w:type="dxa" w:w="100"/>
              <w:bottom w:type="dxa" w:w="60"/>
              <w:right w:type="dxa" w:w="100"/>
            </w:tcMar>
            <w:vAlign w:val="top"/>
          </w:tcPr>
          <w:p>
            <w:pPr>
              <w:spacing w:after="0" w:line="260"/>
            </w:pPr>
            <w:r>
              <w:rPr>
                <w:b w:val="false"/>
                <w:bCs w:val="false"/>
                <w:sz w:val="18"/>
                <w:szCs w:val="18"/>
              </w:rPr>
              <w:t xml:space="preserve">필수</w:t>
            </w:r>
          </w:p>
        </w:tc>
        <w:tc>
          <w:tcPr>
            <w:tcMar>
              <w:top w:type="dxa" w:w="60"/>
              <w:left w:type="dxa" w:w="100"/>
              <w:bottom w:type="dxa" w:w="60"/>
              <w:right w:type="dxa" w:w="100"/>
            </w:tcMar>
            <w:vAlign w:val="top"/>
          </w:tcPr>
          <w:p>
            <w:pPr>
              <w:spacing w:after="0" w:line="260"/>
            </w:pPr>
            <w:r>
              <w:rPr>
                <w:b w:val="false"/>
                <w:bCs w:val="false"/>
                <w:sz w:val="18"/>
                <w:szCs w:val="18"/>
              </w:rPr>
              <w:t xml:space="preserve">위 항목과 동일합니다. URL과 키는 둘 다 있어야 인증이 활성화됩니다.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OPENAI_API_KEY</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서술형 텍스트가 계산 추적(trace)에서 결정론적으로 생성됩니다. 이상 탐지·예측·신뢰도 등 모든 수치 결과는 영향을 받지 않습니다.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OPENAI_MODEL</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기본값 gpt-4o-mini를 사용합니다.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OPENAI_BASE_URL</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기본값 https://api.openai.com/v1 을 사용합니다. Azure OpenAI나 사내 게이트웨이를 쓸 때만 지정합니다.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OPENAI_ORGANIZATION</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OpenAI-Organization 헤더를 보내지 않습니다.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OPENAI_TIMEOUT_MS</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LLM 요청 제한시간이 기본값 60,000ms로 적용됩니다.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FIELD_ENCRYPTION_KEY</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자격증명이 포함된 데이터 소스 등록이 실패합니다. AES-256-GCM 필드 암호화는 키가 없으면 평문 저장 대신 거부하도록 설계되어 있습니다.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MAPBOX_ACCESS_TOKEN</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조직(Organization) 화면이 인터랙티브 지도 대신 사업장 좌표 목록을 표시합니다.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REDIS_URL</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레이트리밋이 프로세스 내부에서만 동작하므로 서버 인스턴스마다 별도의 토큰 버킷을 갖습니다.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SEED_ADMIN_PASSWORD</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`npm run db:seed`가 문서화된 기본 비밀번호로 관리자 계정을 만들고 경고를 출력합니다. 시드 전에 지정하거나 시드 직후 비밀번호를 변경해야 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API_RATE_LIMIT_PER_MINUTE</w:t>
            </w:r>
          </w:p>
        </w:tc>
        <w:tc>
          <w:tcPr>
            <w:tcMar>
              <w:top w:type="dxa" w:w="60"/>
              <w:left w:type="dxa" w:w="100"/>
              <w:bottom w:type="dxa" w:w="60"/>
              <w:right w:type="dxa" w:w="100"/>
            </w:tcMar>
            <w:vAlign w:val="top"/>
          </w:tcPr>
          <w:p>
            <w:pPr>
              <w:spacing w:after="0" w:line="260"/>
            </w:pPr>
            <w:r>
              <w:rPr>
                <w:b w:val="false"/>
                <w:bCs w:val="false"/>
                <w:sz w:val="18"/>
                <w:szCs w:val="18"/>
              </w:rPr>
              <w:t xml:space="preserve">선택</w:t>
            </w:r>
          </w:p>
        </w:tc>
        <w:tc>
          <w:tcPr>
            <w:tcMar>
              <w:top w:type="dxa" w:w="60"/>
              <w:left w:type="dxa" w:w="100"/>
              <w:bottom w:type="dxa" w:w="60"/>
              <w:right w:type="dxa" w:w="100"/>
            </w:tcMar>
            <w:vAlign w:val="top"/>
          </w:tcPr>
          <w:p>
            <w:pPr>
              <w:spacing w:after="0" w:line="260"/>
            </w:pPr>
            <w:r>
              <w:rPr>
                <w:b w:val="false"/>
                <w:bCs w:val="false"/>
                <w:sz w:val="18"/>
                <w:szCs w:val="18"/>
              </w:rPr>
              <w:t xml:space="preserve">API 키 기본 한도가 분당 60회로 적용됩니다. `rate:unlimited` 스코프를 가진 키는 한도에서 제외됩니다.</w:t>
            </w:r>
          </w:p>
        </w:tc>
      </w:tr>
    </w:tbl>
    <w:p>
      <w:pPr>
        <w:spacing w:after="240"/>
      </w:pPr>
    </w:p>
    <w:p>
      <w:pPr>
        <w:pStyle w:val="Heading2"/>
        <w:spacing w:after="100" w:before="200"/>
      </w:pPr>
      <w:r>
        <w:rPr>
          <w:b/>
          <w:bCs/>
        </w:rPr>
        <w:t xml:space="preserve">목차</w:t>
      </w:r>
    </w:p>
    <w:sdt>
      <w:sdtPr>
        <w:alias w:val="목차"/>
      </w:sdtPr>
      <w:sdtContent>
        <w:p>
          <w:r>
            <w:fldChar w:fldCharType="begin" w:dirty="true"/>
            <w:instrText xml:space="preserve">TOC \h \o "1-1"</w:instrText>
            <w:fldChar w:fldCharType="separate"/>
          </w:r>
        </w:p>
        <w:p>
          <w:r>
            <w:fldChar w:fldCharType="end"/>
          </w:r>
        </w:p>
      </w:sdtContent>
    </w:sdt>
    <w:p>
      <w:pPr>
        <w:pStyle w:val="Heading1"/>
        <w:spacing w:after="140" w:before="320"/>
      </w:pPr>
      <w:r>
        <w:rPr>
          <w:b/>
          <w:bCs/>
        </w:rPr>
        <w:t xml:space="preserve">1. 사전 준비 및 로컬 실행</w:t>
      </w:r>
    </w:p>
    <w:p>
      <w:pPr>
        <w:spacing w:after="120" w:line="300"/>
      </w:pPr>
      <w:r>
        <w:rPr>
          <w:b w:val="false"/>
          <w:bCs w:val="false"/>
        </w:rPr>
        <w:t xml:space="preserve">외부 계정 없이 애플리케이션을 먼저 실행해, 어떤 화면이 이미 동작하는지 눈으로 확인합니다.</w:t>
      </w:r>
    </w:p>
    <w:p>
      <w:pPr>
        <w:spacing w:after="120" w:line="300"/>
      </w:pPr>
      <w:r>
        <w:rPr>
          <w:b w:val="false"/>
          <w:bCs w:val="false"/>
        </w:rPr>
        <w:t xml:space="preserve">이 시스템은 환경변수가 하나도 없어도 실행됩니다. 이때는 '데모 모드'로 동작하며, 18개 대시보드 화면의 모든 수치는 내장 샘플 데이터를 실제 계산 엔진(Scope 1/2/3 산정, SBTi 경로, 시나리오, MACC, 크레딧, 공시 매핑, MRV)으로 계산한 값입니다. 저장(쓰기) 동작만 거부됩니다.</w:t>
      </w:r>
    </w:p>
    <w:p>
      <w:pPr>
        <w:spacing w:after="100" w:line="300"/>
        <w:ind w:left="360" w:hanging="360"/>
      </w:pPr>
      <w:r>
        <w:rPr>
          <w:b/>
          <w:bCs/>
        </w:rPr>
        <w:t xml:space="preserve">1. </w:t>
      </w:r>
      <w:r>
        <w:t xml:space="preserve">Node.js 22 이상과 npm 10 이상이 설치되어 있는지 확인합니다. 버전이 낮으면 https://nodejs.org 에서 LTS 22.x를 설치하십시오.</w:t>
      </w:r>
    </w:p>
    <w:p>
      <w:pPr>
        <w:spacing w:after="100" w:line="300"/>
        <w:ind w:left="360" w:hanging="360"/>
      </w:pPr>
      <w:r>
        <w:rPr>
          <w:b/>
          <w:bCs/>
        </w:rPr>
        <w:t xml:space="preserve">2. </w:t>
      </w:r>
      <w:r>
        <w:t xml:space="preserve">저장소를 클론하고 의존성을 설치합니다. `npm ci`는 postinstall 단계에서 `prisma generate`를 자동으로 실행합니다.</w:t>
      </w:r>
    </w:p>
    <w:p>
      <w:pPr>
        <w:spacing w:after="100" w:line="300"/>
        <w:ind w:left="360" w:hanging="360"/>
      </w:pPr>
      <w:r>
        <w:rPr>
          <w:b/>
          <w:bCs/>
        </w:rPr>
        <w:t xml:space="preserve">3. </w:t>
      </w:r>
      <w:r>
        <w:t xml:space="preserve">환경변수 파일을 만듭니다. `.env.example`을 `.env.local`로 복사하면 되고, 이 단계에서는 값을 비워 두어도 됩니다.</w:t>
      </w:r>
    </w:p>
    <w:p>
      <w:pPr>
        <w:spacing w:after="100" w:line="300"/>
        <w:ind w:left="360" w:hanging="360"/>
      </w:pPr>
      <w:r>
        <w:rPr>
          <w:b/>
          <w:bCs/>
        </w:rPr>
        <w:t xml:space="preserve">4. </w:t>
      </w:r>
      <w:r>
        <w:t xml:space="preserve">개발 서버를 실행하고 http://localhost:3000 을 엽니다. 로그인 없이 /dashboard 이하 화면을 볼 수 있습니다(데모 관리자 세션).</w:t>
      </w:r>
    </w:p>
    <w:p>
      <w:pPr>
        <w:spacing w:after="100" w:line="300"/>
        <w:ind w:left="360" w:hanging="360"/>
      </w:pPr>
      <w:r>
        <w:rPr>
          <w:b/>
          <w:bCs/>
        </w:rPr>
        <w:t xml:space="preserve">5. </w:t>
      </w:r>
      <w:r>
        <w:t xml:space="preserve">화면 상단의 데모 모드 배너와 /settings 화면의 'Environment configuration' 패널에서 현재 어떤 의존성이 구성되었는지 확인합니다.</w:t>
      </w:r>
    </w:p>
    <w:p>
      <w:pPr>
        <w:spacing w:after="100" w:line="300"/>
        <w:ind w:left="360" w:hanging="360"/>
      </w:pPr>
      <w:r>
        <w:rPr>
          <w:b/>
          <w:bCs/>
        </w:rPr>
        <w:t xml:space="preserve">6. </w:t>
      </w:r>
      <w:r>
        <w:t xml:space="preserve">코드 검증 명령을 순서대로 실행해 개발 환경이 정상인지 확인합니다.</w:t>
      </w:r>
    </w:p>
    <w:p>
      <w:pPr>
        <w:shd w:fill="F2F2F2" w:val="clear"/>
        <w:spacing w:after="0" w:line="260"/>
        <w:ind w:left="240"/>
      </w:pPr>
      <w:r>
        <w:rPr>
          <w:rFonts w:ascii="Consolas" w:cs="Consolas" w:eastAsia="Consolas" w:hAnsi="Consolas"/>
          <w:sz w:val="18"/>
          <w:szCs w:val="18"/>
        </w:rPr>
        <w:t xml:space="preserve">node -v &amp;&amp; npm -v</w:t>
      </w:r>
    </w:p>
    <w:p>
      <w:pPr>
        <w:shd w:fill="F2F2F2" w:val="clear"/>
        <w:spacing w:after="0" w:line="260"/>
        <w:ind w:left="240"/>
      </w:pPr>
      <w:r>
        <w:rPr>
          <w:rFonts w:ascii="Consolas" w:cs="Consolas" w:eastAsia="Consolas" w:hAnsi="Consolas"/>
          <w:sz w:val="18"/>
          <w:szCs w:val="18"/>
        </w:rPr>
        <w:t xml:space="preserve">git clone &lt;저장소 URL&gt; &amp;&amp; cd Carbon-Intelligence-Operating-System</w:t>
      </w:r>
    </w:p>
    <w:p>
      <w:pPr>
        <w:shd w:fill="F2F2F2" w:val="clear"/>
        <w:spacing w:after="0" w:line="260"/>
        <w:ind w:left="240"/>
      </w:pPr>
      <w:r>
        <w:rPr>
          <w:rFonts w:ascii="Consolas" w:cs="Consolas" w:eastAsia="Consolas" w:hAnsi="Consolas"/>
          <w:sz w:val="18"/>
          <w:szCs w:val="18"/>
        </w:rPr>
        <w:t xml:space="preserve">npm ci</w:t>
      </w:r>
    </w:p>
    <w:p>
      <w:pPr>
        <w:shd w:fill="F2F2F2" w:val="clear"/>
        <w:spacing w:after="0" w:line="260"/>
        <w:ind w:left="240"/>
      </w:pPr>
      <w:r>
        <w:rPr>
          <w:rFonts w:ascii="Consolas" w:cs="Consolas" w:eastAsia="Consolas" w:hAnsi="Consolas"/>
          <w:sz w:val="18"/>
          <w:szCs w:val="18"/>
        </w:rPr>
        <w:t xml:space="preserve">cp .env.example .env.local</w:t>
      </w:r>
    </w:p>
    <w:p>
      <w:pPr>
        <w:shd w:fill="F2F2F2" w:val="clear"/>
        <w:spacing w:after="0" w:line="260"/>
        <w:ind w:left="240"/>
      </w:pPr>
      <w:r>
        <w:rPr>
          <w:rFonts w:ascii="Consolas" w:cs="Consolas" w:eastAsia="Consolas" w:hAnsi="Consolas"/>
          <w:sz w:val="18"/>
          <w:szCs w:val="18"/>
        </w:rPr>
        <w:t xml:space="preserve">npm run dev</w:t>
      </w:r>
    </w:p>
    <w:p>
      <w:pPr>
        <w:shd w:fill="F2F2F2" w:val="clear"/>
        <w:spacing w:after="0" w:line="260"/>
        <w:ind w:left="240"/>
      </w:pPr>
      <w:r>
        <w:rPr>
          <w:rFonts w:ascii="Consolas" w:cs="Consolas" w:eastAsia="Consolas" w:hAnsi="Consolas"/>
          <w:sz w:val="18"/>
          <w:szCs w:val="18"/>
        </w:rPr>
        <w:t xml:space="preserve"> </w:t>
      </w:r>
    </w:p>
    <w:p>
      <w:pPr>
        <w:shd w:fill="F2F2F2" w:val="clear"/>
        <w:spacing w:after="0" w:line="260"/>
        <w:ind w:left="240"/>
      </w:pPr>
      <w:r>
        <w:rPr>
          <w:rFonts w:ascii="Consolas" w:cs="Consolas" w:eastAsia="Consolas" w:hAnsi="Consolas"/>
          <w:sz w:val="18"/>
          <w:szCs w:val="18"/>
        </w:rPr>
        <w:t xml:space="preserve"># 검증 명령</w:t>
      </w:r>
    </w:p>
    <w:p>
      <w:pPr>
        <w:shd w:fill="F2F2F2" w:val="clear"/>
        <w:spacing w:after="0" w:line="260"/>
        <w:ind w:left="240"/>
      </w:pPr>
      <w:r>
        <w:rPr>
          <w:rFonts w:ascii="Consolas" w:cs="Consolas" w:eastAsia="Consolas" w:hAnsi="Consolas"/>
          <w:sz w:val="18"/>
          <w:szCs w:val="18"/>
        </w:rPr>
        <w:t xml:space="preserve">npm run lint</w:t>
      </w:r>
    </w:p>
    <w:p>
      <w:pPr>
        <w:shd w:fill="F2F2F2" w:val="clear"/>
        <w:spacing w:after="0" w:line="260"/>
        <w:ind w:left="240"/>
      </w:pPr>
      <w:r>
        <w:rPr>
          <w:rFonts w:ascii="Consolas" w:cs="Consolas" w:eastAsia="Consolas" w:hAnsi="Consolas"/>
          <w:sz w:val="18"/>
          <w:szCs w:val="18"/>
        </w:rPr>
        <w:t xml:space="preserve">npm run typecheck</w:t>
      </w:r>
    </w:p>
    <w:p>
      <w:pPr>
        <w:shd w:fill="F2F2F2" w:val="clear"/>
        <w:spacing w:after="0" w:line="260"/>
        <w:ind w:left="240"/>
      </w:pPr>
      <w:r>
        <w:rPr>
          <w:rFonts w:ascii="Consolas" w:cs="Consolas" w:eastAsia="Consolas" w:hAnsi="Consolas"/>
          <w:sz w:val="18"/>
          <w:szCs w:val="18"/>
        </w:rPr>
        <w:t xml:space="preserve">npm test</w:t>
      </w:r>
    </w:p>
    <w:p>
      <w:pPr>
        <w:shd w:fill="F2F2F2" w:val="clear"/>
        <w:spacing w:after="0" w:line="260"/>
        <w:ind w:left="240"/>
      </w:pPr>
      <w:r>
        <w:rPr>
          <w:rFonts w:ascii="Consolas" w:cs="Consolas" w:eastAsia="Consolas" w:hAnsi="Consolas"/>
          <w:sz w:val="18"/>
          <w:szCs w:val="18"/>
        </w:rPr>
        <w:t xml:space="preserve">npm run build</w:t>
      </w:r>
    </w:p>
    <w:p>
      <w:pPr>
        <w:spacing w:after="120"/>
      </w:pPr>
    </w:p>
    <w:p>
      <w:pPr>
        <w:spacing w:after="120" w:line="300"/>
      </w:pPr>
      <w:r>
        <w:rPr>
          <w:b w:val="false"/>
          <w:bCs w:val="false"/>
        </w:rPr>
        <w:t xml:space="preserve">이후 2절부터 11절까지는 '데모 모드에서 벗어나 실제 운영에 쓰기 위해' 사용자가 직접 해야 하는 작업입니다. 각 절은 독립적으로 수행할 수 있으나, 3절(데이터베이스)이 가장 중요하며 나머지 기능의 전제가 됩니다.</w:t>
      </w:r>
    </w:p>
    <w:p>
      <w:pPr>
        <w:pStyle w:val="Heading2"/>
        <w:spacing w:after="100" w:before="200"/>
      </w:pPr>
      <w:r>
        <w:rPr>
          <w:b/>
          <w:bCs/>
        </w:rPr>
        <w:t xml:space="preserve">예상 비용</w:t>
      </w:r>
    </w:p>
    <w:p>
      <w:pPr>
        <w:spacing w:after="120" w:line="300"/>
      </w:pPr>
      <w:r>
        <w:rPr>
          <w:b w:val="false"/>
          <w:bCs w:val="false"/>
        </w:rPr>
        <w:t xml:space="preserve">무료 (로컬 실행에는 어떤 유료 서비스도 필요하지 않습니다).</w:t>
      </w:r>
    </w:p>
    <w:p>
      <w:pPr>
        <w:pStyle w:val="Heading2"/>
        <w:spacing w:after="100" w:before="200"/>
      </w:pPr>
      <w:r>
        <w:rPr>
          <w:b/>
          <w:bCs/>
        </w:rPr>
        <w:t xml:space="preserve">완료 확인 방법</w:t>
      </w:r>
    </w:p>
    <w:p>
      <w:pPr>
        <w:spacing w:after="100" w:line="300"/>
        <w:ind w:left="360" w:hanging="240"/>
      </w:pPr>
      <w:r>
        <w:t xml:space="preserve">· </w:t>
      </w:r>
      <w:r>
        <w:t xml:space="preserve">`npm test`가 실패 없이 종료됩니다(1,388개 테스트, 70개 파일).</w:t>
      </w:r>
    </w:p>
    <w:p>
      <w:pPr>
        <w:spacing w:after="100" w:line="300"/>
        <w:ind w:left="360" w:hanging="240"/>
      </w:pPr>
      <w:r>
        <w:t xml:space="preserve">· </w:t>
      </w:r>
      <w:r>
        <w:t xml:space="preserve">`npm run build`가 성공하고 32개 라우트가 출력됩니다.</w:t>
      </w:r>
    </w:p>
    <w:p>
      <w:pPr>
        <w:spacing w:after="100" w:line="300"/>
        <w:ind w:left="360" w:hanging="240"/>
      </w:pPr>
      <w:r>
        <w:t xml:space="preserve">· </w:t>
      </w:r>
      <w:r>
        <w:t xml:space="preserve">http://localhost:3000/settings 의 'Dependencies configured' 카드가 현재 구성 수를 표시합니다.</w:t>
      </w:r>
    </w:p>
    <w:p>
      <w:pPr>
        <w:pStyle w:val="Heading1"/>
        <w:spacing w:after="140" w:before="320"/>
      </w:pPr>
      <w:r>
        <w:rPr>
          <w:b/>
          <w:bCs/>
        </w:rPr>
        <w:t xml:space="preserve">2. Supabase 프로젝트 생성 · 인증 설정 · Storage 버킷</w:t>
      </w:r>
    </w:p>
    <w:p>
      <w:pPr>
        <w:spacing w:after="120" w:line="300"/>
      </w:pPr>
      <w:r>
        <w:rPr>
          <w:b w:val="false"/>
          <w:bCs w:val="false"/>
        </w:rPr>
        <w:t xml:space="preserve">로그인, 회원가입, OAuth, 증빙 파일 저장을 담당하는 Supabase 프로젝트를 만들고 연결합니다.</w:t>
      </w:r>
    </w:p>
    <w:p>
      <w:pPr>
        <w:spacing w:after="100" w:line="300"/>
        <w:ind w:left="360" w:hanging="360"/>
      </w:pPr>
      <w:r>
        <w:rPr>
          <w:b/>
          <w:bCs/>
        </w:rPr>
        <w:t xml:space="preserve">1. </w:t>
      </w:r>
      <w:r>
        <w:t xml:space="preserve">https://supabase.com/dashboard 에 접속해 조직을 만들고 'New project'를 선택합니다. 리전은 국내 사용자 기준 ap-northeast-2(서울)를 권장합니다. 생성 시 표시되는 데이터베이스 비밀번호는 다시 볼 수 없으므로 즉시 안전한 곳에 보관하십시오.</w:t>
      </w:r>
    </w:p>
    <w:p>
      <w:pPr>
        <w:spacing w:after="100" w:line="300"/>
        <w:ind w:left="360" w:hanging="360"/>
      </w:pPr>
      <w:r>
        <w:rPr>
          <w:b/>
          <w:bCs/>
        </w:rPr>
        <w:t xml:space="preserve">2. </w:t>
      </w:r>
      <w:r>
        <w:t xml:space="preserve">Project Settings → API 화면에서 'Project URL'과 'anon public' 키를 복사해 `.env.local`의 NEXT_PUBLIC_SUPABASE_URL, NEXT_PUBLIC_SUPABASE_ANON_KEY에 넣습니다. service_role 키는 이 코드베이스에서 사용하지 않으므로 등록하지 마십시오.</w:t>
      </w:r>
    </w:p>
    <w:p>
      <w:pPr>
        <w:spacing w:after="100" w:line="300"/>
        <w:ind w:left="360" w:hanging="360"/>
      </w:pPr>
      <w:r>
        <w:rPr>
          <w:b/>
          <w:bCs/>
        </w:rPr>
        <w:t xml:space="preserve">3. </w:t>
      </w:r>
      <w:r>
        <w:t xml:space="preserve">Authentication → Providers → Email을 활성화합니다. 'Confirm email'을 켜면 회원가입 후 확인 메일이 필요하며, 애플리케이션의 회원가입 화면은 이 상태를 안내하고 재발송 경로를 제공합니다.</w:t>
      </w:r>
    </w:p>
    <w:p>
      <w:pPr>
        <w:spacing w:after="100" w:line="300"/>
        <w:ind w:left="360" w:hanging="360"/>
      </w:pPr>
      <w:r>
        <w:rPr>
          <w:b/>
          <w:bCs/>
        </w:rPr>
        <w:t xml:space="preserve">4. </w:t>
      </w:r>
      <w:r>
        <w:t xml:space="preserve">Authentication → URL Configuration에서 Site URL을 운영 도메인(예: https://cios.example.com)으로 지정하고, Redirect URLs에 `http://localhost:3000/auth/callback` 과 `https://&lt;운영도메인&gt;/auth/callback` 을 모두 추가합니다. 이 애플리케이션의 콜백 라우트 경로는 `/auth/callback` 입니다.</w:t>
      </w:r>
    </w:p>
    <w:p>
      <w:pPr>
        <w:spacing w:after="100" w:line="300"/>
        <w:ind w:left="360" w:hanging="360"/>
      </w:pPr>
      <w:r>
        <w:rPr>
          <w:b/>
          <w:bCs/>
        </w:rPr>
        <w:t xml:space="preserve">5. </w:t>
      </w:r>
      <w:r>
        <w:t xml:space="preserve">Google OAuth: https://console.cloud.google.com 에서 프로젝트 생성 → 'OAuth 동의 화면' 구성 → '사용자 인증 정보 → OAuth 클라이언트 ID(웹 애플리케이션)' 생성 → '승인된 리디렉션 URI'에 `https://&lt;project-ref&gt;.supabase.co/auth/v1/callback` 을 추가합니다. 발급된 클라이언트 ID/보안 비밀을 Supabase의 Authentication → Providers → Google에 입력하고 활성화합니다.</w:t>
      </w:r>
    </w:p>
    <w:p>
      <w:pPr>
        <w:spacing w:after="100" w:line="300"/>
        <w:ind w:left="360" w:hanging="360"/>
      </w:pPr>
      <w:r>
        <w:rPr>
          <w:b/>
          <w:bCs/>
        </w:rPr>
        <w:t xml:space="preserve">6. </w:t>
      </w:r>
      <w:r>
        <w:t xml:space="preserve">Microsoft OAuth: https://portal.azure.com → Microsoft Entra ID → '앱 등록'에서 앱을 만들고 리디렉션 URI(웹)에 동일하게 `https://&lt;project-ref&gt;.supabase.co/auth/v1/callback` 을 등록합니다. '인증서 및 비밀'에서 클라이언트 비밀을 발급해 Supabase의 Providers → Azure에 애플리케이션(클라이언트) ID와 함께 입력합니다. 테넌트를 제한하려면 Azure 공급자 설정의 URL 항목에 테넌트 ID를 지정합니다.</w:t>
      </w:r>
    </w:p>
    <w:p>
      <w:pPr>
        <w:spacing w:after="100" w:line="300"/>
        <w:ind w:left="360" w:hanging="360"/>
      </w:pPr>
      <w:r>
        <w:rPr>
          <w:b/>
          <w:bCs/>
        </w:rPr>
        <w:t xml:space="preserve">7. </w:t>
      </w:r>
      <w:r>
        <w:t xml:space="preserve">Storage → 'New bucket'으로 비공개 버킷 두 개를 만듭니다. `evidence`(검증 증빙 파일, AuditEvidence/EvidencePackage에서 참조), `reports`(생성된 공시 보고서 산출물). 두 버킷 모두 Public을 끄고, 정책은 authenticated 역할만 읽기/쓰기 가능하도록 설정합니다.</w:t>
      </w:r>
    </w:p>
    <w:p>
      <w:pPr>
        <w:spacing w:after="100" w:line="300"/>
        <w:ind w:left="360" w:hanging="360"/>
      </w:pPr>
      <w:r>
        <w:rPr>
          <w:b/>
          <w:bCs/>
        </w:rPr>
        <w:t xml:space="preserve">8. </w:t>
      </w:r>
      <w:r>
        <w:t xml:space="preserve">MFA를 사용하려면 Authentication → Multi-Factor Authentication에서 TOTP를 활성화합니다(11절 접근권한 정책 참고).</w:t>
      </w:r>
    </w:p>
    <w:p>
      <w:pPr>
        <w:spacing w:after="120" w:line="300"/>
      </w:pPr>
      <w:r>
        <w:rPr>
          <w:b w:val="false"/>
          <w:bCs w:val="false"/>
        </w:rPr>
        <w:t xml:space="preserve">도메인이 확정되기 전에는 localhost 리디렉션만으로 로컬 테스트가 가능합니다. 8절에서 도메인을 연결한 뒤에는 Site URL, Redirect URLs, 그리고 Google·Microsoft 콘솔의 리디렉션 URI를 반드시 실제 도메인으로 갱신해야 합니다.</w:t>
      </w:r>
    </w:p>
    <w:p>
      <w:pPr>
        <w:pStyle w:val="Heading2"/>
        <w:spacing w:after="100" w:before="200"/>
      </w:pPr>
      <w:r>
        <w:rPr>
          <w:b/>
          <w:bCs/>
        </w:rPr>
        <w:t xml:space="preserve">예상 비용</w:t>
      </w:r>
    </w:p>
    <w:p>
      <w:pPr>
        <w:spacing w:after="120" w:line="300"/>
      </w:pPr>
      <w:r>
        <w:rPr>
          <w:b w:val="false"/>
          <w:bCs w:val="false"/>
        </w:rPr>
        <w:t xml:space="preserve">Free 플랜 무료(조직당 프로젝트 2개, 데이터베이스 500MB, 7일 미사용 시 일시정지). 운영에는 Pro 플랜 월 25달러 + 사용량을 권장합니다.</w:t>
      </w:r>
    </w:p>
    <w:p>
      <w:pPr>
        <w:pStyle w:val="Heading2"/>
        <w:spacing w:after="100" w:before="200"/>
      </w:pPr>
      <w:r>
        <w:rPr>
          <w:b/>
          <w:bCs/>
        </w:rPr>
        <w:t xml:space="preserve">완료 확인 방법</w:t>
      </w:r>
    </w:p>
    <w:p>
      <w:pPr>
        <w:spacing w:after="100" w:line="300"/>
        <w:ind w:left="360" w:hanging="240"/>
      </w:pPr>
      <w:r>
        <w:t xml:space="preserve">· </w:t>
      </w:r>
      <w:r>
        <w:t xml:space="preserve">/login 화면에서 이메일로 회원가입하면 확인 메일이 도착하고, 확인 후 로그인에 성공합니다.</w:t>
      </w:r>
    </w:p>
    <w:p>
      <w:pPr>
        <w:spacing w:after="100" w:line="300"/>
        <w:ind w:left="360" w:hanging="240"/>
      </w:pPr>
      <w:r>
        <w:t xml:space="preserve">· </w:t>
      </w:r>
      <w:r>
        <w:t xml:space="preserve">Google·Microsoft 버튼으로 로그인하면 /auth/callback 을 거쳐 /dashboard로 이동합니다.</w:t>
      </w:r>
    </w:p>
    <w:p>
      <w:pPr>
        <w:spacing w:after="100" w:line="300"/>
        <w:ind w:left="360" w:hanging="240"/>
      </w:pPr>
      <w:r>
        <w:t xml:space="preserve">· </w:t>
      </w:r>
      <w:r>
        <w:t xml:space="preserve">/settings 화면의 Supabase 항목이 'configured'로 표시되고, 로그인·회원가입 화면의 '구성되지 않았습니다' 안내가 사라집니다.</w:t>
      </w:r>
    </w:p>
    <w:p>
      <w:pPr>
        <w:pStyle w:val="Heading1"/>
        <w:spacing w:after="140" w:before="320"/>
      </w:pPr>
      <w:r>
        <w:rPr>
          <w:b/>
          <w:bCs/>
        </w:rPr>
        <w:t xml:space="preserve">3. PostgreSQL 프로비저닝 · pgvector 활성화 · 마이그레이션 · 시드</w:t>
      </w:r>
    </w:p>
    <w:p>
      <w:pPr>
        <w:spacing w:after="120" w:line="300"/>
      </w:pPr>
      <w:r>
        <w:rPr>
          <w:b w:val="false"/>
          <w:bCs w:val="false"/>
        </w:rPr>
        <w:t xml:space="preserve">데이터베이스를 연결해 데모 모드에서 벗어나고, 148개 모델 스키마와 참조 데이터를 적재합니다.</w:t>
      </w:r>
    </w:p>
    <w:p>
      <w:pPr>
        <w:spacing w:after="120" w:line="300"/>
      </w:pPr>
      <w:r>
        <w:rPr>
          <w:b w:val="false"/>
          <w:bCs w:val="false"/>
        </w:rPr>
        <w:t xml:space="preserve">중요: 개발 환경에는 접속 가능한 PostgreSQL 서버가 없었습니다. 따라서 모든 자동 검증은 목(mock) 처리된 Prisma 또는 데모 경로로 수행되었습니다. 데이터베이스를 프로비저닝한 뒤 사용자가 가장 먼저 실행해야 하는 작업은 `npx prisma migrate deploy`이고, 그다음이 `npm run db:seed`입니다.</w:t>
      </w:r>
    </w:p>
    <w:p>
      <w:pPr>
        <w:spacing w:after="100" w:line="300"/>
        <w:ind w:left="360" w:hanging="360"/>
      </w:pPr>
      <w:r>
        <w:rPr>
          <w:b/>
          <w:bCs/>
        </w:rPr>
        <w:t xml:space="preserve">1. </w:t>
      </w:r>
      <w:r>
        <w:t xml:space="preserve">Supabase를 쓰는 경우: 프로젝트의 'Connect' 화면에서 두 개의 연결 문자열을 복사합니다. 포트 6543(pooled, pgbouncer)은 DATABASE_URL, 포트 5432(direct)는 DIRECT_URL에 넣습니다. 자체 PostgreSQL을 쓰는 경우 15 버전 이상을 준비하고 두 값에 같은 직결 문자열을 넣어도 됩니다.</w:t>
      </w:r>
    </w:p>
    <w:p>
      <w:pPr>
        <w:spacing w:after="100" w:line="300"/>
        <w:ind w:left="360" w:hanging="360"/>
      </w:pPr>
      <w:r>
        <w:rPr>
          <w:b/>
          <w:bCs/>
        </w:rPr>
        <w:t xml:space="preserve">2. </w:t>
      </w:r>
      <w:r>
        <w:t xml:space="preserve">`.env.local`에 두 값을 등록합니다. 비밀번호에 특수문자가 있으면 URL 인코딩해야 합니다.</w:t>
      </w:r>
    </w:p>
    <w:p>
      <w:pPr>
        <w:spacing w:after="100" w:line="300"/>
        <w:ind w:left="360" w:hanging="360"/>
      </w:pPr>
      <w:r>
        <w:rPr>
          <w:b/>
          <w:bCs/>
        </w:rPr>
        <w:t xml:space="preserve">3. </w:t>
      </w:r>
      <w:r>
        <w:t xml:space="preserve">pgvector 확장을 활성화합니다. Supabase는 Database → Extensions에서 `vector`를 검색해 Enable하고, 자체 PostgreSQL은 SQL로 `create extension if not exists vector;` 를 실행합니다. 현재 스키마에는 벡터 컬럼이 없고 시맨틱 검색은 미구현 항목이므로(12절 표 참고), 이 단계는 향후 확장을 위한 준비입니다.</w:t>
      </w:r>
    </w:p>
    <w:p>
      <w:pPr>
        <w:spacing w:after="100" w:line="300"/>
        <w:ind w:left="360" w:hanging="360"/>
      </w:pPr>
      <w:r>
        <w:rPr>
          <w:b/>
          <w:bCs/>
        </w:rPr>
        <w:t xml:space="preserve">4. </w:t>
      </w:r>
      <w:r>
        <w:t xml:space="preserve">베이스라인 마이그레이션을 적용합니다. `prisma/migrations/0_init/migration.sql` 하나로 148개 모델의 테이블·인덱스·열거형이 생성됩니다. 이미 동일한 테이블이 존재하는 데이터베이스라면 `npx prisma migrate resolve --applied 0_init` 로 적용 표시만 남기십시오.</w:t>
      </w:r>
    </w:p>
    <w:p>
      <w:pPr>
        <w:spacing w:after="100" w:line="300"/>
        <w:ind w:left="360" w:hanging="360"/>
      </w:pPr>
      <w:r>
        <w:rPr>
          <w:b/>
          <w:bCs/>
        </w:rPr>
        <w:t xml:space="preserve">5. </w:t>
      </w:r>
      <w:r>
        <w:t xml:space="preserve">참조 데이터와 데모 테넌트를 시드합니다. `npm run db:seed`는 멱등하게 작성되어 여러 번 실행해도 안전합니다. 시드 전에 SEED_ADMIN_PASSWORD를 지정하지 않으면 문서화된 기본 비밀번호가 사용되고 경고가 출력되므로, 반드시 지정하거나 시드 직후 변경하십시오.</w:t>
      </w:r>
    </w:p>
    <w:p>
      <w:pPr>
        <w:spacing w:after="100" w:line="300"/>
        <w:ind w:left="360" w:hanging="360"/>
      </w:pPr>
      <w:r>
        <w:rPr>
          <w:b/>
          <w:bCs/>
        </w:rPr>
        <w:t xml:space="preserve">6. </w:t>
      </w:r>
      <w:r>
        <w:t xml:space="preserve">적재 결과를 확인합니다. `npx prisma studio`로 브라우저에서 테이블을 열거나, psql에서 `\dt` 로 테이블 목록을 확인합니다.</w:t>
      </w:r>
    </w:p>
    <w:p>
      <w:pPr>
        <w:spacing w:after="100" w:line="300"/>
        <w:ind w:left="360" w:hanging="360"/>
      </w:pPr>
      <w:r>
        <w:rPr>
          <w:b/>
          <w:bCs/>
        </w:rPr>
        <w:t xml:space="preserve">7. </w:t>
      </w:r>
      <w:r>
        <w:t xml:space="preserve">시드된 배출계수는 공개 출처(IPCC 2006 기본계수, US EPA, UK DEFRA/BEIS)만 포함합니다. 상용 데이터가 필요하면 9절을 진행하십시오.</w:t>
      </w:r>
    </w:p>
    <w:p>
      <w:pPr>
        <w:spacing w:after="100" w:line="300"/>
        <w:ind w:left="360" w:hanging="360"/>
      </w:pPr>
      <w:r>
        <w:rPr>
          <w:b/>
          <w:bCs/>
        </w:rPr>
        <w:t xml:space="preserve">8. </w:t>
      </w:r>
      <w:r>
        <w:t xml:space="preserve">백업과 PITR을 활성화합니다(11절).</w:t>
      </w:r>
    </w:p>
    <w:p>
      <w:pPr>
        <w:shd w:fill="F2F2F2" w:val="clear"/>
        <w:spacing w:after="0" w:line="260"/>
        <w:ind w:left="240"/>
      </w:pPr>
      <w:r>
        <w:rPr>
          <w:rFonts w:ascii="Consolas" w:cs="Consolas" w:eastAsia="Consolas" w:hAnsi="Consolas"/>
          <w:sz w:val="18"/>
          <w:szCs w:val="18"/>
        </w:rPr>
        <w:t xml:space="preserve"># .env.local 예시 (Supabase)</w:t>
      </w:r>
    </w:p>
    <w:p>
      <w:pPr>
        <w:shd w:fill="F2F2F2" w:val="clear"/>
        <w:spacing w:after="0" w:line="260"/>
        <w:ind w:left="240"/>
      </w:pPr>
      <w:r>
        <w:rPr>
          <w:rFonts w:ascii="Consolas" w:cs="Consolas" w:eastAsia="Consolas" w:hAnsi="Consolas"/>
          <w:sz w:val="18"/>
          <w:szCs w:val="18"/>
        </w:rPr>
        <w:t xml:space="preserve">DATABASE_URL="postgresql://postgres.&lt;project-ref&gt;:&lt;비밀번호&gt;@aws-0-ap-northeast-2.pooler.supabase.com:6543/postgres?pgbouncer=true&amp;connection_limit=1"</w:t>
      </w:r>
    </w:p>
    <w:p>
      <w:pPr>
        <w:shd w:fill="F2F2F2" w:val="clear"/>
        <w:spacing w:after="0" w:line="260"/>
        <w:ind w:left="240"/>
      </w:pPr>
      <w:r>
        <w:rPr>
          <w:rFonts w:ascii="Consolas" w:cs="Consolas" w:eastAsia="Consolas" w:hAnsi="Consolas"/>
          <w:sz w:val="18"/>
          <w:szCs w:val="18"/>
        </w:rPr>
        <w:t xml:space="preserve">DIRECT_URL="postgresql://postgres.&lt;project-ref&gt;:&lt;비밀번호&gt;@aws-0-ap-northeast-2.pooler.supabase.com:5432/postgres"</w:t>
      </w:r>
    </w:p>
    <w:p>
      <w:pPr>
        <w:shd w:fill="F2F2F2" w:val="clear"/>
        <w:spacing w:after="0" w:line="260"/>
        <w:ind w:left="240"/>
      </w:pPr>
      <w:r>
        <w:rPr>
          <w:rFonts w:ascii="Consolas" w:cs="Consolas" w:eastAsia="Consolas" w:hAnsi="Consolas"/>
          <w:sz w:val="18"/>
          <w:szCs w:val="18"/>
        </w:rPr>
        <w:t xml:space="preserve"> </w:t>
      </w:r>
    </w:p>
    <w:p>
      <w:pPr>
        <w:shd w:fill="F2F2F2" w:val="clear"/>
        <w:spacing w:after="0" w:line="260"/>
        <w:ind w:left="240"/>
      </w:pPr>
      <w:r>
        <w:rPr>
          <w:rFonts w:ascii="Consolas" w:cs="Consolas" w:eastAsia="Consolas" w:hAnsi="Consolas"/>
          <w:sz w:val="18"/>
          <w:szCs w:val="18"/>
        </w:rPr>
        <w:t xml:space="preserve"># 스키마 적용 → 시드 → 상태 확인</w:t>
      </w:r>
    </w:p>
    <w:p>
      <w:pPr>
        <w:shd w:fill="F2F2F2" w:val="clear"/>
        <w:spacing w:after="0" w:line="260"/>
        <w:ind w:left="240"/>
      </w:pPr>
      <w:r>
        <w:rPr>
          <w:rFonts w:ascii="Consolas" w:cs="Consolas" w:eastAsia="Consolas" w:hAnsi="Consolas"/>
          <w:sz w:val="18"/>
          <w:szCs w:val="18"/>
        </w:rPr>
        <w:t xml:space="preserve">npx prisma migrate deploy</w:t>
      </w:r>
    </w:p>
    <w:p>
      <w:pPr>
        <w:shd w:fill="F2F2F2" w:val="clear"/>
        <w:spacing w:after="0" w:line="260"/>
        <w:ind w:left="240"/>
      </w:pPr>
      <w:r>
        <w:rPr>
          <w:rFonts w:ascii="Consolas" w:cs="Consolas" w:eastAsia="Consolas" w:hAnsi="Consolas"/>
          <w:sz w:val="18"/>
          <w:szCs w:val="18"/>
        </w:rPr>
        <w:t xml:space="preserve">SEED_ADMIN_PASSWORD='충분히 긴 비밀번호' npm run db:seed</w:t>
      </w:r>
    </w:p>
    <w:p>
      <w:pPr>
        <w:shd w:fill="F2F2F2" w:val="clear"/>
        <w:spacing w:after="0" w:line="260"/>
        <w:ind w:left="240"/>
      </w:pPr>
      <w:r>
        <w:rPr>
          <w:rFonts w:ascii="Consolas" w:cs="Consolas" w:eastAsia="Consolas" w:hAnsi="Consolas"/>
          <w:sz w:val="18"/>
          <w:szCs w:val="18"/>
        </w:rPr>
        <w:t xml:space="preserve">npx prisma migrate status</w:t>
      </w:r>
    </w:p>
    <w:p>
      <w:pPr>
        <w:spacing w:after="120"/>
      </w:pPr>
    </w:p>
    <w:p>
      <w:pPr>
        <w:spacing w:after="120" w:line="300"/>
      </w:pPr>
      <w:r>
        <w:rPr>
          <w:b w:val="false"/>
          <w:bCs w:val="false"/>
        </w:rPr>
        <w:t xml:space="preserve">스키마를 수정한 경우에는 `npx prisma migrate dev --name &lt;변경명&gt;`으로 새 마이그레이션을 생성하십시오. 저장소에 포함된 0_init 파일은 스키마와 바이트 단위로 일치하도록 CI에서 검사하므로, 스키마만 바꾸고 마이그레이션을 갱신하지 않으면 CI가 실패합니다.</w:t>
      </w:r>
    </w:p>
    <w:p>
      <w:pPr>
        <w:pStyle w:val="Heading2"/>
        <w:spacing w:after="100" w:before="200"/>
      </w:pPr>
      <w:r>
        <w:rPr>
          <w:b/>
          <w:bCs/>
        </w:rPr>
        <w:t xml:space="preserve">예상 비용</w:t>
      </w:r>
    </w:p>
    <w:p>
      <w:pPr>
        <w:spacing w:after="120" w:line="300"/>
      </w:pPr>
      <w:r>
        <w:rPr>
          <w:b w:val="false"/>
          <w:bCs w:val="false"/>
        </w:rPr>
        <w:t xml:space="preserve">Supabase Free 500MB 무료, Pro 월 25달러(8GB 포함). 자체 운영 시 AWS RDS db.t4g.medium 기준 월 60~80달러 수준입니다.</w:t>
      </w:r>
    </w:p>
    <w:p>
      <w:pPr>
        <w:pStyle w:val="Heading2"/>
        <w:spacing w:after="100" w:before="200"/>
      </w:pPr>
      <w:r>
        <w:rPr>
          <w:b/>
          <w:bCs/>
        </w:rPr>
        <w:t xml:space="preserve">완료 확인 방법</w:t>
      </w:r>
    </w:p>
    <w:p>
      <w:pPr>
        <w:spacing w:after="100" w:line="300"/>
        <w:ind w:left="360" w:hanging="240"/>
      </w:pPr>
      <w:r>
        <w:t xml:space="preserve">· </w:t>
      </w:r>
      <w:r>
        <w:t xml:space="preserve">`npx prisma migrate status`가 'Database schema is up to date!'를 출력합니다.</w:t>
      </w:r>
    </w:p>
    <w:p>
      <w:pPr>
        <w:spacing w:after="100" w:line="300"/>
        <w:ind w:left="360" w:hanging="240"/>
      </w:pPr>
      <w:r>
        <w:t xml:space="preserve">· </w:t>
      </w:r>
      <w:r>
        <w:t xml:space="preserve">`npm run dev` 후 화면 상단의 데모 모드 배너가 사라지고 /settings의 DATABASE_URL 항목이 'configured'로 표시됩니다.</w:t>
      </w:r>
    </w:p>
    <w:p>
      <w:pPr>
        <w:spacing w:after="100" w:line="300"/>
        <w:ind w:left="360" w:hanging="240"/>
      </w:pPr>
      <w:r>
        <w:t xml:space="preserve">· </w:t>
      </w:r>
      <w:r>
        <w:t xml:space="preserve">대시보드 수치가 시드된 데이터 기준으로 바뀌고, 저장 동작(예: 사업장 생성)이 DEMO_MODE 오류 없이 성공합니다.</w:t>
      </w:r>
    </w:p>
    <w:p>
      <w:pPr>
        <w:pStyle w:val="Heading1"/>
        <w:spacing w:after="140" w:before="320"/>
      </w:pPr>
      <w:r>
        <w:rPr>
          <w:b/>
          <w:bCs/>
        </w:rPr>
        <w:t xml:space="preserve">4. OpenAI API 키 발급 · 모델 선택 · 사용량 한도</w:t>
      </w:r>
    </w:p>
    <w:p>
      <w:pPr>
        <w:spacing w:after="120" w:line="300"/>
      </w:pPr>
      <w:r>
        <w:rPr>
          <w:b w:val="false"/>
          <w:bCs w:val="false"/>
        </w:rPr>
        <w:t xml:space="preserve">생성형 서술(설명문·요약문)을 실제 언어모델로 만들 때 필요합니다. 수치 계산에는 영향이 없습니다.</w:t>
      </w:r>
    </w:p>
    <w:p>
      <w:pPr>
        <w:spacing w:after="100" w:line="300"/>
        <w:ind w:left="360" w:hanging="360"/>
      </w:pPr>
      <w:r>
        <w:rPr>
          <w:b/>
          <w:bCs/>
        </w:rPr>
        <w:t xml:space="preserve">1. </w:t>
      </w:r>
      <w:r>
        <w:t xml:space="preserve">https://platform.openai.com/api-keys 에서 'Create new secret key'로 키를 발급하고 `.env.local`의 OPENAI_API_KEY에 등록합니다. 키는 발급 시점에만 확인할 수 있습니다.</w:t>
      </w:r>
    </w:p>
    <w:p>
      <w:pPr>
        <w:spacing w:after="100" w:line="300"/>
        <w:ind w:left="360" w:hanging="360"/>
      </w:pPr>
      <w:r>
        <w:rPr>
          <w:b/>
          <w:bCs/>
        </w:rPr>
        <w:t xml:space="preserve">2. </w:t>
      </w:r>
      <w:r>
        <w:t xml:space="preserve">모델을 선택합니다. 기본값은 gpt-4o-mini이며, 더 긴 서술 품질이 필요하면 OPENAI_MODEL에 gpt-4o 또는 추론 모델명을 지정합니다. 모델을 바꿔도 산정 결과는 달라지지 않습니다(수치는 통계 엔진이 계산).</w:t>
      </w:r>
    </w:p>
    <w:p>
      <w:pPr>
        <w:spacing w:after="100" w:line="300"/>
        <w:ind w:left="360" w:hanging="360"/>
      </w:pPr>
      <w:r>
        <w:rPr>
          <w:b/>
          <w:bCs/>
        </w:rPr>
        <w:t xml:space="preserve">3. </w:t>
      </w:r>
      <w:r>
        <w:t xml:space="preserve">https://platform.openai.com/settings/organization/limits 에서 월 사용 한도(soft limit 알림, hard limit 차단)를 설정합니다. 예: soft 20달러, hard 50달러.</w:t>
      </w:r>
    </w:p>
    <w:p>
      <w:pPr>
        <w:spacing w:after="100" w:line="300"/>
        <w:ind w:left="360" w:hanging="360"/>
      </w:pPr>
      <w:r>
        <w:rPr>
          <w:b/>
          <w:bCs/>
        </w:rPr>
        <w:t xml:space="preserve">4. </w:t>
      </w:r>
      <w:r>
        <w:t xml:space="preserve">Billing → Payment methods에 결제수단을 등록하고, 필요하면 선불(credit) 방식으로 상한을 고정합니다.</w:t>
      </w:r>
    </w:p>
    <w:p>
      <w:pPr>
        <w:spacing w:after="100" w:line="300"/>
        <w:ind w:left="360" w:hanging="360"/>
      </w:pPr>
      <w:r>
        <w:rPr>
          <w:b/>
          <w:bCs/>
        </w:rPr>
        <w:t xml:space="preserve">5. </w:t>
      </w:r>
      <w:r>
        <w:t xml:space="preserve">조직 계정을 쓰는 경우 OPENAI_ORGANIZATION에 조직 ID를 등록합니다.</w:t>
      </w:r>
    </w:p>
    <w:p>
      <w:pPr>
        <w:spacing w:after="100" w:line="300"/>
        <w:ind w:left="360" w:hanging="360"/>
      </w:pPr>
      <w:r>
        <w:rPr>
          <w:b/>
          <w:bCs/>
        </w:rPr>
        <w:t xml:space="preserve">6. </w:t>
      </w:r>
      <w:r>
        <w:t xml:space="preserve">Azure OpenAI 또는 사내 LLM 게이트웨이를 쓰는 경우 OPENAI_BASE_URL에 OpenAI 호환 엔드포인트를 지정합니다. 응답 지연이 큰 환경에서는 OPENAI_TIMEOUT_MS를 늘리십시오(기본 60,000ms).</w:t>
      </w:r>
    </w:p>
    <w:p>
      <w:pPr>
        <w:spacing w:after="100" w:line="300"/>
        <w:ind w:left="360" w:hanging="360"/>
      </w:pPr>
      <w:r>
        <w:rPr>
          <w:b/>
          <w:bCs/>
        </w:rPr>
        <w:t xml:space="preserve">7. </w:t>
      </w:r>
      <w:r>
        <w:t xml:space="preserve">데이터 정책을 검토합니다. 프롬프트에는 계산 추적과 집계 수치가 포함되므로, 사내 규정상 외부 전송이 제한된다면 키를 등록하지 않고 결정론적 서술을 사용하는 편이 안전합니다.</w:t>
      </w:r>
    </w:p>
    <w:p>
      <w:pPr>
        <w:pStyle w:val="Heading2"/>
        <w:spacing w:after="100" w:before="200"/>
      </w:pPr>
      <w:r>
        <w:rPr>
          <w:b/>
          <w:bCs/>
        </w:rPr>
        <w:t xml:space="preserve">예상 비용</w:t>
      </w:r>
    </w:p>
    <w:p>
      <w:pPr>
        <w:spacing w:after="120" w:line="300"/>
      </w:pPr>
      <w:r>
        <w:rPr>
          <w:b w:val="false"/>
          <w:bCs w:val="false"/>
        </w:rPr>
        <w:t xml:space="preserve">gpt-4o-mini 기준 입력 100만 토큰당 약 0.15달러, 출력 100만 토큰당 약 0.60달러(2025년 기준, 변동 가능). 일반적인 사용량이면 월 5~20달러 수준입니다. 키를 등록하지 않으면 비용은 0원입니다.</w:t>
      </w:r>
    </w:p>
    <w:p>
      <w:pPr>
        <w:pStyle w:val="Heading2"/>
        <w:spacing w:after="100" w:before="200"/>
      </w:pPr>
      <w:r>
        <w:rPr>
          <w:b/>
          <w:bCs/>
        </w:rPr>
        <w:t xml:space="preserve">완료 확인 방법</w:t>
      </w:r>
    </w:p>
    <w:p>
      <w:pPr>
        <w:spacing w:after="100" w:line="300"/>
        <w:ind w:left="360" w:hanging="240"/>
      </w:pPr>
      <w:r>
        <w:t xml:space="preserve">· </w:t>
      </w:r>
      <w:r>
        <w:t xml:space="preserve">/ai-engine 또는 /ai-agents 화면의 배지가 'Generative narrative via OpenAI (모델명)'으로 표시됩니다. 미설정 시에는 'Deterministic narrative (no OPENAI_API_KEY configured)'로 표시됩니다.</w:t>
      </w:r>
    </w:p>
    <w:p>
      <w:pPr>
        <w:spacing w:after="100" w:line="300"/>
        <w:ind w:left="360" w:hanging="240"/>
      </w:pPr>
      <w:r>
        <w:t xml:space="preserve">· </w:t>
      </w:r>
      <w:r>
        <w:t xml:space="preserve">/settings의 OPENAI_API_KEY 항목이 'configured'로 바뀝니다.</w:t>
      </w:r>
    </w:p>
    <w:p>
      <w:pPr>
        <w:spacing w:after="100" w:line="300"/>
        <w:ind w:left="360" w:hanging="240"/>
      </w:pPr>
      <w:r>
        <w:t xml:space="preserve">· </w:t>
      </w:r>
      <w:r>
        <w:t xml:space="preserve">OpenAI 대시보드의 Usage에 호출 기록이 나타납니다.</w:t>
      </w:r>
    </w:p>
    <w:p>
      <w:pPr>
        <w:pStyle w:val="Heading1"/>
        <w:spacing w:after="140" w:before="320"/>
      </w:pPr>
      <w:r>
        <w:rPr>
          <w:b/>
          <w:bCs/>
        </w:rPr>
        <w:t xml:space="preserve">5. FIELD_ENCRYPTION_KEY 생성 및 키 관리</w:t>
      </w:r>
    </w:p>
    <w:p>
      <w:pPr>
        <w:spacing w:after="120" w:line="300"/>
      </w:pPr>
      <w:r>
        <w:rPr>
          <w:b w:val="false"/>
          <w:bCs w:val="false"/>
        </w:rPr>
        <w:t xml:space="preserve">데이터 소스 자격증명, MFA 시크릿, MCP 서버 설정을 AES-256-GCM으로 암호화하기 위한 32바이트 키입니다.</w:t>
      </w:r>
    </w:p>
    <w:p>
      <w:pPr>
        <w:spacing w:after="100" w:line="300"/>
        <w:ind w:left="360" w:hanging="360"/>
      </w:pPr>
      <w:r>
        <w:rPr>
          <w:b/>
          <w:bCs/>
        </w:rPr>
        <w:t xml:space="preserve">1. </w:t>
      </w:r>
      <w:r>
        <w:t xml:space="preserve">32바이트 난수를 16진수로 생성합니다. 아래 명령의 출력값(64자)을 그대로 사용합니다.</w:t>
      </w:r>
    </w:p>
    <w:p>
      <w:pPr>
        <w:spacing w:after="100" w:line="300"/>
        <w:ind w:left="360" w:hanging="360"/>
      </w:pPr>
      <w:r>
        <w:rPr>
          <w:b/>
          <w:bCs/>
        </w:rPr>
        <w:t xml:space="preserve">2. </w:t>
      </w:r>
      <w:r>
        <w:t xml:space="preserve">`.env.local`의 FIELD_ENCRYPTION_KEY에 등록합니다. 운영 환경에서는 파일이 아니라 시크릿 저장소(Vercel Environment Variables, AWS Secrets Manager, GCP Secret Manager, Kubernetes Secret)에 보관하십시오.</w:t>
      </w:r>
    </w:p>
    <w:p>
      <w:pPr>
        <w:spacing w:after="100" w:line="300"/>
        <w:ind w:left="360" w:hanging="360"/>
      </w:pPr>
      <w:r>
        <w:rPr>
          <w:b/>
          <w:bCs/>
        </w:rPr>
        <w:t xml:space="preserve">3. </w:t>
      </w:r>
      <w:r>
        <w:t xml:space="preserve">키를 분실하면 이미 암호화된 자격증명을 복호화할 수 없습니다. 오프라인 백업(봉인 문서 또는 KMS 백업)을 별도로 보관하십시오.</w:t>
      </w:r>
    </w:p>
    <w:p>
      <w:pPr>
        <w:spacing w:after="100" w:line="300"/>
        <w:ind w:left="360" w:hanging="360"/>
      </w:pPr>
      <w:r>
        <w:rPr>
          <w:b/>
          <w:bCs/>
        </w:rPr>
        <w:t xml:space="preserve">4. </w:t>
      </w:r>
      <w:r>
        <w:t xml:space="preserve">키 회전이 필요하면 새 키를 발급하고 각 데이터 소스의 자격증명을 다시 등록하십시오. 기존 데이터를 새 키로 자동 재암호화하는 스크립트는 제공되지 않습니다(12절 표 참고).</w:t>
      </w:r>
    </w:p>
    <w:p>
      <w:pPr>
        <w:spacing w:after="100" w:line="300"/>
        <w:ind w:left="360" w:hanging="360"/>
      </w:pPr>
      <w:r>
        <w:rPr>
          <w:b/>
          <w:bCs/>
        </w:rPr>
        <w:t xml:space="preserve">5. </w:t>
      </w:r>
      <w:r>
        <w:t xml:space="preserve">접근 권한을 제한합니다. 이 키는 애플리케이션 런타임과 배포 파이프라인만 읽을 수 있어야 하며, 개발자 로컬 환경에는 운영 키를 두지 마십시오.</w:t>
      </w:r>
    </w:p>
    <w:p>
      <w:pPr>
        <w:shd w:fill="F2F2F2" w:val="clear"/>
        <w:spacing w:after="0" w:line="260"/>
        <w:ind w:left="240"/>
      </w:pPr>
      <w:r>
        <w:rPr>
          <w:rFonts w:ascii="Consolas" w:cs="Consolas" w:eastAsia="Consolas" w:hAnsi="Consolas"/>
          <w:sz w:val="18"/>
          <w:szCs w:val="18"/>
        </w:rPr>
        <w:t xml:space="preserve">node -e "console.log(require('crypto').randomBytes(32).toString('hex'))"</w:t>
      </w:r>
    </w:p>
    <w:p>
      <w:pPr>
        <w:shd w:fill="F2F2F2" w:val="clear"/>
        <w:spacing w:after="0" w:line="260"/>
        <w:ind w:left="240"/>
      </w:pPr>
      <w:r>
        <w:rPr>
          <w:rFonts w:ascii="Consolas" w:cs="Consolas" w:eastAsia="Consolas" w:hAnsi="Consolas"/>
          <w:sz w:val="18"/>
          <w:szCs w:val="18"/>
        </w:rPr>
        <w:t xml:space="preserve"> </w:t>
      </w:r>
    </w:p>
    <w:p>
      <w:pPr>
        <w:shd w:fill="F2F2F2" w:val="clear"/>
        <w:spacing w:after="0" w:line="260"/>
        <w:ind w:left="240"/>
      </w:pPr>
      <w:r>
        <w:rPr>
          <w:rFonts w:ascii="Consolas" w:cs="Consolas" w:eastAsia="Consolas" w:hAnsi="Consolas"/>
          <w:sz w:val="18"/>
          <w:szCs w:val="18"/>
        </w:rPr>
        <w:t xml:space="preserve"># .env.local</w:t>
      </w:r>
    </w:p>
    <w:p>
      <w:pPr>
        <w:shd w:fill="F2F2F2" w:val="clear"/>
        <w:spacing w:after="0" w:line="260"/>
        <w:ind w:left="240"/>
      </w:pPr>
      <w:r>
        <w:rPr>
          <w:rFonts w:ascii="Consolas" w:cs="Consolas" w:eastAsia="Consolas" w:hAnsi="Consolas"/>
          <w:sz w:val="18"/>
          <w:szCs w:val="18"/>
        </w:rPr>
        <w:t xml:space="preserve">FIELD_ENCRYPTION_KEY=&lt;위 명령의 64자 출력&gt;</w:t>
      </w:r>
    </w:p>
    <w:p>
      <w:pPr>
        <w:spacing w:after="120"/>
      </w:pPr>
    </w:p>
    <w:p>
      <w:pPr>
        <w:pStyle w:val="Heading2"/>
        <w:spacing w:after="100" w:before="200"/>
      </w:pPr>
      <w:r>
        <w:rPr>
          <w:b/>
          <w:bCs/>
        </w:rPr>
        <w:t xml:space="preserve">예상 비용</w:t>
      </w:r>
    </w:p>
    <w:p>
      <w:pPr>
        <w:spacing w:after="120" w:line="300"/>
      </w:pPr>
      <w:r>
        <w:rPr>
          <w:b w:val="false"/>
          <w:bCs w:val="false"/>
        </w:rPr>
        <w:t xml:space="preserve">무료입니다(외부 KMS를 쓰는 경우 KMS 요금만 발생).</w:t>
      </w:r>
    </w:p>
    <w:p>
      <w:pPr>
        <w:pStyle w:val="Heading2"/>
        <w:spacing w:after="100" w:before="200"/>
      </w:pPr>
      <w:r>
        <w:rPr>
          <w:b/>
          <w:bCs/>
        </w:rPr>
        <w:t xml:space="preserve">완료 확인 방법</w:t>
      </w:r>
    </w:p>
    <w:p>
      <w:pPr>
        <w:spacing w:after="100" w:line="300"/>
        <w:ind w:left="360" w:hanging="240"/>
      </w:pPr>
      <w:r>
        <w:t xml:space="preserve">· </w:t>
      </w:r>
      <w:r>
        <w:t xml:space="preserve">데이터 소스 등록 폼에서 자격증명을 포함해 저장했을 때 오류 없이 성공합니다. 키가 없으면 암호화 키 부재 오류로 거부됩니다.</w:t>
      </w:r>
    </w:p>
    <w:p>
      <w:pPr>
        <w:spacing w:after="100" w:line="300"/>
        <w:ind w:left="360" w:hanging="240"/>
      </w:pPr>
      <w:r>
        <w:t xml:space="preserve">· </w:t>
      </w:r>
      <w:r>
        <w:t xml:space="preserve">데이터베이스의 DataSource.credentials 값이 평문이 아니라 암호문으로 저장되어 있습니다.</w:t>
      </w:r>
    </w:p>
    <w:p>
      <w:pPr>
        <w:spacing w:after="100" w:line="300"/>
        <w:ind w:left="360" w:hanging="240"/>
      </w:pPr>
      <w:r>
        <w:t xml:space="preserve">· </w:t>
      </w:r>
      <w:r>
        <w:t xml:space="preserve">/settings의 FIELD_ENCRYPTION_KEY 항목이 'configured'로 표시됩니다.</w:t>
      </w:r>
    </w:p>
    <w:p>
      <w:pPr>
        <w:pStyle w:val="Heading1"/>
        <w:spacing w:after="140" w:before="320"/>
      </w:pPr>
      <w:r>
        <w:rPr>
          <w:b/>
          <w:bCs/>
        </w:rPr>
        <w:t xml:space="preserve">6. Mapbox 액세스 토큰</w:t>
      </w:r>
    </w:p>
    <w:p>
      <w:pPr>
        <w:spacing w:after="120" w:line="300"/>
      </w:pPr>
      <w:r>
        <w:rPr>
          <w:b w:val="false"/>
          <w:bCs w:val="false"/>
        </w:rPr>
        <w:t xml:space="preserve">조직·사업장 화면에서 지도를 표시하기 위한 토큰입니다.</w:t>
      </w:r>
    </w:p>
    <w:p>
      <w:pPr>
        <w:spacing w:after="100" w:line="300"/>
        <w:ind w:left="360" w:hanging="360"/>
      </w:pPr>
      <w:r>
        <w:rPr>
          <w:b/>
          <w:bCs/>
        </w:rPr>
        <w:t xml:space="preserve">1. </w:t>
      </w:r>
      <w:r>
        <w:t xml:space="preserve">https://account.mapbox.com 에서 계정을 만들고 Access tokens → 'Create a token'을 선택합니다.</w:t>
      </w:r>
    </w:p>
    <w:p>
      <w:pPr>
        <w:spacing w:after="100" w:line="300"/>
        <w:ind w:left="360" w:hanging="360"/>
      </w:pPr>
      <w:r>
        <w:rPr>
          <w:b/>
          <w:bCs/>
        </w:rPr>
        <w:t xml:space="preserve">2. </w:t>
      </w:r>
      <w:r>
        <w:t xml:space="preserve">public 스코프(styles:read, fonts:read, datasets:read)만 부여하고 secret 스코프는 선택하지 않습니다.</w:t>
      </w:r>
    </w:p>
    <w:p>
      <w:pPr>
        <w:spacing w:after="100" w:line="300"/>
        <w:ind w:left="360" w:hanging="360"/>
      </w:pPr>
      <w:r>
        <w:rPr>
          <w:b/>
          <w:bCs/>
        </w:rPr>
        <w:t xml:space="preserve">3. </w:t>
      </w:r>
      <w:r>
        <w:t xml:space="preserve">'URL restrictions'에 운영 도메인과 http://localhost:3000 을 등록해 토큰 도용을 막습니다.</w:t>
      </w:r>
    </w:p>
    <w:p>
      <w:pPr>
        <w:spacing w:after="100" w:line="300"/>
        <w:ind w:left="360" w:hanging="360"/>
      </w:pPr>
      <w:r>
        <w:rPr>
          <w:b/>
          <w:bCs/>
        </w:rPr>
        <w:t xml:space="preserve">4. </w:t>
      </w:r>
      <w:r>
        <w:t xml:space="preserve">발급된 토큰을 `.env.local`의 MAPBOX_ACCESS_TOKEN에 등록합니다.</w:t>
      </w:r>
    </w:p>
    <w:p>
      <w:pPr>
        <w:spacing w:after="100" w:line="300"/>
        <w:ind w:left="360" w:hanging="360"/>
      </w:pPr>
      <w:r>
        <w:rPr>
          <w:b/>
          <w:bCs/>
        </w:rPr>
        <w:t xml:space="preserve">5. </w:t>
      </w:r>
      <w:r>
        <w:t xml:space="preserve">지도가 의미를 갖도록 각 사업장(Facility)의 위도·경도를 입력합니다. 좌표가 없으면 지도에 표시할 지점이 없습니다.</w:t>
      </w:r>
    </w:p>
    <w:p>
      <w:pPr>
        <w:spacing w:after="100" w:line="300"/>
        <w:ind w:left="360" w:hanging="360"/>
      </w:pPr>
      <w:r>
        <w:rPr>
          <w:b/>
          <w:bCs/>
        </w:rPr>
        <w:t xml:space="preserve">6. </w:t>
      </w:r>
      <w:r>
        <w:t xml:space="preserve">사용량 알림을 설정합니다(Mapbox 계정 → Billing → Usage alerts).</w:t>
      </w:r>
    </w:p>
    <w:p>
      <w:pPr>
        <w:spacing w:after="120" w:line="300"/>
      </w:pPr>
      <w:r>
        <w:rPr>
          <w:b w:val="false"/>
          <w:bCs w:val="false"/>
        </w:rPr>
        <w:t xml:space="preserve">지도 렌더링 컴포넌트 자체는 아직 인터랙티브 지도로 구현되어 있지 않습니다(12절 표 참고). 토큰을 등록하면 지도용 설정이 활성화되고, 미등록 시에는 사업장 좌표 목록이 표시됩니다.</w:t>
      </w:r>
    </w:p>
    <w:p>
      <w:pPr>
        <w:pStyle w:val="Heading2"/>
        <w:spacing w:after="100" w:before="200"/>
      </w:pPr>
      <w:r>
        <w:rPr>
          <w:b/>
          <w:bCs/>
        </w:rPr>
        <w:t xml:space="preserve">예상 비용</w:t>
      </w:r>
    </w:p>
    <w:p>
      <w:pPr>
        <w:spacing w:after="120" w:line="300"/>
      </w:pPr>
      <w:r>
        <w:rPr>
          <w:b w:val="false"/>
          <w:bCs w:val="false"/>
        </w:rPr>
        <w:t xml:space="preserve">월 50,000회 맵 로드까지 무료, 초과분은 1,000회당 약 5달러(요금제 변동 가능). 미설정 시 비용 0원.</w:t>
      </w:r>
    </w:p>
    <w:p>
      <w:pPr>
        <w:pStyle w:val="Heading2"/>
        <w:spacing w:after="100" w:before="200"/>
      </w:pPr>
      <w:r>
        <w:rPr>
          <w:b/>
          <w:bCs/>
        </w:rPr>
        <w:t xml:space="preserve">완료 확인 방법</w:t>
      </w:r>
    </w:p>
    <w:p>
      <w:pPr>
        <w:spacing w:after="100" w:line="300"/>
        <w:ind w:left="360" w:hanging="240"/>
      </w:pPr>
      <w:r>
        <w:t xml:space="preserve">· </w:t>
      </w:r>
      <w:r>
        <w:t xml:space="preserve">/organization 화면에서 사업장 위치 영역이 좌표 목록 대신 지도 구성 상태로 전환됩니다.</w:t>
      </w:r>
    </w:p>
    <w:p>
      <w:pPr>
        <w:spacing w:after="100" w:line="300"/>
        <w:ind w:left="360" w:hanging="240"/>
      </w:pPr>
      <w:r>
        <w:t xml:space="preserve">· </w:t>
      </w:r>
      <w:r>
        <w:t xml:space="preserve">/settings의 MAPBOX_ACCESS_TOKEN 항목이 'configured'로 표시됩니다.</w:t>
      </w:r>
    </w:p>
    <w:p>
      <w:pPr>
        <w:pStyle w:val="Heading1"/>
        <w:spacing w:after="140" w:before="320"/>
      </w:pPr>
      <w:r>
        <w:rPr>
          <w:b/>
          <w:bCs/>
        </w:rPr>
        <w:t xml:space="preserve">7. Redis (선택) 및 API 레이트리밋</w:t>
      </w:r>
    </w:p>
    <w:p>
      <w:pPr>
        <w:spacing w:after="120" w:line="300"/>
      </w:pPr>
      <w:r>
        <w:rPr>
          <w:b w:val="false"/>
          <w:bCs w:val="false"/>
        </w:rPr>
        <w:t xml:space="preserve">여러 인스턴스로 확장할 때 API 레이트리밋 카운터를 공유하기 위한 선택 항목입니다.</w:t>
      </w:r>
    </w:p>
    <w:p>
      <w:pPr>
        <w:spacing w:after="100" w:line="300"/>
        <w:ind w:left="360" w:hanging="360"/>
      </w:pPr>
      <w:r>
        <w:rPr>
          <w:b/>
          <w:bCs/>
        </w:rPr>
        <w:t xml:space="preserve">1. </w:t>
      </w:r>
      <w:r>
        <w:t xml:space="preserve">관리형 Redis를 준비합니다. 서버리스 환경(Vercel)에서는 https://upstash.com 의 Redis가 적합하고, 자체 인프라에서는 Redis 7 이상 또는 ElastiCache를 사용합니다.</w:t>
      </w:r>
    </w:p>
    <w:p>
      <w:pPr>
        <w:spacing w:after="100" w:line="300"/>
        <w:ind w:left="360" w:hanging="360"/>
      </w:pPr>
      <w:r>
        <w:rPr>
          <w:b/>
          <w:bCs/>
        </w:rPr>
        <w:t xml:space="preserve">2. </w:t>
      </w:r>
      <w:r>
        <w:t xml:space="preserve">TLS 연결 문자열(rediss://...)을 `.env.local`의 REDIS_URL에 등록합니다.</w:t>
      </w:r>
    </w:p>
    <w:p>
      <w:pPr>
        <w:spacing w:after="100" w:line="300"/>
        <w:ind w:left="360" w:hanging="360"/>
      </w:pPr>
      <w:r>
        <w:rPr>
          <w:b/>
          <w:bCs/>
        </w:rPr>
        <w:t xml:space="preserve">3. </w:t>
      </w:r>
      <w:r>
        <w:t xml:space="preserve">기본 분당 호출 한도를 API_RATE_LIMIT_PER_MINUTE로 조정합니다(미지정 시 60).</w:t>
      </w:r>
    </w:p>
    <w:p>
      <w:pPr>
        <w:spacing w:after="100" w:line="300"/>
        <w:ind w:left="360" w:hanging="360"/>
      </w:pPr>
      <w:r>
        <w:rPr>
          <w:b/>
          <w:bCs/>
        </w:rPr>
        <w:t xml:space="preserve">4. </w:t>
      </w:r>
      <w:r>
        <w:t xml:space="preserve">특정 통합에 한도를 적용하지 않으려면 해당 API 키에 `rate:unlimited` 스코프를 부여합니다. API 키별 개별 한도는 현재 스키마에 컬럼이 없어 지원하지 않습니다(12절 표 참고).</w:t>
      </w:r>
    </w:p>
    <w:p>
      <w:pPr>
        <w:spacing w:after="100" w:line="300"/>
        <w:ind w:left="360" w:hanging="360"/>
      </w:pPr>
      <w:r>
        <w:rPr>
          <w:b/>
          <w:bCs/>
        </w:rPr>
        <w:t xml:space="preserve">5. </w:t>
      </w:r>
      <w:r>
        <w:t xml:space="preserve">단일 인스턴스로만 운영한다면 이 절을 생략해도 무방합니다. 레이트리밋은 프로세스 내부 토큰 버킷으로 계속 동작합니다.</w:t>
      </w:r>
    </w:p>
    <w:p>
      <w:pPr>
        <w:pStyle w:val="Heading2"/>
        <w:spacing w:after="100" w:before="200"/>
      </w:pPr>
      <w:r>
        <w:rPr>
          <w:b/>
          <w:bCs/>
        </w:rPr>
        <w:t xml:space="preserve">예상 비용</w:t>
      </w:r>
    </w:p>
    <w:p>
      <w:pPr>
        <w:spacing w:after="120" w:line="300"/>
      </w:pPr>
      <w:r>
        <w:rPr>
          <w:b w:val="false"/>
          <w:bCs w:val="false"/>
        </w:rPr>
        <w:t xml:space="preserve">Upstash 무료 티어는 일 10,000 커맨드까지 무료, 이후 종량제(요청 10만건당 약 0.2달러). AWS ElastiCache cache.t4g.micro는 월 15달러 내외.</w:t>
      </w:r>
    </w:p>
    <w:p>
      <w:pPr>
        <w:pStyle w:val="Heading2"/>
        <w:spacing w:after="100" w:before="200"/>
      </w:pPr>
      <w:r>
        <w:rPr>
          <w:b/>
          <w:bCs/>
        </w:rPr>
        <w:t xml:space="preserve">완료 확인 방법</w:t>
      </w:r>
    </w:p>
    <w:p>
      <w:pPr>
        <w:spacing w:after="100" w:line="300"/>
        <w:ind w:left="360" w:hanging="240"/>
      </w:pPr>
      <w:r>
        <w:t xml:space="preserve">· </w:t>
      </w:r>
      <w:r>
        <w:t xml:space="preserve">/api-gateway 화면의 레이트리밋 상태 영역에 현재 한도와 남은 횟수가 표시됩니다.</w:t>
      </w:r>
    </w:p>
    <w:p>
      <w:pPr>
        <w:spacing w:after="100" w:line="300"/>
        <w:ind w:left="360" w:hanging="240"/>
      </w:pPr>
      <w:r>
        <w:t xml:space="preserve">· </w:t>
      </w:r>
      <w:r>
        <w:t xml:space="preserve">인스턴스를 2개 이상 띄운 뒤 같은 API 키로 호출했을 때 카운터가 합산됩니다(Redis 미구성 시에는 인스턴스별로 따로 계산).</w:t>
      </w:r>
    </w:p>
    <w:p>
      <w:pPr>
        <w:spacing w:after="100" w:line="300"/>
        <w:ind w:left="360" w:hanging="240"/>
      </w:pPr>
      <w:r>
        <w:t xml:space="preserve">· </w:t>
      </w:r>
      <w:r>
        <w:t xml:space="preserve">한도 초과 시 응답이 429와 X-RateLimit-* 헤더를 반환합니다.</w:t>
      </w:r>
    </w:p>
    <w:p>
      <w:pPr>
        <w:pStyle w:val="Heading1"/>
        <w:spacing w:after="140" w:before="320"/>
      </w:pPr>
      <w:r>
        <w:rPr>
          <w:b/>
          <w:bCs/>
        </w:rPr>
        <w:t xml:space="preserve">8. 배포(Vercel 또는 Docker) · 환경변수 등록 · 도메인/DNS/SSL</w:t>
      </w:r>
    </w:p>
    <w:p>
      <w:pPr>
        <w:spacing w:after="120" w:line="300"/>
      </w:pPr>
      <w:r>
        <w:rPr>
          <w:b w:val="false"/>
          <w:bCs w:val="false"/>
        </w:rPr>
        <w:t xml:space="preserve">운영 환경에 올리고, 도메인과 인증서를 연결합니다.</w:t>
      </w:r>
    </w:p>
    <w:p>
      <w:pPr>
        <w:spacing w:after="120" w:line="300"/>
      </w:pPr>
      <w:r>
        <w:rPr>
          <w:b w:val="false"/>
          <w:bCs w:val="false"/>
        </w:rPr>
        <w:t xml:space="preserve">방법 A — Vercel (권장, 가장 빠름)</w:t>
      </w:r>
    </w:p>
    <w:p>
      <w:pPr>
        <w:spacing w:after="100" w:line="300"/>
        <w:ind w:left="360" w:hanging="360"/>
      </w:pPr>
      <w:r>
        <w:rPr>
          <w:b/>
          <w:bCs/>
        </w:rPr>
        <w:t xml:space="preserve">1. </w:t>
      </w:r>
      <w:r>
        <w:t xml:space="preserve">https://vercel.com/new 에서 저장소를 임포트합니다. Framework는 Next.js로 자동 인식되고 빌드 명령은 `npm run build`입니다. 설치 단계의 postinstall이 `prisma generate`를 실행합니다.</w:t>
      </w:r>
    </w:p>
    <w:p>
      <w:pPr>
        <w:spacing w:after="100" w:line="300"/>
        <w:ind w:left="360" w:hanging="360"/>
      </w:pPr>
      <w:r>
        <w:rPr>
          <w:b/>
          <w:bCs/>
        </w:rPr>
        <w:t xml:space="preserve">2. </w:t>
      </w:r>
      <w:r>
        <w:t xml:space="preserve">Project Settings → Environment Variables에 이 문서 앞부분의 환경변수 표에 있는 값을 등록합니다. Production과 Preview를 분리해 서로 다른 데이터베이스를 쓰는 것을 권장합니다.</w:t>
      </w:r>
    </w:p>
    <w:p>
      <w:pPr>
        <w:spacing w:after="100" w:line="300"/>
        <w:ind w:left="360" w:hanging="360"/>
      </w:pPr>
      <w:r>
        <w:rPr>
          <w:b/>
          <w:bCs/>
        </w:rPr>
        <w:t xml:space="preserve">3. </w:t>
      </w:r>
      <w:r>
        <w:t xml:space="preserve">마이그레이션은 빌드와 분리해 실행합니다. GitHub Actions 릴리스 잡이나 로컬에서 `DATABASE_URL=&lt;운영&gt; npx prisma migrate deploy` 를 배포 직전에 1회 실행하십시오. 빌드 명령에 넣으면 프리뷰 배포마다 운영 DB에 DDL이 실행될 위험이 있습니다.</w:t>
      </w:r>
    </w:p>
    <w:p>
      <w:pPr>
        <w:spacing w:after="100" w:line="300"/>
        <w:ind w:left="360" w:hanging="360"/>
      </w:pPr>
      <w:r>
        <w:rPr>
          <w:b/>
          <w:bCs/>
        </w:rPr>
        <w:t xml:space="preserve">4. </w:t>
      </w:r>
      <w:r>
        <w:t xml:space="preserve">Deploy를 실행하고, 배포 로그에서 32개 라우트가 모두 동적(ƒ)으로 출력되는지 확인합니다.</w:t>
      </w:r>
    </w:p>
    <w:p>
      <w:pPr>
        <w:spacing w:after="120" w:line="300"/>
      </w:pPr>
      <w:r>
        <w:rPr>
          <w:b w:val="false"/>
          <w:bCs w:val="false"/>
        </w:rPr>
        <w:t xml:space="preserve">방법 B — Docker (사내 인프라, Kubernetes, Cloud Run)</w:t>
      </w:r>
    </w:p>
    <w:p>
      <w:pPr>
        <w:spacing w:after="100" w:line="300"/>
        <w:ind w:left="360" w:hanging="360"/>
      </w:pPr>
      <w:r>
        <w:rPr>
          <w:b/>
          <w:bCs/>
        </w:rPr>
        <w:t xml:space="preserve">1. </w:t>
      </w:r>
      <w:r>
        <w:t xml:space="preserve">저장소 루트의 Dockerfile로 이미지를 빌드합니다. Next.js standalone 출력을 사용하고, 런타임은 node:22-alpine에서 비root 사용자(uid 1001)로 동작합니다.</w:t>
      </w:r>
    </w:p>
    <w:p>
      <w:pPr>
        <w:spacing w:after="100" w:line="300"/>
        <w:ind w:left="360" w:hanging="360"/>
      </w:pPr>
      <w:r>
        <w:rPr>
          <w:b/>
          <w:bCs/>
        </w:rPr>
        <w:t xml:space="preserve">2. </w:t>
      </w:r>
      <w:r>
        <w:t xml:space="preserve">환경변수를 파일 또는 오케스트레이터 시크릿으로 주입해 컨테이너를 실행합니다. 포트는 3000이며 PORT/HOSTNAME 환경변수로 변경할 수 있습니다.</w:t>
      </w:r>
    </w:p>
    <w:p>
      <w:pPr>
        <w:spacing w:after="100" w:line="300"/>
        <w:ind w:left="360" w:hanging="360"/>
      </w:pPr>
      <w:r>
        <w:rPr>
          <w:b/>
          <w:bCs/>
        </w:rPr>
        <w:t xml:space="preserve">3. </w:t>
      </w:r>
      <w:r>
        <w:t xml:space="preserve">배포 전 마이그레이션을 같은 이미지로 1회 실행합니다(prisma 디렉터리가 이미지에 포함되어 있습니다).</w:t>
      </w:r>
    </w:p>
    <w:p>
      <w:pPr>
        <w:spacing w:after="100" w:line="300"/>
        <w:ind w:left="360" w:hanging="360"/>
      </w:pPr>
      <w:r>
        <w:rPr>
          <w:b/>
          <w:bCs/>
        </w:rPr>
        <w:t xml:space="preserve">4. </w:t>
      </w:r>
      <w:r>
        <w:t xml:space="preserve">헬스체크 엔드포인트로 `/api/v1/health` 를 등록합니다(Kubernetes readinessProbe, Cloud Run 기본 확인).</w:t>
      </w:r>
    </w:p>
    <w:p>
      <w:pPr>
        <w:shd w:fill="F2F2F2" w:val="clear"/>
        <w:spacing w:after="0" w:line="260"/>
        <w:ind w:left="240"/>
      </w:pPr>
      <w:r>
        <w:rPr>
          <w:rFonts w:ascii="Consolas" w:cs="Consolas" w:eastAsia="Consolas" w:hAnsi="Consolas"/>
          <w:sz w:val="18"/>
          <w:szCs w:val="18"/>
        </w:rPr>
        <w:t xml:space="preserve">docker build -t cios:latest .</w:t>
      </w:r>
    </w:p>
    <w:p>
      <w:pPr>
        <w:shd w:fill="F2F2F2" w:val="clear"/>
        <w:spacing w:after="0" w:line="260"/>
        <w:ind w:left="240"/>
      </w:pPr>
      <w:r>
        <w:rPr>
          <w:rFonts w:ascii="Consolas" w:cs="Consolas" w:eastAsia="Consolas" w:hAnsi="Consolas"/>
          <w:sz w:val="18"/>
          <w:szCs w:val="18"/>
        </w:rPr>
        <w:t xml:space="preserve">docker run --rm --env-file .env.local cios:latest npx prisma migrate deploy</w:t>
      </w:r>
    </w:p>
    <w:p>
      <w:pPr>
        <w:shd w:fill="F2F2F2" w:val="clear"/>
        <w:spacing w:after="0" w:line="260"/>
        <w:ind w:left="240"/>
      </w:pPr>
      <w:r>
        <w:rPr>
          <w:rFonts w:ascii="Consolas" w:cs="Consolas" w:eastAsia="Consolas" w:hAnsi="Consolas"/>
          <w:sz w:val="18"/>
          <w:szCs w:val="18"/>
        </w:rPr>
        <w:t xml:space="preserve">docker run -d -p 3000:3000 --env-file .env.local --name cios cios:latest</w:t>
      </w:r>
    </w:p>
    <w:p>
      <w:pPr>
        <w:shd w:fill="F2F2F2" w:val="clear"/>
        <w:spacing w:after="0" w:line="260"/>
        <w:ind w:left="240"/>
      </w:pPr>
      <w:r>
        <w:rPr>
          <w:rFonts w:ascii="Consolas" w:cs="Consolas" w:eastAsia="Consolas" w:hAnsi="Consolas"/>
          <w:sz w:val="18"/>
          <w:szCs w:val="18"/>
        </w:rPr>
        <w:t xml:space="preserve">curl -s http://localhost:3000/api/v1/health</w:t>
      </w:r>
    </w:p>
    <w:p>
      <w:pPr>
        <w:spacing w:after="120"/>
      </w:pPr>
    </w:p>
    <w:p>
      <w:pPr>
        <w:spacing w:after="120" w:line="300"/>
      </w:pPr>
      <w:r>
        <w:rPr>
          <w:b w:val="false"/>
          <w:bCs w:val="false"/>
        </w:rPr>
        <w:t xml:space="preserve">도메인 · DNS · SSL</w:t>
      </w:r>
    </w:p>
    <w:p>
      <w:pPr>
        <w:spacing w:after="100" w:line="300"/>
        <w:ind w:left="360" w:hanging="360"/>
      </w:pPr>
      <w:r>
        <w:rPr>
          <w:b/>
          <w:bCs/>
        </w:rPr>
        <w:t xml:space="preserve">1. </w:t>
      </w:r>
      <w:r>
        <w:t xml:space="preserve">도메인을 등록기관(가비아, Cloudflare, Route 53 등)에서 취득합니다.</w:t>
      </w:r>
    </w:p>
    <w:p>
      <w:pPr>
        <w:spacing w:after="100" w:line="300"/>
        <w:ind w:left="360" w:hanging="360"/>
      </w:pPr>
      <w:r>
        <w:rPr>
          <w:b/>
          <w:bCs/>
        </w:rPr>
        <w:t xml:space="preserve">2. </w:t>
      </w:r>
      <w:r>
        <w:t xml:space="preserve">Vercel의 경우 Project Settings → Domains에 도메인을 추가하고, 안내되는 A 레코드(또는 CNAME)를 DNS에 등록하면 인증서가 자동 발급·갱신됩니다.</w:t>
      </w:r>
    </w:p>
    <w:p>
      <w:pPr>
        <w:spacing w:after="100" w:line="300"/>
        <w:ind w:left="360" w:hanging="360"/>
      </w:pPr>
      <w:r>
        <w:rPr>
          <w:b/>
          <w:bCs/>
        </w:rPr>
        <w:t xml:space="preserve">3. </w:t>
      </w:r>
      <w:r>
        <w:t xml:space="preserve">자체 호스팅의 경우 Nginx 또는 Caddy를 리버스 프록시로 두고 Let's Encrypt 인증서를 발급합니다. 예: `sudo certbot --nginx -d cios.example.com`. 갱신은 certbot 타이머로 자동화하십시오.</w:t>
      </w:r>
    </w:p>
    <w:p>
      <w:pPr>
        <w:spacing w:after="100" w:line="300"/>
        <w:ind w:left="360" w:hanging="360"/>
      </w:pPr>
      <w:r>
        <w:rPr>
          <w:b/>
          <w:bCs/>
        </w:rPr>
        <w:t xml:space="preserve">4. </w:t>
      </w:r>
      <w:r>
        <w:t xml:space="preserve">HTTPS 강제, HSTS 헤더, 프록시의 X-Forwarded-* 전달을 설정합니다.</w:t>
      </w:r>
    </w:p>
    <w:p>
      <w:pPr>
        <w:spacing w:after="100" w:line="300"/>
        <w:ind w:left="360" w:hanging="360"/>
      </w:pPr>
      <w:r>
        <w:rPr>
          <w:b/>
          <w:bCs/>
        </w:rPr>
        <w:t xml:space="preserve">5. </w:t>
      </w:r>
      <w:r>
        <w:t xml:space="preserve">도메인이 확정되면 2절의 Supabase Site URL·Redirect URLs와 Google·Microsoft 콘솔의 리디렉션 URI를 실제 도메인으로 갱신합니다. 이 단계를 빠뜨리면 OAuth 로그인이 실패합니다.</w:t>
      </w:r>
    </w:p>
    <w:p>
      <w:pPr>
        <w:pStyle w:val="Heading2"/>
        <w:spacing w:after="100" w:before="200"/>
      </w:pPr>
      <w:r>
        <w:rPr>
          <w:b/>
          <w:bCs/>
        </w:rPr>
        <w:t xml:space="preserve">예상 비용</w:t>
      </w:r>
    </w:p>
    <w:p>
      <w:pPr>
        <w:spacing w:after="120" w:line="300"/>
      </w:pPr>
      <w:r>
        <w:rPr>
          <w:b w:val="false"/>
          <w:bCs w:val="false"/>
        </w:rPr>
        <w:t xml:space="preserve">Vercel Hobby 무료 / Pro 사용자당 월 20달러. 컨테이너 호스팅(Cloud Run, Fly.io, ECS)은 소규모 기준 월 10~50달러. 도메인은 연 1.5만~3만원, SSL은 Let's Encrypt 사용 시 무료.</w:t>
      </w:r>
    </w:p>
    <w:p>
      <w:pPr>
        <w:pStyle w:val="Heading2"/>
        <w:spacing w:after="100" w:before="200"/>
      </w:pPr>
      <w:r>
        <w:rPr>
          <w:b/>
          <w:bCs/>
        </w:rPr>
        <w:t xml:space="preserve">완료 확인 방법</w:t>
      </w:r>
    </w:p>
    <w:p>
      <w:pPr>
        <w:spacing w:after="100" w:line="300"/>
        <w:ind w:left="360" w:hanging="240"/>
      </w:pPr>
      <w:r>
        <w:t xml:space="preserve">· </w:t>
      </w:r>
      <w:r>
        <w:t xml:space="preserve">`https://&lt;도메인&gt;/api/v1/health` 가 200과 JSON 응답을 반환합니다.</w:t>
      </w:r>
    </w:p>
    <w:p>
      <w:pPr>
        <w:spacing w:after="100" w:line="300"/>
        <w:ind w:left="360" w:hanging="240"/>
      </w:pPr>
      <w:r>
        <w:t xml:space="preserve">· </w:t>
      </w:r>
      <w:r>
        <w:t xml:space="preserve">운영 도메인에서 로그인 후 /dashboard가 정상 표시되고, 데모 모드 배너가 없습니다.</w:t>
      </w:r>
    </w:p>
    <w:p>
      <w:pPr>
        <w:spacing w:after="100" w:line="300"/>
        <w:ind w:left="360" w:hanging="240"/>
      </w:pPr>
      <w:r>
        <w:t xml:space="preserve">· </w:t>
      </w:r>
      <w:r>
        <w:t xml:space="preserve">`npx prisma migrate status`(운영 DATABASE_URL 기준)가 up to date를 출력합니다.</w:t>
      </w:r>
    </w:p>
    <w:p>
      <w:pPr>
        <w:spacing w:after="100" w:line="300"/>
        <w:ind w:left="360" w:hanging="240"/>
      </w:pPr>
      <w:r>
        <w:t xml:space="preserve">· </w:t>
      </w:r>
      <w:r>
        <w:t xml:space="preserve">브라우저 주소창에 유효한 인증서(잠금 아이콘)가 표시됩니다.</w:t>
      </w:r>
    </w:p>
    <w:p>
      <w:pPr>
        <w:pStyle w:val="Heading1"/>
        <w:spacing w:after="140" w:before="320"/>
      </w:pPr>
      <w:r>
        <w:rPr>
          <w:b/>
          <w:bCs/>
        </w:rPr>
        <w:t xml:space="preserve">9. 유료 배출계수 데이터 라이선스</w:t>
      </w:r>
    </w:p>
    <w:p>
      <w:pPr>
        <w:spacing w:after="120" w:line="300"/>
      </w:pPr>
      <w:r>
        <w:rPr>
          <w:b w:val="false"/>
          <w:bCs w:val="false"/>
        </w:rPr>
        <w:t xml:space="preserve">현재 시드에는 공개·재배포 가능한 계수만 들어 있습니다. Scope 3 LCA와 국가별 전력 계수는 상용 라이선스가 필요합니다.</w:t>
      </w:r>
    </w:p>
    <w:p>
      <w:pPr>
        <w:spacing w:after="120" w:line="300"/>
      </w:pPr>
      <w:r>
        <w:rPr>
          <w:b/>
          <w:bCs/>
        </w:rPr>
        <w:t xml:space="preserve">표 9-1. 배출계수 데이터셋별 비용과 취득 경로</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tblGrid>
      <w:tr>
        <w:trPr>
          <w:tblHeader/>
        </w:trPr>
        <w:tc>
          <w:tcPr>
            <w:shd w:fill="E7E6E6" w:val="clear"/>
            <w:tcMar>
              <w:top w:type="dxa" w:w="60"/>
              <w:left w:type="dxa" w:w="100"/>
              <w:bottom w:type="dxa" w:w="60"/>
              <w:right w:type="dxa" w:w="100"/>
            </w:tcMar>
            <w:vAlign w:val="top"/>
          </w:tcPr>
          <w:p>
            <w:pPr>
              <w:spacing w:after="0" w:line="260"/>
            </w:pPr>
            <w:r>
              <w:rPr>
                <w:b/>
                <w:bCs/>
                <w:sz w:val="18"/>
                <w:szCs w:val="18"/>
              </w:rPr>
              <w:t xml:space="preserve">데이터셋</w:t>
            </w:r>
          </w:p>
        </w:tc>
        <w:tc>
          <w:tcPr>
            <w:shd w:fill="E7E6E6" w:val="clear"/>
            <w:tcMar>
              <w:top w:type="dxa" w:w="60"/>
              <w:left w:type="dxa" w:w="100"/>
              <w:bottom w:type="dxa" w:w="60"/>
              <w:right w:type="dxa" w:w="100"/>
            </w:tcMar>
            <w:vAlign w:val="top"/>
          </w:tcPr>
          <w:p>
            <w:pPr>
              <w:spacing w:after="0" w:line="260"/>
            </w:pPr>
            <w:r>
              <w:rPr>
                <w:b/>
                <w:bCs/>
                <w:sz w:val="18"/>
                <w:szCs w:val="18"/>
              </w:rPr>
              <w:t xml:space="preserve">제공기관</w:t>
            </w:r>
          </w:p>
        </w:tc>
        <w:tc>
          <w:tcPr>
            <w:shd w:fill="E7E6E6" w:val="clear"/>
            <w:tcMar>
              <w:top w:type="dxa" w:w="60"/>
              <w:left w:type="dxa" w:w="100"/>
              <w:bottom w:type="dxa" w:w="60"/>
              <w:right w:type="dxa" w:w="100"/>
            </w:tcMar>
            <w:vAlign w:val="top"/>
          </w:tcPr>
          <w:p>
            <w:pPr>
              <w:spacing w:after="0" w:line="260"/>
            </w:pPr>
            <w:r>
              <w:rPr>
                <w:b/>
                <w:bCs/>
                <w:sz w:val="18"/>
                <w:szCs w:val="18"/>
              </w:rPr>
              <w:t xml:space="preserve">유·무료</w:t>
            </w:r>
          </w:p>
        </w:tc>
        <w:tc>
          <w:tcPr>
            <w:shd w:fill="E7E6E6" w:val="clear"/>
            <w:tcMar>
              <w:top w:type="dxa" w:w="60"/>
              <w:left w:type="dxa" w:w="100"/>
              <w:bottom w:type="dxa" w:w="60"/>
              <w:right w:type="dxa" w:w="100"/>
            </w:tcMar>
            <w:vAlign w:val="top"/>
          </w:tcPr>
          <w:p>
            <w:pPr>
              <w:spacing w:after="0" w:line="260"/>
            </w:pPr>
            <w:r>
              <w:rPr>
                <w:b/>
                <w:bCs/>
                <w:sz w:val="18"/>
                <w:szCs w:val="18"/>
              </w:rPr>
              <w:t xml:space="preserve">취득 경로</w:t>
            </w:r>
          </w:p>
        </w:tc>
        <w:tc>
          <w:tcPr>
            <w:shd w:fill="E7E6E6" w:val="clear"/>
            <w:tcMar>
              <w:top w:type="dxa" w:w="60"/>
              <w:left w:type="dxa" w:w="100"/>
              <w:bottom w:type="dxa" w:w="60"/>
              <w:right w:type="dxa" w:w="100"/>
            </w:tcMar>
            <w:vAlign w:val="top"/>
          </w:tcPr>
          <w:p>
            <w:pPr>
              <w:spacing w:after="0" w:line="260"/>
            </w:pPr>
            <w:r>
              <w:rPr>
                <w:b/>
                <w:bCs/>
                <w:sz w:val="18"/>
                <w:szCs w:val="18"/>
              </w:rPr>
              <w:t xml:space="preserve">용도</w:t>
            </w:r>
          </w:p>
        </w:tc>
      </w:tr>
      <w:tr>
        <w:tc>
          <w:tcPr>
            <w:tcMar>
              <w:top w:type="dxa" w:w="60"/>
              <w:left w:type="dxa" w:w="100"/>
              <w:bottom w:type="dxa" w:w="60"/>
              <w:right w:type="dxa" w:w="100"/>
            </w:tcMar>
            <w:vAlign w:val="top"/>
          </w:tcPr>
          <w:p>
            <w:pPr>
              <w:spacing w:after="0" w:line="260"/>
            </w:pPr>
            <w:r>
              <w:rPr>
                <w:b w:val="false"/>
                <w:bCs w:val="false"/>
                <w:sz w:val="18"/>
                <w:szCs w:val="18"/>
              </w:rPr>
              <w:t xml:space="preserve">IPCC 2006 / 2019 Refinement 기본계수</w:t>
            </w:r>
          </w:p>
        </w:tc>
        <w:tc>
          <w:tcPr>
            <w:tcMar>
              <w:top w:type="dxa" w:w="60"/>
              <w:left w:type="dxa" w:w="100"/>
              <w:bottom w:type="dxa" w:w="60"/>
              <w:right w:type="dxa" w:w="100"/>
            </w:tcMar>
            <w:vAlign w:val="top"/>
          </w:tcPr>
          <w:p>
            <w:pPr>
              <w:spacing w:after="0" w:line="260"/>
            </w:pPr>
            <w:r>
              <w:rPr>
                <w:b w:val="false"/>
                <w:bCs w:val="false"/>
                <w:sz w:val="18"/>
                <w:szCs w:val="18"/>
              </w:rPr>
              <w:t xml:space="preserve">IPCC</w:t>
            </w:r>
          </w:p>
        </w:tc>
        <w:tc>
          <w:tcPr>
            <w:tcMar>
              <w:top w:type="dxa" w:w="60"/>
              <w:left w:type="dxa" w:w="100"/>
              <w:bottom w:type="dxa" w:w="60"/>
              <w:right w:type="dxa" w:w="100"/>
            </w:tcMar>
            <w:vAlign w:val="top"/>
          </w:tcPr>
          <w:p>
            <w:pPr>
              <w:spacing w:after="0" w:line="260"/>
            </w:pPr>
            <w:r>
              <w:rPr>
                <w:b w:val="false"/>
                <w:bCs w:val="false"/>
                <w:sz w:val="18"/>
                <w:szCs w:val="18"/>
              </w:rPr>
              <w:t xml:space="preserve">무료</w:t>
            </w:r>
          </w:p>
        </w:tc>
        <w:tc>
          <w:tcPr>
            <w:tcMar>
              <w:top w:type="dxa" w:w="60"/>
              <w:left w:type="dxa" w:w="100"/>
              <w:bottom w:type="dxa" w:w="60"/>
              <w:right w:type="dxa" w:w="100"/>
            </w:tcMar>
            <w:vAlign w:val="top"/>
          </w:tcPr>
          <w:p>
            <w:pPr>
              <w:spacing w:after="0" w:line="260"/>
            </w:pPr>
            <w:r>
              <w:rPr>
                <w:b w:val="false"/>
                <w:bCs w:val="false"/>
                <w:sz w:val="18"/>
                <w:szCs w:val="18"/>
              </w:rPr>
              <w:t xml:space="preserve">https://www.ipcc-nggip.iges.or.jp</w:t>
            </w:r>
          </w:p>
        </w:tc>
        <w:tc>
          <w:tcPr>
            <w:tcMar>
              <w:top w:type="dxa" w:w="60"/>
              <w:left w:type="dxa" w:w="100"/>
              <w:bottom w:type="dxa" w:w="60"/>
              <w:right w:type="dxa" w:w="100"/>
            </w:tcMar>
            <w:vAlign w:val="top"/>
          </w:tcPr>
          <w:p>
            <w:pPr>
              <w:spacing w:after="0" w:line="260"/>
            </w:pPr>
            <w:r>
              <w:rPr>
                <w:b w:val="false"/>
                <w:bCs w:val="false"/>
                <w:sz w:val="18"/>
                <w:szCs w:val="18"/>
              </w:rPr>
              <w:t xml:space="preserve">Scope 1 연소·공정 기본계수 (현재 시드에 사용)</w:t>
            </w:r>
          </w:p>
        </w:tc>
      </w:tr>
      <w:tr>
        <w:tc>
          <w:tcPr>
            <w:tcMar>
              <w:top w:type="dxa" w:w="60"/>
              <w:left w:type="dxa" w:w="100"/>
              <w:bottom w:type="dxa" w:w="60"/>
              <w:right w:type="dxa" w:w="100"/>
            </w:tcMar>
            <w:vAlign w:val="top"/>
          </w:tcPr>
          <w:p>
            <w:pPr>
              <w:spacing w:after="0" w:line="260"/>
            </w:pPr>
            <w:r>
              <w:rPr>
                <w:b w:val="false"/>
                <w:bCs w:val="false"/>
                <w:sz w:val="18"/>
                <w:szCs w:val="18"/>
              </w:rPr>
              <w:t xml:space="preserve">UK GHG conversion factors (DEFRA/BEIS/DESNZ)</w:t>
            </w:r>
          </w:p>
        </w:tc>
        <w:tc>
          <w:tcPr>
            <w:tcMar>
              <w:top w:type="dxa" w:w="60"/>
              <w:left w:type="dxa" w:w="100"/>
              <w:bottom w:type="dxa" w:w="60"/>
              <w:right w:type="dxa" w:w="100"/>
            </w:tcMar>
            <w:vAlign w:val="top"/>
          </w:tcPr>
          <w:p>
            <w:pPr>
              <w:spacing w:after="0" w:line="260"/>
            </w:pPr>
            <w:r>
              <w:rPr>
                <w:b w:val="false"/>
                <w:bCs w:val="false"/>
                <w:sz w:val="18"/>
                <w:szCs w:val="18"/>
              </w:rPr>
              <w:t xml:space="preserve">영국 정부</w:t>
            </w:r>
          </w:p>
        </w:tc>
        <w:tc>
          <w:tcPr>
            <w:tcMar>
              <w:top w:type="dxa" w:w="60"/>
              <w:left w:type="dxa" w:w="100"/>
              <w:bottom w:type="dxa" w:w="60"/>
              <w:right w:type="dxa" w:w="100"/>
            </w:tcMar>
            <w:vAlign w:val="top"/>
          </w:tcPr>
          <w:p>
            <w:pPr>
              <w:spacing w:after="0" w:line="260"/>
            </w:pPr>
            <w:r>
              <w:rPr>
                <w:b w:val="false"/>
                <w:bCs w:val="false"/>
                <w:sz w:val="18"/>
                <w:szCs w:val="18"/>
              </w:rPr>
              <w:t xml:space="preserve">무료(공공 라이선스)</w:t>
            </w:r>
          </w:p>
        </w:tc>
        <w:tc>
          <w:tcPr>
            <w:tcMar>
              <w:top w:type="dxa" w:w="60"/>
              <w:left w:type="dxa" w:w="100"/>
              <w:bottom w:type="dxa" w:w="60"/>
              <w:right w:type="dxa" w:w="100"/>
            </w:tcMar>
            <w:vAlign w:val="top"/>
          </w:tcPr>
          <w:p>
            <w:pPr>
              <w:spacing w:after="0" w:line="260"/>
            </w:pPr>
            <w:r>
              <w:rPr>
                <w:b w:val="false"/>
                <w:bCs w:val="false"/>
                <w:sz w:val="18"/>
                <w:szCs w:val="18"/>
              </w:rPr>
              <w:t xml:space="preserve">https://www.gov.uk/government/collections/government-conversion-factors-for-company-reporting</w:t>
            </w:r>
          </w:p>
        </w:tc>
        <w:tc>
          <w:tcPr>
            <w:tcMar>
              <w:top w:type="dxa" w:w="60"/>
              <w:left w:type="dxa" w:w="100"/>
              <w:bottom w:type="dxa" w:w="60"/>
              <w:right w:type="dxa" w:w="100"/>
            </w:tcMar>
            <w:vAlign w:val="top"/>
          </w:tcPr>
          <w:p>
            <w:pPr>
              <w:spacing w:after="0" w:line="260"/>
            </w:pPr>
            <w:r>
              <w:rPr>
                <w:b w:val="false"/>
                <w:bCs w:val="false"/>
                <w:sz w:val="18"/>
                <w:szCs w:val="18"/>
              </w:rPr>
              <w:t xml:space="preserve">연료·운송·폐기물·출장 계수</w:t>
            </w:r>
          </w:p>
        </w:tc>
      </w:tr>
      <w:tr>
        <w:tc>
          <w:tcPr>
            <w:tcMar>
              <w:top w:type="dxa" w:w="60"/>
              <w:left w:type="dxa" w:w="100"/>
              <w:bottom w:type="dxa" w:w="60"/>
              <w:right w:type="dxa" w:w="100"/>
            </w:tcMar>
            <w:vAlign w:val="top"/>
          </w:tcPr>
          <w:p>
            <w:pPr>
              <w:spacing w:after="0" w:line="260"/>
            </w:pPr>
            <w:r>
              <w:rPr>
                <w:b w:val="false"/>
                <w:bCs w:val="false"/>
                <w:sz w:val="18"/>
                <w:szCs w:val="18"/>
              </w:rPr>
              <w:t xml:space="preserve">GHG Emission Factors Hub, eGRID</w:t>
            </w:r>
          </w:p>
        </w:tc>
        <w:tc>
          <w:tcPr>
            <w:tcMar>
              <w:top w:type="dxa" w:w="60"/>
              <w:left w:type="dxa" w:w="100"/>
              <w:bottom w:type="dxa" w:w="60"/>
              <w:right w:type="dxa" w:w="100"/>
            </w:tcMar>
            <w:vAlign w:val="top"/>
          </w:tcPr>
          <w:p>
            <w:pPr>
              <w:spacing w:after="0" w:line="260"/>
            </w:pPr>
            <w:r>
              <w:rPr>
                <w:b w:val="false"/>
                <w:bCs w:val="false"/>
                <w:sz w:val="18"/>
                <w:szCs w:val="18"/>
              </w:rPr>
              <w:t xml:space="preserve">US EPA</w:t>
            </w:r>
          </w:p>
        </w:tc>
        <w:tc>
          <w:tcPr>
            <w:tcMar>
              <w:top w:type="dxa" w:w="60"/>
              <w:left w:type="dxa" w:w="100"/>
              <w:bottom w:type="dxa" w:w="60"/>
              <w:right w:type="dxa" w:w="100"/>
            </w:tcMar>
            <w:vAlign w:val="top"/>
          </w:tcPr>
          <w:p>
            <w:pPr>
              <w:spacing w:after="0" w:line="260"/>
            </w:pPr>
            <w:r>
              <w:rPr>
                <w:b w:val="false"/>
                <w:bCs w:val="false"/>
                <w:sz w:val="18"/>
                <w:szCs w:val="18"/>
              </w:rPr>
              <w:t xml:space="preserve">무료</w:t>
            </w:r>
          </w:p>
        </w:tc>
        <w:tc>
          <w:tcPr>
            <w:tcMar>
              <w:top w:type="dxa" w:w="60"/>
              <w:left w:type="dxa" w:w="100"/>
              <w:bottom w:type="dxa" w:w="60"/>
              <w:right w:type="dxa" w:w="100"/>
            </w:tcMar>
            <w:vAlign w:val="top"/>
          </w:tcPr>
          <w:p>
            <w:pPr>
              <w:spacing w:after="0" w:line="260"/>
            </w:pPr>
            <w:r>
              <w:rPr>
                <w:b w:val="false"/>
                <w:bCs w:val="false"/>
                <w:sz w:val="18"/>
                <w:szCs w:val="18"/>
              </w:rPr>
              <w:t xml:space="preserve">https://www.epa.gov/climateleadership/ghg-emission-factors-hub, https://www.epa.gov/egrid</w:t>
            </w:r>
          </w:p>
        </w:tc>
        <w:tc>
          <w:tcPr>
            <w:tcMar>
              <w:top w:type="dxa" w:w="60"/>
              <w:left w:type="dxa" w:w="100"/>
              <w:bottom w:type="dxa" w:w="60"/>
              <w:right w:type="dxa" w:w="100"/>
            </w:tcMar>
            <w:vAlign w:val="top"/>
          </w:tcPr>
          <w:p>
            <w:pPr>
              <w:spacing w:after="0" w:line="260"/>
            </w:pPr>
            <w:r>
              <w:rPr>
                <w:b w:val="false"/>
                <w:bCs w:val="false"/>
                <w:sz w:val="18"/>
                <w:szCs w:val="18"/>
              </w:rPr>
              <w:t xml:space="preserve">미국 전력 그리드(Scope 2) 계수</w:t>
            </w:r>
          </w:p>
        </w:tc>
      </w:tr>
      <w:tr>
        <w:tc>
          <w:tcPr>
            <w:tcMar>
              <w:top w:type="dxa" w:w="60"/>
              <w:left w:type="dxa" w:w="100"/>
              <w:bottom w:type="dxa" w:w="60"/>
              <w:right w:type="dxa" w:w="100"/>
            </w:tcMar>
            <w:vAlign w:val="top"/>
          </w:tcPr>
          <w:p>
            <w:pPr>
              <w:spacing w:after="0" w:line="260"/>
            </w:pPr>
            <w:r>
              <w:rPr>
                <w:b w:val="false"/>
                <w:bCs w:val="false"/>
                <w:sz w:val="18"/>
                <w:szCs w:val="18"/>
              </w:rPr>
              <w:t xml:space="preserve">국가 온실가스 배출계수 · 전력 배출계수</w:t>
            </w:r>
          </w:p>
        </w:tc>
        <w:tc>
          <w:tcPr>
            <w:tcMar>
              <w:top w:type="dxa" w:w="60"/>
              <w:left w:type="dxa" w:w="100"/>
              <w:bottom w:type="dxa" w:w="60"/>
              <w:right w:type="dxa" w:w="100"/>
            </w:tcMar>
            <w:vAlign w:val="top"/>
          </w:tcPr>
          <w:p>
            <w:pPr>
              <w:spacing w:after="0" w:line="260"/>
            </w:pPr>
            <w:r>
              <w:rPr>
                <w:b w:val="false"/>
                <w:bCs w:val="false"/>
                <w:sz w:val="18"/>
                <w:szCs w:val="18"/>
              </w:rPr>
              <w:t xml:space="preserve">환경부 / 온실가스종합정보센터(GIR)</w:t>
            </w:r>
          </w:p>
        </w:tc>
        <w:tc>
          <w:tcPr>
            <w:tcMar>
              <w:top w:type="dxa" w:w="60"/>
              <w:left w:type="dxa" w:w="100"/>
              <w:bottom w:type="dxa" w:w="60"/>
              <w:right w:type="dxa" w:w="100"/>
            </w:tcMar>
            <w:vAlign w:val="top"/>
          </w:tcPr>
          <w:p>
            <w:pPr>
              <w:spacing w:after="0" w:line="260"/>
            </w:pPr>
            <w:r>
              <w:rPr>
                <w:b w:val="false"/>
                <w:bCs w:val="false"/>
                <w:sz w:val="18"/>
                <w:szCs w:val="18"/>
              </w:rPr>
              <w:t xml:space="preserve">무료</w:t>
            </w:r>
          </w:p>
        </w:tc>
        <w:tc>
          <w:tcPr>
            <w:tcMar>
              <w:top w:type="dxa" w:w="60"/>
              <w:left w:type="dxa" w:w="100"/>
              <w:bottom w:type="dxa" w:w="60"/>
              <w:right w:type="dxa" w:w="100"/>
            </w:tcMar>
            <w:vAlign w:val="top"/>
          </w:tcPr>
          <w:p>
            <w:pPr>
              <w:spacing w:after="0" w:line="260"/>
            </w:pPr>
            <w:r>
              <w:rPr>
                <w:b w:val="false"/>
                <w:bCs w:val="false"/>
                <w:sz w:val="18"/>
                <w:szCs w:val="18"/>
              </w:rPr>
              <w:t xml:space="preserve">http://www.gir.go.kr</w:t>
            </w:r>
          </w:p>
        </w:tc>
        <w:tc>
          <w:tcPr>
            <w:tcMar>
              <w:top w:type="dxa" w:w="60"/>
              <w:left w:type="dxa" w:w="100"/>
              <w:bottom w:type="dxa" w:w="60"/>
              <w:right w:type="dxa" w:w="100"/>
            </w:tcMar>
            <w:vAlign w:val="top"/>
          </w:tcPr>
          <w:p>
            <w:pPr>
              <w:spacing w:after="0" w:line="260"/>
            </w:pPr>
            <w:r>
              <w:rPr>
                <w:b w:val="false"/>
                <w:bCs w:val="false"/>
                <w:sz w:val="18"/>
                <w:szCs w:val="18"/>
              </w:rPr>
              <w:t xml:space="preserve">국내 배출권거래제 산정용 공식 계수</w:t>
            </w:r>
          </w:p>
        </w:tc>
      </w:tr>
      <w:tr>
        <w:tc>
          <w:tcPr>
            <w:tcMar>
              <w:top w:type="dxa" w:w="60"/>
              <w:left w:type="dxa" w:w="100"/>
              <w:bottom w:type="dxa" w:w="60"/>
              <w:right w:type="dxa" w:w="100"/>
            </w:tcMar>
            <w:vAlign w:val="top"/>
          </w:tcPr>
          <w:p>
            <w:pPr>
              <w:spacing w:after="0" w:line="260"/>
            </w:pPr>
            <w:r>
              <w:rPr>
                <w:b w:val="false"/>
                <w:bCs w:val="false"/>
                <w:sz w:val="18"/>
                <w:szCs w:val="18"/>
              </w:rPr>
              <w:t xml:space="preserve">Emission Factors (연간 데이터셋)</w:t>
            </w:r>
          </w:p>
        </w:tc>
        <w:tc>
          <w:tcPr>
            <w:tcMar>
              <w:top w:type="dxa" w:w="60"/>
              <w:left w:type="dxa" w:w="100"/>
              <w:bottom w:type="dxa" w:w="60"/>
              <w:right w:type="dxa" w:w="100"/>
            </w:tcMar>
            <w:vAlign w:val="top"/>
          </w:tcPr>
          <w:p>
            <w:pPr>
              <w:spacing w:after="0" w:line="260"/>
            </w:pPr>
            <w:r>
              <w:rPr>
                <w:b w:val="false"/>
                <w:bCs w:val="false"/>
                <w:sz w:val="18"/>
                <w:szCs w:val="18"/>
              </w:rPr>
              <w:t xml:space="preserve">IEA</w:t>
            </w:r>
          </w:p>
        </w:tc>
        <w:tc>
          <w:tcPr>
            <w:tcMar>
              <w:top w:type="dxa" w:w="60"/>
              <w:left w:type="dxa" w:w="100"/>
              <w:bottom w:type="dxa" w:w="60"/>
              <w:right w:type="dxa" w:w="100"/>
            </w:tcMar>
            <w:vAlign w:val="top"/>
          </w:tcPr>
          <w:p>
            <w:pPr>
              <w:spacing w:after="0" w:line="260"/>
            </w:pPr>
            <w:r>
              <w:rPr>
                <w:b w:val="false"/>
                <w:bCs w:val="false"/>
                <w:sz w:val="18"/>
                <w:szCs w:val="18"/>
              </w:rPr>
              <w:t xml:space="preserve">유료 구독</w:t>
            </w:r>
          </w:p>
        </w:tc>
        <w:tc>
          <w:tcPr>
            <w:tcMar>
              <w:top w:type="dxa" w:w="60"/>
              <w:left w:type="dxa" w:w="100"/>
              <w:bottom w:type="dxa" w:w="60"/>
              <w:right w:type="dxa" w:w="100"/>
            </w:tcMar>
            <w:vAlign w:val="top"/>
          </w:tcPr>
          <w:p>
            <w:pPr>
              <w:spacing w:after="0" w:line="260"/>
            </w:pPr>
            <w:r>
              <w:rPr>
                <w:b w:val="false"/>
                <w:bCs w:val="false"/>
                <w:sz w:val="18"/>
                <w:szCs w:val="18"/>
              </w:rPr>
              <w:t xml:space="preserve">https://www.iea.org/data-and-statistics/data-product/emissions-factors-2024</w:t>
            </w:r>
          </w:p>
        </w:tc>
        <w:tc>
          <w:tcPr>
            <w:tcMar>
              <w:top w:type="dxa" w:w="60"/>
              <w:left w:type="dxa" w:w="100"/>
              <w:bottom w:type="dxa" w:w="60"/>
              <w:right w:type="dxa" w:w="100"/>
            </w:tcMar>
            <w:vAlign w:val="top"/>
          </w:tcPr>
          <w:p>
            <w:pPr>
              <w:spacing w:after="0" w:line="260"/>
            </w:pPr>
            <w:r>
              <w:rPr>
                <w:b w:val="false"/>
                <w:bCs w:val="false"/>
                <w:sz w:val="18"/>
                <w:szCs w:val="18"/>
              </w:rPr>
              <w:t xml:space="preserve">국가별 전력·열 계수(한국 포함) 시계열</w:t>
            </w:r>
          </w:p>
        </w:tc>
      </w:tr>
      <w:tr>
        <w:tc>
          <w:tcPr>
            <w:tcMar>
              <w:top w:type="dxa" w:w="60"/>
              <w:left w:type="dxa" w:w="100"/>
              <w:bottom w:type="dxa" w:w="60"/>
              <w:right w:type="dxa" w:w="100"/>
            </w:tcMar>
            <w:vAlign w:val="top"/>
          </w:tcPr>
          <w:p>
            <w:pPr>
              <w:spacing w:after="0" w:line="260"/>
            </w:pPr>
            <w:r>
              <w:rPr>
                <w:b w:val="false"/>
                <w:bCs w:val="false"/>
                <w:sz w:val="18"/>
                <w:szCs w:val="18"/>
              </w:rPr>
              <w:t xml:space="preserve">ecoinvent v3</w:t>
            </w:r>
          </w:p>
        </w:tc>
        <w:tc>
          <w:tcPr>
            <w:tcMar>
              <w:top w:type="dxa" w:w="60"/>
              <w:left w:type="dxa" w:w="100"/>
              <w:bottom w:type="dxa" w:w="60"/>
              <w:right w:type="dxa" w:w="100"/>
            </w:tcMar>
            <w:vAlign w:val="top"/>
          </w:tcPr>
          <w:p>
            <w:pPr>
              <w:spacing w:after="0" w:line="260"/>
            </w:pPr>
            <w:r>
              <w:rPr>
                <w:b w:val="false"/>
                <w:bCs w:val="false"/>
                <w:sz w:val="18"/>
                <w:szCs w:val="18"/>
              </w:rPr>
              <w:t xml:space="preserve">ecoinvent 협회</w:t>
            </w:r>
          </w:p>
        </w:tc>
        <w:tc>
          <w:tcPr>
            <w:tcMar>
              <w:top w:type="dxa" w:w="60"/>
              <w:left w:type="dxa" w:w="100"/>
              <w:bottom w:type="dxa" w:w="60"/>
              <w:right w:type="dxa" w:w="100"/>
            </w:tcMar>
            <w:vAlign w:val="top"/>
          </w:tcPr>
          <w:p>
            <w:pPr>
              <w:spacing w:after="0" w:line="260"/>
            </w:pPr>
            <w:r>
              <w:rPr>
                <w:b w:val="false"/>
                <w:bCs w:val="false"/>
                <w:sz w:val="18"/>
                <w:szCs w:val="18"/>
              </w:rPr>
              <w:t xml:space="preserve">유료 라이선스</w:t>
            </w:r>
          </w:p>
        </w:tc>
        <w:tc>
          <w:tcPr>
            <w:tcMar>
              <w:top w:type="dxa" w:w="60"/>
              <w:left w:type="dxa" w:w="100"/>
              <w:bottom w:type="dxa" w:w="60"/>
              <w:right w:type="dxa" w:w="100"/>
            </w:tcMar>
            <w:vAlign w:val="top"/>
          </w:tcPr>
          <w:p>
            <w:pPr>
              <w:spacing w:after="0" w:line="260"/>
            </w:pPr>
            <w:r>
              <w:rPr>
                <w:b w:val="false"/>
                <w:bCs w:val="false"/>
                <w:sz w:val="18"/>
                <w:szCs w:val="18"/>
              </w:rPr>
              <w:t xml:space="preserve">https://ecoinvent.org/licences</w:t>
            </w:r>
          </w:p>
        </w:tc>
        <w:tc>
          <w:tcPr>
            <w:tcMar>
              <w:top w:type="dxa" w:w="60"/>
              <w:left w:type="dxa" w:w="100"/>
              <w:bottom w:type="dxa" w:w="60"/>
              <w:right w:type="dxa" w:w="100"/>
            </w:tcMar>
            <w:vAlign w:val="top"/>
          </w:tcPr>
          <w:p>
            <w:pPr>
              <w:spacing w:after="0" w:line="260"/>
            </w:pPr>
            <w:r>
              <w:rPr>
                <w:b w:val="false"/>
                <w:bCs w:val="false"/>
                <w:sz w:val="18"/>
                <w:szCs w:val="18"/>
              </w:rPr>
              <w:t xml:space="preserve">Scope 3 카테고리 1·2·4 등 LCA 기반 계수</w:t>
            </w:r>
          </w:p>
        </w:tc>
      </w:tr>
      <w:tr>
        <w:tc>
          <w:tcPr>
            <w:tcMar>
              <w:top w:type="dxa" w:w="60"/>
              <w:left w:type="dxa" w:w="100"/>
              <w:bottom w:type="dxa" w:w="60"/>
              <w:right w:type="dxa" w:w="100"/>
            </w:tcMar>
            <w:vAlign w:val="top"/>
          </w:tcPr>
          <w:p>
            <w:pPr>
              <w:spacing w:after="0" w:line="260"/>
            </w:pPr>
            <w:r>
              <w:rPr>
                <w:b w:val="false"/>
                <w:bCs w:val="false"/>
                <w:sz w:val="18"/>
                <w:szCs w:val="18"/>
              </w:rPr>
              <w:t xml:space="preserve">Managed LCA Content (GaBi)</w:t>
            </w:r>
          </w:p>
        </w:tc>
        <w:tc>
          <w:tcPr>
            <w:tcMar>
              <w:top w:type="dxa" w:w="60"/>
              <w:left w:type="dxa" w:w="100"/>
              <w:bottom w:type="dxa" w:w="60"/>
              <w:right w:type="dxa" w:w="100"/>
            </w:tcMar>
            <w:vAlign w:val="top"/>
          </w:tcPr>
          <w:p>
            <w:pPr>
              <w:spacing w:after="0" w:line="260"/>
            </w:pPr>
            <w:r>
              <w:rPr>
                <w:b w:val="false"/>
                <w:bCs w:val="false"/>
                <w:sz w:val="18"/>
                <w:szCs w:val="18"/>
              </w:rPr>
              <w:t xml:space="preserve">Sphera</w:t>
            </w:r>
          </w:p>
        </w:tc>
        <w:tc>
          <w:tcPr>
            <w:tcMar>
              <w:top w:type="dxa" w:w="60"/>
              <w:left w:type="dxa" w:w="100"/>
              <w:bottom w:type="dxa" w:w="60"/>
              <w:right w:type="dxa" w:w="100"/>
            </w:tcMar>
            <w:vAlign w:val="top"/>
          </w:tcPr>
          <w:p>
            <w:pPr>
              <w:spacing w:after="0" w:line="260"/>
            </w:pPr>
            <w:r>
              <w:rPr>
                <w:b w:val="false"/>
                <w:bCs w:val="false"/>
                <w:sz w:val="18"/>
                <w:szCs w:val="18"/>
              </w:rPr>
              <w:t xml:space="preserve">유료(견적)</w:t>
            </w:r>
          </w:p>
        </w:tc>
        <w:tc>
          <w:tcPr>
            <w:tcMar>
              <w:top w:type="dxa" w:w="60"/>
              <w:left w:type="dxa" w:w="100"/>
              <w:bottom w:type="dxa" w:w="60"/>
              <w:right w:type="dxa" w:w="100"/>
            </w:tcMar>
            <w:vAlign w:val="top"/>
          </w:tcPr>
          <w:p>
            <w:pPr>
              <w:spacing w:after="0" w:line="260"/>
            </w:pPr>
            <w:r>
              <w:rPr>
                <w:b w:val="false"/>
                <w:bCs w:val="false"/>
                <w:sz w:val="18"/>
                <w:szCs w:val="18"/>
              </w:rPr>
              <w:t xml:space="preserve">https://sphera.com</w:t>
            </w:r>
          </w:p>
        </w:tc>
        <w:tc>
          <w:tcPr>
            <w:tcMar>
              <w:top w:type="dxa" w:w="60"/>
              <w:left w:type="dxa" w:w="100"/>
              <w:bottom w:type="dxa" w:w="60"/>
              <w:right w:type="dxa" w:w="100"/>
            </w:tcMar>
            <w:vAlign w:val="top"/>
          </w:tcPr>
          <w:p>
            <w:pPr>
              <w:spacing w:after="0" w:line="260"/>
            </w:pPr>
            <w:r>
              <w:rPr>
                <w:b w:val="false"/>
                <w:bCs w:val="false"/>
                <w:sz w:val="18"/>
                <w:szCs w:val="18"/>
              </w:rPr>
              <w:t xml:space="preserve">제품 단위 LCA, 사용 단계(카테고리 11)</w:t>
            </w:r>
          </w:p>
        </w:tc>
      </w:tr>
      <w:tr>
        <w:tc>
          <w:tcPr>
            <w:tcMar>
              <w:top w:type="dxa" w:w="60"/>
              <w:left w:type="dxa" w:w="100"/>
              <w:bottom w:type="dxa" w:w="60"/>
              <w:right w:type="dxa" w:w="100"/>
            </w:tcMar>
            <w:vAlign w:val="top"/>
          </w:tcPr>
          <w:p>
            <w:pPr>
              <w:spacing w:after="0" w:line="260"/>
            </w:pPr>
            <w:r>
              <w:rPr>
                <w:b w:val="false"/>
                <w:bCs w:val="false"/>
                <w:sz w:val="18"/>
                <w:szCs w:val="18"/>
              </w:rPr>
              <w:t xml:space="preserve">EXIOBASE / USEEIO 지출기반 계수</w:t>
            </w:r>
          </w:p>
        </w:tc>
        <w:tc>
          <w:tcPr>
            <w:tcMar>
              <w:top w:type="dxa" w:w="60"/>
              <w:left w:type="dxa" w:w="100"/>
              <w:bottom w:type="dxa" w:w="60"/>
              <w:right w:type="dxa" w:w="100"/>
            </w:tcMar>
            <w:vAlign w:val="top"/>
          </w:tcPr>
          <w:p>
            <w:pPr>
              <w:spacing w:after="0" w:line="260"/>
            </w:pPr>
            <w:r>
              <w:rPr>
                <w:b w:val="false"/>
                <w:bCs w:val="false"/>
                <w:sz w:val="18"/>
                <w:szCs w:val="18"/>
              </w:rPr>
              <w:t xml:space="preserve">EXIOBASE 컨소시엄 / US EPA</w:t>
            </w:r>
          </w:p>
        </w:tc>
        <w:tc>
          <w:tcPr>
            <w:tcMar>
              <w:top w:type="dxa" w:w="60"/>
              <w:left w:type="dxa" w:w="100"/>
              <w:bottom w:type="dxa" w:w="60"/>
              <w:right w:type="dxa" w:w="100"/>
            </w:tcMar>
            <w:vAlign w:val="top"/>
          </w:tcPr>
          <w:p>
            <w:pPr>
              <w:spacing w:after="0" w:line="260"/>
            </w:pPr>
            <w:r>
              <w:rPr>
                <w:b w:val="false"/>
                <w:bCs w:val="false"/>
                <w:sz w:val="18"/>
                <w:szCs w:val="18"/>
              </w:rPr>
              <w:t xml:space="preserve">무료(일부 상용판 유료)</w:t>
            </w:r>
          </w:p>
        </w:tc>
        <w:tc>
          <w:tcPr>
            <w:tcMar>
              <w:top w:type="dxa" w:w="60"/>
              <w:left w:type="dxa" w:w="100"/>
              <w:bottom w:type="dxa" w:w="60"/>
              <w:right w:type="dxa" w:w="100"/>
            </w:tcMar>
            <w:vAlign w:val="top"/>
          </w:tcPr>
          <w:p>
            <w:pPr>
              <w:spacing w:after="0" w:line="260"/>
            </w:pPr>
            <w:r>
              <w:rPr>
                <w:b w:val="false"/>
                <w:bCs w:val="false"/>
                <w:sz w:val="18"/>
                <w:szCs w:val="18"/>
              </w:rPr>
              <w:t xml:space="preserve">https://www.exiobase.eu</w:t>
            </w:r>
          </w:p>
        </w:tc>
        <w:tc>
          <w:tcPr>
            <w:tcMar>
              <w:top w:type="dxa" w:w="60"/>
              <w:left w:type="dxa" w:w="100"/>
              <w:bottom w:type="dxa" w:w="60"/>
              <w:right w:type="dxa" w:w="100"/>
            </w:tcMar>
            <w:vAlign w:val="top"/>
          </w:tcPr>
          <w:p>
            <w:pPr>
              <w:spacing w:after="0" w:line="260"/>
            </w:pPr>
            <w:r>
              <w:rPr>
                <w:b w:val="false"/>
                <w:bCs w:val="false"/>
                <w:sz w:val="18"/>
                <w:szCs w:val="18"/>
              </w:rPr>
              <w:t xml:space="preserve">Scope 3 지출(spend-based) 산정</w:t>
            </w:r>
          </w:p>
        </w:tc>
      </w:tr>
    </w:tbl>
    <w:p>
      <w:pPr>
        <w:spacing w:after="160"/>
      </w:pPr>
    </w:p>
    <w:p>
      <w:pPr>
        <w:spacing w:after="100" w:line="300"/>
        <w:ind w:left="360" w:hanging="360"/>
      </w:pPr>
      <w:r>
        <w:rPr>
          <w:b/>
          <w:bCs/>
        </w:rPr>
        <w:t xml:space="preserve">1. </w:t>
      </w:r>
      <w:r>
        <w:t xml:space="preserve">필요한 범위를 먼저 확정합니다. Scope 1·2만 산정한다면 무료 데이터로 충분한 경우가 많고, Scope 3 카테고리 1(구매 제품·서비스)을 활동 기반으로 산정하려면 ecoinvent급 LCA 데이터가 필요합니다.</w:t>
      </w:r>
    </w:p>
    <w:p>
      <w:pPr>
        <w:spacing w:after="100" w:line="300"/>
        <w:ind w:left="360" w:hanging="360"/>
      </w:pPr>
      <w:r>
        <w:rPr>
          <w:b/>
          <w:bCs/>
        </w:rPr>
        <w:t xml:space="preserve">2. </w:t>
      </w:r>
      <w:r>
        <w:t xml:space="preserve">구매·라이선스 계약을 체결하고 데이터 파일(CSV/Excel/API)을 수령합니다. 대부분의 상용 라이선스는 재배포를 금지하므로 저장소에 커밋하지 말고 운영 데이터베이스에만 적재하십시오.</w:t>
      </w:r>
    </w:p>
    <w:p>
      <w:pPr>
        <w:spacing w:after="100" w:line="300"/>
        <w:ind w:left="360" w:hanging="360"/>
      </w:pPr>
      <w:r>
        <w:rPr>
          <w:b/>
          <w:bCs/>
        </w:rPr>
        <w:t xml:space="preserve">3. </w:t>
      </w:r>
      <w:r>
        <w:t xml:space="preserve">/emission-factors 화면 또는 `POST /api/v1/emission-factors` API로 계수를 등록합니다. 등록 시 출처(EmissionFactorSource: publisher, url, version)와 유효기간(validFrom/validTo), 지역·국가·업종 범위를 반드시 채우십시오.</w:t>
      </w:r>
    </w:p>
    <w:p>
      <w:pPr>
        <w:spacing w:after="100" w:line="300"/>
        <w:ind w:left="360" w:hanging="360"/>
      </w:pPr>
      <w:r>
        <w:rPr>
          <w:b/>
          <w:bCs/>
        </w:rPr>
        <w:t xml:space="preserve">4. </w:t>
      </w:r>
      <w:r>
        <w:t xml:space="preserve">계수 해석 엔진은 특이성 순위(조직 고유 &gt; 공급자 고유 &gt; 국가 &gt; 지역 &gt; 전역)와 유효기간으로 계수를 자동 선택하고 선택 근거를 남깁니다. 따라서 상용 계수를 등록하면 기존 기본계수보다 우선 적용됩니다.</w:t>
      </w:r>
    </w:p>
    <w:p>
      <w:pPr>
        <w:spacing w:after="100" w:line="300"/>
        <w:ind w:left="360" w:hanging="360"/>
      </w:pPr>
      <w:r>
        <w:rPr>
          <w:b/>
          <w:bCs/>
        </w:rPr>
        <w:t xml:space="preserve">5. </w:t>
      </w:r>
      <w:r>
        <w:t xml:space="preserve">계수 갱신 주기를 정합니다(전력 계수는 통상 연 1회 갱신). 기존 계수는 삭제하지 말고 supersede(대체) 처리해 과거 산정 결과의 재현성을 유지하십시오.</w:t>
      </w:r>
    </w:p>
    <w:p>
      <w:pPr>
        <w:pStyle w:val="Heading2"/>
        <w:spacing w:after="100" w:before="200"/>
      </w:pPr>
      <w:r>
        <w:rPr>
          <w:b/>
          <w:bCs/>
        </w:rPr>
        <w:t xml:space="preserve">예상 비용</w:t>
      </w:r>
    </w:p>
    <w:p>
      <w:pPr>
        <w:spacing w:after="120" w:line="300"/>
      </w:pPr>
      <w:r>
        <w:rPr>
          <w:b w:val="false"/>
          <w:bCs w:val="false"/>
        </w:rPr>
        <w:t xml:space="preserve">무료 데이터(IPCC, DEFRA/BEIS, EPA, GIR)는 0원. ecoinvent는 조직 규모에 따라 연 CHF 3,000 이상, IEA 배출계수는 기관 라이선스 연 수천 유로, Sphera는 별도 견적입니다.</w:t>
      </w:r>
    </w:p>
    <w:p>
      <w:pPr>
        <w:pStyle w:val="Heading2"/>
        <w:spacing w:after="100" w:before="200"/>
      </w:pPr>
      <w:r>
        <w:rPr>
          <w:b/>
          <w:bCs/>
        </w:rPr>
        <w:t xml:space="preserve">완료 확인 방법</w:t>
      </w:r>
    </w:p>
    <w:p>
      <w:pPr>
        <w:spacing w:after="100" w:line="300"/>
        <w:ind w:left="360" w:hanging="240"/>
      </w:pPr>
      <w:r>
        <w:t xml:space="preserve">· </w:t>
      </w:r>
      <w:r>
        <w:t xml:space="preserve">/emission-factors 화면의 해석(explain) 패널에서 특정 활동에 대해 새로 등록한 라이선스 계수가 선택되고, 선택 근거에 해당 출처가 표시됩니다.</w:t>
      </w:r>
    </w:p>
    <w:p>
      <w:pPr>
        <w:spacing w:after="100" w:line="300"/>
        <w:ind w:left="360" w:hanging="240"/>
      </w:pPr>
      <w:r>
        <w:t xml:space="preserve">· </w:t>
      </w:r>
      <w:r>
        <w:t xml:space="preserve">과거 연도 산정을 재실행했을 때 그 시점에 유효한 계수가 사용되어 결과가 변하지 않습니다.</w:t>
      </w:r>
    </w:p>
    <w:p>
      <w:pPr>
        <w:spacing w:after="100" w:line="300"/>
        <w:ind w:left="360" w:hanging="240"/>
      </w:pPr>
      <w:r>
        <w:t xml:space="preserve">· </w:t>
      </w:r>
      <w:r>
        <w:t xml:space="preserve">라이선스 문서와 등록된 EmissionFactorSource의 publisher·version이 일치합니다.</w:t>
      </w:r>
    </w:p>
    <w:p>
      <w:pPr>
        <w:pStyle w:val="Heading1"/>
        <w:spacing w:after="140" w:before="320"/>
      </w:pPr>
      <w:r>
        <w:rPr>
          <w:b/>
          <w:bCs/>
        </w:rPr>
        <w:t xml:space="preserve">10. 법적 · 검증 절차</w:t>
      </w:r>
    </w:p>
    <w:p>
      <w:pPr>
        <w:spacing w:after="120" w:line="300"/>
      </w:pPr>
      <w:r>
        <w:rPr>
          <w:b w:val="false"/>
          <w:bCs w:val="false"/>
        </w:rPr>
        <w:t xml:space="preserve">시스템은 산정·증빙·응답 생성까지 지원합니다. 검증기관 선정, 제출, 법적 대상 판단은 사용자가 수행해야 합니다.</w:t>
      </w:r>
    </w:p>
    <w:p>
      <w:pPr>
        <w:spacing w:after="120" w:line="300"/>
      </w:pPr>
      <w:r>
        <w:rPr>
          <w:b w:val="false"/>
          <w:bCs w:val="false"/>
        </w:rPr>
        <w:t xml:space="preserve">이 문서와 시스템은 법률·회계 자문이 아닙니다. 공시 의무 대상 여부와 제출 기한은 반드시 자체 법률 검토를 받으십시오.</w:t>
      </w:r>
    </w:p>
    <w:p>
      <w:pPr>
        <w:spacing w:after="100" w:line="300"/>
        <w:ind w:left="360" w:hanging="360"/>
      </w:pPr>
      <w:r>
        <w:rPr>
          <w:b/>
          <w:bCs/>
        </w:rPr>
        <w:t xml:space="preserve">1. </w:t>
      </w:r>
      <w:r>
        <w:t xml:space="preserve">조직 경계와 연결 방식을 확정합니다. /settings에서 consolidation approach(운영통제·재무통제·지분율)와 회계연도 시작월, GWP 버전을 조직 정책과 일치시키고 내부 승인 문서를 남기십시오.</w:t>
      </w:r>
    </w:p>
    <w:p>
      <w:pPr>
        <w:spacing w:after="100" w:line="300"/>
        <w:ind w:left="360" w:hanging="360"/>
      </w:pPr>
      <w:r>
        <w:rPr>
          <w:b/>
          <w:bCs/>
        </w:rPr>
        <w:t xml:space="preserve">2. </w:t>
      </w:r>
      <w:r>
        <w:t xml:space="preserve">기준연도(baseline year)를 승인받습니다. SBTi는 통상 최근 연도를 기준으로 요구하며, 기준연도 재산정 정책(구조 변화 시)도 함께 문서화해야 합니다.</w:t>
      </w:r>
    </w:p>
    <w:p>
      <w:pPr>
        <w:spacing w:after="100" w:line="300"/>
        <w:ind w:left="360" w:hanging="360"/>
      </w:pPr>
      <w:r>
        <w:rPr>
          <w:b/>
          <w:bCs/>
        </w:rPr>
        <w:t xml:space="preserve">3. </w:t>
      </w:r>
      <w:r>
        <w:t xml:space="preserve">제3자 검증기관을 선정합니다. 국내는 환경부 지정 검증기관·KOLAS 인정기관, 국제는 DNV·SGS·Bureau Veritas·TÜV·LRQA 등이 있습니다. 견적 요청 시 사업장 수, 대상 Scope, 검증 수준(합리적/제한적 확신), 희망 일정을 제시하십시오.</w:t>
      </w:r>
    </w:p>
    <w:p>
      <w:pPr>
        <w:spacing w:after="100" w:line="300"/>
        <w:ind w:left="360" w:hanging="360"/>
      </w:pPr>
      <w:r>
        <w:rPr>
          <w:b/>
          <w:bCs/>
        </w:rPr>
        <w:t xml:space="preserve">4. </w:t>
      </w:r>
      <w:r>
        <w:t xml:space="preserve">ISO 14064-3 기반 검증을 진행합니다. 검증 계획 → 표본 추출 → 현장 실사 → 발견사항 조치 → 검증의견서 발급 순으로 진행되며, /verification 화면의 engagement·finding·corrective action·evidence package(SHA-256 해시)로 관리합니다. 중요성 기준(기본 5%)에 따라 의견 유형(적정·한정·부적정)이 자동 판정됩니다.</w:t>
      </w:r>
    </w:p>
    <w:p>
      <w:pPr>
        <w:spacing w:after="100" w:line="300"/>
        <w:ind w:left="360" w:hanging="360"/>
      </w:pPr>
      <w:r>
        <w:rPr>
          <w:b/>
          <w:bCs/>
        </w:rPr>
        <w:t xml:space="preserve">5. </w:t>
      </w:r>
      <w:r>
        <w:t xml:space="preserve">SBTi 목표를 제출합니다. https://sciencebasedtargets.org 에서 commitment letter 제출 후 24개월 내에 목표를 산정·제출해야 합니다. /ai-roadmap의 절대감축 경로(1.5°C, 연 4.2%)와 Scope 3 포함 기준(총배출의 40% 초과 시 포함 필수) 검증 결과를 근거 자료로 사용하십시오.</w:t>
      </w:r>
    </w:p>
    <w:p>
      <w:pPr>
        <w:spacing w:after="100" w:line="300"/>
        <w:ind w:left="360" w:hanging="360"/>
      </w:pPr>
      <w:r>
        <w:rPr>
          <w:b/>
          <w:bCs/>
        </w:rPr>
        <w:t xml:space="preserve">6. </w:t>
      </w:r>
      <w:r>
        <w:t xml:space="preserve">CDP 응답을 준비합니다. 통상 매년 4월경 질문서가 공개되고 6~9월에 마감됩니다. /esg-disclosure에서 프레임워크별 응답을 자동 채운 뒤 CDP 포털(https://www.cdp.net)에 업로드하고, 미응답 필수 항목 목록을 반드시 0으로 만드십시오.</w:t>
      </w:r>
    </w:p>
    <w:p>
      <w:pPr>
        <w:spacing w:after="100" w:line="300"/>
        <w:ind w:left="360" w:hanging="360"/>
      </w:pPr>
      <w:r>
        <w:rPr>
          <w:b/>
          <w:bCs/>
        </w:rPr>
        <w:t xml:space="preserve">7. </w:t>
      </w:r>
      <w:r>
        <w:t xml:space="preserve">CSRD/ESRS E1 대상 여부를 법률 검토합니다. 대상이면 지속가능성 보고서에 디지털 태깅(XBRL)과 제한적 확신 감사가 필요하며, 이중 중대성 평가 결과를 문서화해야 합니다.</w:t>
      </w:r>
    </w:p>
    <w:p>
      <w:pPr>
        <w:spacing w:after="100" w:line="300"/>
        <w:ind w:left="360" w:hanging="360"/>
      </w:pPr>
      <w:r>
        <w:rPr>
          <w:b/>
          <w:bCs/>
        </w:rPr>
        <w:t xml:space="preserve">8. </w:t>
      </w:r>
      <w:r>
        <w:t xml:space="preserve">ISSB(IFRS S1·S2) 및 국내 지속가능성 공시기준(KSSB) 도입 일정에 맞춰 재무보고와 동일 시점 공시를 준비합니다.</w:t>
      </w:r>
    </w:p>
    <w:p>
      <w:pPr>
        <w:spacing w:after="100" w:line="300"/>
        <w:ind w:left="360" w:hanging="360"/>
      </w:pPr>
      <w:r>
        <w:rPr>
          <w:b/>
          <w:bCs/>
        </w:rPr>
        <w:t xml:space="preserve">9. </w:t>
      </w:r>
      <w:r>
        <w:t xml:space="preserve">국내 배출권거래제(K-ETS) 해당 여부를 확인합니다. 할당대상업체는 매년 3월 31일까지 명세서를 제출하고(검증보고서 첨부), 6월 30일까지 배출권을 제출해야 합니다. /carbon-finance의 ETS 포지션(할당·검증·제출)으로 잉여·부족과 준수 비용을 산정할 수 있습니다.</w:t>
      </w:r>
    </w:p>
    <w:p>
      <w:pPr>
        <w:spacing w:after="100" w:line="300"/>
        <w:ind w:left="360" w:hanging="360"/>
      </w:pPr>
      <w:r>
        <w:rPr>
          <w:b/>
          <w:bCs/>
        </w:rPr>
        <w:t xml:space="preserve">10. </w:t>
      </w:r>
      <w:r>
        <w:t xml:space="preserve">감사·검증 대응 문서를 보존합니다(11절 감사 로그 보존 참고).</w:t>
      </w:r>
    </w:p>
    <w:p>
      <w:pPr>
        <w:pStyle w:val="Heading2"/>
        <w:spacing w:after="100" w:before="200"/>
      </w:pPr>
      <w:r>
        <w:rPr>
          <w:b/>
          <w:bCs/>
        </w:rPr>
        <w:t xml:space="preserve">예상 비용</w:t>
      </w:r>
    </w:p>
    <w:p>
      <w:pPr>
        <w:spacing w:after="120" w:line="300"/>
      </w:pPr>
      <w:r>
        <w:rPr>
          <w:b w:val="false"/>
          <w:bCs w:val="false"/>
        </w:rPr>
        <w:t xml:space="preserve">제3자 검증 연 1,500만~5,000만원(사업장 수·Scope 3 범위에 따라). SBTi 목표 검증 수수료 9,500달러 이상(중소기업 경로는 무료 또는 1,250달러). CDP 응답 수수료 별도. 법률·회계 자문 비용 별도.</w:t>
      </w:r>
    </w:p>
    <w:p>
      <w:pPr>
        <w:pStyle w:val="Heading2"/>
        <w:spacing w:after="100" w:before="200"/>
      </w:pPr>
      <w:r>
        <w:rPr>
          <w:b/>
          <w:bCs/>
        </w:rPr>
        <w:t xml:space="preserve">완료 확인 방법</w:t>
      </w:r>
    </w:p>
    <w:p>
      <w:pPr>
        <w:spacing w:after="100" w:line="300"/>
        <w:ind w:left="360" w:hanging="240"/>
      </w:pPr>
      <w:r>
        <w:t xml:space="preserve">· </w:t>
      </w:r>
      <w:r>
        <w:t xml:space="preserve">검증기관과 체결한 계약서와 발급받은 검증의견서를 보유하고, /verification의 engagement 상태가 완료로 기록됩니다.</w:t>
      </w:r>
    </w:p>
    <w:p>
      <w:pPr>
        <w:spacing w:after="100" w:line="300"/>
        <w:ind w:left="360" w:hanging="240"/>
      </w:pPr>
      <w:r>
        <w:t xml:space="preserve">· </w:t>
      </w:r>
      <w:r>
        <w:t xml:space="preserve">SBTi 목표가 승인되어 공개 목록에 등재됩니다.</w:t>
      </w:r>
    </w:p>
    <w:p>
      <w:pPr>
        <w:spacing w:after="100" w:line="300"/>
        <w:ind w:left="360" w:hanging="240"/>
      </w:pPr>
      <w:r>
        <w:t xml:space="preserve">· </w:t>
      </w:r>
      <w:r>
        <w:t xml:space="preserve">CDP 제출 완료 확인 메일과 응답 사본을 보유합니다.</w:t>
      </w:r>
    </w:p>
    <w:p>
      <w:pPr>
        <w:spacing w:after="100" w:line="300"/>
        <w:ind w:left="360" w:hanging="240"/>
      </w:pPr>
      <w:r>
        <w:t xml:space="preserve">· </w:t>
      </w:r>
      <w:r>
        <w:t xml:space="preserve">K-ETS 명세서 접수증과 배출권 제출 확인서를 보유합니다.</w:t>
      </w:r>
    </w:p>
    <w:p>
      <w:pPr>
        <w:pStyle w:val="Heading1"/>
        <w:spacing w:after="140" w:before="320"/>
      </w:pPr>
      <w:r>
        <w:rPr>
          <w:b/>
          <w:bCs/>
        </w:rPr>
        <w:t xml:space="preserve">11. 운영 항목 — 백업 · 모니터링 · 감사 로그 보존 · 접근권한</w:t>
      </w:r>
    </w:p>
    <w:p>
      <w:pPr>
        <w:spacing w:after="120" w:line="300"/>
      </w:pPr>
      <w:r>
        <w:rPr>
          <w:b w:val="false"/>
          <w:bCs w:val="false"/>
        </w:rPr>
        <w:t xml:space="preserve">검증 가능한 배출량 데이터를 유지하려면 운영 절차가 시스템 기능만큼 중요합니다.</w:t>
      </w:r>
    </w:p>
    <w:p>
      <w:pPr>
        <w:spacing w:after="120" w:line="300"/>
      </w:pPr>
      <w:r>
        <w:rPr>
          <w:b w:val="false"/>
          <w:bCs w:val="false"/>
        </w:rPr>
        <w:t xml:space="preserve">백업</w:t>
      </w:r>
    </w:p>
    <w:p>
      <w:pPr>
        <w:spacing w:after="100" w:line="300"/>
        <w:ind w:left="360" w:hanging="360"/>
      </w:pPr>
      <w:r>
        <w:rPr>
          <w:b/>
          <w:bCs/>
        </w:rPr>
        <w:t xml:space="preserve">1. </w:t>
      </w:r>
      <w:r>
        <w:t xml:space="preserve">관리형 데이터베이스는 자동 일일 백업을 활성화하고, 가능하면 PITR(특정 시점 복구)을 켭니다.</w:t>
      </w:r>
    </w:p>
    <w:p>
      <w:pPr>
        <w:spacing w:after="100" w:line="300"/>
        <w:ind w:left="360" w:hanging="360"/>
      </w:pPr>
      <w:r>
        <w:rPr>
          <w:b/>
          <w:bCs/>
        </w:rPr>
        <w:t xml:space="preserve">2. </w:t>
      </w:r>
      <w:r>
        <w:t xml:space="preserve">자체 운영은 `pg_dump`를 일 1회 이상 수행하고 결과를 다른 리전의 오브젝트 스토리지에 보관합니다. 보관 기간은 최소 1년을 권장합니다.</w:t>
      </w:r>
    </w:p>
    <w:p>
      <w:pPr>
        <w:spacing w:after="100" w:line="300"/>
        <w:ind w:left="360" w:hanging="360"/>
      </w:pPr>
      <w:r>
        <w:rPr>
          <w:b/>
          <w:bCs/>
        </w:rPr>
        <w:t xml:space="preserve">3. </w:t>
      </w:r>
      <w:r>
        <w:t xml:space="preserve">반기 1회 복구 훈련을 수행하고 결과를 기록합니다. 복구해 본 적 없는 백업은 백업이 아닙니다.</w:t>
      </w:r>
    </w:p>
    <w:p>
      <w:pPr>
        <w:spacing w:after="100" w:line="300"/>
        <w:ind w:left="360" w:hanging="360"/>
      </w:pPr>
      <w:r>
        <w:rPr>
          <w:b/>
          <w:bCs/>
        </w:rPr>
        <w:t xml:space="preserve">4. </w:t>
      </w:r>
      <w:r>
        <w:t xml:space="preserve">Storage 버킷(증빙 파일)도 백업 대상에 포함하십시오.</w:t>
      </w:r>
    </w:p>
    <w:p>
      <w:pPr>
        <w:shd w:fill="F2F2F2" w:val="clear"/>
        <w:spacing w:after="0" w:line="260"/>
        <w:ind w:left="240"/>
      </w:pPr>
      <w:r>
        <w:rPr>
          <w:rFonts w:ascii="Consolas" w:cs="Consolas" w:eastAsia="Consolas" w:hAnsi="Consolas"/>
          <w:sz w:val="18"/>
          <w:szCs w:val="18"/>
        </w:rPr>
        <w:t xml:space="preserve">pg_dump "$DIRECT_URL" -Fc -f cios-$(date +%Y%m%d).dump</w:t>
      </w:r>
    </w:p>
    <w:p>
      <w:pPr>
        <w:shd w:fill="F2F2F2" w:val="clear"/>
        <w:spacing w:after="0" w:line="260"/>
        <w:ind w:left="240"/>
      </w:pPr>
      <w:r>
        <w:rPr>
          <w:rFonts w:ascii="Consolas" w:cs="Consolas" w:eastAsia="Consolas" w:hAnsi="Consolas"/>
          <w:sz w:val="18"/>
          <w:szCs w:val="18"/>
        </w:rPr>
        <w:t xml:space="preserve">aws s3 cp cios-$(date +%Y%m%d).dump s3://&lt;백업버킷&gt;/cios/</w:t>
      </w:r>
    </w:p>
    <w:p>
      <w:pPr>
        <w:shd w:fill="F2F2F2" w:val="clear"/>
        <w:spacing w:after="0" w:line="260"/>
        <w:ind w:left="240"/>
      </w:pPr>
      <w:r>
        <w:rPr>
          <w:rFonts w:ascii="Consolas" w:cs="Consolas" w:eastAsia="Consolas" w:hAnsi="Consolas"/>
          <w:sz w:val="18"/>
          <w:szCs w:val="18"/>
        </w:rPr>
        <w:t xml:space="preserve"># 복구 훈련</w:t>
      </w:r>
    </w:p>
    <w:p>
      <w:pPr>
        <w:shd w:fill="F2F2F2" w:val="clear"/>
        <w:spacing w:after="0" w:line="260"/>
        <w:ind w:left="240"/>
      </w:pPr>
      <w:r>
        <w:rPr>
          <w:rFonts w:ascii="Consolas" w:cs="Consolas" w:eastAsia="Consolas" w:hAnsi="Consolas"/>
          <w:sz w:val="18"/>
          <w:szCs w:val="18"/>
        </w:rPr>
        <w:t xml:space="preserve">pg_restore -d "$STAGING_URL" --clean --if-exists cios-&lt;날짜&gt;.dump</w:t>
      </w:r>
    </w:p>
    <w:p>
      <w:pPr>
        <w:spacing w:after="120"/>
      </w:pPr>
    </w:p>
    <w:p>
      <w:pPr>
        <w:spacing w:after="120" w:line="300"/>
      </w:pPr>
      <w:r>
        <w:rPr>
          <w:b w:val="false"/>
          <w:bCs w:val="false"/>
        </w:rPr>
        <w:t xml:space="preserve">모니터링</w:t>
      </w:r>
    </w:p>
    <w:p>
      <w:pPr>
        <w:spacing w:after="100" w:line="300"/>
        <w:ind w:left="360" w:hanging="240"/>
      </w:pPr>
      <w:r>
        <w:t xml:space="preserve">· </w:t>
      </w:r>
      <w:r>
        <w:t xml:space="preserve">`/api/v1/health` 를 외부 모니터링(UptimeRobot, Better Stack 등)에서 5분 간격으로 점검하고 알림 수신자를 지정합니다.</w:t>
      </w:r>
    </w:p>
    <w:p>
      <w:pPr>
        <w:spacing w:after="100" w:line="300"/>
        <w:ind w:left="360" w:hanging="240"/>
      </w:pPr>
      <w:r>
        <w:t xml:space="preserve">· </w:t>
      </w:r>
      <w:r>
        <w:t xml:space="preserve">애플리케이션 로그(Vercel Logs 또는 컨테이너 로그)를 수집 도구로 보내고, 오류율 급증 알림을 설정합니다.</w:t>
      </w:r>
    </w:p>
    <w:p>
      <w:pPr>
        <w:spacing w:after="100" w:line="300"/>
        <w:ind w:left="360" w:hanging="240"/>
      </w:pPr>
      <w:r>
        <w:t xml:space="preserve">· </w:t>
      </w:r>
      <w:r>
        <w:t xml:space="preserve">데이터베이스 연결 수, 쿼리 지연, 저장공간 사용률에 임계값 알림을 설정합니다.</w:t>
      </w:r>
    </w:p>
    <w:p>
      <w:pPr>
        <w:spacing w:after="100" w:line="300"/>
        <w:ind w:left="360" w:hanging="240"/>
      </w:pPr>
      <w:r>
        <w:t xml:space="preserve">· </w:t>
      </w:r>
      <w:r>
        <w:t xml:space="preserve">LLM 토큰 사용량과 비용은 AgentExecution 기록으로 추적할 수 있습니다. OpenAI 측 사용 한도(4절)와 함께 이중으로 관리하십시오.</w:t>
      </w:r>
    </w:p>
    <w:p>
      <w:pPr>
        <w:spacing w:after="100" w:line="300"/>
        <w:ind w:left="360" w:hanging="240"/>
      </w:pPr>
      <w:r>
        <w:t xml:space="preserve">· </w:t>
      </w:r>
      <w:r>
        <w:t xml:space="preserve">알림을 이메일·Slack으로 자동 발송하는 채널 연동은 아직 구현되어 있지 않습니다(12절 표 참고).</w:t>
      </w:r>
    </w:p>
    <w:p>
      <w:pPr>
        <w:spacing w:after="120" w:line="300"/>
      </w:pPr>
      <w:r>
        <w:rPr>
          <w:b w:val="false"/>
          <w:bCs w:val="false"/>
        </w:rPr>
        <w:t xml:space="preserve">감사 로그 보존</w:t>
      </w:r>
    </w:p>
    <w:p>
      <w:pPr>
        <w:spacing w:after="100" w:line="300"/>
        <w:ind w:left="360" w:hanging="240"/>
      </w:pPr>
      <w:r>
        <w:t xml:space="preserve">· </w:t>
      </w:r>
      <w:r>
        <w:t xml:space="preserve">AuditTrail·AuditEvidence·EvidencePackage는 검증과 규제 대응의 근거이므로 최소 5년 보존을 권장합니다(국내 배출권거래제 관련 서류 보존 5년, EU 관행은 10년).</w:t>
      </w:r>
    </w:p>
    <w:p>
      <w:pPr>
        <w:spacing w:after="100" w:line="300"/>
        <w:ind w:left="360" w:hanging="240"/>
      </w:pPr>
      <w:r>
        <w:t xml:space="preserve">· </w:t>
      </w:r>
      <w:r>
        <w:t xml:space="preserve">증빙 파일 해시(SHA-256)는 원본 파일과 함께 보존해야 무결성 증명이 가능합니다.</w:t>
      </w:r>
    </w:p>
    <w:p>
      <w:pPr>
        <w:spacing w:after="100" w:line="300"/>
        <w:ind w:left="360" w:hanging="240"/>
      </w:pPr>
      <w:r>
        <w:t xml:space="preserve">· </w:t>
      </w:r>
      <w:r>
        <w:t xml:space="preserve">보존 기간이 지난 로그의 아카이브·삭제를 자동화하는 배치 잡은 제공되지 않습니다. 파티셔닝 또는 정기 export 스크립트를 운영 측에서 마련하십시오.</w:t>
      </w:r>
    </w:p>
    <w:p>
      <w:pPr>
        <w:spacing w:after="100" w:line="300"/>
        <w:ind w:left="360" w:hanging="240"/>
      </w:pPr>
      <w:r>
        <w:t xml:space="preserve">· </w:t>
      </w:r>
      <w:r>
        <w:t xml:space="preserve">개인정보가 포함된 필드(사용자 이메일 등)는 사내 개인정보 처리방침의 보존·파기 기준을 함께 적용하십시오.</w:t>
      </w:r>
    </w:p>
    <w:p>
      <w:pPr>
        <w:spacing w:after="120" w:line="300"/>
      </w:pPr>
      <w:r>
        <w:rPr>
          <w:b w:val="false"/>
          <w:bCs w:val="false"/>
        </w:rPr>
        <w:t xml:space="preserve">접근권한 정책</w:t>
      </w:r>
    </w:p>
    <w:p>
      <w:pPr>
        <w:spacing w:after="100" w:line="300"/>
        <w:ind w:left="360" w:hanging="240"/>
      </w:pPr>
      <w:r>
        <w:t xml:space="preserve">· </w:t>
      </w:r>
      <w:r>
        <w:t xml:space="preserve">/security 화면에서 역할(Role), 권한(Permission), 접근정책(AccessPolicy)을 조직 구조에 맞게 설정하고 최소권한 원칙을 적용합니다.</w:t>
      </w:r>
    </w:p>
    <w:p>
      <w:pPr>
        <w:spacing w:after="100" w:line="300"/>
        <w:ind w:left="360" w:hanging="240"/>
      </w:pPr>
      <w:r>
        <w:t xml:space="preserve">· </w:t>
      </w:r>
      <w:r>
        <w:t xml:space="preserve">API 키는 필요한 스코프만 부여하고 90일 주기로 회전합니다. 폐기된 키는 즉시 revoke 처리하십시오.</w:t>
      </w:r>
    </w:p>
    <w:p>
      <w:pPr>
        <w:spacing w:after="100" w:line="300"/>
        <w:ind w:left="360" w:hanging="240"/>
      </w:pPr>
      <w:r>
        <w:t xml:space="preserve">· </w:t>
      </w:r>
      <w:r>
        <w:t xml:space="preserve">퇴직·직무 변경 시 세션을 즉시 폐기하고 역할 배정을 회수합니다.</w:t>
      </w:r>
    </w:p>
    <w:p>
      <w:pPr>
        <w:spacing w:after="100" w:line="300"/>
        <w:ind w:left="360" w:hanging="240"/>
      </w:pPr>
      <w:r>
        <w:t xml:space="preserve">· </w:t>
      </w:r>
      <w:r>
        <w:t xml:space="preserve">관리자 계정은 MFA를 필수화합니다(2절 Supabase MFA 설정).</w:t>
      </w:r>
    </w:p>
    <w:p>
      <w:pPr>
        <w:spacing w:after="100" w:line="300"/>
        <w:ind w:left="360" w:hanging="240"/>
      </w:pPr>
      <w:r>
        <w:t xml:space="preserve">· </w:t>
      </w:r>
      <w:r>
        <w:t xml:space="preserve">DB 비밀번호와 FIELD_ENCRYPTION_KEY 등 시크릿은 시크릿 매니저에만 보관하고 회전 절차를 문서화합니다.</w:t>
      </w:r>
    </w:p>
    <w:p>
      <w:pPr>
        <w:pStyle w:val="Heading2"/>
        <w:spacing w:after="100" w:before="200"/>
      </w:pPr>
      <w:r>
        <w:rPr>
          <w:b/>
          <w:bCs/>
        </w:rPr>
        <w:t xml:space="preserve">예상 비용</w:t>
      </w:r>
    </w:p>
    <w:p>
      <w:pPr>
        <w:spacing w:after="120" w:line="300"/>
      </w:pPr>
      <w:r>
        <w:rPr>
          <w:b w:val="false"/>
          <w:bCs w:val="false"/>
        </w:rPr>
        <w:t xml:space="preserve">Supabase PITR 추가 요금(월 100달러 수준부터), 외부 모니터링 무료~월 10달러, 로그·백업 오브젝트 스토리지 월 수달러.</w:t>
      </w:r>
    </w:p>
    <w:p>
      <w:pPr>
        <w:pStyle w:val="Heading2"/>
        <w:spacing w:after="100" w:before="200"/>
      </w:pPr>
      <w:r>
        <w:rPr>
          <w:b/>
          <w:bCs/>
        </w:rPr>
        <w:t xml:space="preserve">완료 확인 방법</w:t>
      </w:r>
    </w:p>
    <w:p>
      <w:pPr>
        <w:spacing w:after="100" w:line="300"/>
        <w:ind w:left="360" w:hanging="240"/>
      </w:pPr>
      <w:r>
        <w:t xml:space="preserve">· </w:t>
      </w:r>
      <w:r>
        <w:t xml:space="preserve">백업 파일이 매일 생성되고 있으며, 최근 복구 훈련 기록이 남아 있습니다.</w:t>
      </w:r>
    </w:p>
    <w:p>
      <w:pPr>
        <w:spacing w:after="100" w:line="300"/>
        <w:ind w:left="360" w:hanging="240"/>
      </w:pPr>
      <w:r>
        <w:t xml:space="preserve">· </w:t>
      </w:r>
      <w:r>
        <w:t xml:space="preserve">헬스체크 실패 시 알림이 실제로 수신되는지 테스트로 확인했습니다.</w:t>
      </w:r>
    </w:p>
    <w:p>
      <w:pPr>
        <w:spacing w:after="100" w:line="300"/>
        <w:ind w:left="360" w:hanging="240"/>
      </w:pPr>
      <w:r>
        <w:t xml:space="preserve">· </w:t>
      </w:r>
      <w:r>
        <w:t xml:space="preserve">/security의 감사 로그에 로그인·권한 변경·데이터 수정 이력이 기록됩니다.</w:t>
      </w:r>
    </w:p>
    <w:p>
      <w:pPr>
        <w:spacing w:after="100" w:line="300"/>
        <w:ind w:left="360" w:hanging="240"/>
      </w:pPr>
      <w:r>
        <w:t xml:space="preserve">· </w:t>
      </w:r>
      <w:r>
        <w:t xml:space="preserve">API 키 목록에 만료·회전 일정이 관리되고 있습니다.</w:t>
      </w:r>
    </w:p>
    <w:p>
      <w:pPr>
        <w:pStyle w:val="Heading1"/>
        <w:spacing w:after="140" w:before="320"/>
      </w:pPr>
      <w:r>
        <w:rPr>
          <w:b/>
          <w:bCs/>
        </w:rPr>
        <w:t xml:space="preserve">12. 미구현 · 외부 의존 기능 목록</w:t>
      </w:r>
    </w:p>
    <w:p>
      <w:pPr>
        <w:spacing w:after="120" w:line="300"/>
      </w:pPr>
      <w:r>
        <w:rPr>
          <w:b w:val="false"/>
          <w:bCs w:val="false"/>
        </w:rPr>
        <w:t xml:space="preserve">현재 코드베이스에서 완료되지 않았거나 사용자의 계정·데이터·절차가 있어야 완성되는 항목을 모두 밝힙니다.</w:t>
      </w:r>
    </w:p>
    <w:p>
      <w:pPr>
        <w:spacing w:after="120" w:line="300"/>
      </w:pPr>
      <w:r>
        <w:rPr>
          <w:b/>
          <w:bCs/>
        </w:rPr>
        <w:t xml:space="preserve">표 12-1. 미구현 및 외부 의존 항목</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rPr>
          <w:tblHeader/>
        </w:trPr>
        <w:tc>
          <w:tcPr>
            <w:shd w:fill="E7E6E6" w:val="clear"/>
            <w:tcMar>
              <w:top w:type="dxa" w:w="60"/>
              <w:left w:type="dxa" w:w="100"/>
              <w:bottom w:type="dxa" w:w="60"/>
              <w:right w:type="dxa" w:w="100"/>
            </w:tcMar>
            <w:vAlign w:val="top"/>
          </w:tcPr>
          <w:p>
            <w:pPr>
              <w:spacing w:after="0" w:line="260"/>
            </w:pPr>
            <w:r>
              <w:rPr>
                <w:b/>
                <w:bCs/>
                <w:sz w:val="18"/>
                <w:szCs w:val="18"/>
              </w:rPr>
              <w:t xml:space="preserve">기능</w:t>
            </w:r>
          </w:p>
        </w:tc>
        <w:tc>
          <w:tcPr>
            <w:shd w:fill="E7E6E6" w:val="clear"/>
            <w:tcMar>
              <w:top w:type="dxa" w:w="60"/>
              <w:left w:type="dxa" w:w="100"/>
              <w:bottom w:type="dxa" w:w="60"/>
              <w:right w:type="dxa" w:w="100"/>
            </w:tcMar>
            <w:vAlign w:val="top"/>
          </w:tcPr>
          <w:p>
            <w:pPr>
              <w:spacing w:after="0" w:line="260"/>
            </w:pPr>
            <w:r>
              <w:rPr>
                <w:b/>
                <w:bCs/>
                <w:sz w:val="18"/>
                <w:szCs w:val="18"/>
              </w:rPr>
              <w:t xml:space="preserve">현재 상태</w:t>
            </w:r>
          </w:p>
        </w:tc>
        <w:tc>
          <w:tcPr>
            <w:shd w:fill="E7E6E6" w:val="clear"/>
            <w:tcMar>
              <w:top w:type="dxa" w:w="60"/>
              <w:left w:type="dxa" w:w="100"/>
              <w:bottom w:type="dxa" w:w="60"/>
              <w:right w:type="dxa" w:w="100"/>
            </w:tcMar>
            <w:vAlign w:val="top"/>
          </w:tcPr>
          <w:p>
            <w:pPr>
              <w:spacing w:after="0" w:line="260"/>
            </w:pPr>
            <w:r>
              <w:rPr>
                <w:b/>
                <w:bCs/>
                <w:sz w:val="18"/>
                <w:szCs w:val="18"/>
              </w:rPr>
              <w:t xml:space="preserve">사용자가 해야 할 일</w:t>
            </w:r>
          </w:p>
        </w:tc>
      </w:tr>
      <w:tr>
        <w:tc>
          <w:tcPr>
            <w:tcMar>
              <w:top w:type="dxa" w:w="60"/>
              <w:left w:type="dxa" w:w="100"/>
              <w:bottom w:type="dxa" w:w="60"/>
              <w:right w:type="dxa" w:w="100"/>
            </w:tcMar>
            <w:vAlign w:val="top"/>
          </w:tcPr>
          <w:p>
            <w:pPr>
              <w:spacing w:after="0" w:line="260"/>
            </w:pPr>
            <w:r>
              <w:rPr>
                <w:b w:val="false"/>
                <w:bCs w:val="false"/>
                <w:sz w:val="18"/>
                <w:szCs w:val="18"/>
              </w:rPr>
              <w:t xml:space="preserve">CSV 활동자료 일괄 등록(커밋)</w:t>
            </w:r>
          </w:p>
        </w:tc>
        <w:tc>
          <w:tcPr>
            <w:tcMar>
              <w:top w:type="dxa" w:w="60"/>
              <w:left w:type="dxa" w:w="100"/>
              <w:bottom w:type="dxa" w:w="60"/>
              <w:right w:type="dxa" w:w="100"/>
            </w:tcMar>
            <w:vAlign w:val="top"/>
          </w:tcPr>
          <w:p>
            <w:pPr>
              <w:spacing w:after="0" w:line="260"/>
            </w:pPr>
            <w:r>
              <w:rPr>
                <w:b w:val="false"/>
                <w:bCs w:val="false"/>
                <w:sz w:val="18"/>
                <w:szCs w:val="18"/>
              </w:rPr>
              <w:t xml:space="preserve">업로드·컬럼 매핑·미리보기까지 동작하지만 저장을 수행하는 서버 액션(importActivityDataAction)이 없어 커밋 버튼이 비활성 상태입니다.</w:t>
            </w:r>
          </w:p>
        </w:tc>
        <w:tc>
          <w:tcPr>
            <w:tcMar>
              <w:top w:type="dxa" w:w="60"/>
              <w:left w:type="dxa" w:w="100"/>
              <w:bottom w:type="dxa" w:w="60"/>
              <w:right w:type="dxa" w:w="100"/>
            </w:tcMar>
            <w:vAlign w:val="top"/>
          </w:tcPr>
          <w:p>
            <w:pPr>
              <w:spacing w:after="0" w:line="260"/>
            </w:pPr>
            <w:r>
              <w:rPr>
                <w:b w:val="false"/>
                <w:bCs w:val="false"/>
                <w:sz w:val="18"/>
                <w:szCs w:val="18"/>
              </w:rPr>
              <w:t xml:space="preserve">대량 등록이 필요하면 해당 서버 액션을 구현하거나, 그 전까지는 `POST /api/v1/activity-data` API로 스크립트 적재를 사용하십시오.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알림 발송</w:t>
            </w:r>
          </w:p>
        </w:tc>
        <w:tc>
          <w:tcPr>
            <w:tcMar>
              <w:top w:type="dxa" w:w="60"/>
              <w:left w:type="dxa" w:w="100"/>
              <w:bottom w:type="dxa" w:w="60"/>
              <w:right w:type="dxa" w:w="100"/>
            </w:tcMar>
            <w:vAlign w:val="top"/>
          </w:tcPr>
          <w:p>
            <w:pPr>
              <w:spacing w:after="0" w:line="260"/>
            </w:pPr>
            <w:r>
              <w:rPr>
                <w:b w:val="false"/>
                <w:bCs w:val="false"/>
                <w:sz w:val="18"/>
                <w:szCs w:val="18"/>
              </w:rPr>
              <w:t xml:space="preserve">알림 설정(NotificationPreference) 저장만 동작하며, 이메일·Slack 등 실제 발송 채널이 연결되어 있지 않습니다.</w:t>
            </w:r>
          </w:p>
        </w:tc>
        <w:tc>
          <w:tcPr>
            <w:tcMar>
              <w:top w:type="dxa" w:w="60"/>
              <w:left w:type="dxa" w:w="100"/>
              <w:bottom w:type="dxa" w:w="60"/>
              <w:right w:type="dxa" w:w="100"/>
            </w:tcMar>
            <w:vAlign w:val="top"/>
          </w:tcPr>
          <w:p>
            <w:pPr>
              <w:spacing w:after="0" w:line="260"/>
            </w:pPr>
            <w:r>
              <w:rPr>
                <w:b w:val="false"/>
                <w:bCs w:val="false"/>
                <w:sz w:val="18"/>
                <w:szCs w:val="18"/>
              </w:rPr>
              <w:t xml:space="preserve">메일 공급자(Resend, SES 등) 또는 Slack Webhook을 선택해 발송 어댑터를 구현하고 자격증명을 등록하십시오.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한국어 UI</w:t>
            </w:r>
          </w:p>
        </w:tc>
        <w:tc>
          <w:tcPr>
            <w:tcMar>
              <w:top w:type="dxa" w:w="60"/>
              <w:left w:type="dxa" w:w="100"/>
              <w:bottom w:type="dxa" w:w="60"/>
              <w:right w:type="dxa" w:w="100"/>
            </w:tcMar>
            <w:vAlign w:val="top"/>
          </w:tcPr>
          <w:p>
            <w:pPr>
              <w:spacing w:after="0" w:line="260"/>
            </w:pPr>
            <w:r>
              <w:rPr>
                <w:b w:val="false"/>
                <w:bCs w:val="false"/>
                <w:sz w:val="18"/>
                <w:szCs w:val="18"/>
              </w:rPr>
              <w:t xml:space="preserve">메시지 테이블(src/lib/i18n/messages.ts)에 ko 컬럼이 있고 데모·오류·설정 안내는 한국어를 제공하지만, 화면 문구는 설계상 영어입니다.</w:t>
            </w:r>
          </w:p>
        </w:tc>
        <w:tc>
          <w:tcPr>
            <w:tcMar>
              <w:top w:type="dxa" w:w="60"/>
              <w:left w:type="dxa" w:w="100"/>
              <w:bottom w:type="dxa" w:w="60"/>
              <w:right w:type="dxa" w:w="100"/>
            </w:tcMar>
            <w:vAlign w:val="top"/>
          </w:tcPr>
          <w:p>
            <w:pPr>
              <w:spacing w:after="0" w:line="260"/>
            </w:pPr>
            <w:r>
              <w:rPr>
                <w:b w:val="false"/>
                <w:bCs w:val="false"/>
                <w:sz w:val="18"/>
                <w:szCs w:val="18"/>
              </w:rPr>
              <w:t xml:space="preserve">전면 한국어화가 필요하면 각 페이지 문구를 메시지 테이블 경유로 전환하는 i18n 후속 작업을 진행하십시오.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API 키별 개별 레이트리밋</w:t>
            </w:r>
          </w:p>
        </w:tc>
        <w:tc>
          <w:tcPr>
            <w:tcMar>
              <w:top w:type="dxa" w:w="60"/>
              <w:left w:type="dxa" w:w="100"/>
              <w:bottom w:type="dxa" w:w="60"/>
              <w:right w:type="dxa" w:w="100"/>
            </w:tcMar>
            <w:vAlign w:val="top"/>
          </w:tcPr>
          <w:p>
            <w:pPr>
              <w:spacing w:after="0" w:line="260"/>
            </w:pPr>
            <w:r>
              <w:rPr>
                <w:b w:val="false"/>
                <w:bCs w:val="false"/>
                <w:sz w:val="18"/>
                <w:szCs w:val="18"/>
              </w:rPr>
              <w:t xml:space="preserve">APIKey 모델에 rateLimit 컬럼이 없고 베이스라인 마이그레이션이 동결되어 있어, 전역 기본값(API_RATE_LIMIT_PER_MINUTE)과 `rate:unlimited` 스코프 예외만 지원합니다.</w:t>
            </w:r>
          </w:p>
        </w:tc>
        <w:tc>
          <w:tcPr>
            <w:tcMar>
              <w:top w:type="dxa" w:w="60"/>
              <w:left w:type="dxa" w:w="100"/>
              <w:bottom w:type="dxa" w:w="60"/>
              <w:right w:type="dxa" w:w="100"/>
            </w:tcMar>
            <w:vAlign w:val="top"/>
          </w:tcPr>
          <w:p>
            <w:pPr>
              <w:spacing w:after="0" w:line="260"/>
            </w:pPr>
            <w:r>
              <w:rPr>
                <w:b w:val="false"/>
                <w:bCs w:val="false"/>
                <w:sz w:val="18"/>
                <w:szCs w:val="18"/>
              </w:rPr>
              <w:t xml:space="preserve">키별 한도가 필요하면 스키마에 컬럼을 추가하고 새 마이그레이션을 생성한 뒤 rateLimitForKey를 확장하십시오.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인터랙티브 지도</w:t>
            </w:r>
          </w:p>
        </w:tc>
        <w:tc>
          <w:tcPr>
            <w:tcMar>
              <w:top w:type="dxa" w:w="60"/>
              <w:left w:type="dxa" w:w="100"/>
              <w:bottom w:type="dxa" w:w="60"/>
              <w:right w:type="dxa" w:w="100"/>
            </w:tcMar>
            <w:vAlign w:val="top"/>
          </w:tcPr>
          <w:p>
            <w:pPr>
              <w:spacing w:after="0" w:line="260"/>
            </w:pPr>
            <w:r>
              <w:rPr>
                <w:b w:val="false"/>
                <w:bCs w:val="false"/>
                <w:sz w:val="18"/>
                <w:szCs w:val="18"/>
              </w:rPr>
              <w:t xml:space="preserve">Mapbox 토큰이 없으면 사업장 좌표 목록으로 대체되며, 지도 컴포넌트 자체도 아직 정적 대체 화면입니다.</w:t>
            </w:r>
          </w:p>
        </w:tc>
        <w:tc>
          <w:tcPr>
            <w:tcMar>
              <w:top w:type="dxa" w:w="60"/>
              <w:left w:type="dxa" w:w="100"/>
              <w:bottom w:type="dxa" w:w="60"/>
              <w:right w:type="dxa" w:w="100"/>
            </w:tcMar>
            <w:vAlign w:val="top"/>
          </w:tcPr>
          <w:p>
            <w:pPr>
              <w:spacing w:after="0" w:line="260"/>
            </w:pPr>
            <w:r>
              <w:rPr>
                <w:b w:val="false"/>
                <w:bCs w:val="false"/>
                <w:sz w:val="18"/>
                <w:szCs w:val="18"/>
              </w:rPr>
              <w:t xml:space="preserve">6절에서 토큰을 발급하고 사업장 좌표를 입력하십시오. 완전한 지도 UI가 필요하면 mapbox-gl 컴포넌트를 추가 구현해야 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pgvector 시맨틱 검색</w:t>
            </w:r>
          </w:p>
        </w:tc>
        <w:tc>
          <w:tcPr>
            <w:tcMar>
              <w:top w:type="dxa" w:w="60"/>
              <w:left w:type="dxa" w:w="100"/>
              <w:bottom w:type="dxa" w:w="60"/>
              <w:right w:type="dxa" w:w="100"/>
            </w:tcMar>
            <w:vAlign w:val="top"/>
          </w:tcPr>
          <w:p>
            <w:pPr>
              <w:spacing w:after="0" w:line="260"/>
            </w:pPr>
            <w:r>
              <w:rPr>
                <w:b w:val="false"/>
                <w:bCs w:val="false"/>
                <w:sz w:val="18"/>
                <w:szCs w:val="18"/>
              </w:rPr>
              <w:t xml:space="preserve">확장은 문서화·선언되어 있으나 벡터 컬럼과 임베딩 파이프라인은 사용하지 않습니다.</w:t>
            </w:r>
          </w:p>
        </w:tc>
        <w:tc>
          <w:tcPr>
            <w:tcMar>
              <w:top w:type="dxa" w:w="60"/>
              <w:left w:type="dxa" w:w="100"/>
              <w:bottom w:type="dxa" w:w="60"/>
              <w:right w:type="dxa" w:w="100"/>
            </w:tcMar>
            <w:vAlign w:val="top"/>
          </w:tcPr>
          <w:p>
            <w:pPr>
              <w:spacing w:after="0" w:line="260"/>
            </w:pPr>
            <w:r>
              <w:rPr>
                <w:b w:val="false"/>
                <w:bCs w:val="false"/>
                <w:sz w:val="18"/>
                <w:szCs w:val="18"/>
              </w:rPr>
              <w:t xml:space="preserve">필요하면 임베딩 컬럼을 추가하고 임베딩 생성 배치를 구현하십시오(OpenAI embeddings 비용이 추가됩니다).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검증 발견사항의 오기재 금액</w:t>
            </w:r>
          </w:p>
        </w:tc>
        <w:tc>
          <w:tcPr>
            <w:tcMar>
              <w:top w:type="dxa" w:w="60"/>
              <w:left w:type="dxa" w:w="100"/>
              <w:bottom w:type="dxa" w:w="60"/>
              <w:right w:type="dxa" w:w="100"/>
            </w:tcMar>
            <w:vAlign w:val="top"/>
          </w:tcPr>
          <w:p>
            <w:pPr>
              <w:spacing w:after="0" w:line="260"/>
            </w:pPr>
            <w:r>
              <w:rPr>
                <w:b w:val="false"/>
                <w:bCs w:val="false"/>
                <w:sz w:val="18"/>
                <w:szCs w:val="18"/>
              </w:rPr>
              <w:t xml:space="preserve">VerificationFinding에 금액 컬럼이 없어 description에 `[misstatement:금액]` 마커로 인코딩합니다.</w:t>
            </w:r>
          </w:p>
        </w:tc>
        <w:tc>
          <w:tcPr>
            <w:tcMar>
              <w:top w:type="dxa" w:w="60"/>
              <w:left w:type="dxa" w:w="100"/>
              <w:bottom w:type="dxa" w:w="60"/>
              <w:right w:type="dxa" w:w="100"/>
            </w:tcMar>
            <w:vAlign w:val="top"/>
          </w:tcPr>
          <w:p>
            <w:pPr>
              <w:spacing w:after="0" w:line="260"/>
            </w:pPr>
            <w:r>
              <w:rPr>
                <w:b w:val="false"/>
                <w:bCs w:val="false"/>
                <w:sz w:val="18"/>
                <w:szCs w:val="18"/>
              </w:rPr>
              <w:t xml:space="preserve">정식 컬럼이 필요하면 스키마를 확장하십시오. 그때까지는 마커 형식을 유지해야 중요성 판정이 정상 동작합니다.</w:t>
            </w:r>
          </w:p>
        </w:tc>
      </w:tr>
      <w:tr>
        <w:tc>
          <w:tcPr>
            <w:tcMar>
              <w:top w:type="dxa" w:w="60"/>
              <w:left w:type="dxa" w:w="100"/>
              <w:bottom w:type="dxa" w:w="60"/>
              <w:right w:type="dxa" w:w="100"/>
            </w:tcMar>
            <w:vAlign w:val="top"/>
          </w:tcPr>
          <w:p>
            <w:pPr>
              <w:spacing w:after="0" w:line="260"/>
            </w:pPr>
            <w:r>
              <w:rPr>
                <w:b w:val="false"/>
                <w:bCs w:val="false"/>
                <w:sz w:val="18"/>
                <w:szCs w:val="18"/>
              </w:rPr>
              <w:t xml:space="preserve">실제 데이터베이스 대상 실행 검증</w:t>
            </w:r>
          </w:p>
        </w:tc>
        <w:tc>
          <w:tcPr>
            <w:tcMar>
              <w:top w:type="dxa" w:w="60"/>
              <w:left w:type="dxa" w:w="100"/>
              <w:bottom w:type="dxa" w:w="60"/>
              <w:right w:type="dxa" w:w="100"/>
            </w:tcMar>
            <w:vAlign w:val="top"/>
          </w:tcPr>
          <w:p>
            <w:pPr>
              <w:spacing w:after="0" w:line="260"/>
            </w:pPr>
            <w:r>
              <w:rPr>
                <w:b w:val="false"/>
                <w:bCs w:val="false"/>
                <w:sz w:val="18"/>
                <w:szCs w:val="18"/>
              </w:rPr>
              <w:t xml:space="preserve">개발 환경에 접속 가능한 PostgreSQL이 없어 모든 자동 검증은 목 처리된 Prisma 또는 데모 경로로 수행되었습니다.</w:t>
            </w:r>
          </w:p>
        </w:tc>
        <w:tc>
          <w:tcPr>
            <w:tcMar>
              <w:top w:type="dxa" w:w="60"/>
              <w:left w:type="dxa" w:w="100"/>
              <w:bottom w:type="dxa" w:w="60"/>
              <w:right w:type="dxa" w:w="100"/>
            </w:tcMar>
            <w:vAlign w:val="top"/>
          </w:tcPr>
          <w:p>
            <w:pPr>
              <w:spacing w:after="0" w:line="260"/>
            </w:pPr>
            <w:r>
              <w:rPr>
                <w:b w:val="false"/>
                <w:bCs w:val="false"/>
                <w:sz w:val="18"/>
                <w:szCs w:val="18"/>
              </w:rPr>
              <w:t xml:space="preserve">3절 순서대로 `npx prisma migrate deploy`와 `npm run db:seed`를 실행한 뒤, 주요 화면과 API를 1회 수동 점검하십시오.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상용 배출계수 데이터</w:t>
            </w:r>
          </w:p>
        </w:tc>
        <w:tc>
          <w:tcPr>
            <w:tcMar>
              <w:top w:type="dxa" w:w="60"/>
              <w:left w:type="dxa" w:w="100"/>
              <w:bottom w:type="dxa" w:w="60"/>
              <w:right w:type="dxa" w:w="100"/>
            </w:tcMar>
            <w:vAlign w:val="top"/>
          </w:tcPr>
          <w:p>
            <w:pPr>
              <w:spacing w:after="0" w:line="260"/>
            </w:pPr>
            <w:r>
              <w:rPr>
                <w:b w:val="false"/>
                <w:bCs w:val="false"/>
                <w:sz w:val="18"/>
                <w:szCs w:val="18"/>
              </w:rPr>
              <w:t xml:space="preserve">공개·재배포 가능한 계수(IPCC, EPA, DEFRA)만 시드되어 있습니다.</w:t>
            </w:r>
          </w:p>
        </w:tc>
        <w:tc>
          <w:tcPr>
            <w:tcMar>
              <w:top w:type="dxa" w:w="60"/>
              <w:left w:type="dxa" w:w="100"/>
              <w:bottom w:type="dxa" w:w="60"/>
              <w:right w:type="dxa" w:w="100"/>
            </w:tcMar>
            <w:vAlign w:val="top"/>
          </w:tcPr>
          <w:p>
            <w:pPr>
              <w:spacing w:after="0" w:line="260"/>
            </w:pPr>
            <w:r>
              <w:rPr>
                <w:b w:val="false"/>
                <w:bCs w:val="false"/>
                <w:sz w:val="18"/>
                <w:szCs w:val="18"/>
              </w:rPr>
              <w:t xml:space="preserve">9절 표를 참고해 필요한 라이선스를 구매하고 계수를 등록하십시오.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제3자 검증 · 공시 제출</w:t>
            </w:r>
          </w:p>
        </w:tc>
        <w:tc>
          <w:tcPr>
            <w:tcMar>
              <w:top w:type="dxa" w:w="60"/>
              <w:left w:type="dxa" w:w="100"/>
              <w:bottom w:type="dxa" w:w="60"/>
              <w:right w:type="dxa" w:w="100"/>
            </w:tcMar>
            <w:vAlign w:val="top"/>
          </w:tcPr>
          <w:p>
            <w:pPr>
              <w:spacing w:after="0" w:line="260"/>
            </w:pPr>
            <w:r>
              <w:rPr>
                <w:b w:val="false"/>
                <w:bCs w:val="false"/>
                <w:sz w:val="18"/>
                <w:szCs w:val="18"/>
              </w:rPr>
              <w:t xml:space="preserve">시스템은 산정, 증빙 패키지, 프레임워크 응답 생성까지 지원합니다.</w:t>
            </w:r>
          </w:p>
        </w:tc>
        <w:tc>
          <w:tcPr>
            <w:tcMar>
              <w:top w:type="dxa" w:w="60"/>
              <w:left w:type="dxa" w:w="100"/>
              <w:bottom w:type="dxa" w:w="60"/>
              <w:right w:type="dxa" w:w="100"/>
            </w:tcMar>
            <w:vAlign w:val="top"/>
          </w:tcPr>
          <w:p>
            <w:pPr>
              <w:spacing w:after="0" w:line="260"/>
            </w:pPr>
            <w:r>
              <w:rPr>
                <w:b w:val="false"/>
                <w:bCs w:val="false"/>
                <w:sz w:val="18"/>
                <w:szCs w:val="18"/>
              </w:rPr>
              <w:t xml:space="preserve">10절 절차에 따라 검증기관을 선정하고 SBTi·CDP·CSRD·K-ETS 제출을 직접 수행하십시오.</w:t>
            </w:r>
          </w:p>
        </w:tc>
      </w:tr>
      <w:tr>
        <w:tc>
          <w:tcPr>
            <w:tcMar>
              <w:top w:type="dxa" w:w="60"/>
              <w:left w:type="dxa" w:w="100"/>
              <w:bottom w:type="dxa" w:w="60"/>
              <w:right w:type="dxa" w:w="100"/>
            </w:tcMar>
            <w:vAlign w:val="top"/>
          </w:tcPr>
          <w:p>
            <w:pPr>
              <w:spacing w:after="0" w:line="260"/>
            </w:pPr>
            <w:r>
              <w:rPr>
                <w:b w:val="false"/>
                <w:bCs w:val="false"/>
                <w:sz w:val="18"/>
                <w:szCs w:val="18"/>
              </w:rPr>
              <w:t xml:space="preserve">필드 암호화 키 회전 자동화</w:t>
            </w:r>
          </w:p>
        </w:tc>
        <w:tc>
          <w:tcPr>
            <w:tcMar>
              <w:top w:type="dxa" w:w="60"/>
              <w:left w:type="dxa" w:w="100"/>
              <w:bottom w:type="dxa" w:w="60"/>
              <w:right w:type="dxa" w:w="100"/>
            </w:tcMar>
            <w:vAlign w:val="top"/>
          </w:tcPr>
          <w:p>
            <w:pPr>
              <w:spacing w:after="0" w:line="260"/>
            </w:pPr>
            <w:r>
              <w:rPr>
                <w:b w:val="false"/>
                <w:bCs w:val="false"/>
                <w:sz w:val="18"/>
                <w:szCs w:val="18"/>
              </w:rPr>
              <w:t xml:space="preserve">AES-256-GCM 암·복호화는 동작하지만 기존 데이터를 새 키로 재암호화하는 스크립트가 없습니다.</w:t>
            </w:r>
          </w:p>
        </w:tc>
        <w:tc>
          <w:tcPr>
            <w:tcMar>
              <w:top w:type="dxa" w:w="60"/>
              <w:left w:type="dxa" w:w="100"/>
              <w:bottom w:type="dxa" w:w="60"/>
              <w:right w:type="dxa" w:w="100"/>
            </w:tcMar>
            <w:vAlign w:val="top"/>
          </w:tcPr>
          <w:p>
            <w:pPr>
              <w:spacing w:after="0" w:line="260"/>
            </w:pPr>
            <w:r>
              <w:rPr>
                <w:b w:val="false"/>
                <w:bCs w:val="false"/>
                <w:sz w:val="18"/>
                <w:szCs w:val="18"/>
              </w:rPr>
              <w:t xml:space="preserve">키를 교체할 때는 해당 자격증명을 다시 등록하거나 재암호화 스크립트를 작성하십시오(5절).</w:t>
            </w:r>
          </w:p>
        </w:tc>
      </w:tr>
      <w:tr>
        <w:tc>
          <w:tcPr>
            <w:tcMar>
              <w:top w:type="dxa" w:w="60"/>
              <w:left w:type="dxa" w:w="100"/>
              <w:bottom w:type="dxa" w:w="60"/>
              <w:right w:type="dxa" w:w="100"/>
            </w:tcMar>
            <w:vAlign w:val="top"/>
          </w:tcPr>
          <w:p>
            <w:pPr>
              <w:spacing w:after="0" w:line="260"/>
            </w:pPr>
            <w:r>
              <w:rPr>
                <w:b w:val="false"/>
                <w:bCs w:val="false"/>
                <w:sz w:val="18"/>
                <w:szCs w:val="18"/>
              </w:rPr>
              <w:t xml:space="preserve">감사 로그 아카이브 자동화</w:t>
            </w:r>
          </w:p>
        </w:tc>
        <w:tc>
          <w:tcPr>
            <w:tcMar>
              <w:top w:type="dxa" w:w="60"/>
              <w:left w:type="dxa" w:w="100"/>
              <w:bottom w:type="dxa" w:w="60"/>
              <w:right w:type="dxa" w:w="100"/>
            </w:tcMar>
            <w:vAlign w:val="top"/>
          </w:tcPr>
          <w:p>
            <w:pPr>
              <w:spacing w:after="0" w:line="260"/>
            </w:pPr>
            <w:r>
              <w:rPr>
                <w:b w:val="false"/>
                <w:bCs w:val="false"/>
                <w:sz w:val="18"/>
                <w:szCs w:val="18"/>
              </w:rPr>
              <w:t xml:space="preserve">감사 로그는 계속 축적되며 보존기간 경과분을 자동 아카이브·삭제하지 않습니다.</w:t>
            </w:r>
          </w:p>
        </w:tc>
        <w:tc>
          <w:tcPr>
            <w:tcMar>
              <w:top w:type="dxa" w:w="60"/>
              <w:left w:type="dxa" w:w="100"/>
              <w:bottom w:type="dxa" w:w="60"/>
              <w:right w:type="dxa" w:w="100"/>
            </w:tcMar>
            <w:vAlign w:val="top"/>
          </w:tcPr>
          <w:p>
            <w:pPr>
              <w:spacing w:after="0" w:line="260"/>
            </w:pPr>
            <w:r>
              <w:rPr>
                <w:b w:val="false"/>
                <w:bCs w:val="false"/>
                <w:sz w:val="18"/>
                <w:szCs w:val="18"/>
              </w:rPr>
              <w:t xml:space="preserve">11절 보존 기준에 맞춰 파티셔닝 또는 정기 export·삭제 배치를 운영 측에서 구성하십시오.</w:t>
            </w:r>
          </w:p>
        </w:tc>
      </w:tr>
    </w:tbl>
    <w:p>
      <w:pPr>
        <w:spacing w:after="160"/>
      </w:pPr>
    </w:p>
    <w:p>
      <w:pPr>
        <w:pStyle w:val="Heading2"/>
        <w:spacing w:after="100" w:before="200"/>
      </w:pPr>
      <w:r>
        <w:rPr>
          <w:b/>
          <w:bCs/>
        </w:rPr>
        <w:t xml:space="preserve">예상 비용</w:t>
      </w:r>
    </w:p>
    <w:p>
      <w:pPr>
        <w:spacing w:after="120" w:line="300"/>
      </w:pPr>
      <w:r>
        <w:rPr>
          <w:b w:val="false"/>
          <w:bCs w:val="false"/>
        </w:rPr>
        <w:t xml:space="preserve">항목별로 다릅니다. 개발이 필요한 항목은 개발 공수, 데이터·서비스가 필요한 항목은 앞선 절의 비용을 참고하십시오.</w:t>
      </w:r>
    </w:p>
    <w:p>
      <w:pPr>
        <w:pStyle w:val="Heading2"/>
        <w:spacing w:after="100" w:before="200"/>
      </w:pPr>
      <w:r>
        <w:rPr>
          <w:b/>
          <w:bCs/>
        </w:rPr>
        <w:t xml:space="preserve">완료 확인 방법</w:t>
      </w:r>
    </w:p>
    <w:p>
      <w:pPr>
        <w:spacing w:after="100" w:line="300"/>
        <w:ind w:left="360" w:hanging="240"/>
      </w:pPr>
      <w:r>
        <w:t xml:space="preserve">· </w:t>
      </w:r>
      <w:r>
        <w:t xml:space="preserve">각 행의 '사용자가 해야 할 일'을 사내 백로그에 등록하고 담당자와 기한을 지정했습니다.</w:t>
      </w:r>
    </w:p>
    <w:p>
      <w:pPr>
        <w:spacing w:after="100" w:line="300"/>
        <w:ind w:left="360" w:hanging="240"/>
      </w:pPr>
      <w:r>
        <w:t xml:space="preserve">· </w:t>
      </w:r>
      <w:r>
        <w:t xml:space="preserve">운영 개시 전에 최소한 '실제 데이터베이스 대상 실행 검증'과 '상용 배출계수 데이터' 항목의 판단이 완료되었습니다.</w:t>
      </w:r>
    </w:p>
    <w:p>
      <w:pPr>
        <w:pStyle w:val="Heading1"/>
        <w:spacing w:after="140" w:before="360"/>
      </w:pPr>
      <w:r>
        <w:rPr>
          <w:b/>
          <w:bCs/>
        </w:rPr>
        <w:t xml:space="preserve">부록. 문서 재생성 방법</w:t>
      </w:r>
    </w:p>
    <w:p>
      <w:pPr>
        <w:spacing w:after="120" w:line="300"/>
      </w:pPr>
      <w:r>
        <w:rPr>
          <w:b w:val="false"/>
          <w:bCs w:val="false"/>
        </w:rPr>
        <w:t xml:space="preserve">이 문서는 손으로 작성한 파일이 아니라 `scripts/generate-setup-guide.ts`가 생성합니다. 내용이 바뀌어야 하면 스크립트를 수정하고 아래 명령으로 다시 생성하십시오. 코드 리뷰에서 문서 변경 내역을 추적할 수 있게 하려는 의도입니다.</w:t>
      </w:r>
    </w:p>
    <w:p>
      <w:pPr>
        <w:shd w:fill="F2F2F2" w:val="clear"/>
        <w:spacing w:after="0" w:line="260"/>
        <w:ind w:left="240"/>
      </w:pPr>
      <w:r>
        <w:rPr>
          <w:rFonts w:ascii="Consolas" w:cs="Consolas" w:eastAsia="Consolas" w:hAnsi="Consolas"/>
          <w:sz w:val="18"/>
          <w:szCs w:val="18"/>
        </w:rPr>
        <w:t xml:space="preserve">npm run docs:setup-guide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rFonts w:ascii="Malgun Gothic" w:cs="Malgun Gothic" w:eastAsia="Malgun Gothic" w:hAnsi="Malgun Gothic"/>
      <w:b/>
      <w:bCs/>
      <w:sz w:val="40"/>
      <w:szCs w:val="40"/>
    </w:rPr>
  </w:style>
  <w:style w:type="paragraph" w:styleId="Heading1">
    <w:name w:val="Heading 1"/>
    <w:basedOn w:val="Normal"/>
    <w:next w:val="Normal"/>
    <w:qFormat/>
    <w:rPr>
      <w:rFonts w:ascii="Malgun Gothic" w:cs="Malgun Gothic" w:eastAsia="Malgun Gothic" w:hAnsi="Malgun Gothic"/>
      <w:b/>
      <w:bCs/>
      <w:color w:val="1F3864"/>
      <w:sz w:val="28"/>
      <w:szCs w:val="28"/>
    </w:rPr>
  </w:style>
  <w:style w:type="paragraph" w:styleId="Heading2">
    <w:name w:val="Heading 2"/>
    <w:basedOn w:val="Normal"/>
    <w:next w:val="Normal"/>
    <w:qFormat/>
    <w:rPr>
      <w:rFonts w:ascii="Malgun Gothic" w:cs="Malgun Gothic" w:eastAsia="Malgun Gothic" w:hAnsi="Malgun Gothic"/>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2026-07-30T11:56:27.350Z</dcterms:created>
  <dcterms:modified xsi:type="dcterms:W3CDTF">2026-07-30T11:56:27.351Z</dcterms:modified>
</cp:coreProperties>
</file>

<file path=docProps/custom.xml><?xml version="1.0" encoding="utf-8"?>
<Properties xmlns="http://schemas.openxmlformats.org/officeDocument/2006/custom-properties" xmlns:vt="http://schemas.openxmlformats.org/officeDocument/2006/docPropsVTypes"/>
</file>