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jc w:val="center"/>
      </w:pPr>
      <w:r>
        <w:rPr>
          <w:b/>
          <w:bCs/>
        </w:rPr>
        <w:t xml:space="preserve">Vercel + Supabase 전용 구성 가능성 검토</w:t>
      </w:r>
    </w:p>
    <w:p>
      <w:pPr>
        <w:spacing w:after="320"/>
        <w:jc w:val="center"/>
      </w:pPr>
      <w:r>
        <w:rPr>
          <w:sz w:val="24"/>
          <w:szCs w:val="24"/>
        </w:rPr>
        <w:t xml:space="preserve">CIOS — 사용자가 직접 개발·설정해야 하는 항목을 Vercel과 Supabase만으로 구현할 수 있는지에 대한 기술 검토</w:t>
      </w:r>
    </w:p>
    <w:p>
      <w:pPr>
        <w:pStyle w:val="Heading2"/>
        <w:spacing w:after="100" w:before="200"/>
      </w:pPr>
      <w:r>
        <w:rPr>
          <w:b/>
          <w:bCs/>
        </w:rPr>
        <w:t xml:space="preserve">결론</w:t>
      </w:r>
    </w:p>
    <w:p>
      <w:pPr>
        <w:spacing w:after="120" w:line="300"/>
      </w:pPr>
      <w:r>
        <w:rPr>
          <w:b w:val="false"/>
          <w:bCs w:val="false"/>
        </w:rPr>
        <w:t xml:space="preserve">docs/CIOS-직접-설정-가이드.docx에 정리된, 사용자가 직접 해야 하는 항목 대부분은 Vercel과 Supabase만으로 구현할 수 있습니다. 데이터베이스·인증·저장소·테넌트 격리(RLS)·SSO/SAML·MFA·배포·백업·모니터링은 두 플랫폼의 기본 기능만으로 완전히 해결되고, API 레이트리밋·비동기 계산 처리·AI 서술 생성·증빙 파일 저장은 이미 준비된 팩토리/접점 구조에 구현체를 채우는 코드 작업만으로 Vercel(AI Gateway, Workflow DevKit)과 Supabase(Postgres, Storage) 안에서 해결됩니다.</w:t>
      </w:r>
    </w:p>
    <w:p>
      <w:pPr>
        <w:spacing w:after="120" w:line="300"/>
      </w:pPr>
      <w:r>
        <w:rPr>
          <w:b w:val="false"/>
          <w:bCs w:val="false"/>
        </w:rPr>
        <w:t xml:space="preserve">완전히 해결되지 않는 항목은 세 가지뿐입니다. ① 인터랙티브 지도는 Vercel·Supabase 어느 쪽에도 대응 제품이 없어 Mapbox 같은 별도 공급자가 필요합니다(다만 선택 사항이며 없어도 목록형 화면으로 정상 동작). ② 트랜잭션 이메일 발송은 두 플랫폼에 범용 발송 기능이 없어 Resend 같은 이메일 API가 필요합니다(다만 Vercel Marketplace로 설치하면 계정·결제는 Vercel 안에서 통합 관리). ③ 임베딩(의미 검색) 품질을 OpenAI 수준으로 유지하려면 별도 OpenAI 키가 필요합니다(다만 이미 구현된 결정론적 대체 경로로 완전히 벗어날 수도 있음). 유료 배출계수 데이터 라이선스와 제3자 검증·규제 제출은 애초에 인프라 선택과 무관한 사업·법적 절차입니다.</w:t>
      </w:r>
    </w:p>
    <w:p>
      <w:pPr>
        <w:pStyle w:val="Heading2"/>
        <w:spacing w:after="100" w:before="200"/>
      </w:pPr>
      <w:r>
        <w:rPr>
          <w:b/>
          <w:bCs/>
        </w:rPr>
        <w:t xml:space="preserve">판정 기준</w:t>
      </w:r>
    </w:p>
    <w:p>
      <w:pPr>
        <w:spacing w:after="100" w:line="300"/>
        <w:ind w:left="360" w:hanging="240"/>
      </w:pPr>
      <w:r>
        <w:t xml:space="preserve">· </w:t>
      </w:r>
      <w:r>
        <w:t xml:space="preserve">완전 가능 — 추가 개발 없이 Vercel·Supabase의 기본 기능/설정만으로 해결됩니다.</w:t>
      </w:r>
    </w:p>
    <w:p>
      <w:pPr>
        <w:spacing w:after="100" w:line="300"/>
        <w:ind w:left="360" w:hanging="240"/>
      </w:pPr>
      <w:r>
        <w:t xml:space="preserve">· </w:t>
      </w:r>
      <w:r>
        <w:t xml:space="preserve">가능(코드 변경 필요) — Vercel·Supabase가 필요한 기능을 제공하지만, 현재 코드의 팩토리/접점에 실제 구현체를 채우는 개발 작업이 필요합니다.</w:t>
      </w:r>
    </w:p>
    <w:p>
      <w:pPr>
        <w:spacing w:after="100" w:line="300"/>
        <w:ind w:left="360" w:hanging="240"/>
      </w:pPr>
      <w:r>
        <w:t xml:space="preserve">· </w:t>
      </w:r>
      <w:r>
        <w:t xml:space="preserve">부분 가능 — 핵심은 Vercel·Supabase로 해결되지만 일부 조건에서 여전히 제3자가 필요합니다.</w:t>
      </w:r>
    </w:p>
    <w:p>
      <w:pPr>
        <w:spacing w:after="100" w:line="300"/>
        <w:ind w:left="360" w:hanging="240"/>
      </w:pPr>
      <w:r>
        <w:t xml:space="preserve">· </w:t>
      </w:r>
      <w:r>
        <w:t xml:space="preserve">불가능 — Vercel·Supabase에 대응 제품이 없어 제3자 공급자가 필요합니다.</w:t>
      </w:r>
    </w:p>
    <w:p>
      <w:pPr>
        <w:spacing w:after="100" w:line="300"/>
        <w:ind w:left="360" w:hanging="240"/>
      </w:pPr>
      <w:r>
        <w:t xml:space="preserve">· </w:t>
      </w:r>
      <w:r>
        <w:t xml:space="preserve">인프라와 무관 — 클라우드 플랫폼 선택과 관계없는 데이터 라이선스·법적 절차입니다.</w:t>
      </w:r>
    </w:p>
    <w:p>
      <w:pPr>
        <w:spacing w:after="240"/>
      </w:pPr>
    </w:p>
    <w:p>
      <w:pPr>
        <w:pStyle w:val="Heading2"/>
        <w:spacing w:after="100" w:before="200"/>
      </w:pPr>
      <w:r>
        <w:rPr>
          <w:b/>
          <w:bCs/>
        </w:rPr>
        <w:t xml:space="preserve">표 1. 항목별 판정 요약</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tblGrid>
      <w:tr>
        <w:trPr>
          <w:tblHeader/>
        </w:trPr>
        <w:tc>
          <w:tcPr>
            <w:shd w:fill="E7E6E6" w:val="clear"/>
            <w:tcMar>
              <w:top w:type="dxa" w:w="60"/>
              <w:left w:type="dxa" w:w="100"/>
              <w:bottom w:type="dxa" w:w="60"/>
              <w:right w:type="dxa" w:w="100"/>
            </w:tcMar>
            <w:vAlign w:val="top"/>
          </w:tcPr>
          <w:p>
            <w:pPr>
              <w:spacing w:after="0" w:line="260"/>
            </w:pPr>
            <w:r>
              <w:rPr>
                <w:b/>
                <w:bCs/>
                <w:sz w:val="18"/>
                <w:szCs w:val="18"/>
              </w:rPr>
              <w:t xml:space="preserve">항목</w:t>
            </w:r>
          </w:p>
        </w:tc>
        <w:tc>
          <w:tcPr>
            <w:shd w:fill="E7E6E6" w:val="clear"/>
            <w:tcMar>
              <w:top w:type="dxa" w:w="60"/>
              <w:left w:type="dxa" w:w="100"/>
              <w:bottom w:type="dxa" w:w="60"/>
              <w:right w:type="dxa" w:w="100"/>
            </w:tcMar>
            <w:vAlign w:val="top"/>
          </w:tcPr>
          <w:p>
            <w:pPr>
              <w:spacing w:after="0" w:line="260"/>
            </w:pPr>
            <w:r>
              <w:rPr>
                <w:b/>
                <w:bCs/>
                <w:sz w:val="18"/>
                <w:szCs w:val="18"/>
              </w:rPr>
              <w:t xml:space="preserve">판정</w:t>
            </w:r>
          </w:p>
        </w:tc>
      </w:tr>
      <w:tr>
        <w:tc>
          <w:tcPr>
            <w:tcMar>
              <w:top w:type="dxa" w:w="60"/>
              <w:left w:type="dxa" w:w="100"/>
              <w:bottom w:type="dxa" w:w="60"/>
              <w:right w:type="dxa" w:w="100"/>
            </w:tcMar>
            <w:vAlign w:val="top"/>
          </w:tcPr>
          <w:p>
            <w:pPr>
              <w:spacing w:after="0" w:line="260"/>
            </w:pPr>
            <w:r>
              <w:rPr>
                <w:b w:val="false"/>
                <w:bCs w:val="false"/>
                <w:sz w:val="18"/>
                <w:szCs w:val="18"/>
              </w:rPr>
              <w:t xml:space="preserve">PostgreSQL 데이터베이스</w:t>
            </w:r>
          </w:p>
        </w:tc>
        <w:tc>
          <w:tcPr>
            <w:tcMar>
              <w:top w:type="dxa" w:w="60"/>
              <w:left w:type="dxa" w:w="100"/>
              <w:bottom w:type="dxa" w:w="60"/>
              <w:right w:type="dxa" w:w="100"/>
            </w:tcMar>
            <w:vAlign w:val="top"/>
          </w:tcPr>
          <w:p>
            <w:pPr>
              <w:spacing w:after="0" w:line="260"/>
            </w:pPr>
            <w:r>
              <w:rPr>
                <w:b w:val="false"/>
                <w:bCs w:val="false"/>
                <w:sz w:val="18"/>
                <w:szCs w:val="18"/>
              </w:rPr>
              <w:t xml:space="preserve">● 완전 가능</w:t>
            </w:r>
          </w:p>
        </w:tc>
      </w:tr>
      <w:tr>
        <w:tc>
          <w:tcPr>
            <w:tcMar>
              <w:top w:type="dxa" w:w="60"/>
              <w:left w:type="dxa" w:w="100"/>
              <w:bottom w:type="dxa" w:w="60"/>
              <w:right w:type="dxa" w:w="100"/>
            </w:tcMar>
            <w:vAlign w:val="top"/>
          </w:tcPr>
          <w:p>
            <w:pPr>
              <w:spacing w:after="0" w:line="260"/>
            </w:pPr>
            <w:r>
              <w:rPr>
                <w:b w:val="false"/>
                <w:bCs w:val="false"/>
                <w:sz w:val="18"/>
                <w:szCs w:val="18"/>
              </w:rPr>
              <w:t xml:space="preserve">pgvector 시맨틱 검색</w:t>
            </w:r>
          </w:p>
        </w:tc>
        <w:tc>
          <w:tcPr>
            <w:tcMar>
              <w:top w:type="dxa" w:w="60"/>
              <w:left w:type="dxa" w:w="100"/>
              <w:bottom w:type="dxa" w:w="60"/>
              <w:right w:type="dxa" w:w="100"/>
            </w:tcMar>
            <w:vAlign w:val="top"/>
          </w:tcPr>
          <w:p>
            <w:pPr>
              <w:spacing w:after="0" w:line="260"/>
            </w:pPr>
            <w:r>
              <w:rPr>
                <w:b w:val="false"/>
                <w:bCs w:val="false"/>
                <w:sz w:val="18"/>
                <w:szCs w:val="18"/>
              </w:rPr>
              <w:t xml:space="preserve">● 완전 가능</w:t>
            </w:r>
          </w:p>
        </w:tc>
      </w:tr>
      <w:tr>
        <w:tc>
          <w:tcPr>
            <w:tcMar>
              <w:top w:type="dxa" w:w="60"/>
              <w:left w:type="dxa" w:w="100"/>
              <w:bottom w:type="dxa" w:w="60"/>
              <w:right w:type="dxa" w:w="100"/>
            </w:tcMar>
            <w:vAlign w:val="top"/>
          </w:tcPr>
          <w:p>
            <w:pPr>
              <w:spacing w:after="0" w:line="260"/>
            </w:pPr>
            <w:r>
              <w:rPr>
                <w:b w:val="false"/>
                <w:bCs w:val="false"/>
                <w:sz w:val="18"/>
                <w:szCs w:val="18"/>
              </w:rPr>
              <w:t xml:space="preserve">이메일·비밀번호 로그인, Google/Microsoft OAuth</w:t>
            </w:r>
          </w:p>
        </w:tc>
        <w:tc>
          <w:tcPr>
            <w:tcMar>
              <w:top w:type="dxa" w:w="60"/>
              <w:left w:type="dxa" w:w="100"/>
              <w:bottom w:type="dxa" w:w="60"/>
              <w:right w:type="dxa" w:w="100"/>
            </w:tcMar>
            <w:vAlign w:val="top"/>
          </w:tcPr>
          <w:p>
            <w:pPr>
              <w:spacing w:after="0" w:line="260"/>
            </w:pPr>
            <w:r>
              <w:rPr>
                <w:b w:val="false"/>
                <w:bCs w:val="false"/>
                <w:sz w:val="18"/>
                <w:szCs w:val="18"/>
              </w:rPr>
              <w:t xml:space="preserve">● 완전 가능</w:t>
            </w:r>
          </w:p>
        </w:tc>
      </w:tr>
      <w:tr>
        <w:tc>
          <w:tcPr>
            <w:tcMar>
              <w:top w:type="dxa" w:w="60"/>
              <w:left w:type="dxa" w:w="100"/>
              <w:bottom w:type="dxa" w:w="60"/>
              <w:right w:type="dxa" w:w="100"/>
            </w:tcMar>
            <w:vAlign w:val="top"/>
          </w:tcPr>
          <w:p>
            <w:pPr>
              <w:spacing w:after="0" w:line="260"/>
            </w:pPr>
            <w:r>
              <w:rPr>
                <w:b w:val="false"/>
                <w:bCs w:val="false"/>
                <w:sz w:val="18"/>
                <w:szCs w:val="18"/>
              </w:rPr>
              <w:t xml:space="preserve">다요소인증(MFA, TOTP)</w:t>
            </w:r>
          </w:p>
        </w:tc>
        <w:tc>
          <w:tcPr>
            <w:tcMar>
              <w:top w:type="dxa" w:w="60"/>
              <w:left w:type="dxa" w:w="100"/>
              <w:bottom w:type="dxa" w:w="60"/>
              <w:right w:type="dxa" w:w="100"/>
            </w:tcMar>
            <w:vAlign w:val="top"/>
          </w:tcPr>
          <w:p>
            <w:pPr>
              <w:spacing w:after="0" w:line="260"/>
            </w:pPr>
            <w:r>
              <w:rPr>
                <w:b w:val="false"/>
                <w:bCs w:val="false"/>
                <w:sz w:val="18"/>
                <w:szCs w:val="18"/>
              </w:rPr>
              <w:t xml:space="preserve">● 완전 가능</w:t>
            </w:r>
          </w:p>
        </w:tc>
      </w:tr>
      <w:tr>
        <w:tc>
          <w:tcPr>
            <w:tcMar>
              <w:top w:type="dxa" w:w="60"/>
              <w:left w:type="dxa" w:w="100"/>
              <w:bottom w:type="dxa" w:w="60"/>
              <w:right w:type="dxa" w:w="100"/>
            </w:tcMar>
            <w:vAlign w:val="top"/>
          </w:tcPr>
          <w:p>
            <w:pPr>
              <w:spacing w:after="0" w:line="260"/>
            </w:pPr>
            <w:r>
              <w:rPr>
                <w:b w:val="false"/>
                <w:bCs w:val="false"/>
                <w:sz w:val="18"/>
                <w:szCs w:val="18"/>
              </w:rPr>
              <w:t xml:space="preserve">증빙 파일 · 보고서 산출물 저장소</w:t>
            </w:r>
          </w:p>
        </w:tc>
        <w:tc>
          <w:tcPr>
            <w:tcMar>
              <w:top w:type="dxa" w:w="60"/>
              <w:left w:type="dxa" w:w="100"/>
              <w:bottom w:type="dxa" w:w="60"/>
              <w:right w:type="dxa" w:w="100"/>
            </w:tcMar>
            <w:vAlign w:val="top"/>
          </w:tcPr>
          <w:p>
            <w:pPr>
              <w:spacing w:after="0" w:line="260"/>
            </w:pPr>
            <w:r>
              <w:rPr>
                <w:b w:val="false"/>
                <w:bCs w:val="false"/>
                <w:sz w:val="18"/>
                <w:szCs w:val="18"/>
              </w:rPr>
              <w:t xml:space="preserve">◐ 가능 (코드 변경 필요)</w:t>
            </w:r>
          </w:p>
        </w:tc>
      </w:tr>
      <w:tr>
        <w:tc>
          <w:tcPr>
            <w:tcMar>
              <w:top w:type="dxa" w:w="60"/>
              <w:left w:type="dxa" w:w="100"/>
              <w:bottom w:type="dxa" w:w="60"/>
              <w:right w:type="dxa" w:w="100"/>
            </w:tcMar>
            <w:vAlign w:val="top"/>
          </w:tcPr>
          <w:p>
            <w:pPr>
              <w:spacing w:after="0" w:line="260"/>
            </w:pPr>
            <w:r>
              <w:rPr>
                <w:b w:val="false"/>
                <w:bCs w:val="false"/>
                <w:sz w:val="18"/>
                <w:szCs w:val="18"/>
              </w:rPr>
              <w:t xml:space="preserve">Row-Level Security(RLS)</w:t>
            </w:r>
          </w:p>
        </w:tc>
        <w:tc>
          <w:tcPr>
            <w:tcMar>
              <w:top w:type="dxa" w:w="60"/>
              <w:left w:type="dxa" w:w="100"/>
              <w:bottom w:type="dxa" w:w="60"/>
              <w:right w:type="dxa" w:w="100"/>
            </w:tcMar>
            <w:vAlign w:val="top"/>
          </w:tcPr>
          <w:p>
            <w:pPr>
              <w:spacing w:after="0" w:line="260"/>
            </w:pPr>
            <w:r>
              <w:rPr>
                <w:b w:val="false"/>
                <w:bCs w:val="false"/>
                <w:sz w:val="18"/>
                <w:szCs w:val="18"/>
              </w:rPr>
              <w:t xml:space="preserve">● 완전 가능</w:t>
            </w:r>
          </w:p>
        </w:tc>
      </w:tr>
      <w:tr>
        <w:tc>
          <w:tcPr>
            <w:tcMar>
              <w:top w:type="dxa" w:w="60"/>
              <w:left w:type="dxa" w:w="100"/>
              <w:bottom w:type="dxa" w:w="60"/>
              <w:right w:type="dxa" w:w="100"/>
            </w:tcMar>
            <w:vAlign w:val="top"/>
          </w:tcPr>
          <w:p>
            <w:pPr>
              <w:spacing w:after="0" w:line="260"/>
            </w:pPr>
            <w:r>
              <w:rPr>
                <w:b w:val="false"/>
                <w:bCs w:val="false"/>
                <w:sz w:val="18"/>
                <w:szCs w:val="18"/>
              </w:rPr>
              <w:t xml:space="preserve">SAML 2.0 기반 SSO (Okta, Azure AD, Google Workspace 등)</w:t>
            </w:r>
          </w:p>
        </w:tc>
        <w:tc>
          <w:tcPr>
            <w:tcMar>
              <w:top w:type="dxa" w:w="60"/>
              <w:left w:type="dxa" w:w="100"/>
              <w:bottom w:type="dxa" w:w="60"/>
              <w:right w:type="dxa" w:w="100"/>
            </w:tcMar>
            <w:vAlign w:val="top"/>
          </w:tcPr>
          <w:p>
            <w:pPr>
              <w:spacing w:after="0" w:line="260"/>
            </w:pPr>
            <w:r>
              <w:rPr>
                <w:b w:val="false"/>
                <w:bCs w:val="false"/>
                <w:sz w:val="18"/>
                <w:szCs w:val="18"/>
              </w:rPr>
              <w:t xml:space="preserve">● 완전 가능</w:t>
            </w:r>
          </w:p>
        </w:tc>
      </w:tr>
      <w:tr>
        <w:tc>
          <w:tcPr>
            <w:tcMar>
              <w:top w:type="dxa" w:w="60"/>
              <w:left w:type="dxa" w:w="100"/>
              <w:bottom w:type="dxa" w:w="60"/>
              <w:right w:type="dxa" w:w="100"/>
            </w:tcMar>
            <w:vAlign w:val="top"/>
          </w:tcPr>
          <w:p>
            <w:pPr>
              <w:spacing w:after="0" w:line="260"/>
            </w:pPr>
            <w:r>
              <w:rPr>
                <w:b w:val="false"/>
                <w:bCs w:val="false"/>
                <w:sz w:val="18"/>
                <w:szCs w:val="18"/>
              </w:rPr>
              <w:t xml:space="preserve">서술형 텍스트 생성 (계산 근거, 설명)</w:t>
            </w:r>
          </w:p>
        </w:tc>
        <w:tc>
          <w:tcPr>
            <w:tcMar>
              <w:top w:type="dxa" w:w="60"/>
              <w:left w:type="dxa" w:w="100"/>
              <w:bottom w:type="dxa" w:w="60"/>
              <w:right w:type="dxa" w:w="100"/>
            </w:tcMar>
            <w:vAlign w:val="top"/>
          </w:tcPr>
          <w:p>
            <w:pPr>
              <w:spacing w:after="0" w:line="260"/>
            </w:pPr>
            <w:r>
              <w:rPr>
                <w:b w:val="false"/>
                <w:bCs w:val="false"/>
                <w:sz w:val="18"/>
                <w:szCs w:val="18"/>
              </w:rPr>
              <w:t xml:space="preserve">◐ 가능 (코드 변경 필요)</w:t>
            </w:r>
          </w:p>
        </w:tc>
      </w:tr>
      <w:tr>
        <w:tc>
          <w:tcPr>
            <w:tcMar>
              <w:top w:type="dxa" w:w="60"/>
              <w:left w:type="dxa" w:w="100"/>
              <w:bottom w:type="dxa" w:w="60"/>
              <w:right w:type="dxa" w:w="100"/>
            </w:tcMar>
            <w:vAlign w:val="top"/>
          </w:tcPr>
          <w:p>
            <w:pPr>
              <w:spacing w:after="0" w:line="260"/>
            </w:pPr>
            <w:r>
              <w:rPr>
                <w:b w:val="false"/>
                <w:bCs w:val="false"/>
                <w:sz w:val="18"/>
                <w:szCs w:val="18"/>
              </w:rPr>
              <w:t xml:space="preserve">임베딩 생성 (pgvector 시맨틱 검색용)</w:t>
            </w:r>
          </w:p>
        </w:tc>
        <w:tc>
          <w:tcPr>
            <w:tcMar>
              <w:top w:type="dxa" w:w="60"/>
              <w:left w:type="dxa" w:w="100"/>
              <w:bottom w:type="dxa" w:w="60"/>
              <w:right w:type="dxa" w:w="100"/>
            </w:tcMar>
            <w:vAlign w:val="top"/>
          </w:tcPr>
          <w:p>
            <w:pPr>
              <w:spacing w:after="0" w:line="260"/>
            </w:pPr>
            <w:r>
              <w:rPr>
                <w:b w:val="false"/>
                <w:bCs w:val="false"/>
                <w:sz w:val="18"/>
                <w:szCs w:val="18"/>
              </w:rPr>
              <w:t xml:space="preserve">◑ 부분 가능</w:t>
            </w:r>
          </w:p>
        </w:tc>
      </w:tr>
      <w:tr>
        <w:tc>
          <w:tcPr>
            <w:tcMar>
              <w:top w:type="dxa" w:w="60"/>
              <w:left w:type="dxa" w:w="100"/>
              <w:bottom w:type="dxa" w:w="60"/>
              <w:right w:type="dxa" w:w="100"/>
            </w:tcMar>
            <w:vAlign w:val="top"/>
          </w:tcPr>
          <w:p>
            <w:pPr>
              <w:spacing w:after="0" w:line="260"/>
            </w:pPr>
            <w:r>
              <w:rPr>
                <w:b w:val="false"/>
                <w:bCs w:val="false"/>
                <w:sz w:val="18"/>
                <w:szCs w:val="18"/>
              </w:rPr>
              <w:t xml:space="preserve">호스팅 · 배포</w:t>
            </w:r>
          </w:p>
        </w:tc>
        <w:tc>
          <w:tcPr>
            <w:tcMar>
              <w:top w:type="dxa" w:w="60"/>
              <w:left w:type="dxa" w:w="100"/>
              <w:bottom w:type="dxa" w:w="60"/>
              <w:right w:type="dxa" w:w="100"/>
            </w:tcMar>
            <w:vAlign w:val="top"/>
          </w:tcPr>
          <w:p>
            <w:pPr>
              <w:spacing w:after="0" w:line="260"/>
            </w:pPr>
            <w:r>
              <w:rPr>
                <w:b w:val="false"/>
                <w:bCs w:val="false"/>
                <w:sz w:val="18"/>
                <w:szCs w:val="18"/>
              </w:rPr>
              <w:t xml:space="preserve">● 완전 가능</w:t>
            </w:r>
          </w:p>
        </w:tc>
      </w:tr>
      <w:tr>
        <w:tc>
          <w:tcPr>
            <w:tcMar>
              <w:top w:type="dxa" w:w="60"/>
              <w:left w:type="dxa" w:w="100"/>
              <w:bottom w:type="dxa" w:w="60"/>
              <w:right w:type="dxa" w:w="100"/>
            </w:tcMar>
            <w:vAlign w:val="top"/>
          </w:tcPr>
          <w:p>
            <w:pPr>
              <w:spacing w:after="0" w:line="260"/>
            </w:pPr>
            <w:r>
              <w:rPr>
                <w:b w:val="false"/>
                <w:bCs w:val="false"/>
                <w:sz w:val="18"/>
                <w:szCs w:val="18"/>
              </w:rPr>
              <w:t xml:space="preserve">도메인 · DNS · SSL</w:t>
            </w:r>
          </w:p>
        </w:tc>
        <w:tc>
          <w:tcPr>
            <w:tcMar>
              <w:top w:type="dxa" w:w="60"/>
              <w:left w:type="dxa" w:w="100"/>
              <w:bottom w:type="dxa" w:w="60"/>
              <w:right w:type="dxa" w:w="100"/>
            </w:tcMar>
            <w:vAlign w:val="top"/>
          </w:tcPr>
          <w:p>
            <w:pPr>
              <w:spacing w:after="0" w:line="260"/>
            </w:pPr>
            <w:r>
              <w:rPr>
                <w:b w:val="false"/>
                <w:bCs w:val="false"/>
                <w:sz w:val="18"/>
                <w:szCs w:val="18"/>
              </w:rPr>
              <w:t xml:space="preserve">● 완전 가능</w:t>
            </w:r>
          </w:p>
        </w:tc>
      </w:tr>
      <w:tr>
        <w:tc>
          <w:tcPr>
            <w:tcMar>
              <w:top w:type="dxa" w:w="60"/>
              <w:left w:type="dxa" w:w="100"/>
              <w:bottom w:type="dxa" w:w="60"/>
              <w:right w:type="dxa" w:w="100"/>
            </w:tcMar>
            <w:vAlign w:val="top"/>
          </w:tcPr>
          <w:p>
            <w:pPr>
              <w:spacing w:after="0" w:line="260"/>
            </w:pPr>
            <w:r>
              <w:rPr>
                <w:b w:val="false"/>
                <w:bCs w:val="false"/>
                <w:sz w:val="18"/>
                <w:szCs w:val="18"/>
              </w:rPr>
              <w:t xml:space="preserve">API 키별 레이트리밋 (다중 서버 인스턴스 대응)</w:t>
            </w:r>
          </w:p>
        </w:tc>
        <w:tc>
          <w:tcPr>
            <w:tcMar>
              <w:top w:type="dxa" w:w="60"/>
              <w:left w:type="dxa" w:w="100"/>
              <w:bottom w:type="dxa" w:w="60"/>
              <w:right w:type="dxa" w:w="100"/>
            </w:tcMar>
            <w:vAlign w:val="top"/>
          </w:tcPr>
          <w:p>
            <w:pPr>
              <w:spacing w:after="0" w:line="260"/>
            </w:pPr>
            <w:r>
              <w:rPr>
                <w:b w:val="false"/>
                <w:bCs w:val="false"/>
                <w:sz w:val="18"/>
                <w:szCs w:val="18"/>
              </w:rPr>
              <w:t xml:space="preserve">◐ 가능 (코드 변경 필요)</w:t>
            </w:r>
          </w:p>
        </w:tc>
      </w:tr>
      <w:tr>
        <w:tc>
          <w:tcPr>
            <w:tcMar>
              <w:top w:type="dxa" w:w="60"/>
              <w:left w:type="dxa" w:w="100"/>
              <w:bottom w:type="dxa" w:w="60"/>
              <w:right w:type="dxa" w:w="100"/>
            </w:tcMar>
            <w:vAlign w:val="top"/>
          </w:tcPr>
          <w:p>
            <w:pPr>
              <w:spacing w:after="0" w:line="260"/>
            </w:pPr>
            <w:r>
              <w:rPr>
                <w:b w:val="false"/>
                <w:bCs w:val="false"/>
                <w:sz w:val="18"/>
                <w:szCs w:val="18"/>
              </w:rPr>
              <w:t xml:space="preserve">배출량 계산의 비동기 처리 (대량 데이터셋 타임아웃 방지)</w:t>
            </w:r>
          </w:p>
        </w:tc>
        <w:tc>
          <w:tcPr>
            <w:tcMar>
              <w:top w:type="dxa" w:w="60"/>
              <w:left w:type="dxa" w:w="100"/>
              <w:bottom w:type="dxa" w:w="60"/>
              <w:right w:type="dxa" w:w="100"/>
            </w:tcMar>
            <w:vAlign w:val="top"/>
          </w:tcPr>
          <w:p>
            <w:pPr>
              <w:spacing w:after="0" w:line="260"/>
            </w:pPr>
            <w:r>
              <w:rPr>
                <w:b w:val="false"/>
                <w:bCs w:val="false"/>
                <w:sz w:val="18"/>
                <w:szCs w:val="18"/>
              </w:rPr>
              <w:t xml:space="preserve">◐ 가능 (코드 변경 필요)</w:t>
            </w:r>
          </w:p>
        </w:tc>
      </w:tr>
      <w:tr>
        <w:tc>
          <w:tcPr>
            <w:tcMar>
              <w:top w:type="dxa" w:w="60"/>
              <w:left w:type="dxa" w:w="100"/>
              <w:bottom w:type="dxa" w:w="60"/>
              <w:right w:type="dxa" w:w="100"/>
            </w:tcMar>
            <w:vAlign w:val="top"/>
          </w:tcPr>
          <w:p>
            <w:pPr>
              <w:spacing w:after="0" w:line="260"/>
            </w:pPr>
            <w:r>
              <w:rPr>
                <w:b w:val="false"/>
                <w:bCs w:val="false"/>
                <w:sz w:val="18"/>
                <w:szCs w:val="18"/>
              </w:rPr>
              <w:t xml:space="preserve">데이터베이스 백업</w:t>
            </w:r>
          </w:p>
        </w:tc>
        <w:tc>
          <w:tcPr>
            <w:tcMar>
              <w:top w:type="dxa" w:w="60"/>
              <w:left w:type="dxa" w:w="100"/>
              <w:bottom w:type="dxa" w:w="60"/>
              <w:right w:type="dxa" w:w="100"/>
            </w:tcMar>
            <w:vAlign w:val="top"/>
          </w:tcPr>
          <w:p>
            <w:pPr>
              <w:spacing w:after="0" w:line="260"/>
            </w:pPr>
            <w:r>
              <w:rPr>
                <w:b w:val="false"/>
                <w:bCs w:val="false"/>
                <w:sz w:val="18"/>
                <w:szCs w:val="18"/>
              </w:rPr>
              <w:t xml:space="preserve">● 완전 가능</w:t>
            </w:r>
          </w:p>
        </w:tc>
      </w:tr>
      <w:tr>
        <w:tc>
          <w:tcPr>
            <w:tcMar>
              <w:top w:type="dxa" w:w="60"/>
              <w:left w:type="dxa" w:w="100"/>
              <w:bottom w:type="dxa" w:w="60"/>
              <w:right w:type="dxa" w:w="100"/>
            </w:tcMar>
            <w:vAlign w:val="top"/>
          </w:tcPr>
          <w:p>
            <w:pPr>
              <w:spacing w:after="0" w:line="260"/>
            </w:pPr>
            <w:r>
              <w:rPr>
                <w:b w:val="false"/>
                <w:bCs w:val="false"/>
                <w:sz w:val="18"/>
                <w:szCs w:val="18"/>
              </w:rPr>
              <w:t xml:space="preserve">모니터링 · 로그 · 헬스체크</w:t>
            </w:r>
          </w:p>
        </w:tc>
        <w:tc>
          <w:tcPr>
            <w:tcMar>
              <w:top w:type="dxa" w:w="60"/>
              <w:left w:type="dxa" w:w="100"/>
              <w:bottom w:type="dxa" w:w="60"/>
              <w:right w:type="dxa" w:w="100"/>
            </w:tcMar>
            <w:vAlign w:val="top"/>
          </w:tcPr>
          <w:p>
            <w:pPr>
              <w:spacing w:after="0" w:line="260"/>
            </w:pPr>
            <w:r>
              <w:rPr>
                <w:b w:val="false"/>
                <w:bCs w:val="false"/>
                <w:sz w:val="18"/>
                <w:szCs w:val="18"/>
              </w:rPr>
              <w:t xml:space="preserve">● 완전 가능</w:t>
            </w:r>
          </w:p>
        </w:tc>
      </w:tr>
      <w:tr>
        <w:tc>
          <w:tcPr>
            <w:tcMar>
              <w:top w:type="dxa" w:w="60"/>
              <w:left w:type="dxa" w:w="100"/>
              <w:bottom w:type="dxa" w:w="60"/>
              <w:right w:type="dxa" w:w="100"/>
            </w:tcMar>
            <w:vAlign w:val="top"/>
          </w:tcPr>
          <w:p>
            <w:pPr>
              <w:spacing w:after="0" w:line="260"/>
            </w:pPr>
            <w:r>
              <w:rPr>
                <w:b w:val="false"/>
                <w:bCs w:val="false"/>
                <w:sz w:val="18"/>
                <w:szCs w:val="18"/>
              </w:rPr>
              <w:t xml:space="preserve">이메일 발송 (규칙 엔진 알림)</w:t>
            </w:r>
          </w:p>
        </w:tc>
        <w:tc>
          <w:tcPr>
            <w:tcMar>
              <w:top w:type="dxa" w:w="60"/>
              <w:left w:type="dxa" w:w="100"/>
              <w:bottom w:type="dxa" w:w="60"/>
              <w:right w:type="dxa" w:w="100"/>
            </w:tcMar>
            <w:vAlign w:val="top"/>
          </w:tcPr>
          <w:p>
            <w:pPr>
              <w:spacing w:after="0" w:line="260"/>
            </w:pPr>
            <w:r>
              <w:rPr>
                <w:b w:val="false"/>
                <w:bCs w:val="false"/>
                <w:sz w:val="18"/>
                <w:szCs w:val="18"/>
              </w:rPr>
              <w:t xml:space="preserve">◑ 부분 가능</w:t>
            </w:r>
          </w:p>
        </w:tc>
      </w:tr>
      <w:tr>
        <w:tc>
          <w:tcPr>
            <w:tcMar>
              <w:top w:type="dxa" w:w="60"/>
              <w:left w:type="dxa" w:w="100"/>
              <w:bottom w:type="dxa" w:w="60"/>
              <w:right w:type="dxa" w:w="100"/>
            </w:tcMar>
            <w:vAlign w:val="top"/>
          </w:tcPr>
          <w:p>
            <w:pPr>
              <w:spacing w:after="0" w:line="260"/>
            </w:pPr>
            <w:r>
              <w:rPr>
                <w:b w:val="false"/>
                <w:bCs w:val="false"/>
                <w:sz w:val="18"/>
                <w:szCs w:val="18"/>
              </w:rPr>
              <w:t xml:space="preserve">인터랙티브 지도 (사업장 위치 시각화)</w:t>
            </w:r>
          </w:p>
        </w:tc>
        <w:tc>
          <w:tcPr>
            <w:tcMar>
              <w:top w:type="dxa" w:w="60"/>
              <w:left w:type="dxa" w:w="100"/>
              <w:bottom w:type="dxa" w:w="60"/>
              <w:right w:type="dxa" w:w="100"/>
            </w:tcMar>
            <w:vAlign w:val="top"/>
          </w:tcPr>
          <w:p>
            <w:pPr>
              <w:spacing w:after="0" w:line="260"/>
            </w:pPr>
            <w:r>
              <w:rPr>
                <w:b w:val="false"/>
                <w:bCs w:val="false"/>
                <w:sz w:val="18"/>
                <w:szCs w:val="18"/>
              </w:rPr>
              <w:t xml:space="preserve">○ 불가능</w:t>
            </w:r>
          </w:p>
        </w:tc>
      </w:tr>
      <w:tr>
        <w:tc>
          <w:tcPr>
            <w:tcMar>
              <w:top w:type="dxa" w:w="60"/>
              <w:left w:type="dxa" w:w="100"/>
              <w:bottom w:type="dxa" w:w="60"/>
              <w:right w:type="dxa" w:w="100"/>
            </w:tcMar>
            <w:vAlign w:val="top"/>
          </w:tcPr>
          <w:p>
            <w:pPr>
              <w:spacing w:after="0" w:line="260"/>
            </w:pPr>
            <w:r>
              <w:rPr>
                <w:b w:val="false"/>
                <w:bCs w:val="false"/>
                <w:sz w:val="18"/>
                <w:szCs w:val="18"/>
              </w:rPr>
              <w:t xml:space="preserve">상용 배출계수 데이터 라이선스</w:t>
            </w:r>
          </w:p>
        </w:tc>
        <w:tc>
          <w:tcPr>
            <w:tcMar>
              <w:top w:type="dxa" w:w="60"/>
              <w:left w:type="dxa" w:w="100"/>
              <w:bottom w:type="dxa" w:w="60"/>
              <w:right w:type="dxa" w:w="100"/>
            </w:tcMar>
            <w:vAlign w:val="top"/>
          </w:tcPr>
          <w:p>
            <w:pPr>
              <w:spacing w:after="0" w:line="260"/>
            </w:pPr>
            <w:r>
              <w:rPr>
                <w:b w:val="false"/>
                <w:bCs w:val="false"/>
                <w:sz w:val="18"/>
                <w:szCs w:val="18"/>
              </w:rPr>
              <w:t xml:space="preserve">— 인프라와 무관</w:t>
            </w:r>
          </w:p>
        </w:tc>
      </w:tr>
      <w:tr>
        <w:tc>
          <w:tcPr>
            <w:tcMar>
              <w:top w:type="dxa" w:w="60"/>
              <w:left w:type="dxa" w:w="100"/>
              <w:bottom w:type="dxa" w:w="60"/>
              <w:right w:type="dxa" w:w="100"/>
            </w:tcMar>
            <w:vAlign w:val="top"/>
          </w:tcPr>
          <w:p>
            <w:pPr>
              <w:spacing w:after="0" w:line="260"/>
            </w:pPr>
            <w:r>
              <w:rPr>
                <w:b w:val="false"/>
                <w:bCs w:val="false"/>
                <w:sz w:val="18"/>
                <w:szCs w:val="18"/>
              </w:rPr>
              <w:t xml:space="preserve">제3자 검증기관 선정, 규제 제출(SBTi/CDP/CSRD 등)</w:t>
            </w:r>
          </w:p>
        </w:tc>
        <w:tc>
          <w:tcPr>
            <w:tcMar>
              <w:top w:type="dxa" w:w="60"/>
              <w:left w:type="dxa" w:w="100"/>
              <w:bottom w:type="dxa" w:w="60"/>
              <w:right w:type="dxa" w:w="100"/>
            </w:tcMar>
            <w:vAlign w:val="top"/>
          </w:tcPr>
          <w:p>
            <w:pPr>
              <w:spacing w:after="0" w:line="260"/>
            </w:pPr>
            <w:r>
              <w:rPr>
                <w:b w:val="false"/>
                <w:bCs w:val="false"/>
                <w:sz w:val="18"/>
                <w:szCs w:val="18"/>
              </w:rPr>
              <w:t xml:space="preserve">— 인프라와 무관</w:t>
            </w:r>
          </w:p>
        </w:tc>
      </w:tr>
    </w:tbl>
    <w:p>
      <w:pPr>
        <w:spacing w:after="320"/>
      </w:pPr>
    </w:p>
    <w:p>
      <w:pPr>
        <w:pStyle w:val="Heading2"/>
        <w:spacing w:after="100" w:before="200"/>
      </w:pPr>
      <w:r>
        <w:rPr>
          <w:b/>
          <w:bCs/>
        </w:rPr>
        <w:t xml:space="preserve">목차</w:t>
      </w:r>
    </w:p>
    <w:sdt>
      <w:sdtPr>
        <w:alias w:val="목차"/>
      </w:sdtPr>
      <w:sdtContent>
        <w:p>
          <w:r>
            <w:fldChar w:fldCharType="begin" w:dirty="true"/>
            <w:instrText xml:space="preserve">TOC \h \o "1-1"</w:instrText>
            <w:fldChar w:fldCharType="separate"/>
          </w:r>
        </w:p>
        <w:p>
          <w:r>
            <w:fldChar w:fldCharType="end"/>
          </w:r>
        </w:p>
      </w:sdtContent>
    </w:sdt>
    <w:p>
      <w:pPr>
        <w:pStyle w:val="Heading1"/>
        <w:spacing w:after="140" w:before="320"/>
      </w:pPr>
      <w:r>
        <w:rPr>
          <w:b/>
          <w:bCs/>
        </w:rPr>
        <w:t xml:space="preserve">1. 데이터베이스 · 인증 · 파일 저장소</w:t>
      </w:r>
    </w:p>
    <w:p>
      <w:pPr>
        <w:pStyle w:val="Heading2"/>
        <w:spacing w:after="100" w:before="200"/>
      </w:pPr>
      <w:r>
        <w:rPr>
          <w:b/>
          <w:bCs/>
        </w:rPr>
        <w:t xml:space="preserve">PostgreSQL 데이터베이스</w:t>
      </w:r>
    </w:p>
    <w:p>
      <w:pPr>
        <w:spacing w:after="120" w:line="300"/>
      </w:pPr>
      <w:r>
        <w:rPr>
          <w:b/>
          <w:bCs/>
        </w:rPr>
        <w:t xml:space="preserve">판정: ● 완전 가능</w:t>
      </w:r>
    </w:p>
    <w:p>
      <w:pPr>
        <w:spacing w:after="120" w:line="300"/>
      </w:pPr>
      <w:r>
        <w:rPr>
          <w:b w:val="false"/>
          <w:bCs w:val="false"/>
        </w:rPr>
        <w:t xml:space="preserve">근거: Supabase가 관리형 PostgreSQL을 제공하며, 이 코드베이스는 이미 전적으로 Supabase Postgres를 전제로 설계되어 있습니다(DATABASE_URL/DIRECT_URL).</w:t>
      </w:r>
    </w:p>
    <w:p>
      <w:pPr>
        <w:spacing w:after="120" w:line="300"/>
      </w:pPr>
      <w:r>
        <w:rPr>
          <w:b w:val="false"/>
          <w:bCs w:val="false"/>
        </w:rPr>
        <w:t xml:space="preserve">필요한 조치: 설정 가이드 3절 그대로 진행하면 됩니다. 추가 조치가 필요하지 않습니다.</w:t>
      </w:r>
    </w:p>
    <w:p>
      <w:pPr>
        <w:spacing w:after="160"/>
      </w:pPr>
    </w:p>
    <w:p>
      <w:pPr>
        <w:pStyle w:val="Heading2"/>
        <w:spacing w:after="100" w:before="200"/>
      </w:pPr>
      <w:r>
        <w:rPr>
          <w:b/>
          <w:bCs/>
        </w:rPr>
        <w:t xml:space="preserve">pgvector 시맨틱 검색</w:t>
      </w:r>
    </w:p>
    <w:p>
      <w:pPr>
        <w:spacing w:after="120" w:line="300"/>
      </w:pPr>
      <w:r>
        <w:rPr>
          <w:b/>
          <w:bCs/>
        </w:rPr>
        <w:t xml:space="preserve">판정: ● 완전 가능</w:t>
      </w:r>
    </w:p>
    <w:p>
      <w:pPr>
        <w:spacing w:after="120" w:line="300"/>
      </w:pPr>
      <w:r>
        <w:rPr>
          <w:b w:val="false"/>
          <w:bCs w:val="false"/>
        </w:rPr>
        <w:t xml:space="preserve">근거: Supabase Postgres는 pgvector 확장을 대시보드에서 바로 활성화할 수 있습니다.</w:t>
      </w:r>
    </w:p>
    <w:p>
      <w:pPr>
        <w:spacing w:after="120" w:line="300"/>
      </w:pPr>
      <w:r>
        <w:rPr>
          <w:b w:val="false"/>
          <w:bCs w:val="false"/>
        </w:rPr>
        <w:t xml:space="preserve">필요한 조치: 설정 가이드 3절대로 확장을 켜고 `npm run embeddings:backfill`을 실행하십시오.</w:t>
      </w:r>
    </w:p>
    <w:p>
      <w:pPr>
        <w:spacing w:after="160"/>
      </w:pPr>
    </w:p>
    <w:p>
      <w:pPr>
        <w:pStyle w:val="Heading2"/>
        <w:spacing w:after="100" w:before="200"/>
      </w:pPr>
      <w:r>
        <w:rPr>
          <w:b/>
          <w:bCs/>
        </w:rPr>
        <w:t xml:space="preserve">이메일·비밀번호 로그인, Google/Microsoft OAuth</w:t>
      </w:r>
    </w:p>
    <w:p>
      <w:pPr>
        <w:spacing w:after="120" w:line="300"/>
      </w:pPr>
      <w:r>
        <w:rPr>
          <w:b/>
          <w:bCs/>
        </w:rPr>
        <w:t xml:space="preserve">판정: ● 완전 가능</w:t>
      </w:r>
    </w:p>
    <w:p>
      <w:pPr>
        <w:spacing w:after="120" w:line="300"/>
      </w:pPr>
      <w:r>
        <w:rPr>
          <w:b w:val="false"/>
          <w:bCs w:val="false"/>
        </w:rPr>
        <w:t xml:space="preserve">근거: Supabase Auth가 이미 이 기능의 기반이며, 설정 가이드 2절이 이를 다룹니다.</w:t>
      </w:r>
    </w:p>
    <w:p>
      <w:pPr>
        <w:spacing w:after="120" w:line="300"/>
      </w:pPr>
      <w:r>
        <w:rPr>
          <w:b w:val="false"/>
          <w:bCs w:val="false"/>
        </w:rPr>
        <w:t xml:space="preserve">필요한 조치: 추가 조치가 필요하지 않습니다.</w:t>
      </w:r>
    </w:p>
    <w:p>
      <w:pPr>
        <w:spacing w:after="160"/>
      </w:pPr>
    </w:p>
    <w:p>
      <w:pPr>
        <w:pStyle w:val="Heading2"/>
        <w:spacing w:after="100" w:before="200"/>
      </w:pPr>
      <w:r>
        <w:rPr>
          <w:b/>
          <w:bCs/>
        </w:rPr>
        <w:t xml:space="preserve">다요소인증(MFA, TOTP)</w:t>
      </w:r>
    </w:p>
    <w:p>
      <w:pPr>
        <w:spacing w:after="120" w:line="300"/>
      </w:pPr>
      <w:r>
        <w:rPr>
          <w:b/>
          <w:bCs/>
        </w:rPr>
        <w:t xml:space="preserve">판정: ● 완전 가능</w:t>
      </w:r>
    </w:p>
    <w:p>
      <w:pPr>
        <w:spacing w:after="120" w:line="300"/>
      </w:pPr>
      <w:r>
        <w:rPr>
          <w:b w:val="false"/>
          <w:bCs w:val="false"/>
        </w:rPr>
        <w:t xml:space="preserve">근거: Supabase Auth가 TOTP 기반 MFA를 네이티브로 제공합니다(Authentication → Multi-Factor Authentication).</w:t>
      </w:r>
    </w:p>
    <w:p>
      <w:pPr>
        <w:spacing w:after="120" w:line="300"/>
      </w:pPr>
      <w:r>
        <w:rPr>
          <w:b w:val="false"/>
          <w:bCs w:val="false"/>
        </w:rPr>
        <w:t xml:space="preserve">필요한 조치: 설정 가이드 2절의 안내대로 활성화하십시오. 추가 개발이 필요하지 않습니다.</w:t>
      </w:r>
    </w:p>
    <w:p>
      <w:pPr>
        <w:spacing w:after="160"/>
      </w:pPr>
    </w:p>
    <w:p>
      <w:pPr>
        <w:pStyle w:val="Heading2"/>
        <w:spacing w:after="100" w:before="200"/>
      </w:pPr>
      <w:r>
        <w:rPr>
          <w:b/>
          <w:bCs/>
        </w:rPr>
        <w:t xml:space="preserve">증빙 파일 · 보고서 산출물 저장소</w:t>
      </w:r>
    </w:p>
    <w:p>
      <w:pPr>
        <w:spacing w:after="120" w:line="300"/>
      </w:pPr>
      <w:r>
        <w:rPr>
          <w:b/>
          <w:bCs/>
        </w:rPr>
        <w:t xml:space="preserve">판정: ◐ 가능 (코드 변경 필요)</w:t>
      </w:r>
    </w:p>
    <w:p>
      <w:pPr>
        <w:spacing w:after="120" w:line="300"/>
      </w:pPr>
      <w:r>
        <w:rPr>
          <w:b w:val="false"/>
          <w:bCs w:val="false"/>
        </w:rPr>
        <w:t xml:space="preserve">근거: Supabase Storage가 버킷·정책·서명 URL을 모두 지원합니다. 현재 코드는 src/lib/storage 팩토리 패턴으로 준비되어 있으나, 실제 저장 구현체는 아직 프로세스 메모리(MemoryObjectStorageClient)뿐입니다.</w:t>
      </w:r>
    </w:p>
    <w:p>
      <w:pPr>
        <w:spacing w:after="120" w:line="300"/>
      </w:pPr>
      <w:r>
        <w:rPr>
          <w:b w:val="false"/>
          <w:bCs w:val="false"/>
        </w:rPr>
        <w:t xml:space="preserve">필요한 조치: Supabase Storage에 연결하는 SupabaseObjectStorageClient를 추가 개발해 getObjectStorageClient()가 이를 선택하도록 연결하는 코드 작업이 필요합니다(설정 가이드 2절에서 만든 evidence/reports 버킷 재사용).</w:t>
      </w:r>
    </w:p>
    <w:p>
      <w:pPr>
        <w:spacing w:after="160"/>
      </w:pPr>
    </w:p>
    <w:p>
      <w:pPr>
        <w:pStyle w:val="Heading1"/>
        <w:spacing w:after="140" w:before="320"/>
      </w:pPr>
      <w:r>
        <w:rPr>
          <w:b/>
          <w:bCs/>
        </w:rPr>
        <w:t xml:space="preserve">2. 테넌트 격리 · 조직 간 데이터 보호</w:t>
      </w:r>
    </w:p>
    <w:p>
      <w:pPr>
        <w:pStyle w:val="Heading2"/>
        <w:spacing w:after="100" w:before="200"/>
      </w:pPr>
      <w:r>
        <w:rPr>
          <w:b/>
          <w:bCs/>
        </w:rPr>
        <w:t xml:space="preserve">Row-Level Security(RLS)</w:t>
      </w:r>
    </w:p>
    <w:p>
      <w:pPr>
        <w:spacing w:after="120" w:line="300"/>
      </w:pPr>
      <w:r>
        <w:rPr>
          <w:b/>
          <w:bCs/>
        </w:rPr>
        <w:t xml:space="preserve">판정: ● 완전 가능</w:t>
      </w:r>
    </w:p>
    <w:p>
      <w:pPr>
        <w:spacing w:after="120" w:line="300"/>
      </w:pPr>
      <w:r>
        <w:rPr>
          <w:b w:val="false"/>
          <w:bCs w:val="false"/>
        </w:rPr>
        <w:t xml:space="preserve">근거: PostgreSQL 네이티브 기능이며 Supabase 대시보드/CLI로 정책을 정의합니다. 애플리케이션 계층 검증(이번 세션에서 구현한 OrganizationMembership 기반 검증)에 더해 데이터베이스 계층 방어를 추가할 수 있습니다.</w:t>
      </w:r>
    </w:p>
    <w:p>
      <w:pPr>
        <w:spacing w:after="120" w:line="300"/>
      </w:pPr>
      <w:r>
        <w:rPr>
          <w:b w:val="false"/>
          <w:bCs w:val="false"/>
        </w:rPr>
        <w:t xml:space="preserve">필요한 조치: 실 데이터베이스 프로비저닝 후 조직 단위 RLS 정책을 테이블별로 추가하는 마이그레이션 작업이 필요합니다(별도 개발).</w:t>
      </w:r>
    </w:p>
    <w:p>
      <w:pPr>
        <w:spacing w:after="160"/>
      </w:pPr>
    </w:p>
    <w:p>
      <w:pPr>
        <w:pStyle w:val="Heading1"/>
        <w:spacing w:after="140" w:before="320"/>
      </w:pPr>
      <w:r>
        <w:rPr>
          <w:b/>
          <w:bCs/>
        </w:rPr>
        <w:t xml:space="preserve">3. 엔터프라이즈 인증 (SSO/SAML)</w:t>
      </w:r>
    </w:p>
    <w:p>
      <w:pPr>
        <w:pStyle w:val="Heading2"/>
        <w:spacing w:after="100" w:before="200"/>
      </w:pPr>
      <w:r>
        <w:rPr>
          <w:b/>
          <w:bCs/>
        </w:rPr>
        <w:t xml:space="preserve">SAML 2.0 기반 SSO (Okta, Azure AD, Google Workspace 등)</w:t>
      </w:r>
    </w:p>
    <w:p>
      <w:pPr>
        <w:spacing w:after="120" w:line="300"/>
      </w:pPr>
      <w:r>
        <w:rPr>
          <w:b/>
          <w:bCs/>
        </w:rPr>
        <w:t xml:space="preserve">판정: ● 완전 가능</w:t>
      </w:r>
    </w:p>
    <w:p>
      <w:pPr>
        <w:spacing w:after="120" w:line="300"/>
      </w:pPr>
      <w:r>
        <w:rPr>
          <w:b w:val="false"/>
          <w:bCs w:val="false"/>
        </w:rPr>
        <w:t xml:space="preserve">근거: Supabase Auth는 SAML 2.0 호환 IdP에 대한 엔터프라이즈 SSO를 네이티브로 지원합니다(공식 문서: supabase.com/docs/guides/auth/enterprise-sso). Pro 플랜 이상에서 제공되며, 설정에는 Supabase CLI가 필요합니다.</w:t>
      </w:r>
    </w:p>
    <w:p>
      <w:pPr>
        <w:spacing w:after="120" w:line="300"/>
      </w:pPr>
      <w:r>
        <w:rPr>
          <w:b w:val="false"/>
          <w:bCs w:val="false"/>
        </w:rPr>
        <w:t xml:space="preserve">필요한 조치: Pro 플랜 이상으로 업그레이드한 뒤 Supabase CLI로 SAML 커넥터를 등록하는 설정 작업입니다. 애플리케이션 코드 변경은 필요하지 않습니다(Supabase Auth가 세션을 그대로 발급).</w:t>
      </w:r>
    </w:p>
    <w:p>
      <w:pPr>
        <w:spacing w:after="160"/>
      </w:pPr>
    </w:p>
    <w:p>
      <w:pPr>
        <w:pStyle w:val="Heading1"/>
        <w:spacing w:after="140" w:before="320"/>
      </w:pPr>
      <w:r>
        <w:rPr>
          <w:b/>
          <w:bCs/>
        </w:rPr>
        <w:t xml:space="preserve">4. AI / 언어모델 (서술형 근거·설명 생성)</w:t>
      </w:r>
    </w:p>
    <w:p>
      <w:pPr>
        <w:pStyle w:val="Heading2"/>
        <w:spacing w:after="100" w:before="200"/>
      </w:pPr>
      <w:r>
        <w:rPr>
          <w:b/>
          <w:bCs/>
        </w:rPr>
        <w:t xml:space="preserve">서술형 텍스트 생성 (계산 근거, 설명)</w:t>
      </w:r>
    </w:p>
    <w:p>
      <w:pPr>
        <w:spacing w:after="120" w:line="300"/>
      </w:pPr>
      <w:r>
        <w:rPr>
          <w:b/>
          <w:bCs/>
        </w:rPr>
        <w:t xml:space="preserve">판정: ◐ 가능 (코드 변경 필요)</w:t>
      </w:r>
    </w:p>
    <w:p>
      <w:pPr>
        <w:spacing w:after="120" w:line="300"/>
      </w:pPr>
      <w:r>
        <w:rPr>
          <w:b w:val="false"/>
          <w:bCs w:val="false"/>
        </w:rPr>
        <w:t xml:space="preserve">근거: Vercel AI Gateway는 기본 인증 방식이 Vercel 계정의 OIDC 토큰이라 별도의 OpenAI 계정·API 키가 필요하지 않습니다. Vercel 팀마다 매월 무료 크레딧이 제공되고, 이후 사용량은 Vercel 청구서로 결제됩니다(공급자 정가, 마크업 없음).</w:t>
      </w:r>
    </w:p>
    <w:p>
      <w:pPr>
        <w:spacing w:after="120" w:line="300"/>
      </w:pPr>
      <w:r>
        <w:rPr>
          <w:b w:val="false"/>
          <w:bCs w:val="false"/>
        </w:rPr>
        <w:t xml:space="preserve">필요한 조치: 현재 src/lib/ai/llm이 OpenAI SDK를 직접 호출하는 구조를 Vercel AI SDK(`ai` 패키지)의 `"provider/model"` 문자열 기반 호출로 전환하는 코드 작업이 필요합니다. 전환 후에는 OPENAI_API_KEY 없이 Vercel 프로젝트에서 AI Gateway를 활성화하는 것만으로 동작합니다.</w:t>
      </w:r>
    </w:p>
    <w:p>
      <w:pPr>
        <w:spacing w:after="160"/>
      </w:pPr>
    </w:p>
    <w:p>
      <w:pPr>
        <w:pStyle w:val="Heading2"/>
        <w:spacing w:after="100" w:before="200"/>
      </w:pPr>
      <w:r>
        <w:rPr>
          <w:b/>
          <w:bCs/>
        </w:rPr>
        <w:t xml:space="preserve">임베딩 생성 (pgvector 시맨틱 검색용)</w:t>
      </w:r>
    </w:p>
    <w:p>
      <w:pPr>
        <w:spacing w:after="120" w:line="300"/>
      </w:pPr>
      <w:r>
        <w:rPr>
          <w:b/>
          <w:bCs/>
        </w:rPr>
        <w:t xml:space="preserve">판정: ◑ 부분 가능</w:t>
      </w:r>
    </w:p>
    <w:p>
      <w:pPr>
        <w:spacing w:after="120" w:line="300"/>
      </w:pPr>
      <w:r>
        <w:rPr>
          <w:b w:val="false"/>
          <w:bCs w:val="false"/>
        </w:rPr>
        <w:t xml:space="preserve">근거: Vercel AI Gateway는 텍스트·이미지 생성만 중계하며, 임베딩은 대상에서 제외되어 있습니다(공식 가이드에 명시). 즉 실제 OpenAI 임베딩을 쓰려면 여전히 별도 OpenAI 키가 필요합니다.</w:t>
      </w:r>
    </w:p>
    <w:p>
      <w:pPr>
        <w:spacing w:after="120" w:line="300"/>
      </w:pPr>
      <w:r>
        <w:rPr>
          <w:b w:val="false"/>
          <w:bCs w:val="false"/>
        </w:rPr>
        <w:t xml:space="preserve">필요한 조치: ① 정밀한 의미 검색이 필요하면 OpenAI 임베딩 키를 그대로 유지하거나, ② Vercel/Supabase만으로 한정하려면 이미 구현되어 있는 결정론적 임베딩(mulberry32 기반, src/lib/ai/embeddings/deterministic-embeddings-client.ts)을 그대로 사용하십시오 — 검색은 동작하지만 실제 의미 유사도 품질은 OpenAI 임베딩보다 낮습니다.</w:t>
      </w:r>
    </w:p>
    <w:p>
      <w:pPr>
        <w:spacing w:after="160"/>
      </w:pPr>
    </w:p>
    <w:p>
      <w:pPr>
        <w:pStyle w:val="Heading1"/>
        <w:spacing w:after="140" w:before="320"/>
      </w:pPr>
      <w:r>
        <w:rPr>
          <w:b/>
          <w:bCs/>
        </w:rPr>
        <w:t xml:space="preserve">5. 배포 · 도메인 · API 레이트리밋 · 비동기 처리</w:t>
      </w:r>
    </w:p>
    <w:p>
      <w:pPr>
        <w:pStyle w:val="Heading2"/>
        <w:spacing w:after="100" w:before="200"/>
      </w:pPr>
      <w:r>
        <w:rPr>
          <w:b/>
          <w:bCs/>
        </w:rPr>
        <w:t xml:space="preserve">호스팅 · 배포</w:t>
      </w:r>
    </w:p>
    <w:p>
      <w:pPr>
        <w:spacing w:after="120" w:line="300"/>
      </w:pPr>
      <w:r>
        <w:rPr>
          <w:b/>
          <w:bCs/>
        </w:rPr>
        <w:t xml:space="preserve">판정: ● 완전 가능</w:t>
      </w:r>
    </w:p>
    <w:p>
      <w:pPr>
        <w:spacing w:after="120" w:line="300"/>
      </w:pPr>
      <w:r>
        <w:rPr>
          <w:b w:val="false"/>
          <w:bCs w:val="false"/>
        </w:rPr>
        <w:t xml:space="preserve">근거: 설정 가이드 8절이 이미 Vercel을 배포 옵션 중 하나로 다루고 있습니다.</w:t>
      </w:r>
    </w:p>
    <w:p>
      <w:pPr>
        <w:spacing w:after="120" w:line="300"/>
      </w:pPr>
      <w:r>
        <w:rPr>
          <w:b w:val="false"/>
          <w:bCs w:val="false"/>
        </w:rPr>
        <w:t xml:space="preserve">필요한 조치: Docker 경로 대신 Vercel 경로만 선택해 진행하면 됩니다.</w:t>
      </w:r>
    </w:p>
    <w:p>
      <w:pPr>
        <w:spacing w:after="160"/>
      </w:pPr>
    </w:p>
    <w:p>
      <w:pPr>
        <w:pStyle w:val="Heading2"/>
        <w:spacing w:after="100" w:before="200"/>
      </w:pPr>
      <w:r>
        <w:rPr>
          <w:b/>
          <w:bCs/>
        </w:rPr>
        <w:t xml:space="preserve">도메인 · DNS · SSL</w:t>
      </w:r>
    </w:p>
    <w:p>
      <w:pPr>
        <w:spacing w:after="120" w:line="300"/>
      </w:pPr>
      <w:r>
        <w:rPr>
          <w:b/>
          <w:bCs/>
        </w:rPr>
        <w:t xml:space="preserve">판정: ● 완전 가능</w:t>
      </w:r>
    </w:p>
    <w:p>
      <w:pPr>
        <w:spacing w:after="120" w:line="300"/>
      </w:pPr>
      <w:r>
        <w:rPr>
          <w:b w:val="false"/>
          <w:bCs w:val="false"/>
        </w:rPr>
        <w:t xml:space="preserve">근거: Vercel이 도메인 연결, DNS 관리, SSL 인증서 자동 발급·갱신을 자체 제공합니다.</w:t>
      </w:r>
    </w:p>
    <w:p>
      <w:pPr>
        <w:spacing w:after="120" w:line="300"/>
      </w:pPr>
      <w:r>
        <w:rPr>
          <w:b w:val="false"/>
          <w:bCs w:val="false"/>
        </w:rPr>
        <w:t xml:space="preserve">필요한 조치: Vercel 프로젝트의 Domains 설정에서 진행하십시오. 별도 인증서 공급자가 필요하지 않습니다.</w:t>
      </w:r>
    </w:p>
    <w:p>
      <w:pPr>
        <w:spacing w:after="160"/>
      </w:pPr>
    </w:p>
    <w:p>
      <w:pPr>
        <w:pStyle w:val="Heading2"/>
        <w:spacing w:after="100" w:before="200"/>
      </w:pPr>
      <w:r>
        <w:rPr>
          <w:b/>
          <w:bCs/>
        </w:rPr>
        <w:t xml:space="preserve">API 키별 레이트리밋 (다중 서버 인스턴스 대응)</w:t>
      </w:r>
    </w:p>
    <w:p>
      <w:pPr>
        <w:spacing w:after="120" w:line="300"/>
      </w:pPr>
      <w:r>
        <w:rPr>
          <w:b/>
          <w:bCs/>
        </w:rPr>
        <w:t xml:space="preserve">판정: ◐ 가능 (코드 변경 필요)</w:t>
      </w:r>
    </w:p>
    <w:p>
      <w:pPr>
        <w:spacing w:after="120" w:line="300"/>
      </w:pPr>
      <w:r>
        <w:rPr>
          <w:b w:val="false"/>
          <w:bCs w:val="false"/>
        </w:rPr>
        <w:t xml:space="preserve">근거: 현재 구현은 프로세스 메모리 기반이라 인스턴스마다 한도가 개별 적용됩니다(REDIS_URL은 선택 사항으로 문서화되어 있으나 미구현). Vercel Firewall의 레이트리밋 규칙은 IP·JA4 기준으로는 모든 플랜에서 가능하지만, API 키처럼 특정 헤더 값 기준의 카운팅은 Enterprise 플랜에서만 지원됩니다.</w:t>
      </w:r>
    </w:p>
    <w:p>
      <w:pPr>
        <w:spacing w:after="120" w:line="300"/>
      </w:pPr>
      <w:r>
        <w:rPr>
          <w:b w:val="false"/>
          <w:bCs w:val="false"/>
        </w:rPr>
        <w:t xml:space="preserve">필요한 조치: Redis 없이 다중 인스턴스에서 정확한 API 키별 한도를 적용하려면, Supabase Postgres 테이블(원자적 UPDATE 기반 토큰 버킷)로 레이트리미터를 구현하는 코드 작업을 권장합니다. getRateLimiter() 팩토리 접점이 이미 준비되어 있어 구현체만 교체하면 됩니다. 보조적으로 Vercel Firewall의 IP 단위 레이트리밋 규칙을 무료로 함께 적용할 수 있습니다.</w:t>
      </w:r>
    </w:p>
    <w:p>
      <w:pPr>
        <w:spacing w:after="160"/>
      </w:pPr>
    </w:p>
    <w:p>
      <w:pPr>
        <w:pStyle w:val="Heading2"/>
        <w:spacing w:after="100" w:before="200"/>
      </w:pPr>
      <w:r>
        <w:rPr>
          <w:b/>
          <w:bCs/>
        </w:rPr>
        <w:t xml:space="preserve">배출량 계산의 비동기 처리 (대량 데이터셋 타임아웃 방지)</w:t>
      </w:r>
    </w:p>
    <w:p>
      <w:pPr>
        <w:spacing w:after="120" w:line="300"/>
      </w:pPr>
      <w:r>
        <w:rPr>
          <w:b/>
          <w:bCs/>
        </w:rPr>
        <w:t xml:space="preserve">판정: ◐ 가능 (코드 변경 필요)</w:t>
      </w:r>
    </w:p>
    <w:p>
      <w:pPr>
        <w:spacing w:after="120" w:line="300"/>
      </w:pPr>
      <w:r>
        <w:rPr>
          <w:b w:val="false"/>
          <w:bCs w:val="false"/>
        </w:rPr>
        <w:t xml:space="preserve">근거: Vercel Workflow DevKit(단계·재시도·일시정지/재개를 지원하는 내구성 워크플로 엔진)과 Vercel Queues(재시도 가능한 이벤트 스트리밍)가 모두 Vercel 자체 인프라로 제공됩니다. 별도 Redis·BullMQ 없이 비동기 작업과 상태 조회를 구현할 수 있습니다.</w:t>
      </w:r>
    </w:p>
    <w:p>
      <w:pPr>
        <w:spacing w:after="120" w:line="300"/>
      </w:pPr>
      <w:r>
        <w:rPr>
          <w:b w:val="false"/>
          <w:bCs w:val="false"/>
        </w:rPr>
        <w:t xml:space="preserve">필요한 조치: POST /api/v1/calculations의 동기 실행을 Vercel Workflow(`"use workflow"`/`"use step"`)로 전환하고, 실행 상태를 조회하는 폴링 엔드포인트를 추가하는 코드 작업이 필요합니다.</w:t>
      </w:r>
    </w:p>
    <w:p>
      <w:pPr>
        <w:spacing w:after="160"/>
      </w:pPr>
    </w:p>
    <w:p>
      <w:pPr>
        <w:pStyle w:val="Heading1"/>
        <w:spacing w:after="140" w:before="320"/>
      </w:pPr>
      <w:r>
        <w:rPr>
          <w:b/>
          <w:bCs/>
        </w:rPr>
        <w:t xml:space="preserve">6. 백업 · 모니터링 · 운영</w:t>
      </w:r>
    </w:p>
    <w:p>
      <w:pPr>
        <w:pStyle w:val="Heading2"/>
        <w:spacing w:after="100" w:before="200"/>
      </w:pPr>
      <w:r>
        <w:rPr>
          <w:b/>
          <w:bCs/>
        </w:rPr>
        <w:t xml:space="preserve">데이터베이스 백업</w:t>
      </w:r>
    </w:p>
    <w:p>
      <w:pPr>
        <w:spacing w:after="120" w:line="300"/>
      </w:pPr>
      <w:r>
        <w:rPr>
          <w:b/>
          <w:bCs/>
        </w:rPr>
        <w:t xml:space="preserve">판정: ● 완전 가능</w:t>
      </w:r>
    </w:p>
    <w:p>
      <w:pPr>
        <w:spacing w:after="120" w:line="300"/>
      </w:pPr>
      <w:r>
        <w:rPr>
          <w:b w:val="false"/>
          <w:bCs w:val="false"/>
        </w:rPr>
        <w:t xml:space="preserve">근거: Supabase는 Pro 플랜부터 일 단위 백업(최근 7일)을 기본 제공하며, Point-in-Time Recovery(PITR)를 추가 옵션(7일 보존당 월 100달러)으로 제공합니다.</w:t>
      </w:r>
    </w:p>
    <w:p>
      <w:pPr>
        <w:spacing w:after="120" w:line="300"/>
      </w:pPr>
      <w:r>
        <w:rPr>
          <w:b w:val="false"/>
          <w:bCs w:val="false"/>
        </w:rPr>
        <w:t xml:space="preserve">필요한 조치: 운영 요구 수준에 맞춰 Pro 플랜과 필요 시 PITR을 추가하십시오.</w:t>
      </w:r>
    </w:p>
    <w:p>
      <w:pPr>
        <w:spacing w:after="160"/>
      </w:pPr>
    </w:p>
    <w:p>
      <w:pPr>
        <w:pStyle w:val="Heading2"/>
        <w:spacing w:after="100" w:before="200"/>
      </w:pPr>
      <w:r>
        <w:rPr>
          <w:b/>
          <w:bCs/>
        </w:rPr>
        <w:t xml:space="preserve">모니터링 · 로그 · 헬스체크</w:t>
      </w:r>
    </w:p>
    <w:p>
      <w:pPr>
        <w:spacing w:after="120" w:line="300"/>
      </w:pPr>
      <w:r>
        <w:rPr>
          <w:b/>
          <w:bCs/>
        </w:rPr>
        <w:t xml:space="preserve">판정: ● 완전 가능</w:t>
      </w:r>
    </w:p>
    <w:p>
      <w:pPr>
        <w:spacing w:after="120" w:line="300"/>
      </w:pPr>
      <w:r>
        <w:rPr>
          <w:b w:val="false"/>
          <w:bCs w:val="false"/>
        </w:rPr>
        <w:t xml:space="preserve">근거: Vercel은 자체 Observability(로그·트레이스, Observability Plus에서 메트릭 API)를 제공하고, Supabase도 자체 로그·Advisor를 제공합니다. 이번 세션에서 실제 DB 연결성을 확인하는 /api/v1/health도 이미 구현되어 있습니다.</w:t>
      </w:r>
    </w:p>
    <w:p>
      <w:pPr>
        <w:spacing w:after="120" w:line="300"/>
      </w:pPr>
      <w:r>
        <w:rPr>
          <w:b w:val="false"/>
          <w:bCs w:val="false"/>
        </w:rPr>
        <w:t xml:space="preserve">필요한 조치: 전용 APM(Sentry 등)이 꼭 필요하지 않다면 Vercel Observability와 Supabase 로그만으로 운영 가시성을 확보할 수 있습니다. 더 정교한 알림이 필요하면 Vercel Marketplace에서 옵서버빌리티 카테고리 통합을 추가하는 선택지도 있습니다.</w:t>
      </w:r>
    </w:p>
    <w:p>
      <w:pPr>
        <w:spacing w:after="160"/>
      </w:pPr>
    </w:p>
    <w:p>
      <w:pPr>
        <w:pStyle w:val="Heading1"/>
        <w:spacing w:after="140" w:before="320"/>
      </w:pPr>
      <w:r>
        <w:rPr>
          <w:b/>
          <w:bCs/>
        </w:rPr>
        <w:t xml:space="preserve">7. 부분적으로만 가능하거나 인프라와 무관한 항목</w:t>
      </w:r>
    </w:p>
    <w:p>
      <w:pPr>
        <w:pStyle w:val="Heading2"/>
        <w:spacing w:after="100" w:before="200"/>
      </w:pPr>
      <w:r>
        <w:rPr>
          <w:b/>
          <w:bCs/>
        </w:rPr>
        <w:t xml:space="preserve">이메일 발송 (규칙 엔진 알림)</w:t>
      </w:r>
    </w:p>
    <w:p>
      <w:pPr>
        <w:spacing w:after="120" w:line="300"/>
      </w:pPr>
      <w:r>
        <w:rPr>
          <w:b/>
          <w:bCs/>
        </w:rPr>
        <w:t xml:space="preserve">판정: ◑ 부분 가능</w:t>
      </w:r>
    </w:p>
    <w:p>
      <w:pPr>
        <w:spacing w:after="120" w:line="300"/>
      </w:pPr>
      <w:r>
        <w:rPr>
          <w:b w:val="false"/>
          <w:bCs w:val="false"/>
        </w:rPr>
        <w:t xml:space="preserve">근거: Supabase의 내장 이메일은 시간당 2통으로 제한되고 인증 흐름 전용이라 알림 발송에 쓸 수 없습니다. Vercel과 Supabase 자체에는 범용 트랜잭션 이메일 발송 기능이 없습니다. 다만 Resend는 Vercel Marketplace의 공식 파트너 통합으로, 설치와 결제가 Vercel 계정 안에서 통합 처리됩니다.</w:t>
      </w:r>
    </w:p>
    <w:p>
      <w:pPr>
        <w:spacing w:after="120" w:line="300"/>
      </w:pPr>
      <w:r>
        <w:rPr>
          <w:b w:val="false"/>
          <w:bCs w:val="false"/>
        </w:rPr>
        <w:t xml:space="preserve">필요한 조치: 완전한 무(無)서드파티를 원한다면 대안이 없습니다. 다만 Resend를 Vercel Marketplace를 통해 설치하면 별도 결제 수단 등록 없이 Vercel 청구서에 합산되므로, '계정·결제 관계'는 사실상 Vercel 하나로 유지됩니다.</w:t>
      </w:r>
    </w:p>
    <w:p>
      <w:pPr>
        <w:spacing w:after="160"/>
      </w:pPr>
    </w:p>
    <w:p>
      <w:pPr>
        <w:pStyle w:val="Heading2"/>
        <w:spacing w:after="100" w:before="200"/>
      </w:pPr>
      <w:r>
        <w:rPr>
          <w:b/>
          <w:bCs/>
        </w:rPr>
        <w:t xml:space="preserve">인터랙티브 지도 (사업장 위치 시각화)</w:t>
      </w:r>
    </w:p>
    <w:p>
      <w:pPr>
        <w:spacing w:after="120" w:line="300"/>
      </w:pPr>
      <w:r>
        <w:rPr>
          <w:b/>
          <w:bCs/>
        </w:rPr>
        <w:t xml:space="preserve">판정: ○ 불가능</w:t>
      </w:r>
    </w:p>
    <w:p>
      <w:pPr>
        <w:spacing w:after="120" w:line="300"/>
      </w:pPr>
      <w:r>
        <w:rPr>
          <w:b w:val="false"/>
          <w:bCs w:val="false"/>
        </w:rPr>
        <w:t xml:space="preserve">근거: Vercel과 Supabase 어느 쪽에도 지도 제품이 없습니다.</w:t>
      </w:r>
    </w:p>
    <w:p>
      <w:pPr>
        <w:spacing w:after="120" w:line="300"/>
      </w:pPr>
      <w:r>
        <w:rPr>
          <w:b w:val="false"/>
          <w:bCs w:val="false"/>
        </w:rPr>
        <w:t xml:space="preserve">필요한 조치: Mapbox(또는 동급 지도 공급자) 없이는 지도 기능 자체를 제공할 수 없습니다. 다만 이 항목은 원래 선택 사항이며, 토큰이 없으면 자동으로 사업장 좌표 목록으로 대체되어 애플리케이션은 정상 동작합니다.</w:t>
      </w:r>
    </w:p>
    <w:p>
      <w:pPr>
        <w:spacing w:after="160"/>
      </w:pPr>
    </w:p>
    <w:p>
      <w:pPr>
        <w:pStyle w:val="Heading2"/>
        <w:spacing w:after="100" w:before="200"/>
      </w:pPr>
      <w:r>
        <w:rPr>
          <w:b/>
          <w:bCs/>
        </w:rPr>
        <w:t xml:space="preserve">상용 배출계수 데이터 라이선스</w:t>
      </w:r>
    </w:p>
    <w:p>
      <w:pPr>
        <w:spacing w:after="120" w:line="300"/>
      </w:pPr>
      <w:r>
        <w:rPr>
          <w:b/>
          <w:bCs/>
        </w:rPr>
        <w:t xml:space="preserve">판정: — 인프라와 무관</w:t>
      </w:r>
    </w:p>
    <w:p>
      <w:pPr>
        <w:spacing w:after="120" w:line="300"/>
      </w:pPr>
      <w:r>
        <w:rPr>
          <w:b w:val="false"/>
          <w:bCs w:val="false"/>
        </w:rPr>
        <w:t xml:space="preserve">근거: 이것은 인프라·호스팅 선택이 아니라 데이터 라이선스 계약입니다. 어떤 클라우드를 쓰든 별도로 구매해야 합니다.</w:t>
      </w:r>
    </w:p>
    <w:p>
      <w:pPr>
        <w:spacing w:after="120" w:line="300"/>
      </w:pPr>
      <w:r>
        <w:rPr>
          <w:b w:val="false"/>
          <w:bCs w:val="false"/>
        </w:rPr>
        <w:t xml:space="preserve">필요한 조치: 설정 가이드 9절대로 별도로 진행하십시오.</w:t>
      </w:r>
    </w:p>
    <w:p>
      <w:pPr>
        <w:spacing w:after="160"/>
      </w:pPr>
    </w:p>
    <w:p>
      <w:pPr>
        <w:pStyle w:val="Heading2"/>
        <w:spacing w:after="100" w:before="200"/>
      </w:pPr>
      <w:r>
        <w:rPr>
          <w:b/>
          <w:bCs/>
        </w:rPr>
        <w:t xml:space="preserve">제3자 검증기관 선정, 규제 제출(SBTi/CDP/CSRD 등)</w:t>
      </w:r>
    </w:p>
    <w:p>
      <w:pPr>
        <w:spacing w:after="120" w:line="300"/>
      </w:pPr>
      <w:r>
        <w:rPr>
          <w:b/>
          <w:bCs/>
        </w:rPr>
        <w:t xml:space="preserve">판정: — 인프라와 무관</w:t>
      </w:r>
    </w:p>
    <w:p>
      <w:pPr>
        <w:spacing w:after="120" w:line="300"/>
      </w:pPr>
      <w:r>
        <w:rPr>
          <w:b w:val="false"/>
          <w:bCs w:val="false"/>
        </w:rPr>
        <w:t xml:space="preserve">근거: 법적·업무 절차이며 인프라와 무관합니다.</w:t>
      </w:r>
    </w:p>
    <w:p>
      <w:pPr>
        <w:spacing w:after="120" w:line="300"/>
      </w:pPr>
      <w:r>
        <w:rPr>
          <w:b w:val="false"/>
          <w:bCs w:val="false"/>
        </w:rPr>
        <w:t xml:space="preserve">필요한 조치: 설정 가이드 10절대로 별도로 진행하십시오.</w:t>
      </w:r>
    </w:p>
    <w:p>
      <w:pPr>
        <w:spacing w:after="160"/>
      </w:pPr>
    </w:p>
    <w:p>
      <w:pPr>
        <w:pStyle w:val="Heading1"/>
        <w:spacing w:after="140" w:before="320"/>
      </w:pPr>
      <w:r>
        <w:rPr>
          <w:b/>
          <w:bCs/>
        </w:rPr>
        <w:t xml:space="preserve">부록. 이 검토의 근거</w:t>
      </w:r>
    </w:p>
    <w:p>
      <w:pPr>
        <w:spacing w:after="120" w:line="300"/>
      </w:pPr>
      <w:r>
        <w:rPr>
          <w:b w:val="false"/>
          <w:bCs w:val="false"/>
        </w:rPr>
        <w:t xml:space="preserve">이 문서의 판정은 Claude Code 세션 내에서 Vercel 공식 스킬 문서(AI Gateway, Firewall/WAF, Workflow DevKit, Marketplace)와 Supabase 공식 문서(supabase.com/docs)를 직접 조회해 확인한 내용을 근거로 합니다. Vercel·Supabase 모두 제품과 요금제가 자주 바뀌므로, 실제 계약·구매 전에는 반드시 각 사의 최신 공식 가격 페이지에서 플랜 조건을 재확인하십시오.</w:t>
      </w:r>
    </w:p>
    <w:p>
      <w:pPr>
        <w:spacing w:after="100" w:line="300"/>
        <w:ind w:left="360" w:hanging="240"/>
      </w:pPr>
      <w:r>
        <w:t xml:space="preserve">· </w:t>
      </w:r>
      <w:r>
        <w:t xml:space="preserve">Vercel AI Gateway: vercel.com/docs/ai-gateway</w:t>
      </w:r>
    </w:p>
    <w:p>
      <w:pPr>
        <w:spacing w:after="100" w:line="300"/>
        <w:ind w:left="360" w:hanging="240"/>
      </w:pPr>
      <w:r>
        <w:t xml:space="preserve">· </w:t>
      </w:r>
      <w:r>
        <w:t xml:space="preserve">Vercel Firewall / WAF 레이트리밋: vercel.com/docs/vercel-firewall/vercel-waf/rate-limiting-sdk</w:t>
      </w:r>
    </w:p>
    <w:p>
      <w:pPr>
        <w:spacing w:after="100" w:line="300"/>
        <w:ind w:left="360" w:hanging="240"/>
      </w:pPr>
      <w:r>
        <w:t xml:space="preserve">· </w:t>
      </w:r>
      <w:r>
        <w:t xml:space="preserve">Vercel Queues 요금: vercel.com/docs/queues/pricing</w:t>
      </w:r>
    </w:p>
    <w:p>
      <w:pPr>
        <w:spacing w:after="100" w:line="300"/>
        <w:ind w:left="360" w:hanging="240"/>
      </w:pPr>
      <w:r>
        <w:t xml:space="preserve">· </w:t>
      </w:r>
      <w:r>
        <w:t xml:space="preserve">Vercel Marketplace: vercel.com/docs/integrations</w:t>
      </w:r>
    </w:p>
    <w:p>
      <w:pPr>
        <w:spacing w:after="100" w:line="300"/>
        <w:ind w:left="360" w:hanging="240"/>
      </w:pPr>
      <w:r>
        <w:t xml:space="preserve">· </w:t>
      </w:r>
      <w:r>
        <w:t xml:space="preserve">Supabase 엔터프라이즈 SSO: supabase.com/docs/guides/auth/enterprise-sso</w:t>
      </w:r>
    </w:p>
    <w:p>
      <w:pPr>
        <w:spacing w:after="100" w:line="300"/>
        <w:ind w:left="360" w:hanging="240"/>
      </w:pPr>
      <w:r>
        <w:t xml:space="preserve">· </w:t>
      </w:r>
      <w:r>
        <w:t xml:space="preserve">Supabase PITR: supabase.com/docs/guides/platform/manage-your-usage/point-in-time-recovery</w:t>
      </w:r>
    </w:p>
    <w:p>
      <w:pPr>
        <w:spacing w:after="200"/>
      </w:pPr>
    </w:p>
    <w:p>
      <w:pPr>
        <w:pStyle w:val="Heading1"/>
        <w:spacing w:after="140" w:before="320"/>
      </w:pPr>
      <w:r>
        <w:rPr>
          <w:b/>
          <w:bCs/>
        </w:rPr>
        <w:t xml:space="preserve">부록. 이 문서 재생성 방법</w:t>
      </w:r>
    </w:p>
    <w:p>
      <w:pPr>
        <w:spacing w:after="120" w:line="300"/>
      </w:pPr>
      <w:r>
        <w:rPr>
          <w:b w:val="false"/>
          <w:bCs w:val="false"/>
        </w:rPr>
        <w:t xml:space="preserve">이 문서는 `scripts/generate-vercel-supabase-feasibility.ts`가 생성합니다. 판정이 바뀌면(요금제 변경, 신제품 출시 등) 스크립트를 수정하고 아래 명령으로 다시 생성하십시오.</w:t>
      </w:r>
    </w:p>
    <w:p>
      <w:pPr>
        <w:shd w:fill="F2F2F2" w:val="clear"/>
        <w:spacing w:after="0" w:line="260"/>
        <w:ind w:left="240"/>
      </w:pPr>
      <w:r>
        <w:rPr>
          <w:rFonts w:ascii="Consolas" w:cs="Consolas" w:eastAsia="Consolas" w:hAnsi="Consolas"/>
          <w:sz w:val="18"/>
          <w:szCs w:val="18"/>
        </w:rPr>
        <w:t xml:space="preserve">npx tsx scripts/generate-vercel-supabase-feasibility.ts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rFonts w:ascii="Malgun Gothic" w:cs="Malgun Gothic" w:eastAsia="Malgun Gothic" w:hAnsi="Malgun Gothic"/>
      <w:b/>
      <w:bCs/>
      <w:sz w:val="40"/>
      <w:szCs w:val="40"/>
    </w:rPr>
  </w:style>
  <w:style w:type="paragraph" w:styleId="Heading1">
    <w:name w:val="Heading 1"/>
    <w:basedOn w:val="Normal"/>
    <w:next w:val="Normal"/>
    <w:qFormat/>
    <w:rPr>
      <w:rFonts w:ascii="Malgun Gothic" w:cs="Malgun Gothic" w:eastAsia="Malgun Gothic" w:hAnsi="Malgun Gothic"/>
      <w:b/>
      <w:bCs/>
      <w:color w:val="1F3864"/>
      <w:sz w:val="28"/>
      <w:szCs w:val="28"/>
    </w:rPr>
  </w:style>
  <w:style w:type="paragraph" w:styleId="Heading2">
    <w:name w:val="Heading 2"/>
    <w:basedOn w:val="Normal"/>
    <w:next w:val="Normal"/>
    <w:qFormat/>
    <w:rPr>
      <w:rFonts w:ascii="Malgun Gothic" w:cs="Malgun Gothic" w:eastAsia="Malgun Gothic" w:hAnsi="Malgun Gothic"/>
      <w:b/>
      <w:bCs/>
      <w:color w:val="2E5496"/>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2026-08-06T11:13:27.315Z</dcterms:created>
  <dcterms:modified xsi:type="dcterms:W3CDTF">2026-08-06T11:13:27.316Z</dcterms:modified>
</cp:coreProperties>
</file>

<file path=docProps/custom.xml><?xml version="1.0" encoding="utf-8"?>
<Properties xmlns="http://schemas.openxmlformats.org/officeDocument/2006/custom-properties" xmlns:vt="http://schemas.openxmlformats.org/officeDocument/2006/docPropsVTypes"/>
</file>