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1B365D"/>
          <w:sz w:val="52"/>
        </w:rPr>
        <w:t>First In A Lifetime</w:t>
      </w:r>
    </w:p>
    <w:p>
      <w:pPr>
        <w:spacing w:after="480"/>
      </w:pPr>
      <w:r>
        <w:rPr>
          <w:rFonts w:ascii="Arial" w:hAnsi="Arial"/>
          <w:color w:val="4A5568"/>
          <w:sz w:val="26"/>
        </w:rPr>
        <w:t>Master Photography Catalog &amp; AI Editor Workspace</w:t>
      </w:r>
    </w:p>
    <w:p>
      <w:pPr>
        <w:keepNext/>
        <w:spacing w:before="0" w:after="160"/>
        <w:pBdr>
          <w:bottom w:val="single" w:sz="12" w:space="4" w:color="1B365D"/>
        </w:pBdr>
      </w:pPr>
      <w:r>
        <w:rPr>
          <w:rFonts w:ascii="Arial" w:hAnsi="Arial"/>
          <w:b/>
          <w:color w:val="1B365D"/>
          <w:sz w:val="36"/>
        </w:rPr>
        <w:t>1. Strategic AI Editor Blueprint</w:t>
      </w:r>
    </w:p>
    <w:p>
      <w:r>
        <w:t>Copy and paste the shaded block below into the very first message of any new chat thread to instantly re-establish your workspace environment, brand standard, and pricing rules.</w:t>
      </w:r>
    </w:p>
    <w:tbl>
      <w:tblPr>
        <w:tblW w:type="auto" w:w="0"/>
        <w:jc w:val="center"/>
        <w:tblLook w:firstColumn="1" w:firstRow="1" w:lastColumn="0" w:lastRow="0" w:noHBand="0" w:noVBand="1" w:val="04A0"/>
      </w:tblPr>
      <w:tblGrid>
        <w:gridCol w:w="9029"/>
      </w:tblGrid>
      <w:tr>
        <w:tc>
          <w:tcPr>
            <w:tcW w:type="dxa" w:w="9029"/>
            <w:shd w:fill="F7FAFC"/>
            <w:tcBorders>
              <w:left w:val="single" w:sz="36" w:space="0" w:color="1B365D"/>
              <w:top w:val="none"/>
              <w:right w:val="none"/>
              <w:bottom w:val="none"/>
            </w:tcBorders>
          </w:tcPr>
          <w:p>
            <w:pPr>
              <w:spacing w:before="160" w:after="160"/>
            </w:pPr>
            <w:r>
              <w:rPr>
                <w:rFonts w:ascii="Arial" w:hAnsi="Arial"/>
                <w:i/>
                <w:color w:val="1B365D"/>
                <w:sz w:val="20"/>
              </w:rPr>
              <w:t>System Blueprint for AI Photo Editor:</w:t>
              <w:br/>
              <w:t>You are my strategic photography business partner and master photo editor. We are building a high-end archival fine-art print shop under the brand 'First In A Lifetime'. When I upload a photo, your job is to analyze the composition, provide strict gallery-ready technical feedback, assign a Master Rating (out of 100), and design a physical hand-embellished print technique (e.g., UV-reactive ink, liquid gold leaf Kintsugi, textural varnishes).</w:t>
              <w:br/>
              <w:br/>
              <w:t>Maintain high-margin pricing models assuming a Premium Art Tier structured as a Limited Edition Run of 50 prints, produced on heavy museum-grade cotton rag paper, hand-numbered, signed, and accompanied by custom narrative insert cards.</w:t>
              <w:br/>
              <w:br/>
              <w:t>Here is our current locked-in master catalog of completed edits and concepts to remember:</w:t>
              <w:br/>
              <w:t>[Insert Active Master Catalog Table Here]</w:t>
            </w:r>
          </w:p>
        </w:tc>
      </w:tr>
    </w:tbl>
    <w:p>
      <w:pPr>
        <w:keepNext/>
        <w:spacing w:before="400" w:after="160"/>
        <w:pBdr>
          <w:bottom w:val="single" w:sz="12" w:space="4" w:color="1B365D"/>
        </w:pBdr>
      </w:pPr>
      <w:r>
        <w:rPr>
          <w:rFonts w:ascii="Arial" w:hAnsi="Arial"/>
          <w:b/>
          <w:color w:val="1B365D"/>
          <w:sz w:val="36"/>
        </w:rPr>
        <w:t>2. Active Master Catalog</w:t>
      </w:r>
    </w:p>
    <w:p>
      <w:r>
        <w:t>This table logs your approved digital adjustments and premium mixed-media physical executions. Copy rows from finalized chat edits and paste them directly here to maintain your scaling asset register.</w:t>
      </w:r>
    </w:p>
    <w:tbl>
      <w:tblPr>
        <w:tblW w:type="auto" w:w="0"/>
        <w:jc w:val="center"/>
        <w:tblLook w:firstColumn="1" w:firstRow="1" w:lastColumn="0" w:lastRow="0" w:noHBand="0" w:noVBand="1" w:val="04A0"/>
        <w:tblBorders>
          <w:top w:val="single" w:sz="4" w:space="0" w:color="E2E8F0"/>
          <w:bottom w:val="single" w:sz="6" w:space="0" w:color="E2E8F0"/>
          <w:insideH w:val="single" w:sz="4" w:space="0" w:color="E2E8F0"/>
          <w:insideV w:val="none"/>
          <w:left w:val="none"/>
          <w:right w:val="none"/>
        </w:tblBorders>
      </w:tblPr>
      <w:tblGrid>
        <w:gridCol w:w="1505"/>
        <w:gridCol w:w="1505"/>
        <w:gridCol w:w="1505"/>
        <w:gridCol w:w="1505"/>
        <w:gridCol w:w="1505"/>
        <w:gridCol w:w="1505"/>
      </w:tblGrid>
      <w:tr>
        <w:trPr>
          <w:cantSplit/>
          <w:tblHeader/>
        </w:trPr>
        <w:tc>
          <w:tcPr>
            <w:tcW w:type="dxa" w:w="1296"/>
            <w:shd w:fill="1B365D"/>
          </w:tcPr>
          <w:p>
            <w:pPr>
              <w:spacing w:before="120" w:after="120"/>
              <w:jc w:val="left"/>
            </w:pPr>
            <w:r>
              <w:rPr>
                <w:rFonts w:ascii="Arial" w:hAnsi="Arial"/>
                <w:b/>
                <w:color w:val="FFFFFF"/>
                <w:sz w:val="19"/>
              </w:rPr>
              <w:t>File Name</w:t>
            </w:r>
          </w:p>
        </w:tc>
        <w:tc>
          <w:tcPr>
            <w:tcW w:type="dxa" w:w="1584"/>
            <w:shd w:fill="1B365D"/>
          </w:tcPr>
          <w:p>
            <w:pPr>
              <w:spacing w:before="120" w:after="120"/>
              <w:jc w:val="left"/>
            </w:pPr>
            <w:r>
              <w:rPr>
                <w:rFonts w:ascii="Arial" w:hAnsi="Arial"/>
                <w:b/>
                <w:color w:val="FFFFFF"/>
                <w:sz w:val="19"/>
              </w:rPr>
              <w:t>Subject / Narrative</w:t>
            </w:r>
          </w:p>
        </w:tc>
        <w:tc>
          <w:tcPr>
            <w:tcW w:type="dxa" w:w="720"/>
            <w:shd w:fill="1B365D"/>
          </w:tcPr>
          <w:p>
            <w:pPr>
              <w:spacing w:before="120" w:after="120"/>
              <w:jc w:val="center"/>
            </w:pPr>
            <w:r>
              <w:rPr>
                <w:rFonts w:ascii="Arial" w:hAnsi="Arial"/>
                <w:b/>
                <w:color w:val="FFFFFF"/>
                <w:sz w:val="19"/>
              </w:rPr>
              <w:t>Rating</w:t>
            </w:r>
          </w:p>
        </w:tc>
        <w:tc>
          <w:tcPr>
            <w:tcW w:type="dxa" w:w="2304"/>
            <w:shd w:fill="1B365D"/>
          </w:tcPr>
          <w:p>
            <w:pPr>
              <w:spacing w:before="120" w:after="120"/>
              <w:jc w:val="left"/>
            </w:pPr>
            <w:r>
              <w:rPr>
                <w:rFonts w:ascii="Arial" w:hAnsi="Arial"/>
                <w:b/>
                <w:color w:val="FFFFFF"/>
                <w:sz w:val="19"/>
              </w:rPr>
              <w:t>Digital Action Plan</w:t>
            </w:r>
          </w:p>
        </w:tc>
        <w:tc>
          <w:tcPr>
            <w:tcW w:type="dxa" w:w="2160"/>
            <w:shd w:fill="1B365D"/>
          </w:tcPr>
          <w:p>
            <w:pPr>
              <w:spacing w:before="120" w:after="120"/>
              <w:jc w:val="left"/>
            </w:pPr>
            <w:r>
              <w:rPr>
                <w:rFonts w:ascii="Arial" w:hAnsi="Arial"/>
                <w:b/>
                <w:color w:val="FFFFFF"/>
                <w:sz w:val="19"/>
              </w:rPr>
              <w:t>Physical Embellishment Concept</w:t>
            </w:r>
          </w:p>
        </w:tc>
        <w:tc>
          <w:tcPr>
            <w:tcW w:type="dxa" w:w="965"/>
            <w:shd w:fill="1B365D"/>
          </w:tcPr>
          <w:p>
            <w:pPr>
              <w:spacing w:before="120" w:after="120"/>
              <w:jc w:val="center"/>
            </w:pPr>
            <w:r>
              <w:rPr>
                <w:rFonts w:ascii="Arial" w:hAnsi="Arial"/>
                <w:b/>
                <w:color w:val="FFFFFF"/>
                <w:sz w:val="19"/>
              </w:rPr>
              <w:t>Target Price</w:t>
            </w:r>
          </w:p>
        </w:tc>
      </w:tr>
      <w:tr>
        <w:trPr>
          <w:cantSplit/>
        </w:trPr>
        <w:tc>
          <w:tcPr>
            <w:tcW w:type="dxa" w:w="1296"/>
          </w:tcPr>
          <w:p>
            <w:pPr>
              <w:spacing w:before="100" w:after="100"/>
              <w:jc w:val="left"/>
            </w:pPr>
            <w:r>
              <w:rPr>
                <w:rFonts w:ascii="Arial" w:hAnsi="Arial"/>
                <w:b/>
                <w:sz w:val="18"/>
              </w:rPr>
              <w:t>1000072216.jpg</w:t>
            </w:r>
          </w:p>
        </w:tc>
        <w:tc>
          <w:tcPr>
            <w:tcW w:type="dxa" w:w="1584"/>
          </w:tcPr>
          <w:p>
            <w:pPr>
              <w:spacing w:before="100" w:after="100"/>
              <w:jc w:val="left"/>
            </w:pPr>
            <w:r>
              <w:rPr>
                <w:rFonts w:ascii="Arial" w:hAnsi="Arial"/>
                <w:sz w:val="18"/>
              </w:rPr>
              <w:t>St. Paul's Cathedral Alleyway</w:t>
              <w:br/>
              <w:t>(London cosmic alignment scene)</w:t>
            </w:r>
          </w:p>
        </w:tc>
        <w:tc>
          <w:tcPr>
            <w:tcW w:type="dxa" w:w="720"/>
          </w:tcPr>
          <w:p>
            <w:pPr>
              <w:spacing w:before="100" w:after="100"/>
              <w:jc w:val="center"/>
            </w:pPr>
            <w:r>
              <w:rPr>
                <w:rFonts w:ascii="Arial" w:hAnsi="Arial"/>
                <w:b/>
                <w:sz w:val="18"/>
              </w:rPr>
              <w:t>97/100</w:t>
            </w:r>
          </w:p>
        </w:tc>
        <w:tc>
          <w:tcPr>
            <w:tcW w:type="dxa" w:w="2304"/>
          </w:tcPr>
          <w:p>
            <w:pPr>
              <w:spacing w:before="100" w:after="100"/>
              <w:jc w:val="left"/>
            </w:pPr>
            <w:r>
              <w:rPr>
                <w:rFonts w:ascii="Arial" w:hAnsi="Arial"/>
                <w:sz w:val="18"/>
              </w:rPr>
              <w:t>Full Monochrome Conversion. Deepen blacks in left brick facade; maximize contrast on right stone facade. Maintain pinpoint sharpness on the aligned planet above the dome.</w:t>
            </w:r>
          </w:p>
        </w:tc>
        <w:tc>
          <w:tcPr>
            <w:tcW w:type="dxa" w:w="2160"/>
          </w:tcPr>
          <w:p>
            <w:pPr>
              <w:spacing w:before="100" w:after="100"/>
              <w:jc w:val="left"/>
            </w:pPr>
            <w:r>
              <w:rPr>
                <w:rFonts w:ascii="Arial" w:hAnsi="Arial"/>
                <w:sz w:val="18"/>
              </w:rPr>
              <w:t>The Cosmic Hidden Map:</w:t>
              <w:br/>
              <w:t>Print on heavy ultra-matte cotton rag paper. Stencil or screen-print the empty night sky area with invisible clear 365nm UV-fluorescent ink, creating an elite hidden 'Starry Night' celestial vortex.</w:t>
            </w:r>
          </w:p>
        </w:tc>
        <w:tc>
          <w:tcPr>
            <w:tcW w:type="dxa" w:w="965"/>
          </w:tcPr>
          <w:p>
            <w:pPr>
              <w:spacing w:before="100" w:after="100"/>
              <w:jc w:val="center"/>
            </w:pPr>
            <w:r>
              <w:rPr>
                <w:rFonts w:ascii="Arial" w:hAnsi="Arial"/>
                <w:sz w:val="18"/>
              </w:rPr>
              <w:t>$375 -</w:t>
              <w:br/>
              <w:t>$500</w:t>
            </w:r>
          </w:p>
        </w:tc>
      </w:tr>
      <w:tr>
        <w:trPr>
          <w:cantSplit/>
        </w:trPr>
        <w:tc>
          <w:tcPr>
            <w:tcW w:type="dxa" w:w="1296"/>
          </w:tcPr>
          <w:p>
            <w:pPr>
              <w:spacing w:before="100" w:after="100"/>
              <w:jc w:val="left"/>
            </w:pPr>
            <w:r>
              <w:rPr>
                <w:rFonts w:ascii="Arial" w:hAnsi="Arial"/>
                <w:b/>
                <w:sz w:val="18"/>
              </w:rPr>
              <w:t>1000072220.jpg</w:t>
            </w:r>
          </w:p>
        </w:tc>
        <w:tc>
          <w:tcPr>
            <w:tcW w:type="dxa" w:w="1584"/>
          </w:tcPr>
          <w:p>
            <w:pPr>
              <w:spacing w:before="100" w:after="100"/>
              <w:jc w:val="left"/>
            </w:pPr>
            <w:r>
              <w:rPr>
                <w:rFonts w:ascii="Arial" w:hAnsi="Arial"/>
                <w:sz w:val="18"/>
              </w:rPr>
              <w:t>Rainbow Transit Shelter</w:t>
              <w:br/>
              <w:t>(Wide geometric street prism)</w:t>
            </w:r>
          </w:p>
        </w:tc>
        <w:tc>
          <w:tcPr>
            <w:tcW w:type="dxa" w:w="720"/>
          </w:tcPr>
          <w:p>
            <w:pPr>
              <w:spacing w:before="100" w:after="100"/>
              <w:jc w:val="center"/>
            </w:pPr>
            <w:r>
              <w:rPr>
                <w:rFonts w:ascii="Arial" w:hAnsi="Arial"/>
                <w:b/>
                <w:sz w:val="18"/>
              </w:rPr>
              <w:t>91/100</w:t>
            </w:r>
          </w:p>
        </w:tc>
        <w:tc>
          <w:tcPr>
            <w:tcW w:type="dxa" w:w="2304"/>
          </w:tcPr>
          <w:p>
            <w:pPr>
              <w:spacing w:before="100" w:after="100"/>
              <w:jc w:val="left"/>
            </w:pPr>
            <w:r>
              <w:rPr>
                <w:rFonts w:ascii="Arial" w:hAnsi="Arial"/>
                <w:sz w:val="18"/>
              </w:rPr>
              <w:t>Widescreen 16:9 panoramic crop. Flatten vertical distortion; isolate right utility bin via manual target-asphalt healing. Linear gradient sky mask to shift hue from cyan/teal to natural deep royal blue.</w:t>
            </w:r>
          </w:p>
        </w:tc>
        <w:tc>
          <w:tcPr>
            <w:tcW w:type="dxa" w:w="2160"/>
          </w:tcPr>
          <w:p>
            <w:pPr>
              <w:spacing w:before="100" w:after="100"/>
              <w:jc w:val="left"/>
            </w:pPr>
            <w:r>
              <w:rPr>
                <w:rFonts w:ascii="Arial" w:hAnsi="Arial"/>
                <w:sz w:val="18"/>
              </w:rPr>
              <w:t>Reverse Kintsugi Grid:</w:t>
              <w:br/>
              <w:t>Print wide-format on matte cotton rag. Place a steel alignment ruler across vertical structural pillars separating the colored panes and trace lines with an ultra-fine technical pen loaded with liquid metallic gold leaf.</w:t>
            </w:r>
          </w:p>
        </w:tc>
        <w:tc>
          <w:tcPr>
            <w:tcW w:type="dxa" w:w="965"/>
          </w:tcPr>
          <w:p>
            <w:pPr>
              <w:spacing w:before="100" w:after="100"/>
              <w:jc w:val="center"/>
            </w:pPr>
            <w:r>
              <w:rPr>
                <w:rFonts w:ascii="Arial" w:hAnsi="Arial"/>
                <w:sz w:val="18"/>
              </w:rPr>
              <w:t>$275 -</w:t>
              <w:br/>
              <w:t>$350</w:t>
            </w:r>
          </w:p>
        </w:tc>
      </w:tr>
    </w:tbl>
    <w:p>
      <w:pPr>
        <w:keepNext/>
        <w:spacing w:before="400" w:after="160"/>
        <w:pBdr>
          <w:bottom w:val="single" w:sz="12" w:space="4" w:color="1B365D"/>
        </w:pBdr>
      </w:pPr>
      <w:r>
        <w:rPr>
          <w:rFonts w:ascii="Arial" w:hAnsi="Arial"/>
          <w:b/>
          <w:color w:val="1B365D"/>
          <w:sz w:val="36"/>
        </w:rPr>
        <w:t>3. Archival Production Guidelines</w:t>
      </w:r>
    </w:p>
    <w:p>
      <w:r>
        <w:t>To protect your high gallery margins, physical finishing steps must be perfectly standard across your editions. Follow this structured approach when preparing files for local markets:</w:t>
      </w:r>
    </w:p>
    <w:p>
      <w:pPr>
        <w:pStyle w:val="ListBullet"/>
        <w:spacing w:after="80"/>
      </w:pPr>
      <w:r>
        <w:rPr>
          <w:b/>
          <w:color w:val="1B365D"/>
        </w:rPr>
        <w:t xml:space="preserve">Substrate Curing: </w:t>
      </w:r>
      <w:r>
        <w:t>Always output files onto heavy, 100% cotton rag matte mediums (such as Hahnemühle Photo Rag 308gsm). Allow the pigment inks to cure fully for at least 24 hours before introducing liquid pens, gold flakes, or acrylic security mediums.</w:t>
      </w:r>
    </w:p>
    <w:p>
      <w:pPr>
        <w:pStyle w:val="ListBullet"/>
        <w:spacing w:after="80"/>
      </w:pPr>
      <w:r>
        <w:rPr>
          <w:b/>
          <w:color w:val="1B365D"/>
        </w:rPr>
        <w:t xml:space="preserve">UV Fluid Control: </w:t>
      </w:r>
      <w:r>
        <w:t>When executing the St. Paul's cosmic overlay, load technical technical pens (0.18mm tips) with high-purity, unthinned transparent 365nm UV fluorescent fluid. Avoid pooling or over-saturation, as heavy liquid deposits can warp rag-paper fibers under normal gallery lighting.</w:t>
      </w:r>
    </w:p>
    <w:p>
      <w:pPr>
        <w:pStyle w:val="ListBullet"/>
        <w:spacing w:after="80"/>
      </w:pPr>
      <w:r>
        <w:rPr>
          <w:b/>
          <w:color w:val="1B365D"/>
        </w:rPr>
        <w:t xml:space="preserve">Gilding Precision: </w:t>
      </w:r>
      <w:r>
        <w:t>Use specialized high-viscosity liquid leafing paint or gilding sizing when chasing architectural metal lines. Work left-to-right under crisp white alignment task lights to completely prevent surface smudging or accidental fingerprints on your dark matte borders.</w:t>
      </w:r>
    </w:p>
    <w:p>
      <w:pPr>
        <w:keepNext/>
        <w:spacing w:before="320" w:after="160"/>
        <w:pBdr>
          <w:bottom w:val="single" w:sz="12" w:space="4" w:color="1B365D"/>
        </w:pBdr>
      </w:pPr>
      <w:r>
        <w:rPr>
          <w:rFonts w:ascii="Arial" w:hAnsi="Arial"/>
          <w:b/>
          <w:color w:val="1B365D"/>
          <w:sz w:val="36"/>
        </w:rPr>
        <w:t>4. Weekly Business Execution Schedule</w:t>
      </w:r>
    </w:p>
    <w:p>
      <w:r>
        <w:t>Your active business operational split tracks three dynamic content pillars evenly over a six-day rolling cycle. Ask your partner at the start of any work day to confirm your immediate priority track:</w:t>
      </w:r>
    </w:p>
    <w:tbl>
      <w:tblPr>
        <w:tblW w:type="auto" w:w="0"/>
        <w:jc w:val="center"/>
        <w:tblLook w:firstColumn="1" w:firstRow="1" w:lastColumn="0" w:lastRow="0" w:noHBand="0" w:noVBand="1" w:val="04A0"/>
        <w:tblBorders>
          <w:top w:val="single" w:sz="4" w:space="0" w:color="E2E8F0"/>
          <w:bottom w:val="single" w:sz="6" w:space="0" w:color="E2E8F0"/>
          <w:insideH w:val="single" w:sz="4" w:space="0" w:color="E2E8F0"/>
          <w:insideV w:val="none"/>
          <w:left w:val="none"/>
          <w:right w:val="none"/>
        </w:tblBorders>
      </w:tblPr>
      <w:tblGrid>
        <w:gridCol w:w="4514"/>
        <w:gridCol w:w="4514"/>
      </w:tblGrid>
      <w:tr>
        <w:tc>
          <w:tcPr>
            <w:tcW w:type="dxa" w:w="2592"/>
            <w:shd w:fill="4A5568"/>
          </w:tcPr>
          <w:p>
            <w:pPr>
              <w:spacing w:before="100" w:after="100"/>
            </w:pPr>
            <w:r>
              <w:rPr>
                <w:rFonts w:ascii="Arial" w:hAnsi="Arial"/>
                <w:b/>
                <w:color w:val="FFFFFF"/>
                <w:sz w:val="19"/>
              </w:rPr>
              <w:t>Operational Pillar</w:t>
            </w:r>
          </w:p>
        </w:tc>
        <w:tc>
          <w:tcPr>
            <w:tcW w:type="dxa" w:w="6437"/>
            <w:shd w:fill="4A5568"/>
          </w:tcPr>
          <w:p>
            <w:pPr>
              <w:spacing w:before="100" w:after="100"/>
            </w:pPr>
            <w:r>
              <w:rPr>
                <w:rFonts w:ascii="Arial" w:hAnsi="Arial"/>
                <w:b/>
                <w:color w:val="FFFFFF"/>
                <w:sz w:val="19"/>
              </w:rPr>
              <w:t>Weekly Target Allocations &amp; Deliverables</w:t>
            </w:r>
          </w:p>
        </w:tc>
      </w:tr>
      <w:tr>
        <w:tc>
          <w:tcPr>
            <w:tcW w:type="dxa" w:w="2592"/>
          </w:tcPr>
          <w:p>
            <w:pPr>
              <w:spacing w:before="100" w:after="100"/>
            </w:pPr>
            <w:r>
              <w:rPr>
                <w:rFonts w:ascii="Arial" w:hAnsi="Arial"/>
                <w:b/>
                <w:color w:val="1B365D"/>
                <w:sz w:val="19"/>
              </w:rPr>
              <w:t>Site Days (2 Days)</w:t>
            </w:r>
          </w:p>
        </w:tc>
        <w:tc>
          <w:tcPr>
            <w:tcW w:type="dxa" w:w="6437"/>
          </w:tcPr>
          <w:p>
            <w:pPr>
              <w:spacing w:before="100" w:after="100"/>
            </w:pPr>
            <w:r>
              <w:rPr>
                <w:rFonts w:ascii="Arial" w:hAnsi="Arial"/>
                <w:sz w:val="18"/>
              </w:rPr>
              <w:t>Focus on cross-platform digital brand builds. Code changes, optimizations for the custom parallax journal engine, setting up storefront backends, and deploying live assets via GitHub ecosystems.</w:t>
            </w:r>
          </w:p>
        </w:tc>
      </w:tr>
      <w:tr>
        <w:tc>
          <w:tcPr>
            <w:tcW w:type="dxa" w:w="2592"/>
          </w:tcPr>
          <w:p>
            <w:pPr>
              <w:spacing w:before="100" w:after="100"/>
            </w:pPr>
            <w:r>
              <w:rPr>
                <w:rFonts w:ascii="Arial" w:hAnsi="Arial"/>
                <w:b/>
                <w:color w:val="1B365D"/>
                <w:sz w:val="19"/>
              </w:rPr>
              <w:t>Photo Days (2 Days)</w:t>
            </w:r>
          </w:p>
        </w:tc>
        <w:tc>
          <w:tcPr>
            <w:tcW w:type="dxa" w:w="6437"/>
          </w:tcPr>
          <w:p>
            <w:pPr>
              <w:spacing w:before="100" w:after="100"/>
            </w:pPr>
            <w:r>
              <w:rPr>
                <w:rFonts w:ascii="Arial" w:hAnsi="Arial"/>
                <w:sz w:val="18"/>
              </w:rPr>
              <w:t>Active culling of master RAW file folders. Execution of precision non-destructive color corrections, geometrical alignment leveling inside Lightroom Mobile, and rendering master files for the limited art portfolio.</w:t>
            </w:r>
          </w:p>
        </w:tc>
      </w:tr>
      <w:tr>
        <w:tc>
          <w:tcPr>
            <w:tcW w:type="dxa" w:w="2592"/>
          </w:tcPr>
          <w:p>
            <w:pPr>
              <w:spacing w:before="100" w:after="100"/>
            </w:pPr>
            <w:r>
              <w:rPr>
                <w:rFonts w:ascii="Arial" w:hAnsi="Arial"/>
                <w:b/>
                <w:color w:val="1B365D"/>
                <w:sz w:val="19"/>
              </w:rPr>
              <w:t>Book / Blueprint Days (2 Days)</w:t>
            </w:r>
          </w:p>
        </w:tc>
        <w:tc>
          <w:tcPr>
            <w:tcW w:type="dxa" w:w="6437"/>
          </w:tcPr>
          <w:p>
            <w:pPr>
              <w:spacing w:before="100" w:after="100"/>
            </w:pPr>
            <w:r>
              <w:rPr>
                <w:rFonts w:ascii="Arial" w:hAnsi="Arial"/>
                <w:sz w:val="18"/>
              </w:rPr>
              <w:t>Dedicated structural writing, draft creation, and chapter sequencing for your upcoming travel narrative book. Designing new mixed-media concepts or detailing regional boutique B2B pitches.</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