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Before / After Data Cleaning Case Study</w:t>
      </w:r>
    </w:p>
    <w:p>
      <w:pPr>
        <w:pBdr>
          <w:bottom w:val="single" w:color="1F3864" w:sz="12" w:space="4"/>
        </w:pBdr>
        <w:spacing w:after="200"/>
        <w:jc w:val="center"/>
      </w:pPr>
      <w:r>
        <w:rPr>
          <w:rFonts w:ascii="Calibri" w:cs="Calibri" w:eastAsia="Calibri" w:hAnsi="Calibri"/>
          <w:i/>
          <w:iCs/>
          <w:color w:val="555555"/>
          <w:sz w:val="22"/>
          <w:szCs w:val="22"/>
        </w:rPr>
        <w:t xml:space="preserve">Employee Records Dataset — 420 rows</w:t>
      </w:r>
    </w:p>
    <w:p>
      <w:pPr>
        <w:pStyle w:val="Heading1"/>
        <w:spacing w:after="120" w:before="300"/>
      </w:pPr>
      <w:r>
        <w:rPr>
          <w:rFonts w:ascii="Calibri" w:cs="Calibri" w:eastAsia="Calibri" w:hAnsi="Calibri"/>
          <w:b/>
          <w:bCs/>
          <w:color w:val="1F3864"/>
          <w:sz w:val="28"/>
          <w:szCs w:val="28"/>
        </w:rPr>
        <w:t xml:space="preserve">1. Objective</w:t>
      </w:r>
    </w:p>
    <w:p>
      <w:pPr>
        <w:spacing w:after="140"/>
      </w:pPr>
      <w:r>
        <w:rPr>
          <w:rFonts w:ascii="Calibri" w:cs="Calibri" w:eastAsia="Calibri" w:hAnsi="Calibri"/>
          <w:color w:val="222222"/>
          <w:sz w:val="21"/>
          <w:szCs w:val="21"/>
        </w:rPr>
        <w:t xml:space="preserve">This case study documents the process of auditing and cleaning a raw employee records dataset containing realistic data-entry errors, then measuring the impact of that cleaning in concrete, before-and-after terms. The goal was to turn an unreliable raw feed into a report-ready dataset without deleting or guessing at any value — every decision is logged and traceable back to a specific formula.</w:t>
      </w:r>
    </w:p>
    <w:p>
      <w:pPr>
        <w:pStyle w:val="Heading1"/>
        <w:spacing w:after="120" w:before="300"/>
      </w:pPr>
      <w:r>
        <w:rPr>
          <w:rFonts w:ascii="Calibri" w:cs="Calibri" w:eastAsia="Calibri" w:hAnsi="Calibri"/>
          <w:b/>
          <w:bCs/>
          <w:color w:val="1F3864"/>
          <w:sz w:val="28"/>
          <w:szCs w:val="28"/>
        </w:rPr>
        <w:t xml:space="preserve">2. Issues Identified in the Raw Data</w:t>
      </w:r>
    </w:p>
    <w:p>
      <w:pPr>
        <w:pStyle w:val="ListParagraph"/>
        <w:numPr>
          <w:ilvl w:val="0"/>
          <w:numId w:val="1"/>
        </w:numPr>
        <w:spacing w:after="60"/>
      </w:pPr>
      <w:r>
        <w:rPr>
          <w:rFonts w:ascii="Calibri" w:cs="Calibri" w:eastAsia="Calibri" w:hAnsi="Calibri"/>
          <w:color w:val="222222"/>
          <w:sz w:val="21"/>
          <w:szCs w:val="21"/>
        </w:rPr>
        <w:t xml:space="preserve">Inconsistent text formatting: names and category labels entered in mixed case, with leading/trailing spaces (e.g. "  Yusuf Ogundipe  ", "YUSUF OGUNDIPE").</w:t>
      </w:r>
    </w:p>
    <w:p>
      <w:pPr>
        <w:pStyle w:val="ListParagraph"/>
        <w:numPr>
          <w:ilvl w:val="0"/>
          <w:numId w:val="1"/>
        </w:numPr>
        <w:spacing w:after="60"/>
      </w:pPr>
      <w:r>
        <w:rPr>
          <w:rFonts w:ascii="Calibri" w:cs="Calibri" w:eastAsia="Calibri" w:hAnsi="Calibri"/>
          <w:color w:val="222222"/>
          <w:sz w:val="21"/>
          <w:szCs w:val="21"/>
        </w:rPr>
        <w:t xml:space="preserve">Inconsistent category labels: Department, Gender, and Status each had multiple raw spellings for the same value (e.g. Department appeared as "HR", "hr", "H.R.", "Human Resources").</w:t>
      </w:r>
    </w:p>
    <w:p>
      <w:pPr>
        <w:pStyle w:val="ListParagraph"/>
        <w:numPr>
          <w:ilvl w:val="0"/>
          <w:numId w:val="1"/>
        </w:numPr>
        <w:spacing w:after="60"/>
      </w:pPr>
      <w:r>
        <w:rPr>
          <w:rFonts w:ascii="Calibri" w:cs="Calibri" w:eastAsia="Calibri" w:hAnsi="Calibri"/>
          <w:color w:val="222222"/>
          <w:sz w:val="21"/>
          <w:szCs w:val="21"/>
        </w:rPr>
        <w:t xml:space="preserve">Missing values: several records had a blank Age or MonthlySalary field.</w:t>
      </w:r>
    </w:p>
    <w:p>
      <w:pPr>
        <w:pStyle w:val="ListParagraph"/>
        <w:numPr>
          <w:ilvl w:val="0"/>
          <w:numId w:val="1"/>
        </w:numPr>
        <w:spacing w:after="60"/>
      </w:pPr>
      <w:r>
        <w:rPr>
          <w:rFonts w:ascii="Calibri" w:cs="Calibri" w:eastAsia="Calibri" w:hAnsi="Calibri"/>
          <w:color w:val="222222"/>
          <w:sz w:val="21"/>
          <w:szCs w:val="21"/>
        </w:rPr>
        <w:t xml:space="preserve">Impossible or outlier values: a small number of ages fell outside any realistic working-age range (e.g. negative, or over 200), and some salaries were negative or had extra digits consistent with a data-entry typo.</w:t>
      </w:r>
    </w:p>
    <w:p>
      <w:pPr>
        <w:pStyle w:val="ListParagraph"/>
        <w:numPr>
          <w:ilvl w:val="0"/>
          <w:numId w:val="1"/>
        </w:numPr>
        <w:spacing w:after="60"/>
      </w:pPr>
      <w:r>
        <w:rPr>
          <w:rFonts w:ascii="Calibri" w:cs="Calibri" w:eastAsia="Calibri" w:hAnsi="Calibri"/>
          <w:color w:val="222222"/>
          <w:sz w:val="21"/>
          <w:szCs w:val="21"/>
        </w:rPr>
        <w:t xml:space="preserve">Mixed currency formatting: salary values appeared as plain numbers, comma-formatted numbers, and Naira-symbol-prefixed text.</w:t>
      </w:r>
    </w:p>
    <w:p>
      <w:pPr>
        <w:pStyle w:val="ListParagraph"/>
        <w:numPr>
          <w:ilvl w:val="0"/>
          <w:numId w:val="1"/>
        </w:numPr>
        <w:spacing w:after="60"/>
      </w:pPr>
      <w:r>
        <w:rPr>
          <w:rFonts w:ascii="Calibri" w:cs="Calibri" w:eastAsia="Calibri" w:hAnsi="Calibri"/>
          <w:color w:val="222222"/>
          <w:sz w:val="21"/>
          <w:szCs w:val="21"/>
        </w:rPr>
        <w:t xml:space="preserve">Ambiguous date formats: hire dates were entered in three different formats, including day-first slash format (DD/MM/YYYY), which is genuinely ambiguous against month-first parsing and caused a meaningful number of dates to fail automated parsing — a common real-world data-entry risk, not a cosmetic issue.</w:t>
      </w:r>
    </w:p>
    <w:p>
      <w:pPr>
        <w:pStyle w:val="ListParagraph"/>
        <w:numPr>
          <w:ilvl w:val="0"/>
          <w:numId w:val="1"/>
        </w:numPr>
        <w:spacing w:after="60"/>
      </w:pPr>
      <w:r>
        <w:rPr>
          <w:rFonts w:ascii="Calibri" w:cs="Calibri" w:eastAsia="Calibri" w:hAnsi="Calibri"/>
          <w:color w:val="222222"/>
          <w:sz w:val="21"/>
          <w:szCs w:val="21"/>
        </w:rPr>
        <w:t xml:space="preserve">Invalid email addresses: some entries contained doubled "@" symbols, missing domains, or embedded spaces.</w:t>
      </w:r>
    </w:p>
    <w:p>
      <w:pPr>
        <w:pStyle w:val="ListParagraph"/>
        <w:numPr>
          <w:ilvl w:val="0"/>
          <w:numId w:val="1"/>
        </w:numPr>
        <w:spacing w:after="60"/>
      </w:pPr>
      <w:r>
        <w:rPr>
          <w:rFonts w:ascii="Calibri" w:cs="Calibri" w:eastAsia="Calibri" w:hAnsi="Calibri"/>
          <w:color w:val="222222"/>
          <w:sz w:val="21"/>
          <w:szCs w:val="21"/>
        </w:rPr>
        <w:t xml:space="preserve">Duplicate records: some employees were entered more than once, occasionally with different text formatting on the second entry.</w:t>
      </w:r>
    </w:p>
    <w:p>
      <w:pPr>
        <w:pStyle w:val="Heading1"/>
        <w:spacing w:after="120" w:before="300"/>
      </w:pPr>
      <w:r>
        <w:rPr>
          <w:rFonts w:ascii="Calibri" w:cs="Calibri" w:eastAsia="Calibri" w:hAnsi="Calibri"/>
          <w:b/>
          <w:bCs/>
          <w:color w:val="1F3864"/>
          <w:sz w:val="28"/>
          <w:szCs w:val="28"/>
        </w:rPr>
        <w:t xml:space="preserve">3. Cleaning Methodology</w:t>
      </w:r>
    </w:p>
    <w:p>
      <w:pPr>
        <w:spacing w:after="140"/>
      </w:pPr>
      <w:r>
        <w:rPr>
          <w:rFonts w:ascii="Calibri" w:cs="Calibri" w:eastAsia="Calibri" w:hAnsi="Calibri"/>
          <w:color w:val="222222"/>
          <w:sz w:val="21"/>
          <w:szCs w:val="21"/>
        </w:rPr>
        <w:t xml:space="preserve">Every cleaning step below was implemented as a live spreadsheet formula (not a manual one-time fix), so the process is fully repeatable if new raw data arrives.</w:t>
      </w:r>
    </w:p>
    <w:p>
      <w:pPr>
        <w:pStyle w:val="ListParagraph"/>
        <w:numPr>
          <w:ilvl w:val="0"/>
          <w:numId w:val="1"/>
        </w:numPr>
        <w:spacing w:after="60"/>
      </w:pPr>
      <w:r>
        <w:rPr>
          <w:rFonts w:ascii="Calibri" w:cs="Calibri" w:eastAsia="Calibri" w:hAnsi="Calibri"/>
          <w:color w:val="222222"/>
          <w:sz w:val="21"/>
          <w:szCs w:val="21"/>
        </w:rPr>
        <w:t xml:space="preserve">Text fields (names): standardized with TRIM + PROPER to remove stray spacing and normalize capitalization.</w:t>
      </w:r>
    </w:p>
    <w:p>
      <w:pPr>
        <w:pStyle w:val="ListParagraph"/>
        <w:numPr>
          <w:ilvl w:val="0"/>
          <w:numId w:val="1"/>
        </w:numPr>
        <w:spacing w:after="60"/>
      </w:pPr>
      <w:r>
        <w:rPr>
          <w:rFonts w:ascii="Calibri" w:cs="Calibri" w:eastAsia="Calibri" w:hAnsi="Calibri"/>
          <w:color w:val="222222"/>
          <w:sz w:val="21"/>
          <w:szCs w:val="21"/>
        </w:rPr>
        <w:t xml:space="preserve">Category fields (Department, Gender, Status): every raw variant found in the data was mapped to one standardized value using lookup tables and INDEX/MATCH — rather than guessing patterns, each mapping is explicit and auditable.</w:t>
      </w:r>
    </w:p>
    <w:p>
      <w:pPr>
        <w:pStyle w:val="ListParagraph"/>
        <w:numPr>
          <w:ilvl w:val="0"/>
          <w:numId w:val="1"/>
        </w:numPr>
        <w:spacing w:after="60"/>
      </w:pPr>
      <w:r>
        <w:rPr>
          <w:rFonts w:ascii="Calibri" w:cs="Calibri" w:eastAsia="Calibri" w:hAnsi="Calibri"/>
          <w:color w:val="222222"/>
          <w:sz w:val="21"/>
          <w:szCs w:val="21"/>
        </w:rPr>
        <w:t xml:space="preserve">Age: validated against a realistic working-age range (16–75); values outside that range or blank were flagged for manual review rather than silently corrected, since guessing a person's real age is not a safe assumption.</w:t>
      </w:r>
    </w:p>
    <w:p>
      <w:pPr>
        <w:pStyle w:val="ListParagraph"/>
        <w:numPr>
          <w:ilvl w:val="0"/>
          <w:numId w:val="1"/>
        </w:numPr>
        <w:spacing w:after="60"/>
      </w:pPr>
      <w:r>
        <w:rPr>
          <w:rFonts w:ascii="Calibri" w:cs="Calibri" w:eastAsia="Calibri" w:hAnsi="Calibri"/>
          <w:color w:val="222222"/>
          <w:sz w:val="21"/>
          <w:szCs w:val="21"/>
        </w:rPr>
        <w:t xml:space="preserve">Salary: currency symbols and thousands separators were stripped using SUBSTITUTE + VALUE to recover a clean number; values that were negative or implausibly large were flagged for review rather than auto-corrected, for the same reason as age.</w:t>
      </w:r>
    </w:p>
    <w:p>
      <w:pPr>
        <w:pStyle w:val="ListParagraph"/>
        <w:numPr>
          <w:ilvl w:val="0"/>
          <w:numId w:val="1"/>
        </w:numPr>
        <w:spacing w:after="60"/>
      </w:pPr>
      <w:r>
        <w:rPr>
          <w:rFonts w:ascii="Calibri" w:cs="Calibri" w:eastAsia="Calibri" w:hAnsi="Calibri"/>
          <w:color w:val="222222"/>
          <w:sz w:val="21"/>
          <w:szCs w:val="21"/>
        </w:rPr>
        <w:t xml:space="preserve">Hire date: parsed using DATEVALUE; any date that could not be parsed was flagged rather than guessed.</w:t>
      </w:r>
    </w:p>
    <w:p>
      <w:pPr>
        <w:pStyle w:val="ListParagraph"/>
        <w:numPr>
          <w:ilvl w:val="0"/>
          <w:numId w:val="1"/>
        </w:numPr>
        <w:spacing w:after="60"/>
      </w:pPr>
      <w:r>
        <w:rPr>
          <w:rFonts w:ascii="Calibri" w:cs="Calibri" w:eastAsia="Calibri" w:hAnsi="Calibri"/>
          <w:color w:val="222222"/>
          <w:sz w:val="21"/>
          <w:szCs w:val="21"/>
        </w:rPr>
        <w:t xml:space="preserve">Email: validated structurally (presence of "@", a domain, no doubled symbols or embedded spaces) and flagged if malformed.</w:t>
      </w:r>
    </w:p>
    <w:p>
      <w:pPr>
        <w:pStyle w:val="ListParagraph"/>
        <w:numPr>
          <w:ilvl w:val="0"/>
          <w:numId w:val="1"/>
        </w:numPr>
        <w:spacing w:after="60"/>
      </w:pPr>
      <w:r>
        <w:rPr>
          <w:rFonts w:ascii="Calibri" w:cs="Calibri" w:eastAsia="Calibri" w:hAnsi="Calibri"/>
          <w:color w:val="222222"/>
          <w:sz w:val="21"/>
          <w:szCs w:val="21"/>
        </w:rPr>
        <w:t xml:space="preserve">Duplicates: flagged using COUNTIF on Employee ID, so every occurrence of a repeated ID is visible rather than silently deduplicated — a supervisor can decide which record to keep.</w:t>
      </w:r>
    </w:p>
    <w:p>
      <w:pPr>
        <w:pStyle w:val="Heading1"/>
        <w:spacing w:after="120" w:before="300"/>
      </w:pPr>
      <w:r>
        <w:rPr>
          <w:rFonts w:ascii="Calibri" w:cs="Calibri" w:eastAsia="Calibri" w:hAnsi="Calibri"/>
          <w:b/>
          <w:bCs/>
          <w:color w:val="1F3864"/>
          <w:sz w:val="28"/>
          <w:szCs w:val="28"/>
        </w:rPr>
        <w:t xml:space="preserve">4. Key Decision: Flag, Don't Guess</w:t>
      </w:r>
    </w:p>
    <w:p>
      <w:pPr>
        <w:spacing w:after="140"/>
      </w:pPr>
      <w:r>
        <w:rPr>
          <w:rFonts w:ascii="Calibri" w:cs="Calibri" w:eastAsia="Calibri" w:hAnsi="Calibri"/>
          <w:color w:val="222222"/>
          <w:sz w:val="21"/>
          <w:szCs w:val="21"/>
        </w:rPr>
        <w:t xml:space="preserve">A deliberate decision was made throughout this project not to auto-correct ambiguous or impossible values (such as an age of 210 or a negative salary). Silently "fixing" a value risks introducing incorrect data that looks clean but isn't. Instead, every questionable record is clearly flagged as "NEEDS REVIEW" with the specific reason visible, so a human can make the final call. This mirrors how data entry and data quality roles operate in practice: the job is to catch and escalate uncertainty, not to hide it.</w:t>
      </w:r>
    </w:p>
    <w:p>
      <w:pPr>
        <w:pStyle w:val="Heading1"/>
        <w:spacing w:after="120" w:before="300"/>
      </w:pPr>
      <w:r>
        <w:rPr>
          <w:rFonts w:ascii="Calibri" w:cs="Calibri" w:eastAsia="Calibri" w:hAnsi="Calibri"/>
          <w:b/>
          <w:bCs/>
          <w:color w:val="1F3864"/>
          <w:sz w:val="28"/>
          <w:szCs w:val="28"/>
        </w:rPr>
        <w:t xml:space="preserve">5. Before / After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shd w:fill="1F3864" w:val="clear"/>
          </w:tcPr>
          <w:p>
            <w:r>
              <w:rPr>
                <w:rFonts w:ascii="Calibri" w:cs="Calibri" w:eastAsia="Calibri" w:hAnsi="Calibri"/>
                <w:b/>
                <w:bCs/>
                <w:color w:val="FFFFFF"/>
                <w:sz w:val="20"/>
                <w:szCs w:val="20"/>
              </w:rPr>
              <w:t xml:space="preserve">Metric</w:t>
            </w:r>
          </w:p>
        </w:tc>
        <w:tc>
          <w:tcPr>
            <w:tcW w:type="dxa" w:w="2400"/>
            <w:shd w:fill="1F3864" w:val="clear"/>
          </w:tcPr>
          <w:p>
            <w:r>
              <w:rPr>
                <w:rFonts w:ascii="Calibri" w:cs="Calibri" w:eastAsia="Calibri" w:hAnsi="Calibri"/>
                <w:b/>
                <w:bCs/>
                <w:color w:val="FFFFFF"/>
                <w:sz w:val="20"/>
                <w:szCs w:val="20"/>
              </w:rPr>
              <w:t xml:space="preserve">Before</w:t>
            </w:r>
          </w:p>
        </w:tc>
        <w:tc>
          <w:tcPr>
            <w:tcW w:type="dxa" w:w="2400"/>
            <w:shd w:fill="1F3864" w:val="clear"/>
          </w:tcPr>
          <w:p>
            <w:r>
              <w:rPr>
                <w:rFonts w:ascii="Calibri" w:cs="Calibri" w:eastAsia="Calibri" w:hAnsi="Calibri"/>
                <w:b/>
                <w:bCs/>
                <w:color w:val="FFFFFF"/>
                <w:sz w:val="20"/>
                <w:szCs w:val="20"/>
              </w:rPr>
              <w:t xml:space="preserve">After</w:t>
            </w:r>
          </w:p>
        </w:tc>
      </w:tr>
      <w:tr>
        <w:tc>
          <w:tcPr>
            <w:tcW w:type="dxa" w:w="4200"/>
          </w:tcPr>
          <w:p>
            <w:r>
              <w:rPr>
                <w:rFonts w:ascii="Calibri" w:cs="Calibri" w:eastAsia="Calibri" w:hAnsi="Calibri"/>
                <w:b w:val="false"/>
                <w:bCs w:val="false"/>
                <w:color w:val="222222"/>
                <w:sz w:val="20"/>
                <w:szCs w:val="20"/>
              </w:rPr>
              <w:t xml:space="preserve">Total records</w:t>
            </w:r>
          </w:p>
        </w:tc>
        <w:tc>
          <w:tcPr>
            <w:tcW w:type="dxa" w:w="2400"/>
          </w:tcPr>
          <w:p>
            <w:r>
              <w:rPr>
                <w:rFonts w:ascii="Calibri" w:cs="Calibri" w:eastAsia="Calibri" w:hAnsi="Calibri"/>
                <w:b w:val="false"/>
                <w:bCs w:val="false"/>
                <w:color w:val="222222"/>
                <w:sz w:val="20"/>
                <w:szCs w:val="20"/>
              </w:rPr>
              <w:t xml:space="preserve">420</w:t>
            </w:r>
          </w:p>
        </w:tc>
        <w:tc>
          <w:tcPr>
            <w:tcW w:type="dxa" w:w="2400"/>
          </w:tcPr>
          <w:p>
            <w:r>
              <w:rPr>
                <w:rFonts w:ascii="Calibri" w:cs="Calibri" w:eastAsia="Calibri" w:hAnsi="Calibri"/>
                <w:b w:val="false"/>
                <w:bCs w:val="false"/>
                <w:color w:val="222222"/>
                <w:sz w:val="20"/>
                <w:szCs w:val="20"/>
              </w:rPr>
              <w:t xml:space="preserve">420</w:t>
            </w:r>
          </w:p>
        </w:tc>
      </w:tr>
      <w:tr>
        <w:tc>
          <w:tcPr>
            <w:tcW w:type="dxa" w:w="4200"/>
          </w:tcPr>
          <w:p>
            <w:r>
              <w:rPr>
                <w:rFonts w:ascii="Calibri" w:cs="Calibri" w:eastAsia="Calibri" w:hAnsi="Calibri"/>
                <w:b w:val="false"/>
                <w:bCs w:val="false"/>
                <w:color w:val="222222"/>
                <w:sz w:val="20"/>
                <w:szCs w:val="20"/>
              </w:rPr>
              <w:t xml:space="preserve">Records ready to use (no issues)</w:t>
            </w:r>
          </w:p>
        </w:tc>
        <w:tc>
          <w:tcPr>
            <w:tcW w:type="dxa" w:w="2400"/>
          </w:tcPr>
          <w:p>
            <w:r>
              <w:rPr>
                <w:rFonts w:ascii="Calibri" w:cs="Calibri" w:eastAsia="Calibri" w:hAnsi="Calibri"/>
                <w:b w:val="false"/>
                <w:bCs w:val="false"/>
                <w:color w:val="222222"/>
                <w:sz w:val="20"/>
                <w:szCs w:val="20"/>
              </w:rPr>
              <w:t xml:space="preserve">0 (unknown / unverified)</w:t>
            </w:r>
          </w:p>
        </w:tc>
        <w:tc>
          <w:tcPr>
            <w:tcW w:type="dxa" w:w="2400"/>
          </w:tcPr>
          <w:p>
            <w:r>
              <w:rPr>
                <w:rFonts w:ascii="Calibri" w:cs="Calibri" w:eastAsia="Calibri" w:hAnsi="Calibri"/>
                <w:b w:val="false"/>
                <w:bCs w:val="false"/>
                <w:color w:val="222222"/>
                <w:sz w:val="20"/>
                <w:szCs w:val="20"/>
              </w:rPr>
              <w:t xml:space="preserve">233 (55.5%)</w:t>
            </w:r>
          </w:p>
        </w:tc>
      </w:tr>
      <w:tr>
        <w:tc>
          <w:tcPr>
            <w:tcW w:type="dxa" w:w="4200"/>
          </w:tcPr>
          <w:p>
            <w:r>
              <w:rPr>
                <w:rFonts w:ascii="Calibri" w:cs="Calibri" w:eastAsia="Calibri" w:hAnsi="Calibri"/>
                <w:b w:val="false"/>
                <w:bCs w:val="false"/>
                <w:color w:val="222222"/>
                <w:sz w:val="20"/>
                <w:szCs w:val="20"/>
              </w:rPr>
              <w:t xml:space="preserve">Records flagged for review</w:t>
            </w:r>
          </w:p>
        </w:tc>
        <w:tc>
          <w:tcPr>
            <w:tcW w:type="dxa" w:w="2400"/>
          </w:tcPr>
          <w:p>
            <w:r>
              <w:rPr>
                <w:rFonts w:ascii="Calibri" w:cs="Calibri" w:eastAsia="Calibri" w:hAnsi="Calibri"/>
                <w:b w:val="false"/>
                <w:bCs w:val="false"/>
                <w:color w:val="222222"/>
                <w:sz w:val="20"/>
                <w:szCs w:val="20"/>
              </w:rPr>
              <w:t xml:space="preserve">unknown</w:t>
            </w:r>
          </w:p>
        </w:tc>
        <w:tc>
          <w:tcPr>
            <w:tcW w:type="dxa" w:w="2400"/>
          </w:tcPr>
          <w:p>
            <w:r>
              <w:rPr>
                <w:rFonts w:ascii="Calibri" w:cs="Calibri" w:eastAsia="Calibri" w:hAnsi="Calibri"/>
                <w:b w:val="false"/>
                <w:bCs w:val="false"/>
                <w:color w:val="222222"/>
                <w:sz w:val="20"/>
                <w:szCs w:val="20"/>
              </w:rPr>
              <w:t xml:space="preserve">187 (44.5%)</w:t>
            </w:r>
          </w:p>
        </w:tc>
      </w:tr>
      <w:tr>
        <w:tc>
          <w:tcPr>
            <w:tcW w:type="dxa" w:w="4200"/>
          </w:tcPr>
          <w:p>
            <w:r>
              <w:rPr>
                <w:rFonts w:ascii="Calibri" w:cs="Calibri" w:eastAsia="Calibri" w:hAnsi="Calibri"/>
                <w:b w:val="false"/>
                <w:bCs w:val="false"/>
                <w:color w:val="222222"/>
                <w:sz w:val="20"/>
                <w:szCs w:val="20"/>
              </w:rPr>
              <w:t xml:space="preserve">Duplicate records</w:t>
            </w:r>
          </w:p>
        </w:tc>
        <w:tc>
          <w:tcPr>
            <w:tcW w:type="dxa" w:w="2400"/>
          </w:tcPr>
          <w:p>
            <w:r>
              <w:rPr>
                <w:rFonts w:ascii="Calibri" w:cs="Calibri" w:eastAsia="Calibri" w:hAnsi="Calibri"/>
                <w:b w:val="false"/>
                <w:bCs w:val="false"/>
                <w:color w:val="222222"/>
                <w:sz w:val="20"/>
                <w:szCs w:val="20"/>
              </w:rPr>
              <w:t xml:space="preserve">40 (unidentified)</w:t>
            </w:r>
          </w:p>
        </w:tc>
        <w:tc>
          <w:tcPr>
            <w:tcW w:type="dxa" w:w="2400"/>
          </w:tcPr>
          <w:p>
            <w:r>
              <w:rPr>
                <w:rFonts w:ascii="Calibri" w:cs="Calibri" w:eastAsia="Calibri" w:hAnsi="Calibri"/>
                <w:b w:val="false"/>
                <w:bCs w:val="false"/>
                <w:color w:val="222222"/>
                <w:sz w:val="20"/>
                <w:szCs w:val="20"/>
              </w:rPr>
              <w:t xml:space="preserve">40 (identified &amp; flagged)</w:t>
            </w:r>
          </w:p>
        </w:tc>
      </w:tr>
      <w:tr>
        <w:tc>
          <w:tcPr>
            <w:tcW w:type="dxa" w:w="4200"/>
          </w:tcPr>
          <w:p>
            <w:r>
              <w:rPr>
                <w:rFonts w:ascii="Calibri" w:cs="Calibri" w:eastAsia="Calibri" w:hAnsi="Calibri"/>
                <w:b w:val="false"/>
                <w:bCs w:val="false"/>
                <w:color w:val="222222"/>
                <w:sz w:val="20"/>
                <w:szCs w:val="20"/>
              </w:rPr>
              <w:t xml:space="preserve">Invalid or missing ages</w:t>
            </w:r>
          </w:p>
        </w:tc>
        <w:tc>
          <w:tcPr>
            <w:tcW w:type="dxa" w:w="2400"/>
          </w:tcPr>
          <w:p>
            <w:r>
              <w:rPr>
                <w:rFonts w:ascii="Calibri" w:cs="Calibri" w:eastAsia="Calibri" w:hAnsi="Calibri"/>
                <w:b w:val="false"/>
                <w:bCs w:val="false"/>
                <w:color w:val="222222"/>
                <w:sz w:val="20"/>
                <w:szCs w:val="20"/>
              </w:rPr>
              <w:t xml:space="preserve">unknown</w:t>
            </w:r>
          </w:p>
        </w:tc>
        <w:tc>
          <w:tcPr>
            <w:tcW w:type="dxa" w:w="2400"/>
          </w:tcPr>
          <w:p>
            <w:r>
              <w:rPr>
                <w:rFonts w:ascii="Calibri" w:cs="Calibri" w:eastAsia="Calibri" w:hAnsi="Calibri"/>
                <w:b w:val="false"/>
                <w:bCs w:val="false"/>
                <w:color w:val="222222"/>
                <w:sz w:val="20"/>
                <w:szCs w:val="20"/>
              </w:rPr>
              <w:t xml:space="preserve">27 identified</w:t>
            </w:r>
          </w:p>
        </w:tc>
      </w:tr>
      <w:tr>
        <w:tc>
          <w:tcPr>
            <w:tcW w:type="dxa" w:w="4200"/>
          </w:tcPr>
          <w:p>
            <w:r>
              <w:rPr>
                <w:rFonts w:ascii="Calibri" w:cs="Calibri" w:eastAsia="Calibri" w:hAnsi="Calibri"/>
                <w:b w:val="false"/>
                <w:bCs w:val="false"/>
                <w:color w:val="222222"/>
                <w:sz w:val="20"/>
                <w:szCs w:val="20"/>
              </w:rPr>
              <w:t xml:space="preserve">Invalid or missing salaries</w:t>
            </w:r>
          </w:p>
        </w:tc>
        <w:tc>
          <w:tcPr>
            <w:tcW w:type="dxa" w:w="2400"/>
          </w:tcPr>
          <w:p>
            <w:r>
              <w:rPr>
                <w:rFonts w:ascii="Calibri" w:cs="Calibri" w:eastAsia="Calibri" w:hAnsi="Calibri"/>
                <w:b w:val="false"/>
                <w:bCs w:val="false"/>
                <w:color w:val="222222"/>
                <w:sz w:val="20"/>
                <w:szCs w:val="20"/>
              </w:rPr>
              <w:t xml:space="preserve">unknown</w:t>
            </w:r>
          </w:p>
        </w:tc>
        <w:tc>
          <w:tcPr>
            <w:tcW w:type="dxa" w:w="2400"/>
          </w:tcPr>
          <w:p>
            <w:r>
              <w:rPr>
                <w:rFonts w:ascii="Calibri" w:cs="Calibri" w:eastAsia="Calibri" w:hAnsi="Calibri"/>
                <w:b w:val="false"/>
                <w:bCs w:val="false"/>
                <w:color w:val="222222"/>
                <w:sz w:val="20"/>
                <w:szCs w:val="20"/>
              </w:rPr>
              <w:t xml:space="preserve">38 identified</w:t>
            </w:r>
          </w:p>
        </w:tc>
      </w:tr>
      <w:tr>
        <w:tc>
          <w:tcPr>
            <w:tcW w:type="dxa" w:w="4200"/>
          </w:tcPr>
          <w:p>
            <w:r>
              <w:rPr>
                <w:rFonts w:ascii="Calibri" w:cs="Calibri" w:eastAsia="Calibri" w:hAnsi="Calibri"/>
                <w:b w:val="false"/>
                <w:bCs w:val="false"/>
                <w:color w:val="222222"/>
                <w:sz w:val="20"/>
                <w:szCs w:val="20"/>
              </w:rPr>
              <w:t xml:space="preserve">Unparseable hire dates</w:t>
            </w:r>
          </w:p>
        </w:tc>
        <w:tc>
          <w:tcPr>
            <w:tcW w:type="dxa" w:w="2400"/>
          </w:tcPr>
          <w:p>
            <w:r>
              <w:rPr>
                <w:rFonts w:ascii="Calibri" w:cs="Calibri" w:eastAsia="Calibri" w:hAnsi="Calibri"/>
                <w:b w:val="false"/>
                <w:bCs w:val="false"/>
                <w:color w:val="222222"/>
                <w:sz w:val="20"/>
                <w:szCs w:val="20"/>
              </w:rPr>
              <w:t xml:space="preserve">unknown</w:t>
            </w:r>
          </w:p>
        </w:tc>
        <w:tc>
          <w:tcPr>
            <w:tcW w:type="dxa" w:w="2400"/>
          </w:tcPr>
          <w:p>
            <w:r>
              <w:rPr>
                <w:rFonts w:ascii="Calibri" w:cs="Calibri" w:eastAsia="Calibri" w:hAnsi="Calibri"/>
                <w:b w:val="false"/>
                <w:bCs w:val="false"/>
                <w:color w:val="222222"/>
                <w:sz w:val="20"/>
                <w:szCs w:val="20"/>
              </w:rPr>
              <w:t xml:space="preserve">81 identified</w:t>
            </w:r>
          </w:p>
        </w:tc>
      </w:tr>
      <w:tr>
        <w:tc>
          <w:tcPr>
            <w:tcW w:type="dxa" w:w="4200"/>
          </w:tcPr>
          <w:p>
            <w:r>
              <w:rPr>
                <w:rFonts w:ascii="Calibri" w:cs="Calibri" w:eastAsia="Calibri" w:hAnsi="Calibri"/>
                <w:b w:val="false"/>
                <w:bCs w:val="false"/>
                <w:color w:val="222222"/>
                <w:sz w:val="20"/>
                <w:szCs w:val="20"/>
              </w:rPr>
              <w:t xml:space="preserve">Invalid email addresses</w:t>
            </w:r>
          </w:p>
        </w:tc>
        <w:tc>
          <w:tcPr>
            <w:tcW w:type="dxa" w:w="2400"/>
          </w:tcPr>
          <w:p>
            <w:r>
              <w:rPr>
                <w:rFonts w:ascii="Calibri" w:cs="Calibri" w:eastAsia="Calibri" w:hAnsi="Calibri"/>
                <w:b w:val="false"/>
                <w:bCs w:val="false"/>
                <w:color w:val="222222"/>
                <w:sz w:val="20"/>
                <w:szCs w:val="20"/>
              </w:rPr>
              <w:t xml:space="preserve">unknown</w:t>
            </w:r>
          </w:p>
        </w:tc>
        <w:tc>
          <w:tcPr>
            <w:tcW w:type="dxa" w:w="2400"/>
          </w:tcPr>
          <w:p>
            <w:r>
              <w:rPr>
                <w:rFonts w:ascii="Calibri" w:cs="Calibri" w:eastAsia="Calibri" w:hAnsi="Calibri"/>
                <w:b w:val="false"/>
                <w:bCs w:val="false"/>
                <w:color w:val="222222"/>
                <w:sz w:val="20"/>
                <w:szCs w:val="20"/>
              </w:rPr>
              <w:t xml:space="preserve">37 identified</w:t>
            </w:r>
          </w:p>
        </w:tc>
      </w:tr>
      <w:tr>
        <w:tc>
          <w:tcPr>
            <w:tcW w:type="dxa" w:w="4200"/>
          </w:tcPr>
          <w:p>
            <w:r>
              <w:rPr>
                <w:rFonts w:ascii="Calibri" w:cs="Calibri" w:eastAsia="Calibri" w:hAnsi="Calibri"/>
                <w:b w:val="false"/>
                <w:bCs w:val="false"/>
                <w:color w:val="222222"/>
                <w:sz w:val="20"/>
                <w:szCs w:val="20"/>
              </w:rPr>
              <w:t xml:space="preserve">Department / Gender / Status labels</w:t>
            </w:r>
          </w:p>
        </w:tc>
        <w:tc>
          <w:tcPr>
            <w:tcW w:type="dxa" w:w="2400"/>
          </w:tcPr>
          <w:p>
            <w:r>
              <w:rPr>
                <w:rFonts w:ascii="Calibri" w:cs="Calibri" w:eastAsia="Calibri" w:hAnsi="Calibri"/>
                <w:b w:val="false"/>
                <w:bCs w:val="false"/>
                <w:color w:val="222222"/>
                <w:sz w:val="20"/>
                <w:szCs w:val="20"/>
              </w:rPr>
              <w:t xml:space="preserve">7 / 5 / 4 inconsistent variants</w:t>
            </w:r>
          </w:p>
        </w:tc>
        <w:tc>
          <w:tcPr>
            <w:tcW w:type="dxa" w:w="2400"/>
          </w:tcPr>
          <w:p>
            <w:r>
              <w:rPr>
                <w:rFonts w:ascii="Calibri" w:cs="Calibri" w:eastAsia="Calibri" w:hAnsi="Calibri"/>
                <w:b w:val="false"/>
                <w:bCs w:val="false"/>
                <w:color w:val="222222"/>
                <w:sz w:val="20"/>
                <w:szCs w:val="20"/>
              </w:rPr>
              <w:t xml:space="preserve">fully standardized</w:t>
            </w:r>
          </w:p>
        </w:tc>
      </w:tr>
    </w:tbl>
    <w:p>
      <w:pPr>
        <w:spacing w:after="200"/>
      </w:pPr>
    </w:p>
    <w:p>
      <w:pPr>
        <w:pStyle w:val="Heading1"/>
        <w:spacing w:after="120" w:before="300"/>
      </w:pPr>
      <w:r>
        <w:rPr>
          <w:rFonts w:ascii="Calibri" w:cs="Calibri" w:eastAsia="Calibri" w:hAnsi="Calibri"/>
          <w:b/>
          <w:bCs/>
          <w:color w:val="1F3864"/>
          <w:sz w:val="28"/>
          <w:szCs w:val="28"/>
        </w:rPr>
        <w:t xml:space="preserve">6. Outcome</w:t>
      </w:r>
    </w:p>
    <w:p>
      <w:pPr>
        <w:spacing w:after="140"/>
      </w:pPr>
      <w:r>
        <w:rPr>
          <w:rFonts w:ascii="Calibri" w:cs="Calibri" w:eastAsia="Calibri" w:hAnsi="Calibri"/>
          <w:color w:val="222222"/>
          <w:sz w:val="21"/>
          <w:szCs w:val="21"/>
        </w:rPr>
        <w:t xml:space="preserve">Of 420 raw employee records, 233 (55.5%) passed every validation check and are ready to use immediately. The remaining 187 records were not discarded — each is flagged with the specific issue found (invalid age, invalid salary, unparseable date, invalid email, duplicate, or unmapped category label), so review time can be targeted only where it's needed instead of re-checking all 420 records manually.</w:t>
      </w:r>
    </w:p>
    <w:p>
      <w:pPr>
        <w:pStyle w:val="Heading1"/>
        <w:spacing w:after="120" w:before="300"/>
      </w:pPr>
      <w:r>
        <w:rPr>
          <w:rFonts w:ascii="Calibri" w:cs="Calibri" w:eastAsia="Calibri" w:hAnsi="Calibri"/>
          <w:b/>
          <w:bCs/>
          <w:color w:val="1F3864"/>
          <w:sz w:val="28"/>
          <w:szCs w:val="28"/>
        </w:rPr>
        <w:t xml:space="preserve">7. Tools Used</w:t>
      </w:r>
    </w:p>
    <w:p>
      <w:pPr>
        <w:spacing w:after="140"/>
      </w:pPr>
      <w:r>
        <w:rPr>
          <w:rFonts w:ascii="Calibri" w:cs="Calibri" w:eastAsia="Calibri" w:hAnsi="Calibri"/>
          <w:color w:val="222222"/>
          <w:sz w:val="21"/>
          <w:szCs w:val="21"/>
        </w:rPr>
        <w:t xml:space="preserve">Excel/Google Sheets formulas: TRIM, PROPER, UPPER, INDEX, MATCH, IFERROR, SUBSTITUTE, VALUE, DATEVALUE, FIND, COUNTIF, conditional formatting, and lookup-table-based standardization.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2026-07-17T00:10:53.344Z</dcterms:created>
  <dcterms:modified xsi:type="dcterms:W3CDTF">2026-07-17T00:10:53.353Z</dcterms:modified>
</cp:coreProperties>
</file>

<file path=docProps/custom.xml><?xml version="1.0" encoding="utf-8"?>
<Properties xmlns="http://schemas.openxmlformats.org/officeDocument/2006/custom-properties" xmlns:vt="http://schemas.openxmlformats.org/officeDocument/2006/docPropsVTypes"/>
</file>