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DeepSeek API 接口文档摘录</w:t>
      </w:r>
    </w:p>
    <w:p>
      <w:r>
        <w:rPr>
          <w:b/>
          <w:bCs/>
          <w:sz w:val="24"/>
          <w:szCs w:val="24"/>
        </w:rPr>
        <w:t xml:space="preserve">基础 URL：https://api.deepseek.com</w:t>
      </w:r>
    </w:p>
    <w:p>
      <w:r>
        <w:t xml:space="preserve"/>
      </w:r>
    </w:p>
    <w:p>
      <w:r>
        <w:rPr>
          <w:sz w:val="24"/>
          <w:szCs w:val="24"/>
        </w:rPr>
        <w:t xml:space="preserve">DeepSeek 提供兼容 OpenAI 格式的 Chat Completions 接口。请求端点为 POST /v1/chat/completions，需在请求头中携带 Authorization: Bearer &lt;API_KEY&gt;。</w:t>
      </w:r>
    </w:p>
    <w:p>
      <w:r>
        <w:t xml:space="preserve"/>
      </w:r>
    </w:p>
    <w:p>
      <w:r>
        <w:rPr>
          <w:sz w:val="24"/>
          <w:szCs w:val="24"/>
        </w:rPr>
        <w:t xml:space="preserve">主要模型：deepseek-chat（DeepSeek-V3，通用对话）和 deepseek-reasoner（DeepSeek-R1，深度推理）。请求体中 messages 字段格式与 OpenAI 一致，支持 system、user、assistant 三种角色。temperature 参数控制输出随机性，建议普通任务设为 1.0，代码生成设为 0。</w:t>
      </w:r>
    </w:p>
    <w:p>
      <w:r>
        <w:t xml:space="preserve"/>
      </w:r>
    </w:p>
    <w:p>
      <w:r>
        <w:rPr>
          <w:sz w:val="24"/>
          <w:szCs w:val="24"/>
        </w:rPr>
        <w:t xml:space="preserve">计费单位为 token，输入与输出分开计价。deepseek-chat 模型支持最长 64K 上下文窗口，deepseek-reasoner 支持最长 128K。API Key 可在 platform.deepseek.com 的控制台中创建和管理。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2026-05-23T07:33:00.684Z</dcterms:created>
  <dcterms:modified xsi:type="dcterms:W3CDTF">2026-05-23T07:33:00.686Z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