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2D7A"/>
          <w:sz w:val="72"/>
          <w:szCs w:val="72"/>
        </w:rPr>
        <w:t xml:space="preserve">Tinda.ph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B5EA7"/>
          <w:sz w:val="28"/>
          <w:szCs w:val="28"/>
        </w:rPr>
        <w:t xml:space="preserve">Functional Requirements Document (FRD)</w:t>
      </w:r>
    </w:p>
    <w:p>
      <w:pPr>
        <w:pBdr>
          <w:bottom w:val="single" w:color="C4A8F0" w:sz="4"/>
        </w:pBdr>
        <w:spacing w:after="180" w:before="18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7A6A95"/>
          <w:sz w:val="22"/>
          <w:szCs w:val="22"/>
        </w:rPr>
        <w:t xml:space="preserve">Version 1.0 · Technical Specifications &amp; System Behavior · May 2026</w:t>
      </w:r>
    </w:p>
    <w:p>
      <w:r>
        <w:t xml:space="preserve"/>
      </w: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A2D7A"/>
          <w:sz w:val="36"/>
          <w:szCs w:val="36"/>
        </w:rPr>
        <w:t xml:space="preserve">1.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Single-file HTML/CSS/JavaScript application. No build step or bundler required. Deployable as a static file to any host.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AI Layer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Anthropic Claude Sonnet API (claude-sonnet-4-20250514). Called directly from client via fetch(). Max tokens: 1000 per call. All outputs are JSON-structured.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Web Search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Anthropic web_search_20250305 tool. Used exclusively in Trending Now module. Real-time search of Philippine MSME/food content.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Image Generation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Pollinations.ai — free, no API key, called from browser. Returns image URL. Upgradeable to Ideogram or DALL-E for production.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In-memory JavaScript object (S). Stores: brand profile, visual style, palette, tone, content type, situation, image prompt, photo tip, post/script counters. No database in v1.0.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Theme System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3 CSS custom property sets on [data-theme] attribute. Light (blue/white), Dark (charcoal), Noir (light purple/lavender). All colors via CSS variables — zero hardcoded colors in component CSS.</w:t>
            </w:r>
          </w:p>
        </w:tc>
      </w:tr>
      <w:tr>
        <w:tc>
          <w:tcPr>
            <w:tcW w:type="dxa" w:w="25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None in v1.0. Session-based persona (Maria Lim). User accounts planned for v2.0 via Supabase.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A2D7A"/>
          <w:sz w:val="36"/>
          <w:szCs w:val="36"/>
        </w:rPr>
        <w:t xml:space="preserve">2. Module Functional Requirements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2B5A"/>
          <w:sz w:val="24"/>
          <w:szCs w:val="24"/>
        </w:rPr>
        <w:t xml:space="preserve">FR-01: Brand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FR-01.1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Question input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6 input fields: product/delivery textarea, buyer/problem textarea, differentiation textarea, origin story textarea, vibe pill selector (4 options), surprise feedback textarea. Plus business name text input. Fields 1–4 validated as required on submit.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State object passed to AI prompt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FR-01.2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Visual style selector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4 pill options: homey, premium, bold, story. pickVstyle() removes .on from all, adds to clicked, updates S.vstyle. vstyleDesc object maps id to photography description injected into prompt.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S.vstyle updated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FR-01.3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AI brand generation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Prompt sent to Claude Sonnet with all 6 question answers + visual style description. Response schema: businessName, tagline, oneLiner, targetBuyer, uniqueValue, brandVoice, emotionalHook, contentTip, palette (array of 3: role/hex/name), photographyMood, imageStyle.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JSON parsed → profile grid + palette rendered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FR-01.4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Palette display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3 color swatches rendered as 42×42px divs with inline background-color. Hex code and role label displayed below each. palette-box shown with .show class. S.brand.palette stored.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Color swatches visible, palette stored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FR-01.5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Live preview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input event on b-name and b-diff fields updates #prev-bname and #prev-bone in right panel FB preview card in real-time.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Right panel preview updates on keyup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FR-01.6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State persistence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On success: S.brand object populated. sidebar user-role updated to businessName. Dashboard stat card set to ✓. Content/Convert modules receive brand context automatically. Saved banner shown.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Global S.brand + all dependent UI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FR-01.7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JSON parse or API error renders warning banner inside #brand-output. Button re-enabled. Loading cleared. Error message displayed.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Warning banner with error detail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2B5A"/>
          <w:sz w:val="24"/>
          <w:szCs w:val="24"/>
        </w:rPr>
        <w:t xml:space="preserve">FR-02: Content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FR-02.1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Input capture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Product textarea + 4-tone pill selector (Warm+personal, Exciting+urgent, Informative, Funny+relatable) + 4-type pill selector (FB caption, Story text, Product description, Reel hook). S.tone and S.contentType updated on click.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State updated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FR-02.2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Smart timing injection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new Date() called at generation time. dayName (long), timeHour, timePeriod (morning/afternoon/evening), monthName extracted. Injected as timeCtx string into prompt. No user input required.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Timing context in every prompt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FR-02.3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Brand + palette context injection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If S.brand exists: brand context string built from businessName, oneLiner, targetBuyer, uniqueValue, brandVoice, emotionalHook. If S.brand.palette exists: palette hex codes injected as paletteCtx. If S.brand.imageStyle: injected as imgStyleCtx.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Personalized vs generic prompt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FR-02.4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Caption generation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JSON response: captions array (3 items with label+text), tip string, imagePrompt string, photoTip string. All 4 fields extracted and stored/rendered.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3 captions + tip + imagePrompt + photoTip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FR-02.5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Image generation section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After caption success: S.imagePrompt and S.photoTip stored. #img-gen-section shown with .show class. #img-prompt-display populated and shown. #photo-tip-display populated. Right panel image section reset.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Image section appears automatically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FR-02.6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Copy to clipboard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navigator.clipboard.writeText() on button click. Button text changes: "Copy" → "✓ Copied" → reverts after 2000ms via setTimeout.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Clipboard populated + button feedback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FR-02.7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Counter update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S.posts += 3 on success. #s-posts DOM element textContent updated.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Dashboard stat incremented by 3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FR-02.8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Right panel FB preview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First caption (120 char + "..." truncated) injected into #prev-caption. Generated image (when available) set as src on #prev-post-img and shown with .show class.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Full post preview in right panel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2B5A"/>
          <w:sz w:val="24"/>
          <w:szCs w:val="24"/>
        </w:rPr>
        <w:t xml:space="preserve">FR-03: Image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FR-03.1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Mode toggle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switchGenMode() removes .on from all .gen-mode-pill, adds to clicked, updates S.genMode. ai-image-mode div shown/hidden. photo-tip-mode div shown/hidden.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Mode state updated + UI toggled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FR-03.2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Image API call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Prompt: S.imagePrompt + ", food photography, professional, high quality, appetizing". Encoded via encodeURIComponent. Random seed generated. URL: image.pollinations.ai/prompt/{encoded}?width=800&amp;height=600&amp;seed={seed}&amp;nologo=true&amp;enhance=true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Image URL constructed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FR-03.3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Image pre-load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new Image() created. onload resolves Promise. onerror rejects. Ensures image is cached before displaying. Handles network failures gracefully.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Image cached or error caught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FR-03.4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Result display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#generated-img src set to imgUrl. img.onload callback: #img-result shown with .show class. #img-loading hidden. Right panel #prev-post-img src set and shown. #img-download href set for download.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Image in app + right panel + download ready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FR-03.5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Regenerate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Same generateImage() function called again. New random seed generates different image. All result/loading states reset before new call.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Fresh image with different seed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FR-03.6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try/catch wraps the entire flow. On failure: loading hidden, warning banner appended to #img-gen-section. User can try again or switch to photo tip mode.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Warning banner + mode fallback available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2B5A"/>
          <w:sz w:val="24"/>
          <w:szCs w:val="24"/>
        </w:rPr>
        <w:t xml:space="preserve">FR-04: Conversion 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FR-04.1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Situation selection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pickSit() removes .on from all .sit-card, adds to clicked, updates S.situation. Right panel #sit-tips updated immediately from client-side sitTips object — no API call.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S.situation + instant tip update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FR-04.2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Script generation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JSON prompt includes: situation description (from sitMap object), optional context from #cv-ctx, brand context if S.brand exists. Response: script, why, avoid.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3-section output rendered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FR-04.3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Messenger preview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result.script injected into #msg-preview as styled .msg-bubble div. Simulates Facebook Messenger — blue bubble, right-aligned, with timestamp.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DM preview updated in right panel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FR-04.4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Copy script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Copy button on script out-card. Same clipboard behavior as Content Engine (copyText function).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Clipboard copy + button feedback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FR-04.5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Counter update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S.scripts++ on success. #s-scripts DOM element updated.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Dashboard stat incremented by 1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2B5A"/>
          <w:sz w:val="24"/>
          <w:szCs w:val="24"/>
        </w:rPr>
        <w:t xml:space="preserve">FR-05: Trending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FR-05.1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Auto-fetch on load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DOMContentLoaded event → setTimeout(fetchNews, 400). Spinner shown immediately with .show class on #news-loading. fetchNews() called with no user interaction.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News cards on app open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FR-05.2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Web search API call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Claude API called with tools:[{type:'web_search_20250305',name:'web_search'}]. Query string built from NEWS_PROMPTS[newsFilter]. System prompt instructs: curator for Filipino food sellers, return JSON only.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Real-time news from live web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FR-05.3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Response parsing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data.content array filtered for type==="text" block. textBlock.text extracted. JSON parsed after stripping markdown fences. result.items array mapped to cards.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4 news cards rendered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FR-05.4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Card rendering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Each card: .news-card div with animation-delay (i*70ms). Contains: category badge (class from CAT_MAP), headline (.news-headline), summary, trend tags, action line (.news-action).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Staggered card entrance animation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FR-05.5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Filter system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5 filters in NEWS_PROMPTS object. setNewsFilter() removes .on from all pills, adds to clicked, updates newsFilter state. Re-fetch triggered only on manual refresh.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Filter state updated</w:t>
            </w:r>
          </w:p>
        </w:tc>
      </w:tr>
      <w:tr>
        <w:tc>
          <w:tcPr>
            <w:tcW w:type="dxa" w:w="1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8"/>
                <w:szCs w:val="18"/>
              </w:rPr>
              <w:t xml:space="preserve">FR-05.6</w:t>
            </w:r>
          </w:p>
        </w:tc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Auto-fetch on navigate</w:t>
            </w:r>
          </w:p>
        </w:tc>
        <w:tc>
          <w:tcPr>
            <w:tcW w:type="dxa" w:w="35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window.goTo patch checks if #news-output.innerHTML.trim() === "" on navigation to news page. If empty, setTimeout(fetchNews, 200).</w:t>
            </w:r>
          </w:p>
        </w:tc>
        <w:tc>
          <w:tcPr>
            <w:tcW w:type="dxa" w:w="26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News loads on first page visit</w:t>
            </w:r>
          </w:p>
        </w:tc>
      </w:tr>
    </w:tbl>
    <w:p>
      <w:pPr>
        <w:spacing w:after="0" w:before="160"/>
      </w:pPr>
    </w:p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A2D7A"/>
          <w:sz w:val="36"/>
          <w:szCs w:val="36"/>
        </w:rPr>
        <w:t xml:space="preserve">3. AI Prompt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System role</w:t>
            </w:r>
          </w:p>
        </w:tc>
        <w:tc>
          <w:tcPr>
            <w:tcW w:type="dxa" w:w="73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Module-specific specialist persona. Always ends with: "Respond ONLY in valid JSON with no markdown fences."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User message</w:t>
            </w:r>
          </w:p>
        </w:tc>
        <w:tc>
          <w:tcPr>
            <w:tcW w:type="dxa" w:w="73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Context block (brand data if available) + product/situation input + JSON schema definition + language rules.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Brand context</w:t>
            </w:r>
          </w:p>
        </w:tc>
        <w:tc>
          <w:tcPr>
            <w:tcW w:type="dxa" w:w="73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If S.brand exists: businessName, oneLiner, targetBuyer, uniqueValue, brandVoice, emotionalHook injected. If S.brand.palette: hex codes injected as paletteCtx. If S.brand.imageStyle: injected as imgStyleCtx.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Response format</w:t>
            </w:r>
          </w:p>
        </w:tc>
        <w:tc>
          <w:tcPr>
            <w:tcW w:type="dxa" w:w="73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Strict JSON only. JSON.parse() with /```json|```/g strip. Error caught → warning banner displayed to user.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Language rule</w:t>
            </w:r>
          </w:p>
        </w:tc>
        <w:tc>
          <w:tcPr>
            <w:tcW w:type="dxa" w:w="73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All content-facing outputs: natural Taglish. No corporate language. Emojis only where they add warmth, not in every sentence.</w:t>
            </w:r>
          </w:p>
        </w:tc>
      </w:tr>
      <w:tr>
        <w:tc>
          <w:tcPr>
            <w:tcW w:type="dxa" w:w="20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Max tokens</w:t>
            </w:r>
          </w:p>
        </w:tc>
        <w:tc>
          <w:tcPr>
            <w:tcW w:type="dxa" w:w="736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1000 per call. Sufficient for all v1.0 use cases. Increase to 1500 for Growth tier extended outputs in v2.0.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A2D7A"/>
          <w:sz w:val="36"/>
          <w:szCs w:val="36"/>
        </w:rPr>
        <w:t xml:space="preserve">4. Theme System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7"/>
        <w:gridCol w:w="2387"/>
        <w:gridCol w:w="2386"/>
      </w:tblGrid>
      <w:tr>
        <w:tc>
          <w:tcPr>
            <w:tcW w:type="dxa" w:w="2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CSS Token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</w:t>
            </w:r>
          </w:p>
        </w:tc>
        <w:tc>
          <w:tcPr>
            <w:tcW w:type="dxa" w:w="2386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Noir (Light Purple)</w:t>
            </w:r>
          </w:p>
        </w:tc>
      </w:tr>
      <w:tr>
        <w:tc>
          <w:tcPr>
            <w:tcW w:type="dxa" w:w="2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5A"/>
                <w:sz w:val="18"/>
                <w:szCs w:val="18"/>
              </w:rPr>
              <w:t xml:space="preserve">--surface-0 (sidebar)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#0A192F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#0E0E10</w:t>
            </w:r>
          </w:p>
        </w:tc>
        <w:tc>
          <w:tcPr>
            <w:tcW w:type="dxa" w:w="2386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A7"/>
                <w:sz w:val="18"/>
                <w:szCs w:val="18"/>
              </w:rPr>
              <w:t xml:space="preserve">#EDE8FF</w:t>
            </w:r>
          </w:p>
        </w:tc>
      </w:tr>
      <w:tr>
        <w:tc>
          <w:tcPr>
            <w:tcW w:type="dxa" w:w="2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5A"/>
                <w:sz w:val="18"/>
                <w:szCs w:val="18"/>
              </w:rPr>
              <w:t xml:space="preserve">--surface-1 (page bg)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#F0F4F8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#131315</w:t>
            </w:r>
          </w:p>
        </w:tc>
        <w:tc>
          <w:tcPr>
            <w:tcW w:type="dxa" w:w="2386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A7"/>
                <w:sz w:val="18"/>
                <w:szCs w:val="18"/>
              </w:rPr>
              <w:t xml:space="preserve">#F4F0FF</w:t>
            </w:r>
          </w:p>
        </w:tc>
      </w:tr>
      <w:tr>
        <w:tc>
          <w:tcPr>
            <w:tcW w:type="dxa" w:w="2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5A"/>
                <w:sz w:val="18"/>
                <w:szCs w:val="18"/>
              </w:rPr>
              <w:t xml:space="preserve">--surface-2 (cards)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#FFFFFF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#222228</w:t>
            </w:r>
          </w:p>
        </w:tc>
        <w:tc>
          <w:tcPr>
            <w:tcW w:type="dxa" w:w="2386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A7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5A"/>
                <w:sz w:val="18"/>
                <w:szCs w:val="18"/>
              </w:rPr>
              <w:t xml:space="preserve">--surface-3 (inputs)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#E8EDF4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#2E2E34</w:t>
            </w:r>
          </w:p>
        </w:tc>
        <w:tc>
          <w:tcPr>
            <w:tcW w:type="dxa" w:w="2386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A7"/>
                <w:sz w:val="18"/>
                <w:szCs w:val="18"/>
              </w:rPr>
              <w:t xml:space="preserve">#F8F5FF</w:t>
            </w:r>
          </w:p>
        </w:tc>
      </w:tr>
      <w:tr>
        <w:tc>
          <w:tcPr>
            <w:tcW w:type="dxa" w:w="2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5A"/>
                <w:sz w:val="18"/>
                <w:szCs w:val="18"/>
              </w:rPr>
              <w:t xml:space="preserve">--accent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#0055FF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#4F8EF7</w:t>
            </w:r>
          </w:p>
        </w:tc>
        <w:tc>
          <w:tcPr>
            <w:tcW w:type="dxa" w:w="2386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A7"/>
                <w:sz w:val="18"/>
                <w:szCs w:val="18"/>
              </w:rPr>
              <w:t xml:space="preserve">#7B5EA7</w:t>
            </w:r>
          </w:p>
        </w:tc>
      </w:tr>
      <w:tr>
        <w:tc>
          <w:tcPr>
            <w:tcW w:type="dxa" w:w="2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5A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#0A192F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#F2F2F4</w:t>
            </w:r>
          </w:p>
        </w:tc>
        <w:tc>
          <w:tcPr>
            <w:tcW w:type="dxa" w:w="2386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A7"/>
                <w:sz w:val="18"/>
                <w:szCs w:val="18"/>
              </w:rPr>
              <w:t xml:space="preserve">#1A0E30</w:t>
            </w:r>
          </w:p>
        </w:tc>
      </w:tr>
      <w:tr>
        <w:tc>
          <w:tcPr>
            <w:tcW w:type="dxa" w:w="22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5A"/>
                <w:sz w:val="18"/>
                <w:szCs w:val="18"/>
              </w:rPr>
              <w:t xml:space="preserve">--gold (secondary)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#D4AF37</w:t>
            </w:r>
          </w:p>
        </w:tc>
        <w:tc>
          <w:tcPr>
            <w:tcW w:type="dxa" w:w="2387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8"/>
                <w:szCs w:val="18"/>
              </w:rPr>
              <w:t xml:space="preserve">#4F8EF7</w:t>
            </w:r>
          </w:p>
        </w:tc>
        <w:tc>
          <w:tcPr>
            <w:tcW w:type="dxa" w:w="2386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A7"/>
                <w:sz w:val="18"/>
                <w:szCs w:val="18"/>
              </w:rPr>
              <w:t xml:space="preserve">#9A6B00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A2D7A"/>
          <w:sz w:val="36"/>
          <w:szCs w:val="36"/>
        </w:rPr>
        <w:t xml:space="preserve">5. v1.0 → v2.0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v1.0 — Current (Beta)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2D0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v2.0 — Next (Growth)</w:t>
            </w:r>
          </w:p>
        </w:tc>
      </w:tr>
      <w:tr>
        <w:tc>
          <w:tcPr>
            <w:tcW w:type="dxa" w:w="18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State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In-memory session only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Persistent accounts via Supabase</w:t>
            </w:r>
          </w:p>
        </w:tc>
      </w:tr>
      <w:tr>
        <w:tc>
          <w:tcPr>
            <w:tcW w:type="dxa" w:w="18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Data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No outcome tracking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Outcome logger: got orders / didn't. Feedback loop begins building the dataset.</w:t>
            </w:r>
          </w:p>
        </w:tc>
      </w:tr>
      <w:tr>
        <w:tc>
          <w:tcPr>
            <w:tcW w:type="dxa" w:w="18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Images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Pollinations.ai (free)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Ideogram v2 or DALL-E 3 (higher quality, brand consistency)</w:t>
            </w:r>
          </w:p>
        </w:tc>
      </w:tr>
      <w:tr>
        <w:tc>
          <w:tcPr>
            <w:tcW w:type="dxa" w:w="18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AI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General Claude Sonnet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Fine-tuned on Philippine food commerce outcomes dataset</w:t>
            </w:r>
          </w:p>
        </w:tc>
      </w:tr>
      <w:tr>
        <w:tc>
          <w:tcPr>
            <w:tcW w:type="dxa" w:w="18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Community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Seller community feed — what worked this week across platform</w:t>
            </w:r>
          </w:p>
        </w:tc>
      </w:tr>
      <w:tr>
        <w:tc>
          <w:tcPr>
            <w:tcW w:type="dxa" w:w="18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Analytics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8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Post/script counter only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Conversion rate benchmarks by product category and region</w:t>
            </w:r>
          </w:p>
        </w:tc>
      </w:tr>
      <w:tr>
        <w:tc>
          <w:tcPr>
            <w:tcW w:type="dxa" w:w="180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020"/>
                <w:sz w:val="19"/>
                <w:szCs w:val="19"/>
              </w:rPr>
              <w:t xml:space="preserve">Monetization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020"/>
                <w:sz w:val="19"/>
                <w:szCs w:val="19"/>
              </w:rPr>
              <w:t xml:space="preserve">Subscription (planned)</w:t>
            </w:r>
          </w:p>
        </w:tc>
        <w:tc>
          <w:tcPr>
            <w:tcW w:type="dxa" w:w="3780"/>
            <w:tcBorders>
              <w:top w:val="single" w:color="D4C4F0" w:sz="1"/>
              <w:left w:val="single" w:color="D4C4F0" w:sz="1"/>
              <w:bottom w:val="single" w:color="D4C4F0" w:sz="1"/>
              <w:right w:val="single" w:color="D4C4F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B2B data licensing to food brands and government agencies</w:t>
            </w:r>
          </w:p>
        </w:tc>
      </w:tr>
    </w:tbl>
    <w:p>
      <w:pPr>
        <w:pBdr>
          <w:bottom w:val="single" w:color="C4A8F0" w:sz="4"/>
        </w:pBdr>
        <w:spacing w:after="180" w:before="18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7A6A95"/>
          <w:sz w:val="18"/>
          <w:szCs w:val="18"/>
        </w:rPr>
        <w:t xml:space="preserve">Tinda.ph · Functional Requirements Document · May 2026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4A2D7A"/>
          <w:sz w:val="20"/>
          <w:szCs w:val="20"/>
        </w:rPr>
        <w:t xml:space="preserve">Not a tool. Infrastructure.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0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A2D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B5EA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D2B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2026-05-04T01:47:02.450Z</dcterms:created>
  <dcterms:modified xsi:type="dcterms:W3CDTF">2026-05-04T01:47:02.450Z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