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 Customer Base Change and Approved Water Charges in Kentucky 2019 to 2024</w:t>
      </w:r>
    </w:p>
    <w:p>
      <w:r>
        <w:t>October 2, 2026. The accompanying CSV files preserve district identifiers, source references, and full numerical precision. Inputs are in data/ and generated results in results/. This supplement gives the complete sample disposition, diagnostics, and documentary qualifications.</w:t>
      </w:r>
    </w:p>
    <w:p>
      <w:pPr>
        <w:pStyle w:val="Heading1"/>
      </w:pPr>
      <w:r>
        <w:t>1 Complete sample disposition</w:t>
      </w:r>
    </w:p>
    <w:p>
      <w:r>
        <w:t>Table S1 reports the price and account decisions for every selected district. “Decline” and “Nondecline” are original sampling strata, assigned before tariff reconstruction. “Supported” and “Conditional” both indicate a reconstructed endpoint pair; “No pair” means none accepted. “Pass” means passing the stated six-year reporting screen; it does not certify stable physical boundaries or perfect category continuity. Price support is assessed separately. The account screen uses annual end-count changes above 10%, opening/prior-closing discrepancies above 1%, report completeness, reported county sets and documented mergers. These thresholds are pragmatic, not externally validated optimal cutoffs.</w:t>
      </w:r>
    </w:p>
    <w:p>
      <w:pPr>
        <w:keepNext/>
      </w:pPr>
      <w:r>
        <w:rPr>
          <w:b/>
        </w:rPr>
        <w:t>Table S1. Complete disposition of the 34 selected districts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224"/>
        <w:gridCol w:w="1224"/>
        <w:gridCol w:w="936"/>
        <w:gridCol w:w="936"/>
        <w:gridCol w:w="3240"/>
      </w:tblGrid>
      <w:tr>
        <w:trPr>
          <w:cantSplit/>
          <w:tblHeader/>
        </w:trPr>
        <w:tc>
          <w:tcPr>
            <w:tcW w:type="dxa" w:w="1800"/>
            <w:tcMar>
              <w:top w:w="60" w:type="dxa"/>
              <w:bottom w:w="60" w:type="dxa"/>
              <w:left w:w="60" w:type="dxa"/>
              <w:right w:w="60" w:type="dxa"/>
            </w:tcMar>
            <w:shd w:fill="EDEDED"/>
          </w:tcPr>
          <w:p>
            <w:pPr>
              <w:keepNext/>
              <w:spacing w:line="240" w:lineRule="auto" w:before="80" w:after="80"/>
            </w:pPr>
            <w:r>
              <w:rPr>
                <w:b/>
                <w:sz w:val="20"/>
              </w:rPr>
              <w:t>District and ID</w:t>
            </w:r>
          </w:p>
        </w:tc>
        <w:tc>
          <w:tcPr>
            <w:tcW w:type="dxa" w:w="1224"/>
            <w:tcMar>
              <w:top w:w="60" w:type="dxa"/>
              <w:bottom w:w="60" w:type="dxa"/>
              <w:left w:w="60" w:type="dxa"/>
              <w:right w:w="60" w:type="dxa"/>
            </w:tcMar>
            <w:shd w:fill="EDEDED"/>
          </w:tcPr>
          <w:p>
            <w:pPr>
              <w:keepNext/>
              <w:spacing w:line="240" w:lineRule="auto" w:before="80" w:after="80"/>
            </w:pPr>
            <w:r>
              <w:rPr>
                <w:b/>
                <w:sz w:val="20"/>
              </w:rPr>
              <w:t>Original stratum</w:t>
            </w:r>
          </w:p>
        </w:tc>
        <w:tc>
          <w:tcPr>
            <w:tcW w:type="dxa" w:w="1224"/>
            <w:tcMar>
              <w:top w:w="60" w:type="dxa"/>
              <w:bottom w:w="60" w:type="dxa"/>
              <w:left w:w="60" w:type="dxa"/>
              <w:right w:w="60" w:type="dxa"/>
            </w:tcMar>
            <w:shd w:fill="EDEDED"/>
          </w:tcPr>
          <w:p>
            <w:pPr>
              <w:keepNext/>
              <w:spacing w:line="240" w:lineRule="auto" w:before="80" w:after="80"/>
            </w:pPr>
            <w:r>
              <w:rPr>
                <w:b/>
                <w:sz w:val="20"/>
              </w:rPr>
              <w:t>Price pair</w:t>
            </w:r>
          </w:p>
        </w:tc>
        <w:tc>
          <w:tcPr>
            <w:tcW w:type="dxa" w:w="936"/>
            <w:tcMar>
              <w:top w:w="60" w:type="dxa"/>
              <w:bottom w:w="60" w:type="dxa"/>
              <w:left w:w="60" w:type="dxa"/>
              <w:right w:w="60" w:type="dxa"/>
            </w:tcMar>
            <w:shd w:fill="EDEDED"/>
          </w:tcPr>
          <w:p>
            <w:pPr>
              <w:keepNext/>
              <w:spacing w:line="240" w:lineRule="auto" w:before="80" w:after="80"/>
            </w:pPr>
            <w:r>
              <w:rPr>
                <w:b/>
                <w:sz w:val="20"/>
              </w:rPr>
              <w:t>Account screen</w:t>
            </w:r>
          </w:p>
        </w:tc>
        <w:tc>
          <w:tcPr>
            <w:tcW w:type="dxa" w:w="936"/>
            <w:tcMar>
              <w:top w:w="60" w:type="dxa"/>
              <w:bottom w:w="60" w:type="dxa"/>
              <w:left w:w="60" w:type="dxa"/>
              <w:right w:w="60" w:type="dxa"/>
            </w:tcMar>
            <w:shd w:fill="EDEDED"/>
          </w:tcPr>
          <w:p>
            <w:pPr>
              <w:keepNext/>
              <w:spacing w:line="240" w:lineRule="auto" w:before="80" w:after="80"/>
            </w:pPr>
            <w:r>
              <w:rPr>
                <w:b/>
                <w:sz w:val="20"/>
              </w:rPr>
              <w:t>Primary</w:t>
            </w:r>
          </w:p>
        </w:tc>
        <w:tc>
          <w:tcPr>
            <w:tcW w:type="dxa" w:w="3240"/>
            <w:tcMar>
              <w:top w:w="60" w:type="dxa"/>
              <w:bottom w:w="60" w:type="dxa"/>
              <w:left w:w="60" w:type="dxa"/>
              <w:right w:w="60" w:type="dxa"/>
            </w:tcMar>
            <w:shd w:fill="EDEDED"/>
          </w:tcPr>
          <w:p>
            <w:pPr>
              <w:keepNext/>
              <w:spacing w:line="240" w:lineRule="auto" w:before="80" w:after="80"/>
            </w:pPr>
            <w:r>
              <w:rPr>
                <w:b/>
                <w:sz w:val="20"/>
              </w:rPr>
              <w:t>Decision and evidence</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Barkley Lake (18500)</w:t>
            </w:r>
          </w:p>
        </w:tc>
        <w:tc>
          <w:tcPr>
            <w:tcW w:type="dxa" w:w="1224"/>
            <w:tcMar>
              <w:top w:w="60" w:type="dxa"/>
              <w:bottom w:w="60" w:type="dxa"/>
              <w:left w:w="60" w:type="dxa"/>
              <w:right w:w="60" w:type="dxa"/>
            </w:tcMar>
          </w:tcPr>
          <w:p>
            <w:pPr>
              <w:keepNext w:val="0"/>
              <w:spacing w:line="240" w:lineRule="auto" w:before="80" w:after="80"/>
            </w:pPr>
            <w:r>
              <w:rPr>
                <w:b w:val="0"/>
                <w:sz w:val="20"/>
              </w:rPr>
              <w:t>Nondecline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Fail</w:t>
            </w:r>
          </w:p>
        </w:tc>
        <w:tc>
          <w:tcPr>
            <w:tcW w:type="dxa" w:w="936"/>
            <w:tcMar>
              <w:top w:w="60" w:type="dxa"/>
              <w:bottom w:w="60" w:type="dxa"/>
              <w:left w:w="60" w:type="dxa"/>
              <w:right w:w="60" w:type="dxa"/>
            </w:tcMar>
          </w:tcPr>
          <w:p>
            <w:pPr>
              <w:keepNext w:val="0"/>
              <w:spacing w:line="240" w:lineRule="auto" w:before="80" w:after="80"/>
            </w:pPr>
            <w:r>
              <w:rPr>
                <w:b w:val="0"/>
                <w:sz w:val="20"/>
              </w:rPr>
              <w:t>No</w:t>
            </w:r>
          </w:p>
        </w:tc>
        <w:tc>
          <w:tcPr>
            <w:tcW w:type="dxa" w:w="3240"/>
            <w:tcMar>
              <w:top w:w="60" w:type="dxa"/>
              <w:bottom w:w="60" w:type="dxa"/>
              <w:left w:w="60" w:type="dxa"/>
              <w:right w:w="60" w:type="dxa"/>
            </w:tcMar>
          </w:tcPr>
          <w:p>
            <w:pPr>
              <w:keepNext w:val="0"/>
              <w:spacing w:line="240" w:lineRule="auto" w:before="80" w:after="80"/>
            </w:pPr>
            <w:r>
              <w:rPr>
                <w:b w:val="0"/>
                <w:sz w:val="20"/>
              </w:rPr>
              <w:t>Residential/unmetered discontinuity, county-set change and count jumps unresolved. Source: District decision memo: Barkley; reports 2021/2023 p49 and county p12.</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Bullock Pen (19200)</w:t>
            </w:r>
          </w:p>
        </w:tc>
        <w:tc>
          <w:tcPr>
            <w:tcW w:type="dxa" w:w="1224"/>
            <w:tcMar>
              <w:top w:w="60" w:type="dxa"/>
              <w:bottom w:w="60" w:type="dxa"/>
              <w:left w:w="60" w:type="dxa"/>
              <w:right w:w="60" w:type="dxa"/>
            </w:tcMar>
          </w:tcPr>
          <w:p>
            <w:pPr>
              <w:keepNext w:val="0"/>
              <w:spacing w:line="240" w:lineRule="auto" w:before="80" w:after="80"/>
            </w:pPr>
            <w:r>
              <w:rPr>
                <w:b w:val="0"/>
                <w:sz w:val="20"/>
              </w:rPr>
              <w:t>Nondecline</w:t>
            </w:r>
          </w:p>
        </w:tc>
        <w:tc>
          <w:tcPr>
            <w:tcW w:type="dxa" w:w="1224"/>
            <w:tcMar>
              <w:top w:w="60" w:type="dxa"/>
              <w:bottom w:w="60" w:type="dxa"/>
              <w:left w:w="60" w:type="dxa"/>
              <w:right w:w="60" w:type="dxa"/>
            </w:tcMar>
          </w:tcPr>
          <w:p>
            <w:pPr>
              <w:keepNext w:val="0"/>
              <w:spacing w:line="240" w:lineRule="auto" w:before="80" w:after="80"/>
            </w:pPr>
            <w:r>
              <w:rPr>
                <w:b w:val="0"/>
                <w:sz w:val="20"/>
              </w:rPr>
              <w:t>No pair</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No</w:t>
            </w:r>
          </w:p>
        </w:tc>
        <w:tc>
          <w:tcPr>
            <w:tcW w:type="dxa" w:w="3240"/>
            <w:tcMar>
              <w:top w:w="60" w:type="dxa"/>
              <w:bottom w:w="60" w:type="dxa"/>
              <w:left w:w="60" w:type="dxa"/>
              <w:right w:w="60" w:type="dxa"/>
            </w:tcMar>
          </w:tcPr>
          <w:p>
            <w:pPr>
              <w:keepNext w:val="0"/>
              <w:spacing w:line="240" w:lineRule="auto" w:before="80" w:after="80"/>
            </w:pPr>
            <w:r>
              <w:rPr>
                <w:b w:val="0"/>
                <w:sz w:val="20"/>
              </w:rPr>
              <w:t>No accepted endpoint pair in retained reconstruction; extension-charge applicability unresolved. Geographic exceptions alone are not a categorical ban. Source: Original tariff feasibility/disposition; no completed non-extension pair.</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Caldwell Co. (19201)</w:t>
            </w:r>
          </w:p>
        </w:tc>
        <w:tc>
          <w:tcPr>
            <w:tcW w:type="dxa" w:w="1224"/>
            <w:tcMar>
              <w:top w:w="60" w:type="dxa"/>
              <w:bottom w:w="60" w:type="dxa"/>
              <w:left w:w="60" w:type="dxa"/>
              <w:right w:w="60" w:type="dxa"/>
            </w:tcMar>
          </w:tcPr>
          <w:p>
            <w:pPr>
              <w:keepNext w:val="0"/>
              <w:spacing w:line="240" w:lineRule="auto" w:before="80" w:after="80"/>
            </w:pPr>
            <w:r>
              <w:rPr>
                <w:b w:val="0"/>
                <w:sz w:val="20"/>
              </w:rPr>
              <w:t>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Fail</w:t>
            </w:r>
          </w:p>
        </w:tc>
        <w:tc>
          <w:tcPr>
            <w:tcW w:type="dxa" w:w="936"/>
            <w:tcMar>
              <w:top w:w="60" w:type="dxa"/>
              <w:bottom w:w="60" w:type="dxa"/>
              <w:left w:w="60" w:type="dxa"/>
              <w:right w:w="60" w:type="dxa"/>
            </w:tcMar>
          </w:tcPr>
          <w:p>
            <w:pPr>
              <w:keepNext w:val="0"/>
              <w:spacing w:line="240" w:lineRule="auto" w:before="80" w:after="80"/>
            </w:pPr>
            <w:r>
              <w:rPr>
                <w:b w:val="0"/>
                <w:sz w:val="20"/>
              </w:rPr>
              <w:t>No</w:t>
            </w:r>
          </w:p>
        </w:tc>
        <w:tc>
          <w:tcPr>
            <w:tcW w:type="dxa" w:w="3240"/>
            <w:tcMar>
              <w:top w:w="60" w:type="dxa"/>
              <w:bottom w:w="60" w:type="dxa"/>
              <w:left w:w="60" w:type="dxa"/>
              <w:right w:w="60" w:type="dxa"/>
            </w:tcMar>
          </w:tcPr>
          <w:p>
            <w:pPr>
              <w:keepNext w:val="0"/>
              <w:spacing w:line="240" w:lineRule="auto" w:before="80" w:after="80"/>
            </w:pPr>
            <w:r>
              <w:rPr>
                <w:b w:val="0"/>
                <w:sz w:val="20"/>
              </w:rPr>
              <w:t>Residential/unmetered classification and 2023–24 opening gap unresolved. Source: District decision memo: Caldwell; 2022/2024 reports p49.</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Corinth (19900)</w:t>
            </w:r>
          </w:p>
        </w:tc>
        <w:tc>
          <w:tcPr>
            <w:tcW w:type="dxa" w:w="1224"/>
            <w:tcMar>
              <w:top w:w="60" w:type="dxa"/>
              <w:bottom w:w="60" w:type="dxa"/>
              <w:left w:w="60" w:type="dxa"/>
              <w:right w:w="60" w:type="dxa"/>
            </w:tcMar>
          </w:tcPr>
          <w:p>
            <w:pPr>
              <w:keepNext w:val="0"/>
              <w:spacing w:line="240" w:lineRule="auto" w:before="80" w:after="80"/>
            </w:pPr>
            <w:r>
              <w:rPr>
                <w:b w:val="0"/>
                <w:sz w:val="20"/>
              </w:rPr>
              <w:t>Nondecline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Supported benchmark; passes stated mechanical screen. Physical-boundary stability not certified. Source: Endpoint and comparability registers; original account screen.</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Cumberland Falls Hwy. (20200)</w:t>
            </w:r>
          </w:p>
        </w:tc>
        <w:tc>
          <w:tcPr>
            <w:tcW w:type="dxa" w:w="1224"/>
            <w:tcMar>
              <w:top w:w="60" w:type="dxa"/>
              <w:bottom w:w="60" w:type="dxa"/>
              <w:left w:w="60" w:type="dxa"/>
              <w:right w:w="60" w:type="dxa"/>
            </w:tcMar>
          </w:tcPr>
          <w:p>
            <w:pPr>
              <w:keepNext w:val="0"/>
              <w:spacing w:line="240" w:lineRule="auto" w:before="80" w:after="80"/>
            </w:pPr>
            <w:r>
              <w:rPr>
                <w:b w:val="0"/>
                <w:sz w:val="20"/>
              </w:rPr>
              <w:t>Nondecline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Supported benchmark; passes stated mechanical screen. Physical-boundary stability not certified. Source: Endpoint and comparability registers; original account screen.</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East Pendleton (21200)</w:t>
            </w:r>
          </w:p>
        </w:tc>
        <w:tc>
          <w:tcPr>
            <w:tcW w:type="dxa" w:w="1224"/>
            <w:tcMar>
              <w:top w:w="60" w:type="dxa"/>
              <w:bottom w:w="60" w:type="dxa"/>
              <w:left w:w="60" w:type="dxa"/>
              <w:right w:w="60" w:type="dxa"/>
            </w:tcMar>
          </w:tcPr>
          <w:p>
            <w:pPr>
              <w:keepNext w:val="0"/>
              <w:spacing w:line="240" w:lineRule="auto" w:before="80" w:after="80"/>
            </w:pPr>
            <w:r>
              <w:rPr>
                <w:b w:val="0"/>
                <w:sz w:val="20"/>
              </w:rPr>
              <w:t>Nondecline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Fail</w:t>
            </w:r>
          </w:p>
        </w:tc>
        <w:tc>
          <w:tcPr>
            <w:tcW w:type="dxa" w:w="936"/>
            <w:tcMar>
              <w:top w:w="60" w:type="dxa"/>
              <w:bottom w:w="60" w:type="dxa"/>
              <w:left w:w="60" w:type="dxa"/>
              <w:right w:w="60" w:type="dxa"/>
            </w:tcMar>
          </w:tcPr>
          <w:p>
            <w:pPr>
              <w:keepNext w:val="0"/>
              <w:spacing w:line="240" w:lineRule="auto" w:before="80" w:after="80"/>
            </w:pPr>
            <w:r>
              <w:rPr>
                <w:b w:val="0"/>
                <w:sz w:val="20"/>
              </w:rPr>
              <w:t>No</w:t>
            </w:r>
          </w:p>
        </w:tc>
        <w:tc>
          <w:tcPr>
            <w:tcW w:type="dxa" w:w="3240"/>
            <w:tcMar>
              <w:top w:w="60" w:type="dxa"/>
              <w:bottom w:w="60" w:type="dxa"/>
              <w:left w:w="60" w:type="dxa"/>
              <w:right w:w="60" w:type="dxa"/>
            </w:tcMar>
          </w:tcPr>
          <w:p>
            <w:pPr>
              <w:keepNext w:val="0"/>
              <w:spacing w:line="240" w:lineRule="auto" w:before="80" w:after="80"/>
            </w:pPr>
            <w:r>
              <w:rPr>
                <w:b w:val="0"/>
                <w:sz w:val="20"/>
              </w:rPr>
              <w:t>Annual increase exceeds 10%; financial discussion of new customers does not reconcile net accounts. Source: District decision memo: East Pendleton; reports p49, financial statement p10.</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Estill Co. #1 (21500)</w:t>
            </w:r>
          </w:p>
        </w:tc>
        <w:tc>
          <w:tcPr>
            <w:tcW w:type="dxa" w:w="1224"/>
            <w:tcMar>
              <w:top w:w="60" w:type="dxa"/>
              <w:bottom w:w="60" w:type="dxa"/>
              <w:left w:w="60" w:type="dxa"/>
              <w:right w:w="60" w:type="dxa"/>
            </w:tcMar>
          </w:tcPr>
          <w:p>
            <w:pPr>
              <w:keepNext w:val="0"/>
              <w:spacing w:line="240" w:lineRule="auto" w:before="80" w:after="80"/>
            </w:pPr>
            <w:r>
              <w:rPr>
                <w:b w:val="0"/>
                <w:sz w:val="20"/>
              </w:rPr>
              <w:t>Nondecline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Retain non-Cobhill benchmark paired with district-wide counts; area shares and sub-threshold swing unresolved. Source: Comparability memo: Estill; 2023-00371.</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Garrison (21900)</w:t>
            </w:r>
          </w:p>
        </w:tc>
        <w:tc>
          <w:tcPr>
            <w:tcW w:type="dxa" w:w="1224"/>
            <w:tcMar>
              <w:top w:w="60" w:type="dxa"/>
              <w:bottom w:w="60" w:type="dxa"/>
              <w:left w:w="60" w:type="dxa"/>
              <w:right w:w="60" w:type="dxa"/>
            </w:tcMar>
          </w:tcPr>
          <w:p>
            <w:pPr>
              <w:keepNext w:val="0"/>
              <w:spacing w:line="240" w:lineRule="auto" w:before="80" w:after="80"/>
            </w:pPr>
            <w:r>
              <w:rPr>
                <w:b w:val="0"/>
                <w:sz w:val="20"/>
              </w:rPr>
              <w:t>Nondecline</w:t>
            </w:r>
          </w:p>
        </w:tc>
        <w:tc>
          <w:tcPr>
            <w:tcW w:type="dxa" w:w="1224"/>
            <w:tcMar>
              <w:top w:w="60" w:type="dxa"/>
              <w:bottom w:w="60" w:type="dxa"/>
              <w:left w:w="60" w:type="dxa"/>
              <w:right w:w="60" w:type="dxa"/>
            </w:tcMar>
          </w:tcPr>
          <w:p>
            <w:pPr>
              <w:keepNext w:val="0"/>
              <w:spacing w:line="240" w:lineRule="auto" w:before="80" w:after="80"/>
            </w:pPr>
            <w:r>
              <w:rPr>
                <w:b w:val="0"/>
                <w:sz w:val="20"/>
              </w:rPr>
              <w:t>Conditional</w:t>
            </w:r>
          </w:p>
        </w:tc>
        <w:tc>
          <w:tcPr>
            <w:tcW w:type="dxa" w:w="936"/>
            <w:tcMar>
              <w:top w:w="60" w:type="dxa"/>
              <w:bottom w:w="60" w:type="dxa"/>
              <w:left w:w="60" w:type="dxa"/>
              <w:right w:w="60" w:type="dxa"/>
            </w:tcMar>
          </w:tcPr>
          <w:p>
            <w:pPr>
              <w:keepNext w:val="0"/>
              <w:spacing w:line="240" w:lineRule="auto" w:before="80" w:after="80"/>
            </w:pPr>
            <w:r>
              <w:rPr>
                <w:b w:val="0"/>
                <w:sz w:val="20"/>
              </w:rPr>
              <w:t>Fail</w:t>
            </w:r>
          </w:p>
        </w:tc>
        <w:tc>
          <w:tcPr>
            <w:tcW w:type="dxa" w:w="936"/>
            <w:tcMar>
              <w:top w:w="60" w:type="dxa"/>
              <w:bottom w:w="60" w:type="dxa"/>
              <w:left w:w="60" w:type="dxa"/>
              <w:right w:w="60" w:type="dxa"/>
            </w:tcMar>
          </w:tcPr>
          <w:p>
            <w:pPr>
              <w:keepNext w:val="0"/>
              <w:spacing w:line="240" w:lineRule="auto" w:before="80" w:after="80"/>
            </w:pPr>
            <w:r>
              <w:rPr>
                <w:b w:val="0"/>
                <w:sz w:val="20"/>
              </w:rPr>
              <w:t>No</w:t>
            </w:r>
          </w:p>
        </w:tc>
        <w:tc>
          <w:tcPr>
            <w:tcW w:type="dxa" w:w="3240"/>
            <w:tcMar>
              <w:top w:w="60" w:type="dxa"/>
              <w:bottom w:w="60" w:type="dxa"/>
              <w:left w:w="60" w:type="dxa"/>
              <w:right w:w="60" w:type="dxa"/>
            </w:tcMar>
          </w:tcPr>
          <w:p>
            <w:pPr>
              <w:keepNext w:val="0"/>
              <w:spacing w:line="240" w:lineRule="auto" w:before="80" w:after="80"/>
            </w:pPr>
            <w:r>
              <w:rPr>
                <w:b w:val="0"/>
                <w:sz w:val="20"/>
              </w:rPr>
              <w:t>Non-extension benchmark possible, but $1.73 endpoint charge remains conditional; separate account opening gap fails screen. Source: Comparability memo: Garrison; current tariff pp5–6; 2023-00408.</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Hardin Co. #1 (22500)</w:t>
            </w:r>
          </w:p>
        </w:tc>
        <w:tc>
          <w:tcPr>
            <w:tcW w:type="dxa" w:w="1224"/>
            <w:tcMar>
              <w:top w:w="60" w:type="dxa"/>
              <w:bottom w:w="60" w:type="dxa"/>
              <w:left w:w="60" w:type="dxa"/>
              <w:right w:w="60" w:type="dxa"/>
            </w:tcMar>
          </w:tcPr>
          <w:p>
            <w:pPr>
              <w:keepNext w:val="0"/>
              <w:spacing w:line="240" w:lineRule="auto" w:before="80" w:after="80"/>
            </w:pPr>
            <w:r>
              <w:rPr>
                <w:b w:val="0"/>
                <w:sz w:val="20"/>
              </w:rPr>
              <w:t>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Supported benchmark; passes stated mechanical screen. Physical-boundary stability not certified. Source: Endpoint and comparability registers; original account screen.</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Henderson Co. (22700)</w:t>
            </w:r>
          </w:p>
        </w:tc>
        <w:tc>
          <w:tcPr>
            <w:tcW w:type="dxa" w:w="1224"/>
            <w:tcMar>
              <w:top w:w="60" w:type="dxa"/>
              <w:bottom w:w="60" w:type="dxa"/>
              <w:left w:w="60" w:type="dxa"/>
              <w:right w:w="60" w:type="dxa"/>
            </w:tcMar>
          </w:tcPr>
          <w:p>
            <w:pPr>
              <w:keepNext w:val="0"/>
              <w:spacing w:line="240" w:lineRule="auto" w:before="80" w:after="80"/>
            </w:pPr>
            <w:r>
              <w:rPr>
                <w:b w:val="0"/>
                <w:sz w:val="20"/>
              </w:rPr>
              <w:t>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Supported benchmark; passes stated mechanical screen. Physical-boundary stability not certified. Source: Endpoint and comparability registers; original account screen.</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Henry Co. #2 (23000)</w:t>
            </w:r>
          </w:p>
        </w:tc>
        <w:tc>
          <w:tcPr>
            <w:tcW w:type="dxa" w:w="1224"/>
            <w:tcMar>
              <w:top w:w="60" w:type="dxa"/>
              <w:bottom w:w="60" w:type="dxa"/>
              <w:left w:w="60" w:type="dxa"/>
              <w:right w:w="60" w:type="dxa"/>
            </w:tcMar>
          </w:tcPr>
          <w:p>
            <w:pPr>
              <w:keepNext w:val="0"/>
              <w:spacing w:line="240" w:lineRule="auto" w:before="80" w:after="80"/>
            </w:pPr>
            <w:r>
              <w:rPr>
                <w:b w:val="0"/>
                <w:sz w:val="20"/>
              </w:rPr>
              <w:t>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Fail</w:t>
            </w:r>
          </w:p>
        </w:tc>
        <w:tc>
          <w:tcPr>
            <w:tcW w:type="dxa" w:w="936"/>
            <w:tcMar>
              <w:top w:w="60" w:type="dxa"/>
              <w:bottom w:w="60" w:type="dxa"/>
              <w:left w:w="60" w:type="dxa"/>
              <w:right w:w="60" w:type="dxa"/>
            </w:tcMar>
          </w:tcPr>
          <w:p>
            <w:pPr>
              <w:keepNext w:val="0"/>
              <w:spacing w:line="240" w:lineRule="auto" w:before="80" w:after="80"/>
            </w:pPr>
            <w:r>
              <w:rPr>
                <w:b w:val="0"/>
                <w:sz w:val="20"/>
              </w:rPr>
              <w:t>No</w:t>
            </w:r>
          </w:p>
        </w:tc>
        <w:tc>
          <w:tcPr>
            <w:tcW w:type="dxa" w:w="3240"/>
            <w:tcMar>
              <w:top w:w="60" w:type="dxa"/>
              <w:bottom w:w="60" w:type="dxa"/>
              <w:left w:w="60" w:type="dxa"/>
              <w:right w:w="60" w:type="dxa"/>
            </w:tcMar>
          </w:tcPr>
          <w:p>
            <w:pPr>
              <w:keepNext w:val="0"/>
              <w:spacing w:line="240" w:lineRule="auto" w:before="80" w:after="80"/>
            </w:pPr>
            <w:r>
              <w:rPr>
                <w:b w:val="0"/>
                <w:sz w:val="20"/>
              </w:rPr>
              <w:t>2023 account report unavailable. Corrected 2024 tariff retained in broader sample. Source: District decision memo: Henry; case 2023-00090 Appendix A.</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Hyden-Leslie Co. (23300)</w:t>
            </w:r>
          </w:p>
        </w:tc>
        <w:tc>
          <w:tcPr>
            <w:tcW w:type="dxa" w:w="1224"/>
            <w:tcMar>
              <w:top w:w="60" w:type="dxa"/>
              <w:bottom w:w="60" w:type="dxa"/>
              <w:left w:w="60" w:type="dxa"/>
              <w:right w:w="60" w:type="dxa"/>
            </w:tcMar>
          </w:tcPr>
          <w:p>
            <w:pPr>
              <w:keepNext w:val="0"/>
              <w:spacing w:line="240" w:lineRule="auto" w:before="80" w:after="80"/>
            </w:pPr>
            <w:r>
              <w:rPr>
                <w:b w:val="0"/>
                <w:sz w:val="20"/>
              </w:rPr>
              <w:t>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Supported benchmark; passes stated mechanical screen. Physical-boundary stability not certified. Source: Endpoint and comparability registers; original account screen.</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Knott Co. (19400)</w:t>
            </w:r>
          </w:p>
        </w:tc>
        <w:tc>
          <w:tcPr>
            <w:tcW w:type="dxa" w:w="1224"/>
            <w:tcMar>
              <w:top w:w="60" w:type="dxa"/>
              <w:bottom w:w="60" w:type="dxa"/>
              <w:left w:w="60" w:type="dxa"/>
              <w:right w:w="60" w:type="dxa"/>
            </w:tcMar>
          </w:tcPr>
          <w:p>
            <w:pPr>
              <w:keepNext w:val="0"/>
              <w:spacing w:line="240" w:lineRule="auto" w:before="80" w:after="80"/>
            </w:pPr>
            <w:r>
              <w:rPr>
                <w:b w:val="0"/>
                <w:sz w:val="20"/>
              </w:rPr>
              <w:t>Nondecline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Admitted in v3: southwest usage table cancelled in 2007; ordinary category traceable; unchanged account screen passes. Source: Comparability memo: Knott; tariff pp1/5/6; 2019-00268.</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Laurel Co. #2 (24100)</w:t>
            </w:r>
          </w:p>
        </w:tc>
        <w:tc>
          <w:tcPr>
            <w:tcW w:type="dxa" w:w="1224"/>
            <w:tcMar>
              <w:top w:w="60" w:type="dxa"/>
              <w:bottom w:w="60" w:type="dxa"/>
              <w:left w:w="60" w:type="dxa"/>
              <w:right w:w="60" w:type="dxa"/>
            </w:tcMar>
          </w:tcPr>
          <w:p>
            <w:pPr>
              <w:keepNext w:val="0"/>
              <w:spacing w:line="240" w:lineRule="auto" w:before="80" w:after="80"/>
            </w:pPr>
            <w:r>
              <w:rPr>
                <w:b w:val="0"/>
                <w:sz w:val="20"/>
              </w:rPr>
              <w:t>Nondecline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Supported benchmark; passes stated mechanical screen. Physical-boundary stability not certified. Source: Endpoint and comparability registers; original account screen.</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Letcher Co. (7000300)</w:t>
            </w:r>
          </w:p>
        </w:tc>
        <w:tc>
          <w:tcPr>
            <w:tcW w:type="dxa" w:w="1224"/>
            <w:tcMar>
              <w:top w:w="60" w:type="dxa"/>
              <w:bottom w:w="60" w:type="dxa"/>
              <w:left w:w="60" w:type="dxa"/>
              <w:right w:w="60" w:type="dxa"/>
            </w:tcMar>
          </w:tcPr>
          <w:p>
            <w:pPr>
              <w:keepNext w:val="0"/>
              <w:spacing w:line="240" w:lineRule="auto" w:before="80" w:after="80"/>
            </w:pPr>
            <w:r>
              <w:rPr>
                <w:b w:val="0"/>
                <w:sz w:val="20"/>
              </w:rPr>
              <w:t>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Supported benchmark; passes stated mechanical screen. Physical-boundary stability not certified. Source: Endpoint and comparability registers; original account screen.</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Lyon Co. (24500)</w:t>
            </w:r>
          </w:p>
        </w:tc>
        <w:tc>
          <w:tcPr>
            <w:tcW w:type="dxa" w:w="1224"/>
            <w:tcMar>
              <w:top w:w="60" w:type="dxa"/>
              <w:bottom w:w="60" w:type="dxa"/>
              <w:left w:w="60" w:type="dxa"/>
              <w:right w:w="60" w:type="dxa"/>
            </w:tcMar>
          </w:tcPr>
          <w:p>
            <w:pPr>
              <w:keepNext w:val="0"/>
              <w:spacing w:line="240" w:lineRule="auto" w:before="80" w:after="80"/>
            </w:pPr>
            <w:r>
              <w:rPr>
                <w:b w:val="0"/>
                <w:sz w:val="20"/>
              </w:rPr>
              <w:t>Nondecline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Supported benchmark; passes stated mechanical screen. Physical-boundary stability not certified. Source: Endpoint and comparability registers; original account screen.</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Martin Co. (25000)</w:t>
            </w:r>
          </w:p>
        </w:tc>
        <w:tc>
          <w:tcPr>
            <w:tcW w:type="dxa" w:w="1224"/>
            <w:tcMar>
              <w:top w:w="60" w:type="dxa"/>
              <w:bottom w:w="60" w:type="dxa"/>
              <w:left w:w="60" w:type="dxa"/>
              <w:right w:w="60" w:type="dxa"/>
            </w:tcMar>
          </w:tcPr>
          <w:p>
            <w:pPr>
              <w:keepNext w:val="0"/>
              <w:spacing w:line="240" w:lineRule="auto" w:before="80" w:after="80"/>
            </w:pPr>
            <w:r>
              <w:rPr>
                <w:b w:val="0"/>
                <w:sz w:val="20"/>
              </w:rPr>
              <w:t>Decline</w:t>
            </w:r>
          </w:p>
        </w:tc>
        <w:tc>
          <w:tcPr>
            <w:tcW w:type="dxa" w:w="1224"/>
            <w:tcMar>
              <w:top w:w="60" w:type="dxa"/>
              <w:bottom w:w="60" w:type="dxa"/>
              <w:left w:w="60" w:type="dxa"/>
              <w:right w:w="60" w:type="dxa"/>
            </w:tcMar>
          </w:tcPr>
          <w:p>
            <w:pPr>
              <w:keepNext w:val="0"/>
              <w:spacing w:line="240" w:lineRule="auto" w:before="80" w:after="80"/>
            </w:pPr>
            <w:r>
              <w:rPr>
                <w:b w:val="0"/>
                <w:sz w:val="20"/>
              </w:rPr>
              <w:t>Conditional</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No</w:t>
            </w:r>
          </w:p>
        </w:tc>
        <w:tc>
          <w:tcPr>
            <w:tcW w:type="dxa" w:w="3240"/>
            <w:tcMar>
              <w:top w:w="60" w:type="dxa"/>
              <w:bottom w:w="60" w:type="dxa"/>
              <w:left w:w="60" w:type="dxa"/>
              <w:right w:w="60" w:type="dxa"/>
            </w:tcMar>
          </w:tcPr>
          <w:p>
            <w:pPr>
              <w:keepNext w:val="0"/>
              <w:spacing w:line="240" w:lineRule="auto" w:before="80" w:after="80"/>
            </w:pPr>
            <w:r>
              <w:rPr>
                <w:b w:val="0"/>
                <w:sz w:val="20"/>
              </w:rPr>
              <w:t>Debt-surcharge payoff/cap status unresolved at final endpoint; listed-charge scenario only. Source: V3 comparability memo; original tariff disposition, Martin charge evidence.</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Mountain (25605)</w:t>
            </w:r>
          </w:p>
        </w:tc>
        <w:tc>
          <w:tcPr>
            <w:tcW w:type="dxa" w:w="1224"/>
            <w:tcMar>
              <w:top w:w="60" w:type="dxa"/>
              <w:bottom w:w="60" w:type="dxa"/>
              <w:left w:w="60" w:type="dxa"/>
              <w:right w:w="60" w:type="dxa"/>
            </w:tcMar>
          </w:tcPr>
          <w:p>
            <w:pPr>
              <w:keepNext w:val="0"/>
              <w:spacing w:line="240" w:lineRule="auto" w:before="80" w:after="80"/>
            </w:pPr>
            <w:r>
              <w:rPr>
                <w:b w:val="0"/>
                <w:sz w:val="20"/>
              </w:rPr>
              <w:t>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Supported benchmark; passes stated mechanical screen. Physical-boundary stability not certified. Source: Endpoint and comparability registers; original account screen.</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Muhlenberg Co. #3 (26000)</w:t>
            </w:r>
          </w:p>
        </w:tc>
        <w:tc>
          <w:tcPr>
            <w:tcW w:type="dxa" w:w="1224"/>
            <w:tcMar>
              <w:top w:w="60" w:type="dxa"/>
              <w:bottom w:w="60" w:type="dxa"/>
              <w:left w:w="60" w:type="dxa"/>
              <w:right w:w="60" w:type="dxa"/>
            </w:tcMar>
          </w:tcPr>
          <w:p>
            <w:pPr>
              <w:keepNext w:val="0"/>
              <w:spacing w:line="240" w:lineRule="auto" w:before="80" w:after="80"/>
            </w:pPr>
            <w:r>
              <w:rPr>
                <w:b w:val="0"/>
                <w:sz w:val="20"/>
              </w:rPr>
              <w:t>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Supported benchmark; passes stated mechanical screen. Physical-boundary stability not certified. Source: Endpoint and comparability registers; original account screen.</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Nebo (26400)</w:t>
            </w:r>
          </w:p>
        </w:tc>
        <w:tc>
          <w:tcPr>
            <w:tcW w:type="dxa" w:w="1224"/>
            <w:tcMar>
              <w:top w:w="60" w:type="dxa"/>
              <w:bottom w:w="60" w:type="dxa"/>
              <w:left w:w="60" w:type="dxa"/>
              <w:right w:w="60" w:type="dxa"/>
            </w:tcMar>
          </w:tcPr>
          <w:p>
            <w:pPr>
              <w:keepNext w:val="0"/>
              <w:spacing w:line="240" w:lineRule="auto" w:before="80" w:after="80"/>
            </w:pPr>
            <w:r>
              <w:rPr>
                <w:b w:val="0"/>
                <w:sz w:val="20"/>
              </w:rPr>
              <w:t>Nondecline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Supported benchmark; passes stated mechanical screen. Physical-boundary stability not certified. Source: Endpoint and comparability registers; original account screen.</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North Hopkins (26600)</w:t>
            </w:r>
          </w:p>
        </w:tc>
        <w:tc>
          <w:tcPr>
            <w:tcW w:type="dxa" w:w="1224"/>
            <w:tcMar>
              <w:top w:w="60" w:type="dxa"/>
              <w:bottom w:w="60" w:type="dxa"/>
              <w:left w:w="60" w:type="dxa"/>
              <w:right w:w="60" w:type="dxa"/>
            </w:tcMar>
          </w:tcPr>
          <w:p>
            <w:pPr>
              <w:keepNext w:val="0"/>
              <w:spacing w:line="240" w:lineRule="auto" w:before="80" w:after="80"/>
            </w:pPr>
            <w:r>
              <w:rPr>
                <w:b w:val="0"/>
                <w:sz w:val="20"/>
              </w:rPr>
              <w:t>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Fail</w:t>
            </w:r>
          </w:p>
        </w:tc>
        <w:tc>
          <w:tcPr>
            <w:tcW w:type="dxa" w:w="936"/>
            <w:tcMar>
              <w:top w:w="60" w:type="dxa"/>
              <w:bottom w:w="60" w:type="dxa"/>
              <w:left w:w="60" w:type="dxa"/>
              <w:right w:w="60" w:type="dxa"/>
            </w:tcMar>
          </w:tcPr>
          <w:p>
            <w:pPr>
              <w:keepNext w:val="0"/>
              <w:spacing w:line="240" w:lineRule="auto" w:before="80" w:after="80"/>
            </w:pPr>
            <w:r>
              <w:rPr>
                <w:b w:val="0"/>
                <w:sz w:val="20"/>
              </w:rPr>
              <w:t>No</w:t>
            </w:r>
          </w:p>
        </w:tc>
        <w:tc>
          <w:tcPr>
            <w:tcW w:type="dxa" w:w="3240"/>
            <w:tcMar>
              <w:top w:w="60" w:type="dxa"/>
              <w:bottom w:w="60" w:type="dxa"/>
              <w:left w:w="60" w:type="dxa"/>
              <w:right w:w="60" w:type="dxa"/>
            </w:tcMar>
          </w:tcPr>
          <w:p>
            <w:pPr>
              <w:keepNext w:val="0"/>
              <w:spacing w:line="240" w:lineRule="auto" w:before="80" w:after="80"/>
            </w:pPr>
            <w:r>
              <w:rPr>
                <w:b w:val="0"/>
                <w:sz w:val="20"/>
              </w:rPr>
              <w:t>Temporary 1,376→1,598→1,365 residential sequence unexplained. Source: District decision memo: North Hopkins; 2022/2023 reports p50.</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North McLean Co. (26900)</w:t>
            </w:r>
          </w:p>
        </w:tc>
        <w:tc>
          <w:tcPr>
            <w:tcW w:type="dxa" w:w="1224"/>
            <w:tcMar>
              <w:top w:w="60" w:type="dxa"/>
              <w:bottom w:w="60" w:type="dxa"/>
              <w:left w:w="60" w:type="dxa"/>
              <w:right w:w="60" w:type="dxa"/>
            </w:tcMar>
          </w:tcPr>
          <w:p>
            <w:pPr>
              <w:keepNext w:val="0"/>
              <w:spacing w:line="240" w:lineRule="auto" w:before="80" w:after="80"/>
            </w:pPr>
            <w:r>
              <w:rPr>
                <w:b w:val="0"/>
                <w:sz w:val="20"/>
              </w:rPr>
              <w:t>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Supported benchmark; passes stated mechanical screen. Physical-boundary stability not certified. Source: Endpoint and comparability registers; original account screen.</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North Mercer (27000)</w:t>
            </w:r>
          </w:p>
        </w:tc>
        <w:tc>
          <w:tcPr>
            <w:tcW w:type="dxa" w:w="1224"/>
            <w:tcMar>
              <w:top w:w="60" w:type="dxa"/>
              <w:bottom w:w="60" w:type="dxa"/>
              <w:left w:w="60" w:type="dxa"/>
              <w:right w:w="60" w:type="dxa"/>
            </w:tcMar>
          </w:tcPr>
          <w:p>
            <w:pPr>
              <w:keepNext w:val="0"/>
              <w:spacing w:line="240" w:lineRule="auto" w:before="80" w:after="80"/>
            </w:pPr>
            <w:r>
              <w:rPr>
                <w:b w:val="0"/>
                <w:sz w:val="20"/>
              </w:rPr>
              <w:t>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Supported benchmark; passes stated mechanical screen. Physical-boundary stability not certified. Source: Endpoint and comparability registers; original account screen.</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Pendleton Co. (28000)</w:t>
            </w:r>
          </w:p>
        </w:tc>
        <w:tc>
          <w:tcPr>
            <w:tcW w:type="dxa" w:w="1224"/>
            <w:tcMar>
              <w:top w:w="60" w:type="dxa"/>
              <w:bottom w:w="60" w:type="dxa"/>
              <w:left w:w="60" w:type="dxa"/>
              <w:right w:w="60" w:type="dxa"/>
            </w:tcMar>
          </w:tcPr>
          <w:p>
            <w:pPr>
              <w:keepNext w:val="0"/>
              <w:spacing w:line="240" w:lineRule="auto" w:before="80" w:after="80"/>
            </w:pPr>
            <w:r>
              <w:rPr>
                <w:b w:val="0"/>
                <w:sz w:val="20"/>
              </w:rPr>
              <w:t>Nondecline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Supported benchmark; passes stated mechanical screen. Physical-boundary stability not certified. Source: Endpoint and comparability registers; original account screen.</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Powell's Valley (28300)</w:t>
            </w:r>
          </w:p>
        </w:tc>
        <w:tc>
          <w:tcPr>
            <w:tcW w:type="dxa" w:w="1224"/>
            <w:tcMar>
              <w:top w:w="60" w:type="dxa"/>
              <w:bottom w:w="60" w:type="dxa"/>
              <w:left w:w="60" w:type="dxa"/>
              <w:right w:w="60" w:type="dxa"/>
            </w:tcMar>
          </w:tcPr>
          <w:p>
            <w:pPr>
              <w:keepNext w:val="0"/>
              <w:spacing w:line="240" w:lineRule="auto" w:before="80" w:after="80"/>
            </w:pPr>
            <w:r>
              <w:rPr>
                <w:b w:val="0"/>
                <w:sz w:val="20"/>
              </w:rPr>
              <w:t>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Retain ordinary benchmark: order/reports support three counties; first surcharge invoice remains unknown. Source: Comparability memo: Powell; 2023-00387 p5.</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Rattlesnake Ridge (28600)</w:t>
            </w:r>
          </w:p>
        </w:tc>
        <w:tc>
          <w:tcPr>
            <w:tcW w:type="dxa" w:w="1224"/>
            <w:tcMar>
              <w:top w:w="60" w:type="dxa"/>
              <w:bottom w:w="60" w:type="dxa"/>
              <w:left w:w="60" w:type="dxa"/>
              <w:right w:w="60" w:type="dxa"/>
            </w:tcMar>
          </w:tcPr>
          <w:p>
            <w:pPr>
              <w:keepNext w:val="0"/>
              <w:spacing w:line="240" w:lineRule="auto" w:before="80" w:after="80"/>
            </w:pPr>
            <w:r>
              <w:rPr>
                <w:b w:val="0"/>
                <w:sz w:val="20"/>
              </w:rPr>
              <w:t>Decline</w:t>
            </w:r>
          </w:p>
        </w:tc>
        <w:tc>
          <w:tcPr>
            <w:tcW w:type="dxa" w:w="1224"/>
            <w:tcMar>
              <w:top w:w="60" w:type="dxa"/>
              <w:bottom w:w="60" w:type="dxa"/>
              <w:left w:w="60" w:type="dxa"/>
              <w:right w:w="60" w:type="dxa"/>
            </w:tcMar>
          </w:tcPr>
          <w:p>
            <w:pPr>
              <w:keepNext w:val="0"/>
              <w:spacing w:line="240" w:lineRule="auto" w:before="80" w:after="80"/>
            </w:pPr>
            <w:r>
              <w:rPr>
                <w:b w:val="0"/>
                <w:sz w:val="20"/>
              </w:rPr>
              <w:t>Conditional</w:t>
            </w:r>
          </w:p>
        </w:tc>
        <w:tc>
          <w:tcPr>
            <w:tcW w:type="dxa" w:w="936"/>
            <w:tcMar>
              <w:top w:w="60" w:type="dxa"/>
              <w:bottom w:w="60" w:type="dxa"/>
              <w:left w:w="60" w:type="dxa"/>
              <w:right w:w="60" w:type="dxa"/>
            </w:tcMar>
          </w:tcPr>
          <w:p>
            <w:pPr>
              <w:keepNext w:val="0"/>
              <w:spacing w:line="240" w:lineRule="auto" w:before="80" w:after="80"/>
            </w:pPr>
            <w:r>
              <w:rPr>
                <w:b w:val="0"/>
                <w:sz w:val="20"/>
              </w:rPr>
              <w:t>Fail</w:t>
            </w:r>
          </w:p>
        </w:tc>
        <w:tc>
          <w:tcPr>
            <w:tcW w:type="dxa" w:w="936"/>
            <w:tcMar>
              <w:top w:w="60" w:type="dxa"/>
              <w:bottom w:w="60" w:type="dxa"/>
              <w:left w:w="60" w:type="dxa"/>
              <w:right w:w="60" w:type="dxa"/>
            </w:tcMar>
          </w:tcPr>
          <w:p>
            <w:pPr>
              <w:keepNext w:val="0"/>
              <w:spacing w:line="240" w:lineRule="auto" w:before="80" w:after="80"/>
            </w:pPr>
            <w:r>
              <w:rPr>
                <w:b w:val="0"/>
                <w:sz w:val="20"/>
              </w:rPr>
              <w:t>No</w:t>
            </w:r>
          </w:p>
        </w:tc>
        <w:tc>
          <w:tcPr>
            <w:tcW w:type="dxa" w:w="3240"/>
            <w:tcMar>
              <w:top w:w="60" w:type="dxa"/>
              <w:bottom w:w="60" w:type="dxa"/>
              <w:left w:w="60" w:type="dxa"/>
              <w:right w:w="60" w:type="dxa"/>
            </w:tcMar>
          </w:tcPr>
          <w:p>
            <w:pPr>
              <w:keepNext w:val="0"/>
              <w:spacing w:line="240" w:lineRule="auto" w:before="80" w:after="80"/>
            </w:pPr>
            <w:r>
              <w:rPr>
                <w:b w:val="0"/>
                <w:sz w:val="20"/>
              </w:rPr>
              <w:t>Conditional surcharge applicability and start/prior-end discrepancy. Source: Original price disposition; selected-34 screen; Rattlesnake charge notes.</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Sandy Hook (29200)</w:t>
            </w:r>
          </w:p>
        </w:tc>
        <w:tc>
          <w:tcPr>
            <w:tcW w:type="dxa" w:w="1224"/>
            <w:tcMar>
              <w:top w:w="60" w:type="dxa"/>
              <w:bottom w:w="60" w:type="dxa"/>
              <w:left w:w="60" w:type="dxa"/>
              <w:right w:w="60" w:type="dxa"/>
            </w:tcMar>
          </w:tcPr>
          <w:p>
            <w:pPr>
              <w:keepNext w:val="0"/>
              <w:spacing w:line="240" w:lineRule="auto" w:before="80" w:after="80"/>
            </w:pPr>
            <w:r>
              <w:rPr>
                <w:b w:val="0"/>
                <w:sz w:val="20"/>
              </w:rPr>
              <w:t>Nondecline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Supported benchmark; passes stated mechanical screen. Physical-boundary stability not certified. Source: Endpoint and comparability registers; original account screen.</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South Anderson (29800)</w:t>
            </w:r>
          </w:p>
        </w:tc>
        <w:tc>
          <w:tcPr>
            <w:tcW w:type="dxa" w:w="1224"/>
            <w:tcMar>
              <w:top w:w="60" w:type="dxa"/>
              <w:bottom w:w="60" w:type="dxa"/>
              <w:left w:w="60" w:type="dxa"/>
              <w:right w:w="60" w:type="dxa"/>
            </w:tcMar>
          </w:tcPr>
          <w:p>
            <w:pPr>
              <w:keepNext w:val="0"/>
              <w:spacing w:line="240" w:lineRule="auto" w:before="80" w:after="80"/>
            </w:pPr>
            <w:r>
              <w:rPr>
                <w:b w:val="0"/>
                <w:sz w:val="20"/>
              </w:rPr>
              <w:t>Nondecline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Supported benchmark; passes stated mechanical screen. Physical-boundary stability not certified. Source: Endpoint and comparability registers; original account screen.</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Southern Madison (30600)</w:t>
            </w:r>
          </w:p>
        </w:tc>
        <w:tc>
          <w:tcPr>
            <w:tcW w:type="dxa" w:w="1224"/>
            <w:tcMar>
              <w:top w:w="60" w:type="dxa"/>
              <w:bottom w:w="60" w:type="dxa"/>
              <w:left w:w="60" w:type="dxa"/>
              <w:right w:w="60" w:type="dxa"/>
            </w:tcMar>
          </w:tcPr>
          <w:p>
            <w:pPr>
              <w:keepNext w:val="0"/>
              <w:spacing w:line="240" w:lineRule="auto" w:before="80" w:after="80"/>
            </w:pPr>
            <w:r>
              <w:rPr>
                <w:b w:val="0"/>
                <w:sz w:val="20"/>
              </w:rPr>
              <w:t>Nondecline</w:t>
            </w:r>
          </w:p>
        </w:tc>
        <w:tc>
          <w:tcPr>
            <w:tcW w:type="dxa" w:w="1224"/>
            <w:tcMar>
              <w:top w:w="60" w:type="dxa"/>
              <w:bottom w:w="60" w:type="dxa"/>
              <w:left w:w="60" w:type="dxa"/>
              <w:right w:w="60" w:type="dxa"/>
            </w:tcMar>
          </w:tcPr>
          <w:p>
            <w:pPr>
              <w:keepNext w:val="0"/>
              <w:spacing w:line="240" w:lineRule="auto" w:before="80" w:after="80"/>
            </w:pPr>
            <w:r>
              <w:rPr>
                <w:b w:val="0"/>
                <w:sz w:val="20"/>
              </w:rPr>
              <w:t>Conditional</w:t>
            </w:r>
          </w:p>
        </w:tc>
        <w:tc>
          <w:tcPr>
            <w:tcW w:type="dxa" w:w="936"/>
            <w:tcMar>
              <w:top w:w="60" w:type="dxa"/>
              <w:bottom w:w="60" w:type="dxa"/>
              <w:left w:w="60" w:type="dxa"/>
              <w:right w:w="60" w:type="dxa"/>
            </w:tcMar>
          </w:tcPr>
          <w:p>
            <w:pPr>
              <w:keepNext w:val="0"/>
              <w:spacing w:line="240" w:lineRule="auto" w:before="80" w:after="80"/>
            </w:pPr>
            <w:r>
              <w:rPr>
                <w:b w:val="0"/>
                <w:sz w:val="20"/>
              </w:rPr>
              <w:t>Fail</w:t>
            </w:r>
          </w:p>
        </w:tc>
        <w:tc>
          <w:tcPr>
            <w:tcW w:type="dxa" w:w="936"/>
            <w:tcMar>
              <w:top w:w="60" w:type="dxa"/>
              <w:bottom w:w="60" w:type="dxa"/>
              <w:left w:w="60" w:type="dxa"/>
              <w:right w:w="60" w:type="dxa"/>
            </w:tcMar>
          </w:tcPr>
          <w:p>
            <w:pPr>
              <w:keepNext w:val="0"/>
              <w:spacing w:line="240" w:lineRule="auto" w:before="80" w:after="80"/>
            </w:pPr>
            <w:r>
              <w:rPr>
                <w:b w:val="0"/>
                <w:sz w:val="20"/>
              </w:rPr>
              <w:t>No</w:t>
            </w:r>
          </w:p>
        </w:tc>
        <w:tc>
          <w:tcPr>
            <w:tcW w:type="dxa" w:w="3240"/>
            <w:tcMar>
              <w:top w:w="60" w:type="dxa"/>
              <w:bottom w:w="60" w:type="dxa"/>
              <w:left w:w="60" w:type="dxa"/>
              <w:right w:w="60" w:type="dxa"/>
            </w:tcMar>
          </w:tcPr>
          <w:p>
            <w:pPr>
              <w:keepNext w:val="0"/>
              <w:spacing w:line="240" w:lineRule="auto" w:before="80" w:after="80"/>
            </w:pPr>
            <w:r>
              <w:rPr>
                <w:b w:val="0"/>
                <w:sz w:val="20"/>
              </w:rPr>
              <w:t>Conditional fee/surcharge treatment and large account-category/continuity flags. Source: Original price disposition; selected-34 screen; Southern Madison charge notes.</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Southern Water &amp; Sewer (7000900)</w:t>
            </w:r>
          </w:p>
        </w:tc>
        <w:tc>
          <w:tcPr>
            <w:tcW w:type="dxa" w:w="1224"/>
            <w:tcMar>
              <w:top w:w="60" w:type="dxa"/>
              <w:bottom w:w="60" w:type="dxa"/>
              <w:left w:w="60" w:type="dxa"/>
              <w:right w:w="60" w:type="dxa"/>
            </w:tcMar>
          </w:tcPr>
          <w:p>
            <w:pPr>
              <w:keepNext w:val="0"/>
              <w:spacing w:line="240" w:lineRule="auto" w:before="80" w:after="80"/>
            </w:pPr>
            <w:r>
              <w:rPr>
                <w:b w:val="0"/>
                <w:sz w:val="20"/>
              </w:rPr>
              <w:t>Decline</w:t>
            </w:r>
          </w:p>
        </w:tc>
        <w:tc>
          <w:tcPr>
            <w:tcW w:type="dxa" w:w="1224"/>
            <w:tcMar>
              <w:top w:w="60" w:type="dxa"/>
              <w:bottom w:w="60" w:type="dxa"/>
              <w:left w:w="60" w:type="dxa"/>
              <w:right w:w="60" w:type="dxa"/>
            </w:tcMar>
          </w:tcPr>
          <w:p>
            <w:pPr>
              <w:keepNext w:val="0"/>
              <w:spacing w:line="240" w:lineRule="auto" w:before="80" w:after="80"/>
            </w:pPr>
            <w:r>
              <w:rPr>
                <w:b w:val="0"/>
                <w:sz w:val="20"/>
              </w:rPr>
              <w:t>No pair</w:t>
            </w:r>
          </w:p>
        </w:tc>
        <w:tc>
          <w:tcPr>
            <w:tcW w:type="dxa" w:w="936"/>
            <w:tcMar>
              <w:top w:w="60" w:type="dxa"/>
              <w:bottom w:w="60" w:type="dxa"/>
              <w:left w:w="60" w:type="dxa"/>
              <w:right w:w="60" w:type="dxa"/>
            </w:tcMar>
          </w:tcPr>
          <w:p>
            <w:pPr>
              <w:keepNext w:val="0"/>
              <w:spacing w:line="240" w:lineRule="auto" w:before="80" w:after="80"/>
            </w:pPr>
            <w:r>
              <w:rPr>
                <w:b w:val="0"/>
                <w:sz w:val="20"/>
              </w:rPr>
              <w:t>Fail</w:t>
            </w:r>
          </w:p>
        </w:tc>
        <w:tc>
          <w:tcPr>
            <w:tcW w:type="dxa" w:w="936"/>
            <w:tcMar>
              <w:top w:w="60" w:type="dxa"/>
              <w:bottom w:w="60" w:type="dxa"/>
              <w:left w:w="60" w:type="dxa"/>
              <w:right w:w="60" w:type="dxa"/>
            </w:tcMar>
          </w:tcPr>
          <w:p>
            <w:pPr>
              <w:keepNext w:val="0"/>
              <w:spacing w:line="240" w:lineRule="auto" w:before="80" w:after="80"/>
            </w:pPr>
            <w:r>
              <w:rPr>
                <w:b w:val="0"/>
                <w:sz w:val="20"/>
              </w:rPr>
              <w:t>No</w:t>
            </w:r>
          </w:p>
        </w:tc>
        <w:tc>
          <w:tcPr>
            <w:tcW w:type="dxa" w:w="3240"/>
            <w:tcMar>
              <w:top w:w="60" w:type="dxa"/>
              <w:bottom w:w="60" w:type="dxa"/>
              <w:left w:w="60" w:type="dxa"/>
              <w:right w:w="60" w:type="dxa"/>
            </w:tcMar>
          </w:tcPr>
          <w:p>
            <w:pPr>
              <w:keepNext w:val="0"/>
              <w:spacing w:line="240" w:lineRule="auto" w:before="80" w:after="80"/>
            </w:pPr>
            <w:r>
              <w:rPr>
                <w:b w:val="0"/>
                <w:sz w:val="20"/>
              </w:rPr>
              <w:t>Meter-installation transition and reported county-set change prevent a supported pair. Source: Original tariff disposition; selected-34 screen; Southern Water &amp; Sewer.</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Trimble Co. #1 (31200)</w:t>
            </w:r>
          </w:p>
        </w:tc>
        <w:tc>
          <w:tcPr>
            <w:tcW w:type="dxa" w:w="1224"/>
            <w:tcMar>
              <w:top w:w="60" w:type="dxa"/>
              <w:bottom w:w="60" w:type="dxa"/>
              <w:left w:w="60" w:type="dxa"/>
              <w:right w:w="60" w:type="dxa"/>
            </w:tcMar>
          </w:tcPr>
          <w:p>
            <w:pPr>
              <w:keepNext w:val="0"/>
              <w:spacing w:line="240" w:lineRule="auto" w:before="80" w:after="80"/>
            </w:pPr>
            <w:r>
              <w:rPr>
                <w:b w:val="0"/>
                <w:sz w:val="20"/>
              </w:rPr>
              <w:t>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Fail</w:t>
            </w:r>
          </w:p>
        </w:tc>
        <w:tc>
          <w:tcPr>
            <w:tcW w:type="dxa" w:w="936"/>
            <w:tcMar>
              <w:top w:w="60" w:type="dxa"/>
              <w:bottom w:w="60" w:type="dxa"/>
              <w:left w:w="60" w:type="dxa"/>
              <w:right w:w="60" w:type="dxa"/>
            </w:tcMar>
          </w:tcPr>
          <w:p>
            <w:pPr>
              <w:keepNext w:val="0"/>
              <w:spacing w:line="240" w:lineRule="auto" w:before="80" w:after="80"/>
            </w:pPr>
            <w:r>
              <w:rPr>
                <w:b w:val="0"/>
                <w:sz w:val="20"/>
              </w:rPr>
              <w:t>No</w:t>
            </w:r>
          </w:p>
        </w:tc>
        <w:tc>
          <w:tcPr>
            <w:tcW w:type="dxa" w:w="3240"/>
            <w:tcMar>
              <w:top w:w="60" w:type="dxa"/>
              <w:bottom w:w="60" w:type="dxa"/>
              <w:left w:w="60" w:type="dxa"/>
              <w:right w:w="60" w:type="dxa"/>
            </w:tcMar>
          </w:tcPr>
          <w:p>
            <w:pPr>
              <w:keepNext w:val="0"/>
              <w:spacing w:line="240" w:lineRule="auto" w:before="80" w:after="80"/>
            </w:pPr>
            <w:r>
              <w:rPr>
                <w:b w:val="0"/>
                <w:sz w:val="20"/>
              </w:rPr>
              <w:t>Residential fall coexists with commercial/total growth; exact classification crosswalk unavailable. Source: District decision memo: Trimble; 2021–2023 reports p49.</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Union Co. (31400)</w:t>
            </w:r>
          </w:p>
        </w:tc>
        <w:tc>
          <w:tcPr>
            <w:tcW w:type="dxa" w:w="1224"/>
            <w:tcMar>
              <w:top w:w="60" w:type="dxa"/>
              <w:bottom w:w="60" w:type="dxa"/>
              <w:left w:w="60" w:type="dxa"/>
              <w:right w:w="60" w:type="dxa"/>
            </w:tcMar>
          </w:tcPr>
          <w:p>
            <w:pPr>
              <w:keepNext w:val="0"/>
              <w:spacing w:line="240" w:lineRule="auto" w:before="80" w:after="80"/>
            </w:pPr>
            <w:r>
              <w:rPr>
                <w:b w:val="0"/>
                <w:sz w:val="20"/>
              </w:rPr>
              <w:t>Nondecline</w:t>
            </w:r>
          </w:p>
        </w:tc>
        <w:tc>
          <w:tcPr>
            <w:tcW w:type="dxa" w:w="1224"/>
            <w:tcMar>
              <w:top w:w="60" w:type="dxa"/>
              <w:bottom w:w="60" w:type="dxa"/>
              <w:left w:w="60" w:type="dxa"/>
              <w:right w:w="60" w:type="dxa"/>
            </w:tcMar>
          </w:tcPr>
          <w:p>
            <w:pPr>
              <w:keepNext w:val="0"/>
              <w:spacing w:line="240" w:lineRule="auto" w:before="80" w:after="80"/>
            </w:pPr>
            <w:r>
              <w:rPr>
                <w:b w:val="0"/>
                <w:sz w:val="20"/>
              </w:rPr>
              <w:t>Conditional</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No</w:t>
            </w:r>
          </w:p>
        </w:tc>
        <w:tc>
          <w:tcPr>
            <w:tcW w:type="dxa" w:w="3240"/>
            <w:tcMar>
              <w:top w:w="60" w:type="dxa"/>
              <w:bottom w:w="60" w:type="dxa"/>
              <w:left w:w="60" w:type="dxa"/>
              <w:right w:w="60" w:type="dxa"/>
            </w:tcMar>
          </w:tcPr>
          <w:p>
            <w:pPr>
              <w:keepNext w:val="0"/>
              <w:spacing w:line="240" w:lineRule="auto" w:before="80" w:after="80"/>
            </w:pPr>
            <w:r>
              <w:rPr>
                <w:b w:val="0"/>
                <w:sz w:val="20"/>
              </w:rPr>
              <w:t>Surcharge collection-cap status unresolved; endpoint scenario conditional. Source: V3 comparability memo; original tariff disposition, Union charge evidence.</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Webster Co. (31800)</w:t>
            </w:r>
          </w:p>
        </w:tc>
        <w:tc>
          <w:tcPr>
            <w:tcW w:type="dxa" w:w="1224"/>
            <w:tcMar>
              <w:top w:w="60" w:type="dxa"/>
              <w:bottom w:w="60" w:type="dxa"/>
              <w:left w:w="60" w:type="dxa"/>
              <w:right w:w="60" w:type="dxa"/>
            </w:tcMar>
          </w:tcPr>
          <w:p>
            <w:pPr>
              <w:keepNext w:val="0"/>
              <w:spacing w:line="240" w:lineRule="auto" w:before="80" w:after="80"/>
            </w:pPr>
            <w:r>
              <w:rPr>
                <w:b w:val="0"/>
                <w:sz w:val="20"/>
              </w:rPr>
              <w:t>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Fail</w:t>
            </w:r>
          </w:p>
        </w:tc>
        <w:tc>
          <w:tcPr>
            <w:tcW w:type="dxa" w:w="936"/>
            <w:tcMar>
              <w:top w:w="60" w:type="dxa"/>
              <w:bottom w:w="60" w:type="dxa"/>
              <w:left w:w="60" w:type="dxa"/>
              <w:right w:w="60" w:type="dxa"/>
            </w:tcMar>
          </w:tcPr>
          <w:p>
            <w:pPr>
              <w:keepNext w:val="0"/>
              <w:spacing w:line="240" w:lineRule="auto" w:before="80" w:after="80"/>
            </w:pPr>
            <w:r>
              <w:rPr>
                <w:b w:val="0"/>
                <w:sz w:val="20"/>
              </w:rPr>
              <w:t>No</w:t>
            </w:r>
          </w:p>
        </w:tc>
        <w:tc>
          <w:tcPr>
            <w:tcW w:type="dxa" w:w="3240"/>
            <w:tcMar>
              <w:top w:w="60" w:type="dxa"/>
              <w:bottom w:w="60" w:type="dxa"/>
              <w:left w:w="60" w:type="dxa"/>
              <w:right w:w="60" w:type="dxa"/>
            </w:tcMar>
          </w:tcPr>
          <w:p>
            <w:pPr>
              <w:keepNext w:val="0"/>
              <w:spacing w:line="240" w:lineRule="auto" w:before="80" w:after="80"/>
            </w:pPr>
            <w:r>
              <w:rPr>
                <w:b w:val="0"/>
                <w:sz w:val="20"/>
              </w:rPr>
              <w:t>2019 closing versus 2020 opening discrepancy of 100 residential accounts. Source: District decision memo: Webster; 2019/2020 reports p50.</w:t>
            </w:r>
          </w:p>
        </w:tc>
      </w:tr>
      <w:tr>
        <w:trPr>
          <w:cantSplit/>
        </w:trPr>
        <w:tc>
          <w:tcPr>
            <w:tcW w:type="dxa" w:w="1800"/>
            <w:tcMar>
              <w:top w:w="60" w:type="dxa"/>
              <w:bottom w:w="60" w:type="dxa"/>
              <w:left w:w="60" w:type="dxa"/>
              <w:right w:w="60" w:type="dxa"/>
            </w:tcMar>
          </w:tcPr>
          <w:p>
            <w:pPr>
              <w:keepNext w:val="0"/>
              <w:spacing w:line="240" w:lineRule="auto" w:before="80" w:after="80"/>
            </w:pPr>
            <w:r>
              <w:rPr>
                <w:b w:val="0"/>
                <w:sz w:val="20"/>
              </w:rPr>
              <w:t>Western Fleming Co. (32500)</w:t>
            </w:r>
          </w:p>
        </w:tc>
        <w:tc>
          <w:tcPr>
            <w:tcW w:type="dxa" w:w="1224"/>
            <w:tcMar>
              <w:top w:w="60" w:type="dxa"/>
              <w:bottom w:w="60" w:type="dxa"/>
              <w:left w:w="60" w:type="dxa"/>
              <w:right w:w="60" w:type="dxa"/>
            </w:tcMar>
          </w:tcPr>
          <w:p>
            <w:pPr>
              <w:keepNext w:val="0"/>
              <w:spacing w:line="240" w:lineRule="auto" w:before="80" w:after="80"/>
            </w:pPr>
            <w:r>
              <w:rPr>
                <w:b w:val="0"/>
                <w:sz w:val="20"/>
              </w:rPr>
              <w:t>Nondecline</w:t>
            </w:r>
          </w:p>
        </w:tc>
        <w:tc>
          <w:tcPr>
            <w:tcW w:type="dxa" w:w="1224"/>
            <w:tcMar>
              <w:top w:w="60" w:type="dxa"/>
              <w:bottom w:w="60" w:type="dxa"/>
              <w:left w:w="60" w:type="dxa"/>
              <w:right w:w="60" w:type="dxa"/>
            </w:tcMar>
          </w:tcPr>
          <w:p>
            <w:pPr>
              <w:keepNext w:val="0"/>
              <w:spacing w:line="240" w:lineRule="auto" w:before="80" w:after="80"/>
            </w:pPr>
            <w:r>
              <w:rPr>
                <w:b w:val="0"/>
                <w:sz w:val="20"/>
              </w:rPr>
              <w:t>Supported</w:t>
            </w:r>
          </w:p>
        </w:tc>
        <w:tc>
          <w:tcPr>
            <w:tcW w:type="dxa" w:w="936"/>
            <w:tcMar>
              <w:top w:w="60" w:type="dxa"/>
              <w:bottom w:w="60" w:type="dxa"/>
              <w:left w:w="60" w:type="dxa"/>
              <w:right w:w="60" w:type="dxa"/>
            </w:tcMar>
          </w:tcPr>
          <w:p>
            <w:pPr>
              <w:keepNext w:val="0"/>
              <w:spacing w:line="240" w:lineRule="auto" w:before="80" w:after="80"/>
            </w:pPr>
            <w:r>
              <w:rPr>
                <w:b w:val="0"/>
                <w:sz w:val="20"/>
              </w:rPr>
              <w:t>Pass</w:t>
            </w:r>
          </w:p>
        </w:tc>
        <w:tc>
          <w:tcPr>
            <w:tcW w:type="dxa" w:w="936"/>
            <w:tcMar>
              <w:top w:w="60" w:type="dxa"/>
              <w:bottom w:w="60" w:type="dxa"/>
              <w:left w:w="60" w:type="dxa"/>
              <w:right w:w="60" w:type="dxa"/>
            </w:tcMar>
          </w:tcPr>
          <w:p>
            <w:pPr>
              <w:keepNext w:val="0"/>
              <w:spacing w:line="240" w:lineRule="auto" w:before="80" w:after="80"/>
            </w:pPr>
            <w:r>
              <w:rPr>
                <w:b w:val="0"/>
                <w:sz w:val="20"/>
              </w:rPr>
              <w:t>Yes</w:t>
            </w:r>
          </w:p>
        </w:tc>
        <w:tc>
          <w:tcPr>
            <w:tcW w:type="dxa" w:w="3240"/>
            <w:tcMar>
              <w:top w:w="60" w:type="dxa"/>
              <w:bottom w:w="60" w:type="dxa"/>
              <w:left w:w="60" w:type="dxa"/>
              <w:right w:w="60" w:type="dxa"/>
            </w:tcMar>
          </w:tcPr>
          <w:p>
            <w:pPr>
              <w:keepNext w:val="0"/>
              <w:spacing w:line="240" w:lineRule="auto" w:before="80" w:after="80"/>
            </w:pPr>
            <w:r>
              <w:rPr>
                <w:b w:val="0"/>
                <w:sz w:val="20"/>
              </w:rPr>
              <w:t>Supported benchmark; passes stated mechanical screen. Physical-boundary stability not certified. Source: Endpoint and comparability registers; original account screen.</w:t>
            </w:r>
          </w:p>
        </w:tc>
      </w:tr>
    </w:tbl>
    <w:p>
      <w:pPr>
        <w:spacing w:after="40"/>
      </w:pPr>
    </w:p>
    <w:p>
      <w:r>
        <w:t>The table reconciles to 34 selected districts, 32 reconstructed pairs, 27 supported pairs and 20 primary observations. Five reconstructed pairs are displayed as conditional; Garrison retains the original “regional” code in the underlying panel. Bullock Pen and Southern Water &amp; Sewer lack accepted reconstructed pairs. Bullock Pen is not excluded by a universal rule against geographic supplements: a completed supported non-extension pair is unavailable in the retained work. If such evidence is obtained, its price eligibility must be reconsidered consistently.</w:t>
      </w:r>
    </w:p>
    <w:p>
      <w:r>
        <w:t>Among the 27 supported pairs, the seven account exclusions are East Pendleton, Trimble, North Hopkins, Webster, Henry #2, Barkley and Caldwell. Their detailed decisions and original page references remain in docs/evidence.md and sources/catalog.csv. Retention is 20/34 = 58.8%, 9/17 = 52.9% among initial decliners and 11/17 = 64.7% among sampled nondecliners; these retention rates do not determine the direction of selection bias.</w:t>
      </w:r>
    </w:p>
    <w:p>
      <w:r>
        <w:t>Knott remains included: cancelled southwest usage rates do not establish an alternative ordinary endpoint category. Estill remains an explicitly non-Cobhill benchmark, with whole-district accounts and unknown shares; its sub-threshold swing is unexplained. Powell's three-county service is supported by both reports and its 2024 order. Garrison's ordinary non-extension benchmark does not resolve the separate $1.73 component ambiguity or account opening discrepancy. The full comparability decisions are preserved in docs/evidence.md.</w:t>
      </w:r>
    </w:p>
    <w:p>
      <w:pPr>
        <w:pStyle w:val="Heading1"/>
      </w:pPr>
      <w:r>
        <w:t>2 Full-sample documentary synthesis</w:t>
      </w:r>
    </w:p>
    <w:p>
      <w:r>
        <w:t>Manuscript Appendix B contains the readable arithmetic table and companion documentary table for all 20 primary districts, in the same order as Appendix A. results/Reconstruction_Summary_20_v4.csv supplies their full-precision data and references. Eighteen have higher endpoint base charges; two have unchanged benchmarks. Four have positive net endpoint extras. The sums $207.14 base + $7.33 extras = $214.47 are unweighted hypothetical-charge identities, not utility revenue or causal shares. Hyden's $1.53 temporary surcharge is absent at both endpoints. Estill's $3.54 is present at both. In either case, a zero endpoint difference in extras does not mean that no surcharge was billed during the interval.</w:t>
      </w:r>
    </w:p>
    <w:p>
      <w:r>
        <w:t>Proceeding labels describe regulatory routes; economic interpretations require actual documentary support. Unknown intermediate reasons remain unknown. Pendleton E057's generic v3 rate-review label is corrected to wholesale special-contract amendment, based on the October 28, 2020 order in 2020-00158, p1. The ordinary residential base stays unchanged. This is a documentary classification correction only.</w:t>
      </w:r>
    </w:p>
    <w:p>
      <w:pPr>
        <w:pStyle w:val="Heading1"/>
      </w:pPr>
      <w:r>
        <w:t>3 Current exploratory diagnostics</w:t>
      </w:r>
    </w:p>
    <w:p>
      <w:r>
        <w:t>Account change is c = 100 × (N2024/N2019 − 1). For band b, decline is c &lt; −b, growth is c &gt; b, and neutral is |c| ≤ b. Bands are ordinary percentage units, not proportions or log points. Neutral observations are excluded only from these median comparisons; primary regression membership and continuity screening are unchanged.</w:t>
      </w:r>
    </w:p>
    <w:p>
      <w:pPr>
        <w:keepNext/>
      </w:pPr>
      <w:r>
        <w:rPr>
          <w:b/>
        </w:rPr>
        <w:t>Table S2. Current neutral-band descriptions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1008"/>
        <w:gridCol w:w="1008"/>
        <w:gridCol w:w="1008"/>
        <w:gridCol w:w="1800"/>
        <w:gridCol w:w="1800"/>
        <w:gridCol w:w="1872"/>
      </w:tblGrid>
      <w:tr>
        <w:trPr>
          <w:cantSplit/>
          <w:tblHeader/>
        </w:trPr>
        <w:tc>
          <w:tcPr>
            <w:tcW w:type="dxa" w:w="864"/>
            <w:tcMar>
              <w:top w:w="60" w:type="dxa"/>
              <w:bottom w:w="60" w:type="dxa"/>
              <w:left w:w="60" w:type="dxa"/>
              <w:right w:w="60" w:type="dxa"/>
            </w:tcMar>
            <w:shd w:fill="EDEDED"/>
          </w:tcPr>
          <w:p>
            <w:pPr>
              <w:keepNext/>
              <w:spacing w:line="240" w:lineRule="auto" w:before="80" w:after="80"/>
            </w:pPr>
            <w:r>
              <w:rPr>
                <w:b/>
                <w:sz w:val="20"/>
              </w:rPr>
              <w:t>Band %</w:t>
            </w:r>
          </w:p>
        </w:tc>
        <w:tc>
          <w:tcPr>
            <w:tcW w:type="dxa" w:w="1008"/>
            <w:tcMar>
              <w:top w:w="60" w:type="dxa"/>
              <w:bottom w:w="60" w:type="dxa"/>
              <w:left w:w="60" w:type="dxa"/>
              <w:right w:w="60" w:type="dxa"/>
            </w:tcMar>
            <w:shd w:fill="EDEDED"/>
          </w:tcPr>
          <w:p>
            <w:pPr>
              <w:keepNext/>
              <w:spacing w:line="240" w:lineRule="auto" w:before="80" w:after="80"/>
            </w:pPr>
            <w:r>
              <w:rPr>
                <w:b/>
                <w:sz w:val="20"/>
              </w:rPr>
              <w:t>Decline n</w:t>
            </w:r>
          </w:p>
        </w:tc>
        <w:tc>
          <w:tcPr>
            <w:tcW w:type="dxa" w:w="1008"/>
            <w:tcMar>
              <w:top w:w="60" w:type="dxa"/>
              <w:bottom w:w="60" w:type="dxa"/>
              <w:left w:w="60" w:type="dxa"/>
              <w:right w:w="60" w:type="dxa"/>
            </w:tcMar>
            <w:shd w:fill="EDEDED"/>
          </w:tcPr>
          <w:p>
            <w:pPr>
              <w:keepNext/>
              <w:spacing w:line="240" w:lineRule="auto" w:before="80" w:after="80"/>
            </w:pPr>
            <w:r>
              <w:rPr>
                <w:b/>
                <w:sz w:val="20"/>
              </w:rPr>
              <w:t>Neutral n</w:t>
            </w:r>
          </w:p>
        </w:tc>
        <w:tc>
          <w:tcPr>
            <w:tcW w:type="dxa" w:w="1008"/>
            <w:tcMar>
              <w:top w:w="60" w:type="dxa"/>
              <w:bottom w:w="60" w:type="dxa"/>
              <w:left w:w="60" w:type="dxa"/>
              <w:right w:w="60" w:type="dxa"/>
            </w:tcMar>
            <w:shd w:fill="EDEDED"/>
          </w:tcPr>
          <w:p>
            <w:pPr>
              <w:keepNext/>
              <w:spacing w:line="240" w:lineRule="auto" w:before="80" w:after="80"/>
            </w:pPr>
            <w:r>
              <w:rPr>
                <w:b/>
                <w:sz w:val="20"/>
              </w:rPr>
              <w:t>Growth n</w:t>
            </w:r>
          </w:p>
        </w:tc>
        <w:tc>
          <w:tcPr>
            <w:tcW w:type="dxa" w:w="1800"/>
            <w:tcMar>
              <w:top w:w="60" w:type="dxa"/>
              <w:bottom w:w="60" w:type="dxa"/>
              <w:left w:w="60" w:type="dxa"/>
              <w:right w:w="60" w:type="dxa"/>
            </w:tcMar>
            <w:shd w:fill="EDEDED"/>
          </w:tcPr>
          <w:p>
            <w:pPr>
              <w:keepNext/>
              <w:spacing w:line="240" w:lineRule="auto" w:before="80" w:after="80"/>
            </w:pPr>
            <w:r>
              <w:rPr>
                <w:b/>
                <w:sz w:val="20"/>
              </w:rPr>
              <w:t>Decline median %</w:t>
            </w:r>
          </w:p>
        </w:tc>
        <w:tc>
          <w:tcPr>
            <w:tcW w:type="dxa" w:w="1800"/>
            <w:tcMar>
              <w:top w:w="60" w:type="dxa"/>
              <w:bottom w:w="60" w:type="dxa"/>
              <w:left w:w="60" w:type="dxa"/>
              <w:right w:w="60" w:type="dxa"/>
            </w:tcMar>
            <w:shd w:fill="EDEDED"/>
          </w:tcPr>
          <w:p>
            <w:pPr>
              <w:keepNext/>
              <w:spacing w:line="240" w:lineRule="auto" w:before="80" w:after="80"/>
            </w:pPr>
            <w:r>
              <w:rPr>
                <w:b/>
                <w:sz w:val="20"/>
              </w:rPr>
              <w:t>Growth median %</w:t>
            </w:r>
          </w:p>
        </w:tc>
        <w:tc>
          <w:tcPr>
            <w:tcW w:type="dxa" w:w="1872"/>
            <w:tcMar>
              <w:top w:w="60" w:type="dxa"/>
              <w:bottom w:w="60" w:type="dxa"/>
              <w:left w:w="60" w:type="dxa"/>
              <w:right w:w="60" w:type="dxa"/>
            </w:tcMar>
            <w:shd w:fill="EDEDED"/>
          </w:tcPr>
          <w:p>
            <w:pPr>
              <w:keepNext/>
              <w:spacing w:line="240" w:lineRule="auto" w:before="80" w:after="80"/>
            </w:pPr>
            <w:r>
              <w:rPr>
                <w:b/>
                <w:sz w:val="20"/>
              </w:rPr>
              <w:t>Gap pp</w:t>
            </w:r>
          </w:p>
        </w:tc>
      </w:tr>
      <w:tr>
        <w:trPr>
          <w:cantSplit/>
        </w:trPr>
        <w:tc>
          <w:tcPr>
            <w:tcW w:type="dxa" w:w="864"/>
            <w:tcMar>
              <w:top w:w="60" w:type="dxa"/>
              <w:bottom w:w="60" w:type="dxa"/>
              <w:left w:w="60" w:type="dxa"/>
              <w:right w:w="60" w:type="dxa"/>
            </w:tcMar>
          </w:tcPr>
          <w:p>
            <w:pPr>
              <w:keepNext w:val="0"/>
              <w:spacing w:line="240" w:lineRule="auto" w:before="80" w:after="80"/>
            </w:pPr>
            <w:r>
              <w:rPr>
                <w:b w:val="0"/>
                <w:sz w:val="20"/>
              </w:rPr>
              <w:t>0</w:t>
            </w:r>
          </w:p>
        </w:tc>
        <w:tc>
          <w:tcPr>
            <w:tcW w:type="dxa" w:w="1008"/>
            <w:tcMar>
              <w:top w:w="60" w:type="dxa"/>
              <w:bottom w:w="60" w:type="dxa"/>
              <w:left w:w="60" w:type="dxa"/>
              <w:right w:w="60" w:type="dxa"/>
            </w:tcMar>
          </w:tcPr>
          <w:p>
            <w:pPr>
              <w:keepNext w:val="0"/>
              <w:spacing w:line="240" w:lineRule="auto" w:before="80" w:after="80"/>
            </w:pPr>
            <w:r>
              <w:rPr>
                <w:b w:val="0"/>
                <w:sz w:val="20"/>
              </w:rPr>
              <w:t>9</w:t>
            </w:r>
          </w:p>
        </w:tc>
        <w:tc>
          <w:tcPr>
            <w:tcW w:type="dxa" w:w="1008"/>
            <w:tcMar>
              <w:top w:w="60" w:type="dxa"/>
              <w:bottom w:w="60" w:type="dxa"/>
              <w:left w:w="60" w:type="dxa"/>
              <w:right w:w="60" w:type="dxa"/>
            </w:tcMar>
          </w:tcPr>
          <w:p>
            <w:pPr>
              <w:keepNext w:val="0"/>
              <w:spacing w:line="240" w:lineRule="auto" w:before="80" w:after="80"/>
            </w:pPr>
            <w:r>
              <w:rPr>
                <w:b w:val="0"/>
                <w:sz w:val="20"/>
              </w:rPr>
              <w:t>0</w:t>
            </w:r>
          </w:p>
        </w:tc>
        <w:tc>
          <w:tcPr>
            <w:tcW w:type="dxa" w:w="1008"/>
            <w:tcMar>
              <w:top w:w="60" w:type="dxa"/>
              <w:bottom w:w="60" w:type="dxa"/>
              <w:left w:w="60" w:type="dxa"/>
              <w:right w:w="60" w:type="dxa"/>
            </w:tcMar>
          </w:tcPr>
          <w:p>
            <w:pPr>
              <w:keepNext w:val="0"/>
              <w:spacing w:line="240" w:lineRule="auto" w:before="80" w:after="80"/>
            </w:pPr>
            <w:r>
              <w:rPr>
                <w:b w:val="0"/>
                <w:sz w:val="20"/>
              </w:rPr>
              <w:t>11</w:t>
            </w:r>
          </w:p>
        </w:tc>
        <w:tc>
          <w:tcPr>
            <w:tcW w:type="dxa" w:w="1800"/>
            <w:tcMar>
              <w:top w:w="60" w:type="dxa"/>
              <w:bottom w:w="60" w:type="dxa"/>
              <w:left w:w="60" w:type="dxa"/>
              <w:right w:w="60" w:type="dxa"/>
            </w:tcMar>
          </w:tcPr>
          <w:p>
            <w:pPr>
              <w:keepNext w:val="0"/>
              <w:spacing w:line="240" w:lineRule="auto" w:before="80" w:after="80"/>
            </w:pPr>
            <w:r>
              <w:rPr>
                <w:b w:val="0"/>
                <w:sz w:val="20"/>
              </w:rPr>
              <w:t>34.6862</w:t>
            </w:r>
          </w:p>
        </w:tc>
        <w:tc>
          <w:tcPr>
            <w:tcW w:type="dxa" w:w="1800"/>
            <w:tcMar>
              <w:top w:w="60" w:type="dxa"/>
              <w:bottom w:w="60" w:type="dxa"/>
              <w:left w:w="60" w:type="dxa"/>
              <w:right w:w="60" w:type="dxa"/>
            </w:tcMar>
          </w:tcPr>
          <w:p>
            <w:pPr>
              <w:keepNext w:val="0"/>
              <w:spacing w:line="240" w:lineRule="auto" w:before="80" w:after="80"/>
            </w:pPr>
            <w:r>
              <w:rPr>
                <w:b w:val="0"/>
                <w:sz w:val="20"/>
              </w:rPr>
              <w:t>24.2431</w:t>
            </w:r>
          </w:p>
        </w:tc>
        <w:tc>
          <w:tcPr>
            <w:tcW w:type="dxa" w:w="1872"/>
            <w:tcMar>
              <w:top w:w="60" w:type="dxa"/>
              <w:bottom w:w="60" w:type="dxa"/>
              <w:left w:w="60" w:type="dxa"/>
              <w:right w:w="60" w:type="dxa"/>
            </w:tcMar>
          </w:tcPr>
          <w:p>
            <w:pPr>
              <w:keepNext w:val="0"/>
              <w:spacing w:line="240" w:lineRule="auto" w:before="80" w:after="80"/>
            </w:pPr>
            <w:r>
              <w:rPr>
                <w:b w:val="0"/>
                <w:sz w:val="20"/>
              </w:rPr>
              <w:t>10.4431</w:t>
            </w:r>
          </w:p>
        </w:tc>
      </w:tr>
      <w:tr>
        <w:trPr>
          <w:cantSplit/>
        </w:trPr>
        <w:tc>
          <w:tcPr>
            <w:tcW w:type="dxa" w:w="864"/>
            <w:tcMar>
              <w:top w:w="60" w:type="dxa"/>
              <w:bottom w:w="60" w:type="dxa"/>
              <w:left w:w="60" w:type="dxa"/>
              <w:right w:w="60" w:type="dxa"/>
            </w:tcMar>
          </w:tcPr>
          <w:p>
            <w:pPr>
              <w:keepNext w:val="0"/>
              <w:spacing w:line="240" w:lineRule="auto" w:before="80" w:after="80"/>
            </w:pPr>
            <w:r>
              <w:rPr>
                <w:b w:val="0"/>
                <w:sz w:val="20"/>
              </w:rPr>
              <w:t>0.1</w:t>
            </w:r>
          </w:p>
        </w:tc>
        <w:tc>
          <w:tcPr>
            <w:tcW w:type="dxa" w:w="1008"/>
            <w:tcMar>
              <w:top w:w="60" w:type="dxa"/>
              <w:bottom w:w="60" w:type="dxa"/>
              <w:left w:w="60" w:type="dxa"/>
              <w:right w:w="60" w:type="dxa"/>
            </w:tcMar>
          </w:tcPr>
          <w:p>
            <w:pPr>
              <w:keepNext w:val="0"/>
              <w:spacing w:line="240" w:lineRule="auto" w:before="80" w:after="80"/>
            </w:pPr>
            <w:r>
              <w:rPr>
                <w:b w:val="0"/>
                <w:sz w:val="20"/>
              </w:rPr>
              <w:t>8</w:t>
            </w:r>
          </w:p>
        </w:tc>
        <w:tc>
          <w:tcPr>
            <w:tcW w:type="dxa" w:w="1008"/>
            <w:tcMar>
              <w:top w:w="60" w:type="dxa"/>
              <w:bottom w:w="60" w:type="dxa"/>
              <w:left w:w="60" w:type="dxa"/>
              <w:right w:w="60" w:type="dxa"/>
            </w:tcMar>
          </w:tcPr>
          <w:p>
            <w:pPr>
              <w:keepNext w:val="0"/>
              <w:spacing w:line="240" w:lineRule="auto" w:before="80" w:after="80"/>
            </w:pPr>
            <w:r>
              <w:rPr>
                <w:b w:val="0"/>
                <w:sz w:val="20"/>
              </w:rPr>
              <w:t>1</w:t>
            </w:r>
          </w:p>
        </w:tc>
        <w:tc>
          <w:tcPr>
            <w:tcW w:type="dxa" w:w="1008"/>
            <w:tcMar>
              <w:top w:w="60" w:type="dxa"/>
              <w:bottom w:w="60" w:type="dxa"/>
              <w:left w:w="60" w:type="dxa"/>
              <w:right w:w="60" w:type="dxa"/>
            </w:tcMar>
          </w:tcPr>
          <w:p>
            <w:pPr>
              <w:keepNext w:val="0"/>
              <w:spacing w:line="240" w:lineRule="auto" w:before="80" w:after="80"/>
            </w:pPr>
            <w:r>
              <w:rPr>
                <w:b w:val="0"/>
                <w:sz w:val="20"/>
              </w:rPr>
              <w:t>11</w:t>
            </w:r>
          </w:p>
        </w:tc>
        <w:tc>
          <w:tcPr>
            <w:tcW w:type="dxa" w:w="1800"/>
            <w:tcMar>
              <w:top w:w="60" w:type="dxa"/>
              <w:bottom w:w="60" w:type="dxa"/>
              <w:left w:w="60" w:type="dxa"/>
              <w:right w:w="60" w:type="dxa"/>
            </w:tcMar>
          </w:tcPr>
          <w:p>
            <w:pPr>
              <w:keepNext w:val="0"/>
              <w:spacing w:line="240" w:lineRule="auto" w:before="80" w:after="80"/>
            </w:pPr>
            <w:r>
              <w:rPr>
                <w:b w:val="0"/>
                <w:sz w:val="20"/>
              </w:rPr>
              <w:t>34.3084</w:t>
            </w:r>
          </w:p>
        </w:tc>
        <w:tc>
          <w:tcPr>
            <w:tcW w:type="dxa" w:w="1800"/>
            <w:tcMar>
              <w:top w:w="60" w:type="dxa"/>
              <w:bottom w:w="60" w:type="dxa"/>
              <w:left w:w="60" w:type="dxa"/>
              <w:right w:w="60" w:type="dxa"/>
            </w:tcMar>
          </w:tcPr>
          <w:p>
            <w:pPr>
              <w:keepNext w:val="0"/>
              <w:spacing w:line="240" w:lineRule="auto" w:before="80" w:after="80"/>
            </w:pPr>
            <w:r>
              <w:rPr>
                <w:b w:val="0"/>
                <w:sz w:val="20"/>
              </w:rPr>
              <w:t>24.2431</w:t>
            </w:r>
          </w:p>
        </w:tc>
        <w:tc>
          <w:tcPr>
            <w:tcW w:type="dxa" w:w="1872"/>
            <w:tcMar>
              <w:top w:w="60" w:type="dxa"/>
              <w:bottom w:w="60" w:type="dxa"/>
              <w:left w:w="60" w:type="dxa"/>
              <w:right w:w="60" w:type="dxa"/>
            </w:tcMar>
          </w:tcPr>
          <w:p>
            <w:pPr>
              <w:keepNext w:val="0"/>
              <w:spacing w:line="240" w:lineRule="auto" w:before="80" w:after="80"/>
            </w:pPr>
            <w:r>
              <w:rPr>
                <w:b w:val="0"/>
                <w:sz w:val="20"/>
              </w:rPr>
              <w:t>10.0654</w:t>
            </w:r>
          </w:p>
        </w:tc>
      </w:tr>
      <w:tr>
        <w:trPr>
          <w:cantSplit/>
        </w:trPr>
        <w:tc>
          <w:tcPr>
            <w:tcW w:type="dxa" w:w="864"/>
            <w:tcMar>
              <w:top w:w="60" w:type="dxa"/>
              <w:bottom w:w="60" w:type="dxa"/>
              <w:left w:w="60" w:type="dxa"/>
              <w:right w:w="60" w:type="dxa"/>
            </w:tcMar>
          </w:tcPr>
          <w:p>
            <w:pPr>
              <w:keepNext w:val="0"/>
              <w:spacing w:line="240" w:lineRule="auto" w:before="80" w:after="80"/>
            </w:pPr>
            <w:r>
              <w:rPr>
                <w:b w:val="0"/>
                <w:sz w:val="20"/>
              </w:rPr>
              <w:t>1</w:t>
            </w:r>
          </w:p>
        </w:tc>
        <w:tc>
          <w:tcPr>
            <w:tcW w:type="dxa" w:w="1008"/>
            <w:tcMar>
              <w:top w:w="60" w:type="dxa"/>
              <w:bottom w:w="60" w:type="dxa"/>
              <w:left w:w="60" w:type="dxa"/>
              <w:right w:w="60" w:type="dxa"/>
            </w:tcMar>
          </w:tcPr>
          <w:p>
            <w:pPr>
              <w:keepNext w:val="0"/>
              <w:spacing w:line="240" w:lineRule="auto" w:before="80" w:after="80"/>
            </w:pPr>
            <w:r>
              <w:rPr>
                <w:b w:val="0"/>
                <w:sz w:val="20"/>
              </w:rPr>
              <w:t>7</w:t>
            </w:r>
          </w:p>
        </w:tc>
        <w:tc>
          <w:tcPr>
            <w:tcW w:type="dxa" w:w="1008"/>
            <w:tcMar>
              <w:top w:w="60" w:type="dxa"/>
              <w:bottom w:w="60" w:type="dxa"/>
              <w:left w:w="60" w:type="dxa"/>
              <w:right w:w="60" w:type="dxa"/>
            </w:tcMar>
          </w:tcPr>
          <w:p>
            <w:pPr>
              <w:keepNext w:val="0"/>
              <w:spacing w:line="240" w:lineRule="auto" w:before="80" w:after="80"/>
            </w:pPr>
            <w:r>
              <w:rPr>
                <w:b w:val="0"/>
                <w:sz w:val="20"/>
              </w:rPr>
              <w:t>2</w:t>
            </w:r>
          </w:p>
        </w:tc>
        <w:tc>
          <w:tcPr>
            <w:tcW w:type="dxa" w:w="1008"/>
            <w:tcMar>
              <w:top w:w="60" w:type="dxa"/>
              <w:bottom w:w="60" w:type="dxa"/>
              <w:left w:w="60" w:type="dxa"/>
              <w:right w:w="60" w:type="dxa"/>
            </w:tcMar>
          </w:tcPr>
          <w:p>
            <w:pPr>
              <w:keepNext w:val="0"/>
              <w:spacing w:line="240" w:lineRule="auto" w:before="80" w:after="80"/>
            </w:pPr>
            <w:r>
              <w:rPr>
                <w:b w:val="0"/>
                <w:sz w:val="20"/>
              </w:rPr>
              <w:t>11</w:t>
            </w:r>
          </w:p>
        </w:tc>
        <w:tc>
          <w:tcPr>
            <w:tcW w:type="dxa" w:w="1800"/>
            <w:tcMar>
              <w:top w:w="60" w:type="dxa"/>
              <w:bottom w:w="60" w:type="dxa"/>
              <w:left w:w="60" w:type="dxa"/>
              <w:right w:w="60" w:type="dxa"/>
            </w:tcMar>
          </w:tcPr>
          <w:p>
            <w:pPr>
              <w:keepNext w:val="0"/>
              <w:spacing w:line="240" w:lineRule="auto" w:before="80" w:after="80"/>
            </w:pPr>
            <w:r>
              <w:rPr>
                <w:b w:val="0"/>
                <w:sz w:val="20"/>
              </w:rPr>
              <w:t>33.9307</w:t>
            </w:r>
          </w:p>
        </w:tc>
        <w:tc>
          <w:tcPr>
            <w:tcW w:type="dxa" w:w="1800"/>
            <w:tcMar>
              <w:top w:w="60" w:type="dxa"/>
              <w:bottom w:w="60" w:type="dxa"/>
              <w:left w:w="60" w:type="dxa"/>
              <w:right w:w="60" w:type="dxa"/>
            </w:tcMar>
          </w:tcPr>
          <w:p>
            <w:pPr>
              <w:keepNext w:val="0"/>
              <w:spacing w:line="240" w:lineRule="auto" w:before="80" w:after="80"/>
            </w:pPr>
            <w:r>
              <w:rPr>
                <w:b w:val="0"/>
                <w:sz w:val="20"/>
              </w:rPr>
              <w:t>24.2431</w:t>
            </w:r>
          </w:p>
        </w:tc>
        <w:tc>
          <w:tcPr>
            <w:tcW w:type="dxa" w:w="1872"/>
            <w:tcMar>
              <w:top w:w="60" w:type="dxa"/>
              <w:bottom w:w="60" w:type="dxa"/>
              <w:left w:w="60" w:type="dxa"/>
              <w:right w:w="60" w:type="dxa"/>
            </w:tcMar>
          </w:tcPr>
          <w:p>
            <w:pPr>
              <w:keepNext w:val="0"/>
              <w:spacing w:line="240" w:lineRule="auto" w:before="80" w:after="80"/>
            </w:pPr>
            <w:r>
              <w:rPr>
                <w:b w:val="0"/>
                <w:sz w:val="20"/>
              </w:rPr>
              <w:t>9.6877</w:t>
            </w:r>
          </w:p>
        </w:tc>
      </w:tr>
    </w:tbl>
    <w:p>
      <w:pPr>
        <w:spacing w:after="40"/>
      </w:pPr>
    </w:p>
    <w:p>
      <w:r>
        <w:t>The current declining-versus-growing median growth gap is 10.44 percentage points. It incorporates Knott’s inclusion after review of its cancelled tariff and Muhlenberg’s corrected endpoint. The consequential source corrections are documented in docs/evidence.md. Group mean charges are $36.89→$49.77 for decline and $42.70→$51.66 for growth, with mean dollar changes $12.89 and $8.95. Different percentage denominators do not establish convergence or delayed adjustment.</w:t>
      </w:r>
    </w:p>
    <w:p>
      <w:pPr>
        <w:keepNext/>
      </w:pPr>
      <w:r>
        <w:rPr>
          <w:b/>
        </w:rPr>
        <w:t>Table S3. Current geographic diagnostics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720"/>
        <w:gridCol w:w="1728"/>
        <w:gridCol w:w="3600"/>
      </w:tblGrid>
      <w:tr>
        <w:trPr>
          <w:cantSplit/>
          <w:tblHeader/>
        </w:trPr>
        <w:tc>
          <w:tcPr>
            <w:tcW w:type="dxa" w:w="3312"/>
            <w:tcMar>
              <w:top w:w="60" w:type="dxa"/>
              <w:bottom w:w="60" w:type="dxa"/>
              <w:left w:w="60" w:type="dxa"/>
              <w:right w:w="60" w:type="dxa"/>
            </w:tcMar>
            <w:shd w:fill="EDEDED"/>
          </w:tcPr>
          <w:p>
            <w:pPr>
              <w:keepNext/>
              <w:spacing w:line="240" w:lineRule="auto" w:before="80" w:after="80"/>
            </w:pPr>
            <w:r>
              <w:rPr>
                <w:b/>
                <w:sz w:val="20"/>
              </w:rPr>
              <w:t>Sample</w:t>
            </w:r>
          </w:p>
        </w:tc>
        <w:tc>
          <w:tcPr>
            <w:tcW w:type="dxa" w:w="720"/>
            <w:tcMar>
              <w:top w:w="60" w:type="dxa"/>
              <w:bottom w:w="60" w:type="dxa"/>
              <w:left w:w="60" w:type="dxa"/>
              <w:right w:w="60" w:type="dxa"/>
            </w:tcMar>
            <w:shd w:fill="EDEDED"/>
          </w:tcPr>
          <w:p>
            <w:pPr>
              <w:keepNext/>
              <w:spacing w:line="240" w:lineRule="auto" w:before="80" w:after="80"/>
            </w:pPr>
            <w:r>
              <w:rPr>
                <w:b/>
                <w:sz w:val="20"/>
              </w:rPr>
              <w:t>N</w:t>
            </w:r>
          </w:p>
        </w:tc>
        <w:tc>
          <w:tcPr>
            <w:tcW w:type="dxa" w:w="1728"/>
            <w:tcMar>
              <w:top w:w="60" w:type="dxa"/>
              <w:bottom w:w="60" w:type="dxa"/>
              <w:left w:w="60" w:type="dxa"/>
              <w:right w:w="60" w:type="dxa"/>
            </w:tcMar>
            <w:shd w:fill="EDEDED"/>
          </w:tcPr>
          <w:p>
            <w:pPr>
              <w:keepNext/>
              <w:spacing w:line="240" w:lineRule="auto" w:before="80" w:after="80"/>
            </w:pPr>
            <w:r>
              <w:rPr>
                <w:b/>
                <w:sz w:val="20"/>
              </w:rPr>
              <w:t>Slope</w:t>
            </w:r>
          </w:p>
        </w:tc>
        <w:tc>
          <w:tcPr>
            <w:tcW w:type="dxa" w:w="3600"/>
            <w:tcMar>
              <w:top w:w="60" w:type="dxa"/>
              <w:bottom w:w="60" w:type="dxa"/>
              <w:left w:w="60" w:type="dxa"/>
              <w:right w:w="60" w:type="dxa"/>
            </w:tcMar>
            <w:shd w:fill="EDEDED"/>
          </w:tcPr>
          <w:p>
            <w:pPr>
              <w:keepNext/>
              <w:spacing w:line="240" w:lineRule="auto" w:before="80" w:after="80"/>
            </w:pPr>
            <w:r>
              <w:rPr>
                <w:b/>
                <w:sz w:val="20"/>
              </w:rPr>
              <w:t>95% HC3 interval</w:t>
            </w:r>
          </w:p>
        </w:tc>
      </w:tr>
      <w:tr>
        <w:trPr>
          <w:cantSplit/>
        </w:trPr>
        <w:tc>
          <w:tcPr>
            <w:tcW w:type="dxa" w:w="3312"/>
            <w:tcMar>
              <w:top w:w="60" w:type="dxa"/>
              <w:bottom w:w="60" w:type="dxa"/>
              <w:left w:w="60" w:type="dxa"/>
              <w:right w:w="60" w:type="dxa"/>
            </w:tcMar>
          </w:tcPr>
          <w:p>
            <w:pPr>
              <w:keepNext w:val="0"/>
              <w:spacing w:line="240" w:lineRule="auto" w:before="80" w:after="80"/>
            </w:pPr>
            <w:r>
              <w:rPr>
                <w:b w:val="0"/>
                <w:sz w:val="20"/>
              </w:rPr>
              <w:t>All</w:t>
            </w:r>
          </w:p>
        </w:tc>
        <w:tc>
          <w:tcPr>
            <w:tcW w:type="dxa" w:w="720"/>
            <w:tcMar>
              <w:top w:w="60" w:type="dxa"/>
              <w:bottom w:w="60" w:type="dxa"/>
              <w:left w:w="60" w:type="dxa"/>
              <w:right w:w="60" w:type="dxa"/>
            </w:tcMar>
          </w:tcPr>
          <w:p>
            <w:pPr>
              <w:keepNext w:val="0"/>
              <w:spacing w:line="240" w:lineRule="auto" w:before="80" w:after="80"/>
            </w:pPr>
            <w:r>
              <w:rPr>
                <w:b w:val="0"/>
                <w:sz w:val="20"/>
              </w:rPr>
              <w:t>20</w:t>
            </w:r>
          </w:p>
        </w:tc>
        <w:tc>
          <w:tcPr>
            <w:tcW w:type="dxa" w:w="1728"/>
            <w:tcMar>
              <w:top w:w="60" w:type="dxa"/>
              <w:bottom w:w="60" w:type="dxa"/>
              <w:left w:w="60" w:type="dxa"/>
              <w:right w:w="60" w:type="dxa"/>
            </w:tcMar>
          </w:tcPr>
          <w:p>
            <w:pPr>
              <w:keepNext w:val="0"/>
              <w:spacing w:line="240" w:lineRule="auto" w:before="80" w:after="80"/>
            </w:pPr>
            <w:r>
              <w:rPr>
                <w:b w:val="0"/>
                <w:sz w:val="20"/>
              </w:rPr>
              <w:t>-1.231092</w:t>
            </w:r>
          </w:p>
        </w:tc>
        <w:tc>
          <w:tcPr>
            <w:tcW w:type="dxa" w:w="3600"/>
            <w:tcMar>
              <w:top w:w="60" w:type="dxa"/>
              <w:bottom w:w="60" w:type="dxa"/>
              <w:left w:w="60" w:type="dxa"/>
              <w:right w:w="60" w:type="dxa"/>
            </w:tcMar>
          </w:tcPr>
          <w:p>
            <w:pPr>
              <w:keepNext w:val="0"/>
              <w:spacing w:line="240" w:lineRule="auto" w:before="80" w:after="80"/>
            </w:pPr>
            <w:r>
              <w:rPr>
                <w:b w:val="0"/>
                <w:sz w:val="20"/>
              </w:rPr>
              <w:t>[-2.793759, 0.331575]</w:t>
            </w:r>
          </w:p>
        </w:tc>
      </w:tr>
      <w:tr>
        <w:trPr>
          <w:cantSplit/>
        </w:trPr>
        <w:tc>
          <w:tcPr>
            <w:tcW w:type="dxa" w:w="3312"/>
            <w:tcMar>
              <w:top w:w="60" w:type="dxa"/>
              <w:bottom w:w="60" w:type="dxa"/>
              <w:left w:w="60" w:type="dxa"/>
              <w:right w:w="60" w:type="dxa"/>
            </w:tcMar>
          </w:tcPr>
          <w:p>
            <w:pPr>
              <w:keepNext w:val="0"/>
              <w:spacing w:line="240" w:lineRule="auto" w:before="80" w:after="80"/>
            </w:pPr>
            <w:r>
              <w:rPr>
                <w:b w:val="0"/>
                <w:sz w:val="20"/>
              </w:rPr>
              <w:t>Omit Estill</w:t>
            </w:r>
          </w:p>
        </w:tc>
        <w:tc>
          <w:tcPr>
            <w:tcW w:type="dxa" w:w="720"/>
            <w:tcMar>
              <w:top w:w="60" w:type="dxa"/>
              <w:bottom w:w="60" w:type="dxa"/>
              <w:left w:w="60" w:type="dxa"/>
              <w:right w:w="60" w:type="dxa"/>
            </w:tcMar>
          </w:tcPr>
          <w:p>
            <w:pPr>
              <w:keepNext w:val="0"/>
              <w:spacing w:line="240" w:lineRule="auto" w:before="80" w:after="80"/>
            </w:pPr>
            <w:r>
              <w:rPr>
                <w:b w:val="0"/>
                <w:sz w:val="20"/>
              </w:rPr>
              <w:t>19</w:t>
            </w:r>
          </w:p>
        </w:tc>
        <w:tc>
          <w:tcPr>
            <w:tcW w:type="dxa" w:w="1728"/>
            <w:tcMar>
              <w:top w:w="60" w:type="dxa"/>
              <w:bottom w:w="60" w:type="dxa"/>
              <w:left w:w="60" w:type="dxa"/>
              <w:right w:w="60" w:type="dxa"/>
            </w:tcMar>
          </w:tcPr>
          <w:p>
            <w:pPr>
              <w:keepNext w:val="0"/>
              <w:spacing w:line="240" w:lineRule="auto" w:before="80" w:after="80"/>
            </w:pPr>
            <w:r>
              <w:rPr>
                <w:b w:val="0"/>
                <w:sz w:val="20"/>
              </w:rPr>
              <w:t>-1.196907</w:t>
            </w:r>
          </w:p>
        </w:tc>
        <w:tc>
          <w:tcPr>
            <w:tcW w:type="dxa" w:w="3600"/>
            <w:tcMar>
              <w:top w:w="60" w:type="dxa"/>
              <w:bottom w:w="60" w:type="dxa"/>
              <w:left w:w="60" w:type="dxa"/>
              <w:right w:w="60" w:type="dxa"/>
            </w:tcMar>
          </w:tcPr>
          <w:p>
            <w:pPr>
              <w:keepNext w:val="0"/>
              <w:spacing w:line="240" w:lineRule="auto" w:before="80" w:after="80"/>
            </w:pPr>
            <w:r>
              <w:rPr>
                <w:b w:val="0"/>
                <w:sz w:val="20"/>
              </w:rPr>
              <w:t>[-2.791146, 0.397332]</w:t>
            </w:r>
          </w:p>
        </w:tc>
      </w:tr>
      <w:tr>
        <w:trPr>
          <w:cantSplit/>
        </w:trPr>
        <w:tc>
          <w:tcPr>
            <w:tcW w:type="dxa" w:w="3312"/>
            <w:tcMar>
              <w:top w:w="60" w:type="dxa"/>
              <w:bottom w:w="60" w:type="dxa"/>
              <w:left w:w="60" w:type="dxa"/>
              <w:right w:w="60" w:type="dxa"/>
            </w:tcMar>
          </w:tcPr>
          <w:p>
            <w:pPr>
              <w:keepNext w:val="0"/>
              <w:spacing w:line="240" w:lineRule="auto" w:before="80" w:after="80"/>
            </w:pPr>
            <w:r>
              <w:rPr>
                <w:b w:val="0"/>
                <w:sz w:val="20"/>
              </w:rPr>
              <w:t>Omit Powell</w:t>
            </w:r>
          </w:p>
        </w:tc>
        <w:tc>
          <w:tcPr>
            <w:tcW w:type="dxa" w:w="720"/>
            <w:tcMar>
              <w:top w:w="60" w:type="dxa"/>
              <w:bottom w:w="60" w:type="dxa"/>
              <w:left w:w="60" w:type="dxa"/>
              <w:right w:w="60" w:type="dxa"/>
            </w:tcMar>
          </w:tcPr>
          <w:p>
            <w:pPr>
              <w:keepNext w:val="0"/>
              <w:spacing w:line="240" w:lineRule="auto" w:before="80" w:after="80"/>
            </w:pPr>
            <w:r>
              <w:rPr>
                <w:b w:val="0"/>
                <w:sz w:val="20"/>
              </w:rPr>
              <w:t>19</w:t>
            </w:r>
          </w:p>
        </w:tc>
        <w:tc>
          <w:tcPr>
            <w:tcW w:type="dxa" w:w="1728"/>
            <w:tcMar>
              <w:top w:w="60" w:type="dxa"/>
              <w:bottom w:w="60" w:type="dxa"/>
              <w:left w:w="60" w:type="dxa"/>
              <w:right w:w="60" w:type="dxa"/>
            </w:tcMar>
          </w:tcPr>
          <w:p>
            <w:pPr>
              <w:keepNext w:val="0"/>
              <w:spacing w:line="240" w:lineRule="auto" w:before="80" w:after="80"/>
            </w:pPr>
            <w:r>
              <w:rPr>
                <w:b w:val="0"/>
                <w:sz w:val="20"/>
              </w:rPr>
              <w:t>-1.633053</w:t>
            </w:r>
          </w:p>
        </w:tc>
        <w:tc>
          <w:tcPr>
            <w:tcW w:type="dxa" w:w="3600"/>
            <w:tcMar>
              <w:top w:w="60" w:type="dxa"/>
              <w:bottom w:w="60" w:type="dxa"/>
              <w:left w:w="60" w:type="dxa"/>
              <w:right w:w="60" w:type="dxa"/>
            </w:tcMar>
          </w:tcPr>
          <w:p>
            <w:pPr>
              <w:keepNext w:val="0"/>
              <w:spacing w:line="240" w:lineRule="auto" w:before="80" w:after="80"/>
            </w:pPr>
            <w:r>
              <w:rPr>
                <w:b w:val="0"/>
                <w:sz w:val="20"/>
              </w:rPr>
              <w:t>[-3.139395, -0.126712]</w:t>
            </w:r>
          </w:p>
        </w:tc>
      </w:tr>
      <w:tr>
        <w:trPr>
          <w:cantSplit/>
        </w:trPr>
        <w:tc>
          <w:tcPr>
            <w:tcW w:type="dxa" w:w="3312"/>
            <w:tcMar>
              <w:top w:w="60" w:type="dxa"/>
              <w:bottom w:w="60" w:type="dxa"/>
              <w:left w:w="60" w:type="dxa"/>
              <w:right w:w="60" w:type="dxa"/>
            </w:tcMar>
          </w:tcPr>
          <w:p>
            <w:pPr>
              <w:keepNext w:val="0"/>
              <w:spacing w:line="240" w:lineRule="auto" w:before="80" w:after="80"/>
            </w:pPr>
            <w:r>
              <w:rPr>
                <w:b w:val="0"/>
                <w:sz w:val="20"/>
              </w:rPr>
              <w:t>Omit both</w:t>
            </w:r>
          </w:p>
        </w:tc>
        <w:tc>
          <w:tcPr>
            <w:tcW w:type="dxa" w:w="720"/>
            <w:tcMar>
              <w:top w:w="60" w:type="dxa"/>
              <w:bottom w:w="60" w:type="dxa"/>
              <w:left w:w="60" w:type="dxa"/>
              <w:right w:w="60" w:type="dxa"/>
            </w:tcMar>
          </w:tcPr>
          <w:p>
            <w:pPr>
              <w:keepNext w:val="0"/>
              <w:spacing w:line="240" w:lineRule="auto" w:before="80" w:after="80"/>
            </w:pPr>
            <w:r>
              <w:rPr>
                <w:b w:val="0"/>
                <w:sz w:val="20"/>
              </w:rPr>
              <w:t>18</w:t>
            </w:r>
          </w:p>
        </w:tc>
        <w:tc>
          <w:tcPr>
            <w:tcW w:type="dxa" w:w="1728"/>
            <w:tcMar>
              <w:top w:w="60" w:type="dxa"/>
              <w:bottom w:w="60" w:type="dxa"/>
              <w:left w:w="60" w:type="dxa"/>
              <w:right w:w="60" w:type="dxa"/>
            </w:tcMar>
          </w:tcPr>
          <w:p>
            <w:pPr>
              <w:keepNext w:val="0"/>
              <w:spacing w:line="240" w:lineRule="auto" w:before="80" w:after="80"/>
            </w:pPr>
            <w:r>
              <w:rPr>
                <w:b w:val="0"/>
                <w:sz w:val="20"/>
              </w:rPr>
              <w:t>-1.600812</w:t>
            </w:r>
          </w:p>
        </w:tc>
        <w:tc>
          <w:tcPr>
            <w:tcW w:type="dxa" w:w="3600"/>
            <w:tcMar>
              <w:top w:w="60" w:type="dxa"/>
              <w:bottom w:w="60" w:type="dxa"/>
              <w:left w:w="60" w:type="dxa"/>
              <w:right w:w="60" w:type="dxa"/>
            </w:tcMar>
          </w:tcPr>
          <w:p>
            <w:pPr>
              <w:keepNext w:val="0"/>
              <w:spacing w:line="240" w:lineRule="auto" w:before="80" w:after="80"/>
            </w:pPr>
            <w:r>
              <w:rPr>
                <w:b w:val="0"/>
                <w:sz w:val="20"/>
              </w:rPr>
              <w:t>[-3.139345, -0.062278]</w:t>
            </w:r>
          </w:p>
        </w:tc>
      </w:tr>
    </w:tbl>
    <w:p>
      <w:pPr>
        <w:spacing w:after="40"/>
      </w:pPr>
    </w:p>
    <w:p>
      <w:r>
        <w:t>Omitting Powell, alone or with Estill, produces an interval below zero, but source evidence supports their designated benchmarks. These exploratory omissions are not eligibility tests. Leave-one-out slopes run from −1.633053 (omit Powell) to −0.885785 (omit Cumberland Falls Highway); Hyden has the largest Cook's distance, and its omission gives −0.921579. The incomplete supplier audit identifies South Anderson→North Mercer and Knott→Letcher, not a complete dependence network. HC3 does not account for supplier or regional dependence.</w:t>
      </w:r>
    </w:p>
    <w:p>
      <w:pPr>
        <w:keepNext/>
      </w:pPr>
      <w:r>
        <w:rPr>
          <w:b/>
        </w:rPr>
        <w:t>Table S4. Retained current specifications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504"/>
        <w:gridCol w:w="1800"/>
        <w:gridCol w:w="3456"/>
      </w:tblGrid>
      <w:tr>
        <w:trPr>
          <w:cantSplit/>
          <w:tblHeader/>
        </w:trPr>
        <w:tc>
          <w:tcPr>
            <w:tcW w:type="dxa" w:w="3600"/>
            <w:tcMar>
              <w:top w:w="30" w:type="dxa"/>
              <w:bottom w:w="30" w:type="dxa"/>
              <w:left w:w="30" w:type="dxa"/>
              <w:right w:w="30" w:type="dxa"/>
            </w:tcMar>
            <w:shd w:fill="EDEDED"/>
          </w:tcPr>
          <w:p>
            <w:pPr>
              <w:keepNext/>
              <w:spacing w:line="240" w:lineRule="auto" w:before="60" w:after="60"/>
            </w:pPr>
            <w:r>
              <w:rPr>
                <w:b/>
                <w:sz w:val="20"/>
              </w:rPr>
              <w:t>Specification</w:t>
            </w:r>
          </w:p>
        </w:tc>
        <w:tc>
          <w:tcPr>
            <w:tcW w:type="dxa" w:w="504"/>
            <w:tcMar>
              <w:top w:w="30" w:type="dxa"/>
              <w:bottom w:w="30" w:type="dxa"/>
              <w:left w:w="30" w:type="dxa"/>
              <w:right w:w="30" w:type="dxa"/>
            </w:tcMar>
            <w:shd w:fill="EDEDED"/>
          </w:tcPr>
          <w:p>
            <w:pPr>
              <w:keepNext/>
              <w:spacing w:line="240" w:lineRule="auto" w:before="60" w:after="60"/>
            </w:pPr>
            <w:r>
              <w:rPr>
                <w:b/>
                <w:sz w:val="20"/>
              </w:rPr>
              <w:t>N</w:t>
            </w:r>
          </w:p>
        </w:tc>
        <w:tc>
          <w:tcPr>
            <w:tcW w:type="dxa" w:w="1800"/>
            <w:tcMar>
              <w:top w:w="30" w:type="dxa"/>
              <w:bottom w:w="30" w:type="dxa"/>
              <w:left w:w="30" w:type="dxa"/>
              <w:right w:w="30" w:type="dxa"/>
            </w:tcMar>
            <w:shd w:fill="EDEDED"/>
          </w:tcPr>
          <w:p>
            <w:pPr>
              <w:keepNext/>
              <w:spacing w:line="240" w:lineRule="auto" w:before="60" w:after="60"/>
            </w:pPr>
            <w:r>
              <w:rPr>
                <w:b/>
                <w:sz w:val="20"/>
              </w:rPr>
              <w:t>Slope</w:t>
            </w:r>
          </w:p>
        </w:tc>
        <w:tc>
          <w:tcPr>
            <w:tcW w:type="dxa" w:w="3456"/>
            <w:tcMar>
              <w:top w:w="30" w:type="dxa"/>
              <w:bottom w:w="30" w:type="dxa"/>
              <w:left w:w="30" w:type="dxa"/>
              <w:right w:w="30" w:type="dxa"/>
            </w:tcMar>
            <w:shd w:fill="EDEDED"/>
          </w:tcPr>
          <w:p>
            <w:pPr>
              <w:keepNext/>
              <w:spacing w:line="240" w:lineRule="auto" w:before="60" w:after="60"/>
            </w:pPr>
            <w:r>
              <w:rPr>
                <w:b/>
                <w:sz w:val="20"/>
              </w:rPr>
              <w:t>95% HC3 interval</w:t>
            </w:r>
          </w:p>
        </w:tc>
      </w:tr>
      <w:tr>
        <w:trPr>
          <w:cantSplit/>
        </w:trPr>
        <w:tc>
          <w:tcPr>
            <w:tcW w:type="dxa" w:w="3600"/>
            <w:tcMar>
              <w:top w:w="30" w:type="dxa"/>
              <w:bottom w:w="30" w:type="dxa"/>
              <w:left w:w="30" w:type="dxa"/>
              <w:right w:w="30" w:type="dxa"/>
            </w:tcMar>
          </w:tcPr>
          <w:p>
            <w:pPr>
              <w:keepNext w:val="0"/>
              <w:spacing w:line="240" w:lineRule="auto" w:before="60" w:after="60"/>
            </w:pPr>
            <w:r>
              <w:rPr>
                <w:b w:val="0"/>
                <w:sz w:val="20"/>
              </w:rPr>
              <w:t>Primary</w:t>
            </w:r>
          </w:p>
        </w:tc>
        <w:tc>
          <w:tcPr>
            <w:tcW w:type="dxa" w:w="504"/>
            <w:tcMar>
              <w:top w:w="30" w:type="dxa"/>
              <w:bottom w:w="30" w:type="dxa"/>
              <w:left w:w="30" w:type="dxa"/>
              <w:right w:w="30" w:type="dxa"/>
            </w:tcMar>
          </w:tcPr>
          <w:p>
            <w:pPr>
              <w:keepNext w:val="0"/>
              <w:spacing w:line="240" w:lineRule="auto" w:before="60" w:after="60"/>
            </w:pPr>
            <w:r>
              <w:rPr>
                <w:b w:val="0"/>
                <w:sz w:val="20"/>
              </w:rPr>
              <w:t>20</w:t>
            </w:r>
          </w:p>
        </w:tc>
        <w:tc>
          <w:tcPr>
            <w:tcW w:type="dxa" w:w="1800"/>
            <w:tcMar>
              <w:top w:w="30" w:type="dxa"/>
              <w:bottom w:w="30" w:type="dxa"/>
              <w:left w:w="30" w:type="dxa"/>
              <w:right w:w="30" w:type="dxa"/>
            </w:tcMar>
          </w:tcPr>
          <w:p>
            <w:pPr>
              <w:keepNext w:val="0"/>
              <w:spacing w:line="240" w:lineRule="auto" w:before="60" w:after="60"/>
            </w:pPr>
            <w:r>
              <w:rPr>
                <w:b w:val="0"/>
                <w:sz w:val="20"/>
              </w:rPr>
              <w:t>-1.231092</w:t>
            </w:r>
          </w:p>
        </w:tc>
        <w:tc>
          <w:tcPr>
            <w:tcW w:type="dxa" w:w="3456"/>
            <w:tcMar>
              <w:top w:w="30" w:type="dxa"/>
              <w:bottom w:w="30" w:type="dxa"/>
              <w:left w:w="30" w:type="dxa"/>
              <w:right w:w="30" w:type="dxa"/>
            </w:tcMar>
          </w:tcPr>
          <w:p>
            <w:pPr>
              <w:keepNext w:val="0"/>
              <w:spacing w:line="240" w:lineRule="auto" w:before="60" w:after="60"/>
            </w:pPr>
            <w:r>
              <w:rPr>
                <w:b w:val="0"/>
                <w:sz w:val="20"/>
              </w:rPr>
              <w:t>[-2.793759, 0.331575]</w:t>
            </w:r>
          </w:p>
        </w:tc>
      </w:tr>
      <w:tr>
        <w:trPr>
          <w:cantSplit/>
        </w:trPr>
        <w:tc>
          <w:tcPr>
            <w:tcW w:type="dxa" w:w="3600"/>
            <w:tcMar>
              <w:top w:w="30" w:type="dxa"/>
              <w:bottom w:w="30" w:type="dxa"/>
              <w:left w:w="30" w:type="dxa"/>
              <w:right w:w="30" w:type="dxa"/>
            </w:tcMar>
          </w:tcPr>
          <w:p>
            <w:pPr>
              <w:keepNext w:val="0"/>
              <w:spacing w:line="240" w:lineRule="auto" w:before="60" w:after="60"/>
            </w:pPr>
            <w:r>
              <w:rPr>
                <w:b w:val="0"/>
                <w:sz w:val="20"/>
              </w:rPr>
              <w:t>Unadjusted</w:t>
            </w:r>
          </w:p>
        </w:tc>
        <w:tc>
          <w:tcPr>
            <w:tcW w:type="dxa" w:w="504"/>
            <w:tcMar>
              <w:top w:w="30" w:type="dxa"/>
              <w:bottom w:w="30" w:type="dxa"/>
              <w:left w:w="30" w:type="dxa"/>
              <w:right w:w="30" w:type="dxa"/>
            </w:tcMar>
          </w:tcPr>
          <w:p>
            <w:pPr>
              <w:keepNext w:val="0"/>
              <w:spacing w:line="240" w:lineRule="auto" w:before="60" w:after="60"/>
            </w:pPr>
            <w:r>
              <w:rPr>
                <w:b w:val="0"/>
                <w:sz w:val="20"/>
              </w:rPr>
              <w:t>20</w:t>
            </w:r>
          </w:p>
        </w:tc>
        <w:tc>
          <w:tcPr>
            <w:tcW w:type="dxa" w:w="1800"/>
            <w:tcMar>
              <w:top w:w="30" w:type="dxa"/>
              <w:bottom w:w="30" w:type="dxa"/>
              <w:left w:w="30" w:type="dxa"/>
              <w:right w:w="30" w:type="dxa"/>
            </w:tcMar>
          </w:tcPr>
          <w:p>
            <w:pPr>
              <w:keepNext w:val="0"/>
              <w:spacing w:line="240" w:lineRule="auto" w:before="60" w:after="60"/>
            </w:pPr>
            <w:r>
              <w:rPr>
                <w:b w:val="0"/>
                <w:sz w:val="20"/>
              </w:rPr>
              <w:t>-1.276098</w:t>
            </w:r>
          </w:p>
        </w:tc>
        <w:tc>
          <w:tcPr>
            <w:tcW w:type="dxa" w:w="3456"/>
            <w:tcMar>
              <w:top w:w="30" w:type="dxa"/>
              <w:bottom w:w="30" w:type="dxa"/>
              <w:left w:w="30" w:type="dxa"/>
              <w:right w:w="30" w:type="dxa"/>
            </w:tcMar>
          </w:tcPr>
          <w:p>
            <w:pPr>
              <w:keepNext w:val="0"/>
              <w:spacing w:line="240" w:lineRule="auto" w:before="60" w:after="60"/>
            </w:pPr>
            <w:r>
              <w:rPr>
                <w:b w:val="0"/>
                <w:sz w:val="20"/>
              </w:rPr>
              <w:t>[-2.622746, 0.070550]</w:t>
            </w:r>
          </w:p>
        </w:tc>
      </w:tr>
      <w:tr>
        <w:trPr>
          <w:cantSplit/>
        </w:trPr>
        <w:tc>
          <w:tcPr>
            <w:tcW w:type="dxa" w:w="3600"/>
            <w:tcMar>
              <w:top w:w="30" w:type="dxa"/>
              <w:bottom w:w="30" w:type="dxa"/>
              <w:left w:w="30" w:type="dxa"/>
              <w:right w:w="30" w:type="dxa"/>
            </w:tcMar>
          </w:tcPr>
          <w:p>
            <w:pPr>
              <w:keepNext w:val="0"/>
              <w:spacing w:line="240" w:lineRule="auto" w:before="60" w:after="60"/>
            </w:pPr>
            <w:r>
              <w:rPr>
                <w:b w:val="0"/>
                <w:sz w:val="20"/>
              </w:rPr>
              <w:t>Broader supported</w:t>
            </w:r>
          </w:p>
        </w:tc>
        <w:tc>
          <w:tcPr>
            <w:tcW w:type="dxa" w:w="504"/>
            <w:tcMar>
              <w:top w:w="30" w:type="dxa"/>
              <w:bottom w:w="30" w:type="dxa"/>
              <w:left w:w="30" w:type="dxa"/>
              <w:right w:w="30" w:type="dxa"/>
            </w:tcMar>
          </w:tcPr>
          <w:p>
            <w:pPr>
              <w:keepNext w:val="0"/>
              <w:spacing w:line="240" w:lineRule="auto" w:before="60" w:after="60"/>
            </w:pPr>
            <w:r>
              <w:rPr>
                <w:b w:val="0"/>
                <w:sz w:val="20"/>
              </w:rPr>
              <w:t>27</w:t>
            </w:r>
          </w:p>
        </w:tc>
        <w:tc>
          <w:tcPr>
            <w:tcW w:type="dxa" w:w="1800"/>
            <w:tcMar>
              <w:top w:w="30" w:type="dxa"/>
              <w:bottom w:w="30" w:type="dxa"/>
              <w:left w:w="30" w:type="dxa"/>
              <w:right w:w="30" w:type="dxa"/>
            </w:tcMar>
          </w:tcPr>
          <w:p>
            <w:pPr>
              <w:keepNext w:val="0"/>
              <w:spacing w:line="240" w:lineRule="auto" w:before="60" w:after="60"/>
            </w:pPr>
            <w:r>
              <w:rPr>
                <w:b w:val="0"/>
                <w:sz w:val="20"/>
              </w:rPr>
              <w:t>-0.515251</w:t>
            </w:r>
          </w:p>
        </w:tc>
        <w:tc>
          <w:tcPr>
            <w:tcW w:type="dxa" w:w="3456"/>
            <w:tcMar>
              <w:top w:w="30" w:type="dxa"/>
              <w:bottom w:w="30" w:type="dxa"/>
              <w:left w:w="30" w:type="dxa"/>
              <w:right w:w="30" w:type="dxa"/>
            </w:tcMar>
          </w:tcPr>
          <w:p>
            <w:pPr>
              <w:keepNext w:val="0"/>
              <w:spacing w:line="240" w:lineRule="auto" w:before="60" w:after="60"/>
            </w:pPr>
            <w:r>
              <w:rPr>
                <w:b w:val="0"/>
                <w:sz w:val="20"/>
              </w:rPr>
              <w:t>[-1.250824, 0.220321]</w:t>
            </w:r>
          </w:p>
        </w:tc>
      </w:tr>
      <w:tr>
        <w:trPr>
          <w:cantSplit/>
        </w:trPr>
        <w:tc>
          <w:tcPr>
            <w:tcW w:type="dxa" w:w="3600"/>
            <w:tcMar>
              <w:top w:w="30" w:type="dxa"/>
              <w:bottom w:w="30" w:type="dxa"/>
              <w:left w:w="30" w:type="dxa"/>
              <w:right w:w="30" w:type="dxa"/>
            </w:tcMar>
          </w:tcPr>
          <w:p>
            <w:pPr>
              <w:keepNext w:val="0"/>
              <w:spacing w:line="240" w:lineRule="auto" w:before="60" w:after="60"/>
            </w:pPr>
            <w:r>
              <w:rPr>
                <w:b w:val="0"/>
                <w:sz w:val="20"/>
              </w:rPr>
              <w:t>Base only</w:t>
            </w:r>
          </w:p>
        </w:tc>
        <w:tc>
          <w:tcPr>
            <w:tcW w:type="dxa" w:w="504"/>
            <w:tcMar>
              <w:top w:w="30" w:type="dxa"/>
              <w:bottom w:w="30" w:type="dxa"/>
              <w:left w:w="30" w:type="dxa"/>
              <w:right w:w="30" w:type="dxa"/>
            </w:tcMar>
          </w:tcPr>
          <w:p>
            <w:pPr>
              <w:keepNext w:val="0"/>
              <w:spacing w:line="240" w:lineRule="auto" w:before="60" w:after="60"/>
            </w:pPr>
            <w:r>
              <w:rPr>
                <w:b w:val="0"/>
                <w:sz w:val="20"/>
              </w:rPr>
              <w:t>20</w:t>
            </w:r>
          </w:p>
        </w:tc>
        <w:tc>
          <w:tcPr>
            <w:tcW w:type="dxa" w:w="1800"/>
            <w:tcMar>
              <w:top w:w="30" w:type="dxa"/>
              <w:bottom w:w="30" w:type="dxa"/>
              <w:left w:w="30" w:type="dxa"/>
              <w:right w:w="30" w:type="dxa"/>
            </w:tcMar>
          </w:tcPr>
          <w:p>
            <w:pPr>
              <w:keepNext w:val="0"/>
              <w:spacing w:line="240" w:lineRule="auto" w:before="60" w:after="60"/>
            </w:pPr>
            <w:r>
              <w:rPr>
                <w:b w:val="0"/>
                <w:sz w:val="20"/>
              </w:rPr>
              <w:t>-1.170207</w:t>
            </w:r>
          </w:p>
        </w:tc>
        <w:tc>
          <w:tcPr>
            <w:tcW w:type="dxa" w:w="3456"/>
            <w:tcMar>
              <w:top w:w="30" w:type="dxa"/>
              <w:bottom w:w="30" w:type="dxa"/>
              <w:left w:w="30" w:type="dxa"/>
              <w:right w:w="30" w:type="dxa"/>
            </w:tcMar>
          </w:tcPr>
          <w:p>
            <w:pPr>
              <w:keepNext w:val="0"/>
              <w:spacing w:line="240" w:lineRule="auto" w:before="60" w:after="60"/>
            </w:pPr>
            <w:r>
              <w:rPr>
                <w:b w:val="0"/>
                <w:sz w:val="20"/>
              </w:rPr>
              <w:t>[-2.782348, 0.441934]</w:t>
            </w:r>
          </w:p>
        </w:tc>
      </w:tr>
      <w:tr>
        <w:trPr>
          <w:cantSplit/>
        </w:trPr>
        <w:tc>
          <w:tcPr>
            <w:tcW w:type="dxa" w:w="3600"/>
            <w:tcMar>
              <w:top w:w="30" w:type="dxa"/>
              <w:bottom w:w="30" w:type="dxa"/>
              <w:left w:w="30" w:type="dxa"/>
              <w:right w:w="30" w:type="dxa"/>
            </w:tcMar>
          </w:tcPr>
          <w:p>
            <w:pPr>
              <w:keepNext w:val="0"/>
              <w:spacing w:line="240" w:lineRule="auto" w:before="60" w:after="60"/>
            </w:pPr>
            <w:r>
              <w:rPr>
                <w:b w:val="0"/>
                <w:sz w:val="20"/>
              </w:rPr>
              <w:t>Add log initial charge</w:t>
            </w:r>
          </w:p>
        </w:tc>
        <w:tc>
          <w:tcPr>
            <w:tcW w:type="dxa" w:w="504"/>
            <w:tcMar>
              <w:top w:w="30" w:type="dxa"/>
              <w:bottom w:w="30" w:type="dxa"/>
              <w:left w:w="30" w:type="dxa"/>
              <w:right w:w="30" w:type="dxa"/>
            </w:tcMar>
          </w:tcPr>
          <w:p>
            <w:pPr>
              <w:keepNext w:val="0"/>
              <w:spacing w:line="240" w:lineRule="auto" w:before="60" w:after="60"/>
            </w:pPr>
            <w:r>
              <w:rPr>
                <w:b w:val="0"/>
                <w:sz w:val="20"/>
              </w:rPr>
              <w:t>20</w:t>
            </w:r>
          </w:p>
        </w:tc>
        <w:tc>
          <w:tcPr>
            <w:tcW w:type="dxa" w:w="1800"/>
            <w:tcMar>
              <w:top w:w="30" w:type="dxa"/>
              <w:bottom w:w="30" w:type="dxa"/>
              <w:left w:w="30" w:type="dxa"/>
              <w:right w:w="30" w:type="dxa"/>
            </w:tcMar>
          </w:tcPr>
          <w:p>
            <w:pPr>
              <w:keepNext w:val="0"/>
              <w:spacing w:line="240" w:lineRule="auto" w:before="60" w:after="60"/>
            </w:pPr>
            <w:r>
              <w:rPr>
                <w:b w:val="0"/>
                <w:sz w:val="20"/>
              </w:rPr>
              <w:t>-0.976681</w:t>
            </w:r>
          </w:p>
        </w:tc>
        <w:tc>
          <w:tcPr>
            <w:tcW w:type="dxa" w:w="3456"/>
            <w:tcMar>
              <w:top w:w="30" w:type="dxa"/>
              <w:bottom w:w="30" w:type="dxa"/>
              <w:left w:w="30" w:type="dxa"/>
              <w:right w:w="30" w:type="dxa"/>
            </w:tcMar>
          </w:tcPr>
          <w:p>
            <w:pPr>
              <w:keepNext w:val="0"/>
              <w:spacing w:line="240" w:lineRule="auto" w:before="60" w:after="60"/>
            </w:pPr>
            <w:r>
              <w:rPr>
                <w:b w:val="0"/>
                <w:sz w:val="20"/>
              </w:rPr>
              <w:t>[-2.335263, 0.381900]</w:t>
            </w:r>
          </w:p>
        </w:tc>
      </w:tr>
      <w:tr>
        <w:trPr>
          <w:cantSplit/>
        </w:trPr>
        <w:tc>
          <w:tcPr>
            <w:tcW w:type="dxa" w:w="3600"/>
            <w:tcMar>
              <w:top w:w="30" w:type="dxa"/>
              <w:bottom w:w="30" w:type="dxa"/>
              <w:left w:w="30" w:type="dxa"/>
              <w:right w:w="30" w:type="dxa"/>
            </w:tcMar>
          </w:tcPr>
          <w:p>
            <w:pPr>
              <w:keepNext w:val="0"/>
              <w:spacing w:line="240" w:lineRule="auto" w:before="60" w:after="60"/>
            </w:pPr>
            <w:r>
              <w:rPr>
                <w:b w:val="0"/>
                <w:sz w:val="20"/>
              </w:rPr>
              <w:t>Add raw initial charge</w:t>
            </w:r>
          </w:p>
        </w:tc>
        <w:tc>
          <w:tcPr>
            <w:tcW w:type="dxa" w:w="504"/>
            <w:tcMar>
              <w:top w:w="30" w:type="dxa"/>
              <w:bottom w:w="30" w:type="dxa"/>
              <w:left w:w="30" w:type="dxa"/>
              <w:right w:w="30" w:type="dxa"/>
            </w:tcMar>
          </w:tcPr>
          <w:p>
            <w:pPr>
              <w:keepNext w:val="0"/>
              <w:spacing w:line="240" w:lineRule="auto" w:before="60" w:after="60"/>
            </w:pPr>
            <w:r>
              <w:rPr>
                <w:b w:val="0"/>
                <w:sz w:val="20"/>
              </w:rPr>
              <w:t>20</w:t>
            </w:r>
          </w:p>
        </w:tc>
        <w:tc>
          <w:tcPr>
            <w:tcW w:type="dxa" w:w="1800"/>
            <w:tcMar>
              <w:top w:w="30" w:type="dxa"/>
              <w:bottom w:w="30" w:type="dxa"/>
              <w:left w:w="30" w:type="dxa"/>
              <w:right w:w="30" w:type="dxa"/>
            </w:tcMar>
          </w:tcPr>
          <w:p>
            <w:pPr>
              <w:keepNext w:val="0"/>
              <w:spacing w:line="240" w:lineRule="auto" w:before="60" w:after="60"/>
            </w:pPr>
            <w:r>
              <w:rPr>
                <w:b w:val="0"/>
                <w:sz w:val="20"/>
              </w:rPr>
              <w:t>-0.920582</w:t>
            </w:r>
          </w:p>
        </w:tc>
        <w:tc>
          <w:tcPr>
            <w:tcW w:type="dxa" w:w="3456"/>
            <w:tcMar>
              <w:top w:w="30" w:type="dxa"/>
              <w:bottom w:w="30" w:type="dxa"/>
              <w:left w:w="30" w:type="dxa"/>
              <w:right w:w="30" w:type="dxa"/>
            </w:tcMar>
          </w:tcPr>
          <w:p>
            <w:pPr>
              <w:keepNext w:val="0"/>
              <w:spacing w:line="240" w:lineRule="auto" w:before="60" w:after="60"/>
            </w:pPr>
            <w:r>
              <w:rPr>
                <w:b w:val="0"/>
                <w:sz w:val="20"/>
              </w:rPr>
              <w:t>[-2.277673, 0.436509]</w:t>
            </w:r>
          </w:p>
        </w:tc>
      </w:tr>
      <w:tr>
        <w:trPr>
          <w:cantSplit/>
        </w:trPr>
        <w:tc>
          <w:tcPr>
            <w:tcW w:type="dxa" w:w="3600"/>
            <w:tcMar>
              <w:top w:w="30" w:type="dxa"/>
              <w:bottom w:w="30" w:type="dxa"/>
              <w:left w:w="30" w:type="dxa"/>
              <w:right w:w="30" w:type="dxa"/>
            </w:tcMar>
          </w:tcPr>
          <w:p>
            <w:pPr>
              <w:keepNext w:val="0"/>
              <w:spacing w:line="240" w:lineRule="auto" w:before="60" w:after="60"/>
            </w:pPr>
            <w:r>
              <w:rPr>
                <w:b w:val="0"/>
                <w:sz w:val="20"/>
              </w:rPr>
              <w:t>Original design weights</w:t>
            </w:r>
          </w:p>
        </w:tc>
        <w:tc>
          <w:tcPr>
            <w:tcW w:type="dxa" w:w="504"/>
            <w:tcMar>
              <w:top w:w="30" w:type="dxa"/>
              <w:bottom w:w="30" w:type="dxa"/>
              <w:left w:w="30" w:type="dxa"/>
              <w:right w:w="30" w:type="dxa"/>
            </w:tcMar>
          </w:tcPr>
          <w:p>
            <w:pPr>
              <w:keepNext w:val="0"/>
              <w:spacing w:line="240" w:lineRule="auto" w:before="60" w:after="60"/>
            </w:pPr>
            <w:r>
              <w:rPr>
                <w:b w:val="0"/>
                <w:sz w:val="20"/>
              </w:rPr>
              <w:t>20</w:t>
            </w:r>
          </w:p>
        </w:tc>
        <w:tc>
          <w:tcPr>
            <w:tcW w:type="dxa" w:w="1800"/>
            <w:tcMar>
              <w:top w:w="30" w:type="dxa"/>
              <w:bottom w:w="30" w:type="dxa"/>
              <w:left w:w="30" w:type="dxa"/>
              <w:right w:w="30" w:type="dxa"/>
            </w:tcMar>
          </w:tcPr>
          <w:p>
            <w:pPr>
              <w:keepNext w:val="0"/>
              <w:spacing w:line="240" w:lineRule="auto" w:before="60" w:after="60"/>
            </w:pPr>
            <w:r>
              <w:rPr>
                <w:b w:val="0"/>
                <w:sz w:val="20"/>
              </w:rPr>
              <w:t>-1.598464</w:t>
            </w:r>
          </w:p>
        </w:tc>
        <w:tc>
          <w:tcPr>
            <w:tcW w:type="dxa" w:w="3456"/>
            <w:tcMar>
              <w:top w:w="30" w:type="dxa"/>
              <w:bottom w:w="30" w:type="dxa"/>
              <w:left w:w="30" w:type="dxa"/>
              <w:right w:w="30" w:type="dxa"/>
            </w:tcMar>
          </w:tcPr>
          <w:p>
            <w:pPr>
              <w:keepNext w:val="0"/>
              <w:spacing w:line="240" w:lineRule="auto" w:before="60" w:after="60"/>
            </w:pPr>
            <w:r>
              <w:rPr>
                <w:b w:val="0"/>
                <w:sz w:val="20"/>
              </w:rPr>
              <w:t>[-3.206145, 0.009217]</w:t>
            </w:r>
          </w:p>
        </w:tc>
      </w:tr>
      <w:tr>
        <w:trPr>
          <w:cantSplit/>
        </w:trPr>
        <w:tc>
          <w:tcPr>
            <w:tcW w:type="dxa" w:w="3600"/>
            <w:tcMar>
              <w:top w:w="30" w:type="dxa"/>
              <w:bottom w:w="30" w:type="dxa"/>
              <w:left w:w="30" w:type="dxa"/>
              <w:right w:w="30" w:type="dxa"/>
            </w:tcMar>
          </w:tcPr>
          <w:p>
            <w:pPr>
              <w:keepNext w:val="0"/>
              <w:spacing w:line="240" w:lineRule="auto" w:before="60" w:after="60"/>
            </w:pPr>
            <w:r>
              <w:rPr>
                <w:b w:val="0"/>
                <w:sz w:val="20"/>
              </w:rPr>
              <w:t>Dollar change</w:t>
            </w:r>
          </w:p>
        </w:tc>
        <w:tc>
          <w:tcPr>
            <w:tcW w:type="dxa" w:w="504"/>
            <w:tcMar>
              <w:top w:w="30" w:type="dxa"/>
              <w:bottom w:w="30" w:type="dxa"/>
              <w:left w:w="30" w:type="dxa"/>
              <w:right w:w="30" w:type="dxa"/>
            </w:tcMar>
          </w:tcPr>
          <w:p>
            <w:pPr>
              <w:keepNext w:val="0"/>
              <w:spacing w:line="240" w:lineRule="auto" w:before="60" w:after="60"/>
            </w:pPr>
            <w:r>
              <w:rPr>
                <w:b w:val="0"/>
                <w:sz w:val="20"/>
              </w:rPr>
              <w:t>20</w:t>
            </w:r>
          </w:p>
        </w:tc>
        <w:tc>
          <w:tcPr>
            <w:tcW w:type="dxa" w:w="1800"/>
            <w:tcMar>
              <w:top w:w="30" w:type="dxa"/>
              <w:bottom w:w="30" w:type="dxa"/>
              <w:left w:w="30" w:type="dxa"/>
              <w:right w:w="30" w:type="dxa"/>
            </w:tcMar>
          </w:tcPr>
          <w:p>
            <w:pPr>
              <w:keepNext w:val="0"/>
              <w:spacing w:line="240" w:lineRule="auto" w:before="60" w:after="60"/>
            </w:pPr>
            <w:r>
              <w:rPr>
                <w:b w:val="0"/>
                <w:sz w:val="20"/>
              </w:rPr>
              <w:t>-0.570730</w:t>
            </w:r>
          </w:p>
        </w:tc>
        <w:tc>
          <w:tcPr>
            <w:tcW w:type="dxa" w:w="3456"/>
            <w:tcMar>
              <w:top w:w="30" w:type="dxa"/>
              <w:bottom w:w="30" w:type="dxa"/>
              <w:left w:w="30" w:type="dxa"/>
              <w:right w:w="30" w:type="dxa"/>
            </w:tcMar>
          </w:tcPr>
          <w:p>
            <w:pPr>
              <w:keepNext w:val="0"/>
              <w:spacing w:line="240" w:lineRule="auto" w:before="60" w:after="60"/>
            </w:pPr>
            <w:r>
              <w:rPr>
                <w:b w:val="0"/>
                <w:sz w:val="20"/>
              </w:rPr>
              <w:t>[-1.255517, 0.114057]</w:t>
            </w:r>
          </w:p>
        </w:tc>
      </w:tr>
      <w:tr>
        <w:trPr>
          <w:cantSplit/>
        </w:trPr>
        <w:tc>
          <w:tcPr>
            <w:tcW w:type="dxa" w:w="3600"/>
            <w:tcMar>
              <w:top w:w="30" w:type="dxa"/>
              <w:bottom w:w="30" w:type="dxa"/>
              <w:left w:w="30" w:type="dxa"/>
              <w:right w:w="30" w:type="dxa"/>
            </w:tcMar>
          </w:tcPr>
          <w:p>
            <w:pPr>
              <w:keepNext w:val="0"/>
              <w:spacing w:line="240" w:lineRule="auto" w:before="60" w:after="60"/>
            </w:pPr>
            <w:r>
              <w:rPr>
                <w:b w:val="0"/>
                <w:sz w:val="20"/>
              </w:rPr>
              <w:t>Omit Hyden-Leslie</w:t>
            </w:r>
          </w:p>
        </w:tc>
        <w:tc>
          <w:tcPr>
            <w:tcW w:type="dxa" w:w="504"/>
            <w:tcMar>
              <w:top w:w="30" w:type="dxa"/>
              <w:bottom w:w="30" w:type="dxa"/>
              <w:left w:w="30" w:type="dxa"/>
              <w:right w:w="30" w:type="dxa"/>
            </w:tcMar>
          </w:tcPr>
          <w:p>
            <w:pPr>
              <w:keepNext w:val="0"/>
              <w:spacing w:line="240" w:lineRule="auto" w:before="60" w:after="60"/>
            </w:pPr>
            <w:r>
              <w:rPr>
                <w:b w:val="0"/>
                <w:sz w:val="20"/>
              </w:rPr>
              <w:t>19</w:t>
            </w:r>
          </w:p>
        </w:tc>
        <w:tc>
          <w:tcPr>
            <w:tcW w:type="dxa" w:w="1800"/>
            <w:tcMar>
              <w:top w:w="30" w:type="dxa"/>
              <w:bottom w:w="30" w:type="dxa"/>
              <w:left w:w="30" w:type="dxa"/>
              <w:right w:w="30" w:type="dxa"/>
            </w:tcMar>
          </w:tcPr>
          <w:p>
            <w:pPr>
              <w:keepNext w:val="0"/>
              <w:spacing w:line="240" w:lineRule="auto" w:before="60" w:after="60"/>
            </w:pPr>
            <w:r>
              <w:rPr>
                <w:b w:val="0"/>
                <w:sz w:val="20"/>
              </w:rPr>
              <w:t>-0.921579</w:t>
            </w:r>
          </w:p>
        </w:tc>
        <w:tc>
          <w:tcPr>
            <w:tcW w:type="dxa" w:w="3456"/>
            <w:tcMar>
              <w:top w:w="30" w:type="dxa"/>
              <w:bottom w:w="30" w:type="dxa"/>
              <w:left w:w="30" w:type="dxa"/>
              <w:right w:w="30" w:type="dxa"/>
            </w:tcMar>
          </w:tcPr>
          <w:p>
            <w:pPr>
              <w:keepNext w:val="0"/>
              <w:spacing w:line="240" w:lineRule="auto" w:before="60" w:after="60"/>
            </w:pPr>
            <w:r>
              <w:rPr>
                <w:b w:val="0"/>
                <w:sz w:val="20"/>
              </w:rPr>
              <w:t>[-2.262956, 0.419798]</w:t>
            </w:r>
          </w:p>
        </w:tc>
      </w:tr>
      <w:tr>
        <w:trPr>
          <w:cantSplit/>
        </w:trPr>
        <w:tc>
          <w:tcPr>
            <w:tcW w:type="dxa" w:w="3600"/>
            <w:tcMar>
              <w:top w:w="30" w:type="dxa"/>
              <w:bottom w:w="30" w:type="dxa"/>
              <w:left w:w="30" w:type="dxa"/>
              <w:right w:w="30" w:type="dxa"/>
            </w:tcMar>
          </w:tcPr>
          <w:p>
            <w:pPr>
              <w:keepNext w:val="0"/>
              <w:spacing w:line="240" w:lineRule="auto" w:before="60" w:after="60"/>
            </w:pPr>
            <w:r>
              <w:rPr>
                <w:b w:val="0"/>
                <w:sz w:val="20"/>
              </w:rPr>
              <w:t>2000 gallons</w:t>
            </w:r>
          </w:p>
        </w:tc>
        <w:tc>
          <w:tcPr>
            <w:tcW w:type="dxa" w:w="504"/>
            <w:tcMar>
              <w:top w:w="30" w:type="dxa"/>
              <w:bottom w:w="30" w:type="dxa"/>
              <w:left w:w="30" w:type="dxa"/>
              <w:right w:w="30" w:type="dxa"/>
            </w:tcMar>
          </w:tcPr>
          <w:p>
            <w:pPr>
              <w:keepNext w:val="0"/>
              <w:spacing w:line="240" w:lineRule="auto" w:before="60" w:after="60"/>
            </w:pPr>
            <w:r>
              <w:rPr>
                <w:b w:val="0"/>
                <w:sz w:val="20"/>
              </w:rPr>
              <w:t>20</w:t>
            </w:r>
          </w:p>
        </w:tc>
        <w:tc>
          <w:tcPr>
            <w:tcW w:type="dxa" w:w="1800"/>
            <w:tcMar>
              <w:top w:w="30" w:type="dxa"/>
              <w:bottom w:w="30" w:type="dxa"/>
              <w:left w:w="30" w:type="dxa"/>
              <w:right w:w="30" w:type="dxa"/>
            </w:tcMar>
          </w:tcPr>
          <w:p>
            <w:pPr>
              <w:keepNext w:val="0"/>
              <w:spacing w:line="240" w:lineRule="auto" w:before="60" w:after="60"/>
            </w:pPr>
            <w:r>
              <w:rPr>
                <w:b w:val="0"/>
                <w:sz w:val="20"/>
              </w:rPr>
              <w:t>-1.013792</w:t>
            </w:r>
          </w:p>
        </w:tc>
        <w:tc>
          <w:tcPr>
            <w:tcW w:type="dxa" w:w="3456"/>
            <w:tcMar>
              <w:top w:w="30" w:type="dxa"/>
              <w:bottom w:w="30" w:type="dxa"/>
              <w:left w:w="30" w:type="dxa"/>
              <w:right w:w="30" w:type="dxa"/>
            </w:tcMar>
          </w:tcPr>
          <w:p>
            <w:pPr>
              <w:keepNext w:val="0"/>
              <w:spacing w:line="240" w:lineRule="auto" w:before="60" w:after="60"/>
            </w:pPr>
            <w:r>
              <w:rPr>
                <w:b w:val="0"/>
                <w:sz w:val="20"/>
              </w:rPr>
              <w:t>[-2.428136, 0.400552]</w:t>
            </w:r>
          </w:p>
        </w:tc>
      </w:tr>
      <w:tr>
        <w:trPr>
          <w:cantSplit/>
        </w:trPr>
        <w:tc>
          <w:tcPr>
            <w:tcW w:type="dxa" w:w="3600"/>
            <w:tcMar>
              <w:top w:w="30" w:type="dxa"/>
              <w:bottom w:w="30" w:type="dxa"/>
              <w:left w:w="30" w:type="dxa"/>
              <w:right w:w="30" w:type="dxa"/>
            </w:tcMar>
          </w:tcPr>
          <w:p>
            <w:pPr>
              <w:keepNext w:val="0"/>
              <w:spacing w:line="240" w:lineRule="auto" w:before="60" w:after="60"/>
            </w:pPr>
            <w:r>
              <w:rPr>
                <w:b w:val="0"/>
                <w:sz w:val="20"/>
              </w:rPr>
              <w:t>6000 gallons</w:t>
            </w:r>
          </w:p>
        </w:tc>
        <w:tc>
          <w:tcPr>
            <w:tcW w:type="dxa" w:w="504"/>
            <w:tcMar>
              <w:top w:w="30" w:type="dxa"/>
              <w:bottom w:w="30" w:type="dxa"/>
              <w:left w:w="30" w:type="dxa"/>
              <w:right w:w="30" w:type="dxa"/>
            </w:tcMar>
          </w:tcPr>
          <w:p>
            <w:pPr>
              <w:keepNext w:val="0"/>
              <w:spacing w:line="240" w:lineRule="auto" w:before="60" w:after="60"/>
            </w:pPr>
            <w:r>
              <w:rPr>
                <w:b w:val="0"/>
                <w:sz w:val="20"/>
              </w:rPr>
              <w:t>20</w:t>
            </w:r>
          </w:p>
        </w:tc>
        <w:tc>
          <w:tcPr>
            <w:tcW w:type="dxa" w:w="1800"/>
            <w:tcMar>
              <w:top w:w="30" w:type="dxa"/>
              <w:bottom w:w="30" w:type="dxa"/>
              <w:left w:w="30" w:type="dxa"/>
              <w:right w:w="30" w:type="dxa"/>
            </w:tcMar>
          </w:tcPr>
          <w:p>
            <w:pPr>
              <w:keepNext w:val="0"/>
              <w:spacing w:line="240" w:lineRule="auto" w:before="60" w:after="60"/>
            </w:pPr>
            <w:r>
              <w:rPr>
                <w:b w:val="0"/>
                <w:sz w:val="20"/>
              </w:rPr>
              <w:t>-1.339816</w:t>
            </w:r>
          </w:p>
        </w:tc>
        <w:tc>
          <w:tcPr>
            <w:tcW w:type="dxa" w:w="3456"/>
            <w:tcMar>
              <w:top w:w="30" w:type="dxa"/>
              <w:bottom w:w="30" w:type="dxa"/>
              <w:left w:w="30" w:type="dxa"/>
              <w:right w:w="30" w:type="dxa"/>
            </w:tcMar>
          </w:tcPr>
          <w:p>
            <w:pPr>
              <w:keepNext w:val="0"/>
              <w:spacing w:line="240" w:lineRule="auto" w:before="60" w:after="60"/>
            </w:pPr>
            <w:r>
              <w:rPr>
                <w:b w:val="0"/>
                <w:sz w:val="20"/>
              </w:rPr>
              <w:t>[-2.994083, 0.314451]</w:t>
            </w:r>
          </w:p>
        </w:tc>
      </w:tr>
      <w:tr>
        <w:trPr>
          <w:cantSplit/>
        </w:trPr>
        <w:tc>
          <w:tcPr>
            <w:tcW w:type="dxa" w:w="3600"/>
            <w:tcMar>
              <w:top w:w="30" w:type="dxa"/>
              <w:bottom w:w="30" w:type="dxa"/>
              <w:left w:w="30" w:type="dxa"/>
              <w:right w:w="30" w:type="dxa"/>
            </w:tcMar>
          </w:tcPr>
          <w:p>
            <w:pPr>
              <w:keepNext w:val="0"/>
              <w:spacing w:line="240" w:lineRule="auto" w:before="60" w:after="60"/>
            </w:pPr>
            <w:r>
              <w:rPr>
                <w:b w:val="0"/>
                <w:sz w:val="20"/>
              </w:rPr>
              <w:t>Exclude mixed; ARC adjusted</w:t>
            </w:r>
          </w:p>
        </w:tc>
        <w:tc>
          <w:tcPr>
            <w:tcW w:type="dxa" w:w="504"/>
            <w:tcMar>
              <w:top w:w="30" w:type="dxa"/>
              <w:bottom w:w="30" w:type="dxa"/>
              <w:left w:w="30" w:type="dxa"/>
              <w:right w:w="30" w:type="dxa"/>
            </w:tcMar>
          </w:tcPr>
          <w:p>
            <w:pPr>
              <w:keepNext w:val="0"/>
              <w:spacing w:line="240" w:lineRule="auto" w:before="60" w:after="60"/>
            </w:pPr>
            <w:r>
              <w:rPr>
                <w:b w:val="0"/>
                <w:sz w:val="20"/>
              </w:rPr>
              <w:t>19</w:t>
            </w:r>
          </w:p>
        </w:tc>
        <w:tc>
          <w:tcPr>
            <w:tcW w:type="dxa" w:w="1800"/>
            <w:tcMar>
              <w:top w:w="30" w:type="dxa"/>
              <w:bottom w:w="30" w:type="dxa"/>
              <w:left w:w="30" w:type="dxa"/>
              <w:right w:w="30" w:type="dxa"/>
            </w:tcMar>
          </w:tcPr>
          <w:p>
            <w:pPr>
              <w:keepNext w:val="0"/>
              <w:spacing w:line="240" w:lineRule="auto" w:before="60" w:after="60"/>
            </w:pPr>
            <w:r>
              <w:rPr>
                <w:b w:val="0"/>
                <w:sz w:val="20"/>
              </w:rPr>
              <w:t>-1.477797</w:t>
            </w:r>
          </w:p>
        </w:tc>
        <w:tc>
          <w:tcPr>
            <w:tcW w:type="dxa" w:w="3456"/>
            <w:tcMar>
              <w:top w:w="30" w:type="dxa"/>
              <w:bottom w:w="30" w:type="dxa"/>
              <w:left w:w="30" w:type="dxa"/>
              <w:right w:w="30" w:type="dxa"/>
            </w:tcMar>
          </w:tcPr>
          <w:p>
            <w:pPr>
              <w:keepNext w:val="0"/>
              <w:spacing w:line="240" w:lineRule="auto" w:before="60" w:after="60"/>
            </w:pPr>
            <w:r>
              <w:rPr>
                <w:b w:val="0"/>
                <w:sz w:val="20"/>
              </w:rPr>
              <w:t>[-3.410690, 0.455096]</w:t>
            </w:r>
          </w:p>
        </w:tc>
      </w:tr>
      <w:tr>
        <w:trPr>
          <w:cantSplit/>
        </w:trPr>
        <w:tc>
          <w:tcPr>
            <w:tcW w:type="dxa" w:w="3600"/>
            <w:tcMar>
              <w:top w:w="30" w:type="dxa"/>
              <w:bottom w:w="30" w:type="dxa"/>
              <w:left w:w="30" w:type="dxa"/>
              <w:right w:w="30" w:type="dxa"/>
            </w:tcMar>
          </w:tcPr>
          <w:p>
            <w:pPr>
              <w:keepNext w:val="0"/>
              <w:spacing w:line="240" w:lineRule="auto" w:before="60" w:after="60"/>
            </w:pPr>
            <w:r>
              <w:rPr>
                <w:b w:val="0"/>
                <w:sz w:val="20"/>
              </w:rPr>
              <w:t>Martin conditional scenario</w:t>
            </w:r>
          </w:p>
        </w:tc>
        <w:tc>
          <w:tcPr>
            <w:tcW w:type="dxa" w:w="504"/>
            <w:tcMar>
              <w:top w:w="30" w:type="dxa"/>
              <w:bottom w:w="30" w:type="dxa"/>
              <w:left w:w="30" w:type="dxa"/>
              <w:right w:w="30" w:type="dxa"/>
            </w:tcMar>
          </w:tcPr>
          <w:p>
            <w:pPr>
              <w:keepNext w:val="0"/>
              <w:spacing w:line="240" w:lineRule="auto" w:before="60" w:after="60"/>
            </w:pPr>
            <w:r>
              <w:rPr>
                <w:b w:val="0"/>
                <w:sz w:val="20"/>
              </w:rPr>
              <w:t>21</w:t>
            </w:r>
          </w:p>
        </w:tc>
        <w:tc>
          <w:tcPr>
            <w:tcW w:type="dxa" w:w="1800"/>
            <w:tcMar>
              <w:top w:w="30" w:type="dxa"/>
              <w:bottom w:w="30" w:type="dxa"/>
              <w:left w:w="30" w:type="dxa"/>
              <w:right w:w="30" w:type="dxa"/>
            </w:tcMar>
          </w:tcPr>
          <w:p>
            <w:pPr>
              <w:keepNext w:val="0"/>
              <w:spacing w:line="240" w:lineRule="auto" w:before="60" w:after="60"/>
            </w:pPr>
            <w:r>
              <w:rPr>
                <w:b w:val="0"/>
                <w:sz w:val="20"/>
              </w:rPr>
              <w:t>-0.727159</w:t>
            </w:r>
          </w:p>
        </w:tc>
        <w:tc>
          <w:tcPr>
            <w:tcW w:type="dxa" w:w="3456"/>
            <w:tcMar>
              <w:top w:w="30" w:type="dxa"/>
              <w:bottom w:w="30" w:type="dxa"/>
              <w:left w:w="30" w:type="dxa"/>
              <w:right w:w="30" w:type="dxa"/>
            </w:tcMar>
          </w:tcPr>
          <w:p>
            <w:pPr>
              <w:keepNext w:val="0"/>
              <w:spacing w:line="240" w:lineRule="auto" w:before="60" w:after="60"/>
            </w:pPr>
            <w:r>
              <w:rPr>
                <w:b w:val="0"/>
                <w:sz w:val="20"/>
              </w:rPr>
              <w:t>[-2.210215, 0.755898]</w:t>
            </w:r>
          </w:p>
        </w:tc>
      </w:tr>
    </w:tbl>
    <w:p>
      <w:pPr>
        <w:spacing w:after="40"/>
      </w:pPr>
    </w:p>
    <w:p>
      <w:r>
        <w:t>Table S4 reports all 13 specifications, using the current data and eligibility rules. The dollar-change row has dollars as its outcome; other rows use 100 times a log charge ratio. No added regression was selected for significance. The raw-initial-charge adjustment and log-initial-charge adjustment are explicitly distinct. Original sampling weights do not repair later exclusions.</w:t>
      </w:r>
    </w:p>
    <w:p>
      <w:pPr>
        <w:pStyle w:val="Heading1"/>
      </w:pPr>
      <w:r>
        <w:t>4 Documentary counting units</w:t>
      </w:r>
    </w:p>
    <w:p>
      <w:r>
        <w:t>The ledger contains 68 schedule/authorization records, including 20 baseline anchors and 48 subsequent entries. Forty-five subsequent entries change the benchmark arithmetic and three do not. One is a superseded same-effective-date approval. Eight amendment/clarification and six recurring-charge records are coded separately: 82 logical records in total, carrying 43 distinct non-null case IDs. Twenty-four schedule rows lack a linked case ID. These are not counts of independent proceedings, implemented price changes or invoice periods. Legally operative period and distinct implemented-change totals remain unknown.</w:t>
      </w:r>
    </w:p>
    <w:p>
      <w:r>
        <w:t>All 20 base-price paths reconcile arithmetically. That cannot exclude missing intermediate reversals. Three surcharge records support a first billing month (Hyden, Mountain and reported Henderson); Western Fleming supports a reported collection start only. Powell's first invoice and Estill's complete billing spell are unavailable. The detailed count reconciliation is preserved in docs/evidence.md. Its numerical counts remain current; the one proceeding-label correction is recorded above and in results/events_v4.json.</w:t>
      </w:r>
    </w:p>
    <w:p>
      <w:pPr>
        <w:pStyle w:val="Heading1"/>
      </w:pPr>
      <w:r>
        <w:t>5 Financial definitions and source qualifications</w:t>
      </w:r>
    </w:p>
    <w:p>
      <w:pPr>
        <w:pStyle w:val="Heading2"/>
      </w:pPr>
      <w:r>
        <w:t>Financial definitions and documentary interpretation</w:t>
      </w:r>
    </w:p>
    <w:p>
      <w:r>
        <w:t>The financial definitions below support the manuscript’s interpretation of approved rates. The existing 40-endpoint tariff coding and account decisions are retained. Targeted source inspection is distinct from independent double coding of every tariff.</w:t>
      </w:r>
    </w:p>
    <w:p>
      <w:pPr>
        <w:pStyle w:val="Heading2"/>
      </w:pPr>
      <w:r>
        <w:t>Knott financial definitions</w:t>
      </w:r>
    </w:p>
    <w:p>
      <w:r>
        <w:t>Source: January 31, 2020 PSC order, case 2019-00268, preserved as sources/files/knott_order.pdf. Original order (https://psc.ky.gov/pscscf/2019%20Cases/2019-00268/20200131_PSC_ORDER.pdf). The financial table is on PDF p35, the different summary amount on p37, and the approved phases on pp38 and 41–42. The accompanying expense and debt-service discussion is on pp32–34 and p43.</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440"/>
        <w:gridCol w:w="4608"/>
      </w:tblGrid>
      <w:tr>
        <w:trPr>
          <w:cantSplit/>
          <w:tblHeader/>
        </w:trPr>
        <w:tc>
          <w:tcPr>
            <w:tcW w:type="dxa" w:w="3312"/>
            <w:tcMar>
              <w:top w:w="60" w:type="dxa"/>
              <w:bottom w:w="60" w:type="dxa"/>
              <w:left w:w="60" w:type="dxa"/>
              <w:right w:w="60" w:type="dxa"/>
            </w:tcMar>
            <w:shd w:fill="EDEDED"/>
          </w:tcPr>
          <w:p>
            <w:pPr>
              <w:keepNext/>
              <w:spacing w:line="240" w:lineRule="auto" w:before="80" w:after="80"/>
            </w:pPr>
            <w:r>
              <w:rPr>
                <w:b/>
                <w:sz w:val="20"/>
              </w:rPr>
              <w:t>Quantity</w:t>
            </w:r>
          </w:p>
        </w:tc>
        <w:tc>
          <w:tcPr>
            <w:tcW w:type="dxa" w:w="1440"/>
            <w:tcMar>
              <w:top w:w="60" w:type="dxa"/>
              <w:bottom w:w="60" w:type="dxa"/>
              <w:left w:w="60" w:type="dxa"/>
              <w:right w:w="60" w:type="dxa"/>
            </w:tcMar>
            <w:shd w:fill="EDEDED"/>
          </w:tcPr>
          <w:p>
            <w:pPr>
              <w:keepNext/>
              <w:spacing w:line="240" w:lineRule="auto" w:before="80" w:after="80"/>
            </w:pPr>
            <w:r>
              <w:rPr>
                <w:b/>
                <w:sz w:val="20"/>
              </w:rPr>
              <w:t>Amount</w:t>
            </w:r>
          </w:p>
        </w:tc>
        <w:tc>
          <w:tcPr>
            <w:tcW w:type="dxa" w:w="4608"/>
            <w:tcMar>
              <w:top w:w="60" w:type="dxa"/>
              <w:bottom w:w="60" w:type="dxa"/>
              <w:left w:w="60" w:type="dxa"/>
              <w:right w:w="60" w:type="dxa"/>
            </w:tcMar>
            <w:shd w:fill="EDEDED"/>
          </w:tcPr>
          <w:p>
            <w:pPr>
              <w:keepNext/>
              <w:spacing w:line="240" w:lineRule="auto" w:before="80" w:after="80"/>
            </w:pPr>
            <w:r>
              <w:rPr>
                <w:b/>
                <w:sz w:val="20"/>
              </w:rPr>
              <w:t>Definition and page</w:t>
            </w:r>
          </w:p>
        </w:tc>
      </w:tr>
      <w:tr>
        <w:trPr>
          <w:cantSplit/>
        </w:trPr>
        <w:tc>
          <w:tcPr>
            <w:tcW w:type="dxa" w:w="3312"/>
            <w:tcMar>
              <w:top w:w="60" w:type="dxa"/>
              <w:bottom w:w="60" w:type="dxa"/>
              <w:left w:w="60" w:type="dxa"/>
              <w:right w:w="60" w:type="dxa"/>
            </w:tcMar>
          </w:tcPr>
          <w:p>
            <w:pPr>
              <w:keepNext/>
              <w:spacing w:line="240" w:lineRule="auto" w:before="80" w:after="80"/>
            </w:pPr>
            <w:r>
              <w:rPr>
                <w:b w:val="0"/>
                <w:sz w:val="20"/>
              </w:rPr>
              <w:t>Pro-forma operating expenses</w:t>
            </w:r>
          </w:p>
        </w:tc>
        <w:tc>
          <w:tcPr>
            <w:tcW w:type="dxa" w:w="1440"/>
            <w:tcMar>
              <w:top w:w="60" w:type="dxa"/>
              <w:bottom w:w="60" w:type="dxa"/>
              <w:left w:w="60" w:type="dxa"/>
              <w:right w:w="60" w:type="dxa"/>
            </w:tcMar>
          </w:tcPr>
          <w:p>
            <w:pPr>
              <w:keepNext/>
              <w:spacing w:line="240" w:lineRule="auto" w:before="80" w:after="80"/>
            </w:pPr>
            <w:r>
              <w:rPr>
                <w:b w:val="0"/>
                <w:sz w:val="20"/>
              </w:rPr>
              <w:t>$2,908,014</w:t>
            </w:r>
          </w:p>
        </w:tc>
        <w:tc>
          <w:tcPr>
            <w:tcW w:type="dxa" w:w="4608"/>
            <w:tcMar>
              <w:top w:w="60" w:type="dxa"/>
              <w:bottom w:w="60" w:type="dxa"/>
              <w:left w:w="60" w:type="dxa"/>
              <w:right w:w="60" w:type="dxa"/>
            </w:tcMar>
          </w:tcPr>
          <w:p>
            <w:pPr>
              <w:keepNext/>
              <w:spacing w:line="240" w:lineRule="auto" w:before="80" w:after="80"/>
            </w:pPr>
            <w:r>
              <w:rPr>
                <w:b w:val="0"/>
                <w:sz w:val="20"/>
              </w:rPr>
              <w:t>Final adjusted expense amount, p35; Appendix B p43</w:t>
            </w:r>
          </w:p>
        </w:tc>
      </w:tr>
      <w:tr>
        <w:trPr>
          <w:cantSplit/>
        </w:trPr>
        <w:tc>
          <w:tcPr>
            <w:tcW w:type="dxa" w:w="3312"/>
            <w:tcMar>
              <w:top w:w="60" w:type="dxa"/>
              <w:bottom w:w="60" w:type="dxa"/>
              <w:left w:w="60" w:type="dxa"/>
              <w:right w:w="60" w:type="dxa"/>
            </w:tcMar>
          </w:tcPr>
          <w:p>
            <w:pPr>
              <w:keepNext/>
              <w:spacing w:line="240" w:lineRule="auto" w:before="80" w:after="80"/>
            </w:pPr>
            <w:r>
              <w:rPr>
                <w:b w:val="0"/>
                <w:sz w:val="20"/>
              </w:rPr>
              <w:t>Average annual principal and interest</w:t>
            </w:r>
          </w:p>
        </w:tc>
        <w:tc>
          <w:tcPr>
            <w:tcW w:type="dxa" w:w="1440"/>
            <w:tcMar>
              <w:top w:w="60" w:type="dxa"/>
              <w:bottom w:w="60" w:type="dxa"/>
              <w:left w:w="60" w:type="dxa"/>
              <w:right w:w="60" w:type="dxa"/>
            </w:tcMar>
          </w:tcPr>
          <w:p>
            <w:pPr>
              <w:keepNext/>
              <w:spacing w:line="240" w:lineRule="auto" w:before="80" w:after="80"/>
            </w:pPr>
            <w:r>
              <w:rPr>
                <w:b w:val="0"/>
                <w:sz w:val="20"/>
              </w:rPr>
              <w:t>$47,791</w:t>
            </w:r>
          </w:p>
        </w:tc>
        <w:tc>
          <w:tcPr>
            <w:tcW w:type="dxa" w:w="4608"/>
            <w:tcMar>
              <w:top w:w="60" w:type="dxa"/>
              <w:bottom w:w="60" w:type="dxa"/>
              <w:left w:w="60" w:type="dxa"/>
              <w:right w:w="60" w:type="dxa"/>
            </w:tcMar>
          </w:tcPr>
          <w:p>
            <w:pPr>
              <w:keepNext/>
              <w:spacing w:line="240" w:lineRule="auto" w:before="80" w:after="80"/>
            </w:pPr>
            <w:r>
              <w:rPr>
                <w:b w:val="0"/>
                <w:sz w:val="20"/>
              </w:rPr>
              <w:t>2020–2024 debt-service average, pp33/35</w:t>
            </w:r>
          </w:p>
        </w:tc>
      </w:tr>
      <w:tr>
        <w:trPr>
          <w:cantSplit/>
        </w:trPr>
        <w:tc>
          <w:tcPr>
            <w:tcW w:type="dxa" w:w="3312"/>
            <w:tcMar>
              <w:top w:w="60" w:type="dxa"/>
              <w:bottom w:w="60" w:type="dxa"/>
              <w:left w:w="60" w:type="dxa"/>
              <w:right w:w="60" w:type="dxa"/>
            </w:tcMar>
          </w:tcPr>
          <w:p>
            <w:pPr>
              <w:keepNext/>
              <w:spacing w:line="240" w:lineRule="auto" w:before="80" w:after="80"/>
            </w:pPr>
            <w:r>
              <w:rPr>
                <w:b w:val="0"/>
                <w:sz w:val="20"/>
              </w:rPr>
              <w:t>Additional working capital</w:t>
            </w:r>
          </w:p>
        </w:tc>
        <w:tc>
          <w:tcPr>
            <w:tcW w:type="dxa" w:w="1440"/>
            <w:tcMar>
              <w:top w:w="60" w:type="dxa"/>
              <w:bottom w:w="60" w:type="dxa"/>
              <w:left w:w="60" w:type="dxa"/>
              <w:right w:w="60" w:type="dxa"/>
            </w:tcMar>
          </w:tcPr>
          <w:p>
            <w:pPr>
              <w:keepNext/>
              <w:spacing w:line="240" w:lineRule="auto" w:before="80" w:after="80"/>
            </w:pPr>
            <w:r>
              <w:rPr>
                <w:b w:val="0"/>
                <w:sz w:val="20"/>
              </w:rPr>
              <w:t>$9,558</w:t>
            </w:r>
          </w:p>
        </w:tc>
        <w:tc>
          <w:tcPr>
            <w:tcW w:type="dxa" w:w="4608"/>
            <w:tcMar>
              <w:top w:w="60" w:type="dxa"/>
              <w:bottom w:w="60" w:type="dxa"/>
              <w:left w:w="60" w:type="dxa"/>
              <w:right w:w="60" w:type="dxa"/>
            </w:tcMar>
          </w:tcPr>
          <w:p>
            <w:pPr>
              <w:keepNext/>
              <w:spacing w:line="240" w:lineRule="auto" w:before="80" w:after="80"/>
            </w:pPr>
            <w:r>
              <w:rPr>
                <w:b w:val="0"/>
                <w:sz w:val="20"/>
              </w:rPr>
              <w:t>Added requirement, p35</w:t>
            </w:r>
          </w:p>
        </w:tc>
      </w:tr>
      <w:tr>
        <w:trPr>
          <w:cantSplit/>
        </w:trPr>
        <w:tc>
          <w:tcPr>
            <w:tcW w:type="dxa" w:w="3312"/>
            <w:tcMar>
              <w:top w:w="60" w:type="dxa"/>
              <w:bottom w:w="60" w:type="dxa"/>
              <w:left w:w="60" w:type="dxa"/>
              <w:right w:w="60" w:type="dxa"/>
            </w:tcMar>
          </w:tcPr>
          <w:p>
            <w:pPr>
              <w:keepNext/>
              <w:spacing w:line="240" w:lineRule="auto" w:before="80" w:after="80"/>
            </w:pPr>
            <w:r>
              <w:rPr>
                <w:b w:val="0"/>
                <w:sz w:val="20"/>
              </w:rPr>
              <w:t>Overall revenue requirement</w:t>
            </w:r>
          </w:p>
        </w:tc>
        <w:tc>
          <w:tcPr>
            <w:tcW w:type="dxa" w:w="1440"/>
            <w:tcMar>
              <w:top w:w="60" w:type="dxa"/>
              <w:bottom w:w="60" w:type="dxa"/>
              <w:left w:w="60" w:type="dxa"/>
              <w:right w:w="60" w:type="dxa"/>
            </w:tcMar>
          </w:tcPr>
          <w:p>
            <w:pPr>
              <w:keepNext/>
              <w:spacing w:line="240" w:lineRule="auto" w:before="80" w:after="80"/>
            </w:pPr>
            <w:r>
              <w:rPr>
                <w:b w:val="0"/>
                <w:sz w:val="20"/>
              </w:rPr>
              <w:t>$2,965,363</w:t>
            </w:r>
          </w:p>
        </w:tc>
        <w:tc>
          <w:tcPr>
            <w:tcW w:type="dxa" w:w="4608"/>
            <w:tcMar>
              <w:top w:w="60" w:type="dxa"/>
              <w:bottom w:w="60" w:type="dxa"/>
              <w:left w:w="60" w:type="dxa"/>
              <w:right w:w="60" w:type="dxa"/>
            </w:tcMar>
          </w:tcPr>
          <w:p>
            <w:pPr>
              <w:keepNext/>
              <w:spacing w:line="240" w:lineRule="auto" w:before="80" w:after="80"/>
            </w:pPr>
            <w:r>
              <w:rPr>
                <w:b w:val="0"/>
                <w:sz w:val="20"/>
              </w:rPr>
              <w:t>Sum of preceding three items, pp35/37</w:t>
            </w:r>
          </w:p>
        </w:tc>
      </w:tr>
      <w:tr>
        <w:trPr>
          <w:cantSplit/>
        </w:trPr>
        <w:tc>
          <w:tcPr>
            <w:tcW w:type="dxa" w:w="3312"/>
            <w:tcMar>
              <w:top w:w="60" w:type="dxa"/>
              <w:bottom w:w="60" w:type="dxa"/>
              <w:left w:w="60" w:type="dxa"/>
              <w:right w:w="60" w:type="dxa"/>
            </w:tcMar>
          </w:tcPr>
          <w:p>
            <w:pPr>
              <w:keepNext/>
              <w:spacing w:line="240" w:lineRule="auto" w:before="80" w:after="80"/>
            </w:pPr>
            <w:r>
              <w:rPr>
                <w:b w:val="0"/>
                <w:sz w:val="20"/>
              </w:rPr>
              <w:t>Other operating revenue</w:t>
            </w:r>
          </w:p>
        </w:tc>
        <w:tc>
          <w:tcPr>
            <w:tcW w:type="dxa" w:w="1440"/>
            <w:tcMar>
              <w:top w:w="60" w:type="dxa"/>
              <w:bottom w:w="60" w:type="dxa"/>
              <w:left w:w="60" w:type="dxa"/>
              <w:right w:w="60" w:type="dxa"/>
            </w:tcMar>
          </w:tcPr>
          <w:p>
            <w:pPr>
              <w:keepNext/>
              <w:spacing w:line="240" w:lineRule="auto" w:before="80" w:after="80"/>
            </w:pPr>
            <w:r>
              <w:rPr>
                <w:b w:val="0"/>
                <w:sz w:val="20"/>
              </w:rPr>
              <w:t>$33,930</w:t>
            </w:r>
          </w:p>
        </w:tc>
        <w:tc>
          <w:tcPr>
            <w:tcW w:type="dxa" w:w="4608"/>
            <w:tcMar>
              <w:top w:w="60" w:type="dxa"/>
              <w:bottom w:w="60" w:type="dxa"/>
              <w:left w:w="60" w:type="dxa"/>
              <w:right w:w="60" w:type="dxa"/>
            </w:tcMar>
          </w:tcPr>
          <w:p>
            <w:pPr>
              <w:keepNext/>
              <w:spacing w:line="240" w:lineRule="auto" w:before="80" w:after="80"/>
            </w:pPr>
            <w:r>
              <w:rPr>
                <w:b w:val="0"/>
                <w:sz w:val="20"/>
              </w:rPr>
              <w:t>Deduction in retail requirement calculation, p35</w:t>
            </w:r>
          </w:p>
        </w:tc>
      </w:tr>
      <w:tr>
        <w:trPr>
          <w:cantSplit/>
        </w:trPr>
        <w:tc>
          <w:tcPr>
            <w:tcW w:type="dxa" w:w="3312"/>
            <w:tcMar>
              <w:top w:w="60" w:type="dxa"/>
              <w:bottom w:w="60" w:type="dxa"/>
              <w:left w:w="60" w:type="dxa"/>
              <w:right w:w="60" w:type="dxa"/>
            </w:tcMar>
          </w:tcPr>
          <w:p>
            <w:pPr>
              <w:keepNext/>
              <w:spacing w:line="240" w:lineRule="auto" w:before="80" w:after="80"/>
            </w:pPr>
            <w:r>
              <w:rPr>
                <w:b w:val="0"/>
                <w:sz w:val="20"/>
              </w:rPr>
              <w:t>Interest income</w:t>
            </w:r>
          </w:p>
        </w:tc>
        <w:tc>
          <w:tcPr>
            <w:tcW w:type="dxa" w:w="1440"/>
            <w:tcMar>
              <w:top w:w="60" w:type="dxa"/>
              <w:bottom w:w="60" w:type="dxa"/>
              <w:left w:w="60" w:type="dxa"/>
              <w:right w:w="60" w:type="dxa"/>
            </w:tcMar>
          </w:tcPr>
          <w:p>
            <w:pPr>
              <w:keepNext/>
              <w:spacing w:line="240" w:lineRule="auto" w:before="80" w:after="80"/>
            </w:pPr>
            <w:r>
              <w:rPr>
                <w:b w:val="0"/>
                <w:sz w:val="20"/>
              </w:rPr>
              <w:t>$975</w:t>
            </w:r>
          </w:p>
        </w:tc>
        <w:tc>
          <w:tcPr>
            <w:tcW w:type="dxa" w:w="4608"/>
            <w:tcMar>
              <w:top w:w="60" w:type="dxa"/>
              <w:bottom w:w="60" w:type="dxa"/>
              <w:left w:w="60" w:type="dxa"/>
              <w:right w:w="60" w:type="dxa"/>
            </w:tcMar>
          </w:tcPr>
          <w:p>
            <w:pPr>
              <w:keepNext/>
              <w:spacing w:line="240" w:lineRule="auto" w:before="80" w:after="80"/>
            </w:pPr>
            <w:r>
              <w:rPr>
                <w:b w:val="0"/>
                <w:sz w:val="20"/>
              </w:rPr>
              <w:t>Deduction, p35</w:t>
            </w:r>
          </w:p>
        </w:tc>
      </w:tr>
      <w:tr>
        <w:trPr>
          <w:cantSplit/>
        </w:trPr>
        <w:tc>
          <w:tcPr>
            <w:tcW w:type="dxa" w:w="3312"/>
            <w:tcMar>
              <w:top w:w="60" w:type="dxa"/>
              <w:bottom w:w="60" w:type="dxa"/>
              <w:left w:w="60" w:type="dxa"/>
              <w:right w:w="60" w:type="dxa"/>
            </w:tcMar>
          </w:tcPr>
          <w:p>
            <w:pPr>
              <w:keepNext/>
              <w:spacing w:line="240" w:lineRule="auto" w:before="80" w:after="80"/>
            </w:pPr>
            <w:r>
              <w:rPr>
                <w:b w:val="0"/>
                <w:sz w:val="20"/>
              </w:rPr>
              <w:t>Nonutility income</w:t>
            </w:r>
          </w:p>
        </w:tc>
        <w:tc>
          <w:tcPr>
            <w:tcW w:type="dxa" w:w="1440"/>
            <w:tcMar>
              <w:top w:w="60" w:type="dxa"/>
              <w:bottom w:w="60" w:type="dxa"/>
              <w:left w:w="60" w:type="dxa"/>
              <w:right w:w="60" w:type="dxa"/>
            </w:tcMar>
          </w:tcPr>
          <w:p>
            <w:pPr>
              <w:keepNext/>
              <w:spacing w:line="240" w:lineRule="auto" w:before="80" w:after="80"/>
            </w:pPr>
            <w:r>
              <w:rPr>
                <w:b w:val="0"/>
                <w:sz w:val="20"/>
              </w:rPr>
              <w:t>$8,846</w:t>
            </w:r>
          </w:p>
        </w:tc>
        <w:tc>
          <w:tcPr>
            <w:tcW w:type="dxa" w:w="4608"/>
            <w:tcMar>
              <w:top w:w="60" w:type="dxa"/>
              <w:bottom w:w="60" w:type="dxa"/>
              <w:left w:w="60" w:type="dxa"/>
              <w:right w:w="60" w:type="dxa"/>
            </w:tcMar>
          </w:tcPr>
          <w:p>
            <w:pPr>
              <w:keepNext/>
              <w:spacing w:line="240" w:lineRule="auto" w:before="80" w:after="80"/>
            </w:pPr>
            <w:r>
              <w:rPr>
                <w:b w:val="0"/>
                <w:sz w:val="20"/>
              </w:rPr>
              <w:t>Deduction, p35</w:t>
            </w:r>
          </w:p>
        </w:tc>
      </w:tr>
      <w:tr>
        <w:trPr>
          <w:cantSplit/>
        </w:trPr>
        <w:tc>
          <w:tcPr>
            <w:tcW w:type="dxa" w:w="3312"/>
            <w:tcMar>
              <w:top w:w="60" w:type="dxa"/>
              <w:bottom w:w="60" w:type="dxa"/>
              <w:left w:w="60" w:type="dxa"/>
              <w:right w:w="60" w:type="dxa"/>
            </w:tcMar>
          </w:tcPr>
          <w:p>
            <w:pPr>
              <w:keepNext/>
              <w:spacing w:line="240" w:lineRule="auto" w:before="80" w:after="80"/>
            </w:pPr>
            <w:r>
              <w:rPr>
                <w:b w:val="0"/>
                <w:sz w:val="20"/>
              </w:rPr>
              <w:t>Proposed wholesale sales revenue</w:t>
            </w:r>
          </w:p>
        </w:tc>
        <w:tc>
          <w:tcPr>
            <w:tcW w:type="dxa" w:w="1440"/>
            <w:tcMar>
              <w:top w:w="60" w:type="dxa"/>
              <w:bottom w:w="60" w:type="dxa"/>
              <w:left w:w="60" w:type="dxa"/>
              <w:right w:w="60" w:type="dxa"/>
            </w:tcMar>
          </w:tcPr>
          <w:p>
            <w:pPr>
              <w:keepNext/>
              <w:spacing w:line="240" w:lineRule="auto" w:before="80" w:after="80"/>
            </w:pPr>
            <w:r>
              <w:rPr>
                <w:b w:val="0"/>
                <w:sz w:val="20"/>
              </w:rPr>
              <w:t>$1,250,850</w:t>
            </w:r>
          </w:p>
        </w:tc>
        <w:tc>
          <w:tcPr>
            <w:tcW w:type="dxa" w:w="4608"/>
            <w:tcMar>
              <w:top w:w="60" w:type="dxa"/>
              <w:bottom w:w="60" w:type="dxa"/>
              <w:left w:w="60" w:type="dxa"/>
              <w:right w:w="60" w:type="dxa"/>
            </w:tcMar>
          </w:tcPr>
          <w:p>
            <w:pPr>
              <w:keepNext/>
              <w:spacing w:line="240" w:lineRule="auto" w:before="80" w:after="80"/>
            </w:pPr>
            <w:r>
              <w:rPr>
                <w:b w:val="0"/>
                <w:sz w:val="20"/>
              </w:rPr>
              <w:t>Deduction before retail residual, p35</w:t>
            </w:r>
          </w:p>
        </w:tc>
      </w:tr>
      <w:tr>
        <w:trPr>
          <w:cantSplit/>
        </w:trPr>
        <w:tc>
          <w:tcPr>
            <w:tcW w:type="dxa" w:w="3312"/>
            <w:tcMar>
              <w:top w:w="60" w:type="dxa"/>
              <w:bottom w:w="60" w:type="dxa"/>
              <w:left w:w="60" w:type="dxa"/>
              <w:right w:w="60" w:type="dxa"/>
            </w:tcMar>
          </w:tcPr>
          <w:p>
            <w:pPr>
              <w:keepNext/>
              <w:spacing w:line="240" w:lineRule="auto" w:before="80" w:after="80"/>
            </w:pPr>
            <w:r>
              <w:rPr>
                <w:b w:val="0"/>
                <w:sz w:val="20"/>
              </w:rPr>
              <w:t>Revenue required from rates</w:t>
            </w:r>
          </w:p>
        </w:tc>
        <w:tc>
          <w:tcPr>
            <w:tcW w:type="dxa" w:w="1440"/>
            <w:tcMar>
              <w:top w:w="60" w:type="dxa"/>
              <w:bottom w:w="60" w:type="dxa"/>
              <w:left w:w="60" w:type="dxa"/>
              <w:right w:w="60" w:type="dxa"/>
            </w:tcMar>
          </w:tcPr>
          <w:p>
            <w:pPr>
              <w:keepNext/>
              <w:spacing w:line="240" w:lineRule="auto" w:before="80" w:after="80"/>
            </w:pPr>
            <w:r>
              <w:rPr>
                <w:b w:val="0"/>
                <w:sz w:val="20"/>
              </w:rPr>
              <w:t>$1,670,762</w:t>
            </w:r>
          </w:p>
        </w:tc>
        <w:tc>
          <w:tcPr>
            <w:tcW w:type="dxa" w:w="4608"/>
            <w:tcMar>
              <w:top w:w="60" w:type="dxa"/>
              <w:bottom w:w="60" w:type="dxa"/>
              <w:left w:w="60" w:type="dxa"/>
              <w:right w:w="60" w:type="dxa"/>
            </w:tcMar>
          </w:tcPr>
          <w:p>
            <w:pPr>
              <w:keepNext/>
              <w:spacing w:line="240" w:lineRule="auto" w:before="80" w:after="80"/>
            </w:pPr>
            <w:r>
              <w:rPr>
                <w:b w:val="0"/>
                <w:sz w:val="20"/>
              </w:rPr>
              <w:t>Retail residual after those deductions, p35</w:t>
            </w:r>
          </w:p>
        </w:tc>
      </w:tr>
      <w:tr>
        <w:trPr>
          <w:cantSplit/>
        </w:trPr>
        <w:tc>
          <w:tcPr>
            <w:tcW w:type="dxa" w:w="3312"/>
            <w:tcMar>
              <w:top w:w="60" w:type="dxa"/>
              <w:bottom w:w="60" w:type="dxa"/>
              <w:left w:w="60" w:type="dxa"/>
              <w:right w:w="60" w:type="dxa"/>
            </w:tcMar>
          </w:tcPr>
          <w:p>
            <w:pPr>
              <w:keepNext/>
              <w:spacing w:line="240" w:lineRule="auto" w:before="80" w:after="80"/>
            </w:pPr>
            <w:r>
              <w:rPr>
                <w:b w:val="0"/>
                <w:sz w:val="20"/>
              </w:rPr>
              <w:t>Pro-forma present-rate service revenues</w:t>
            </w:r>
          </w:p>
        </w:tc>
        <w:tc>
          <w:tcPr>
            <w:tcW w:type="dxa" w:w="1440"/>
            <w:tcMar>
              <w:top w:w="60" w:type="dxa"/>
              <w:bottom w:w="60" w:type="dxa"/>
              <w:left w:w="60" w:type="dxa"/>
              <w:right w:w="60" w:type="dxa"/>
            </w:tcMar>
          </w:tcPr>
          <w:p>
            <w:pPr>
              <w:keepNext/>
              <w:spacing w:line="240" w:lineRule="auto" w:before="80" w:after="80"/>
            </w:pPr>
            <w:r>
              <w:rPr>
                <w:b w:val="0"/>
                <w:sz w:val="20"/>
              </w:rPr>
              <w:t>$992,944</w:t>
            </w:r>
          </w:p>
        </w:tc>
        <w:tc>
          <w:tcPr>
            <w:tcW w:type="dxa" w:w="4608"/>
            <w:tcMar>
              <w:top w:w="60" w:type="dxa"/>
              <w:bottom w:w="60" w:type="dxa"/>
              <w:left w:w="60" w:type="dxa"/>
              <w:right w:w="60" w:type="dxa"/>
            </w:tcMar>
          </w:tcPr>
          <w:p>
            <w:pPr>
              <w:keepNext/>
              <w:spacing w:line="240" w:lineRule="auto" w:before="80" w:after="80"/>
            </w:pPr>
            <w:r>
              <w:rPr>
                <w:b w:val="0"/>
                <w:sz w:val="20"/>
              </w:rPr>
              <w:t>Existing retail revenue baseline, p35; retail sales label confirmed p43</w:t>
            </w:r>
          </w:p>
        </w:tc>
      </w:tr>
      <w:tr>
        <w:trPr>
          <w:cantSplit/>
        </w:trPr>
        <w:tc>
          <w:tcPr>
            <w:tcW w:type="dxa" w:w="3312"/>
            <w:tcMar>
              <w:top w:w="60" w:type="dxa"/>
              <w:bottom w:w="60" w:type="dxa"/>
              <w:left w:w="60" w:type="dxa"/>
              <w:right w:w="60" w:type="dxa"/>
            </w:tcMar>
          </w:tcPr>
          <w:p>
            <w:pPr>
              <w:keepNext/>
              <w:spacing w:line="240" w:lineRule="auto" w:before="80" w:after="80"/>
            </w:pPr>
            <w:r>
              <w:rPr>
                <w:b w:val="0"/>
                <w:sz w:val="20"/>
              </w:rPr>
              <w:t>Required retail revenue increase</w:t>
            </w:r>
          </w:p>
        </w:tc>
        <w:tc>
          <w:tcPr>
            <w:tcW w:type="dxa" w:w="1440"/>
            <w:tcMar>
              <w:top w:w="60" w:type="dxa"/>
              <w:bottom w:w="60" w:type="dxa"/>
              <w:left w:w="60" w:type="dxa"/>
              <w:right w:w="60" w:type="dxa"/>
            </w:tcMar>
          </w:tcPr>
          <w:p>
            <w:pPr>
              <w:keepNext/>
              <w:spacing w:line="240" w:lineRule="auto" w:before="80" w:after="80"/>
            </w:pPr>
            <w:r>
              <w:rPr>
                <w:b w:val="0"/>
                <w:sz w:val="20"/>
              </w:rPr>
              <w:t>$677,818</w:t>
            </w:r>
          </w:p>
        </w:tc>
        <w:tc>
          <w:tcPr>
            <w:tcW w:type="dxa" w:w="4608"/>
            <w:tcMar>
              <w:top w:w="60" w:type="dxa"/>
              <w:bottom w:w="60" w:type="dxa"/>
              <w:left w:w="60" w:type="dxa"/>
              <w:right w:w="60" w:type="dxa"/>
            </w:tcMar>
          </w:tcPr>
          <w:p>
            <w:pPr>
              <w:keepNext/>
              <w:spacing w:line="240" w:lineRule="auto" w:before="80" w:after="80"/>
            </w:pPr>
            <w:r>
              <w:rPr>
                <w:b w:val="0"/>
                <w:sz w:val="20"/>
              </w:rPr>
              <w:t>$1,670,762 − $992,944; 68.26% of retail baseline, p35</w:t>
            </w:r>
          </w:p>
        </w:tc>
      </w:tr>
      <w:tr>
        <w:trPr>
          <w:cantSplit/>
        </w:trPr>
        <w:tc>
          <w:tcPr>
            <w:tcW w:type="dxa" w:w="3312"/>
            <w:tcMar>
              <w:top w:w="60" w:type="dxa"/>
              <w:bottom w:w="60" w:type="dxa"/>
              <w:left w:w="60" w:type="dxa"/>
              <w:right w:w="60" w:type="dxa"/>
            </w:tcMar>
          </w:tcPr>
          <w:p>
            <w:pPr>
              <w:keepNext/>
              <w:spacing w:line="240" w:lineRule="auto" w:before="80" w:after="80"/>
            </w:pPr>
            <w:r>
              <w:rPr>
                <w:b w:val="0"/>
                <w:sz w:val="20"/>
              </w:rPr>
              <w:t>Summary water-service revenue increase</w:t>
            </w:r>
          </w:p>
        </w:tc>
        <w:tc>
          <w:tcPr>
            <w:tcW w:type="dxa" w:w="1440"/>
            <w:tcMar>
              <w:top w:w="60" w:type="dxa"/>
              <w:bottom w:w="60" w:type="dxa"/>
              <w:left w:w="60" w:type="dxa"/>
              <w:right w:w="60" w:type="dxa"/>
            </w:tcMar>
          </w:tcPr>
          <w:p>
            <w:pPr>
              <w:keepNext/>
              <w:spacing w:line="240" w:lineRule="auto" w:before="80" w:after="80"/>
            </w:pPr>
            <w:r>
              <w:rPr>
                <w:b w:val="0"/>
                <w:sz w:val="20"/>
              </w:rPr>
              <w:t>$646,151</w:t>
            </w:r>
          </w:p>
        </w:tc>
        <w:tc>
          <w:tcPr>
            <w:tcW w:type="dxa" w:w="4608"/>
            <w:tcMar>
              <w:top w:w="60" w:type="dxa"/>
              <w:bottom w:w="60" w:type="dxa"/>
              <w:left w:w="60" w:type="dxa"/>
              <w:right w:w="60" w:type="dxa"/>
            </w:tcMar>
          </w:tcPr>
          <w:p>
            <w:pPr>
              <w:keepNext/>
              <w:spacing w:line="240" w:lineRule="auto" w:before="80" w:after="80"/>
            </w:pPr>
            <w:r>
              <w:rPr>
                <w:b w:val="0"/>
                <w:sz w:val="20"/>
              </w:rPr>
              <w:t>Summary assertion, p37; no matching calculation shown there</w:t>
            </w:r>
          </w:p>
        </w:tc>
      </w:tr>
    </w:tbl>
    <w:p>
      <w:pPr>
        <w:spacing w:after="40"/>
      </w:pPr>
    </w:p>
    <w:p>
      <w:r>
        <w:t>The p35 table reconciles internally: 2,908,014 + 47,791 + 9,558 = 2,965,363; less 33,930 + 975 + 8,846 + 1,250,850 leaves 1,670,762; less 992,944 gives 677,818. The p37 amount is $31,667 lower. The inspected pages do not establish an exact bridge to that summary amount. Appendix B uses $1,148,640 in adjusted present wholesale revenue, while p35 deducts proposed wholesale revenue; those are different concepts, and their difference does not explain $31,667. The original staff recommendation on p3 is $698,176, also not $646,151. No claim that the summary is a typo, or that the retail and water-service figures are interchangeable, is justified here.</w:t>
      </w:r>
    </w:p>
    <w:p>
      <w:r>
        <w:t>The main paper uses the reconciled overall requirement and approved phases, and omits both competing revenue-increase amounts as numerical findings. They are preserved here with definitions. The benchmark calculations remain $29.51 → $43.24 → $49.80; pp38, 41–42 establish phase-one service on the order date and phase two on its first anniversary. The order describes a two-year phase-in to reduce rate shock (p36). Revenue requirements are regulatory pro-forma constructs; neither required revenue nor standardized price growth is observed cost growth or receipts.</w:t>
      </w:r>
    </w:p>
    <w:p>
      <w:r>
        <w:t>The current panel gives Knott accounts 3,055 → 3,170, +3.7643208%, and charge growth +68.7563538%. Hyden accounts 3,412 → 3,372, −1.1723329%, and charge growth +86.8170267%. This is a comparison of heterogeneous cases, not matched causal controls.</w:t>
      </w:r>
    </w:p>
    <w:p>
      <w:pPr>
        <w:pStyle w:val="Heading2"/>
      </w:pPr>
      <w:r>
        <w:t>Institutional setting and record classification</w:t>
      </w:r>
    </w:p>
    <w:p>
      <w:r>
        <w:t>The official PSC overview (https://psc.ky.gov/Home/About) supports jurisdiction over water districts and the distinction from municipal retail regulation. The PSC PWA FAQ (https://psc.ky.gov/Home/PurchasedWaterAdjustment) explains wholesale-cost pass-through and both upward and downward adjustments. Archived HTML, URLs, retrieval times and hashes are in sources/catalog.csv.</w:t>
      </w:r>
    </w:p>
    <w:p>
      <w:r>
        <w:t>Original orders give the study-specific detail: Corinth 2021-00425 pp1–2 describes alternative-rate review; Hardin 2022-00337 pp1–2 explains the financing-linked framework; Nebo 2024-00062 pp1–2 identifies a loan-required rate increase linked to a pump/SCADA/meter project. Laurel 2020-00079 and Western Fleming 2019-00456 p1 likewise link project/financing approvals and rates. These links do not identify a causal dollar share attributable to investment.</w:t>
      </w:r>
    </w:p>
    <w:p>
      <w:r>
        <w:t>Pendleton's October 28, 2020 order, case 2020-00158 p1, concerns amendment of its wholesale special contract with the City of Butler. V3's generic rate-review label for E057 is corrected in results/events_v4.json. The ordinary residential base is unchanged at that entry. No event is added or removed; the 68 schedule/authorization, eight amendment and six recurring-charge totals remain unchanged. The 43 distinct recorded case IDs also remain unchanged.</w:t>
      </w:r>
    </w:p>
    <w:p>
      <w:r>
        <w:t>Unclassified intermediate steps (Lyon 2024, Muhlenberg 2022, North McLean February 2021, North Mercer 2021, Sandy Hook 2022) remain unclassified at the stated level rather than acquiring an inferred cause. The full-sample companion table distinguishes components, proceedings and document-supported interpretations.</w:t>
      </w:r>
    </w:p>
    <w:p>
      <w:pPr>
        <w:pStyle w:val="Heading2"/>
      </w:pPr>
      <w:r>
        <w:t>Mountain surcharge cap</w:t>
      </w:r>
    </w:p>
    <w:p>
      <w:r>
        <w:t>The September 2, 2026 order in case 2025-00327 contains a further internal discrepancy. The narrative on PDF p38 describes the existing $1.72 surcharge as limited to 48 months or $1,365,608 assessed. Appendix B, PDF p49, instead specifies four years from January 2024 or $1,368,516 collected, in both phase schedules. The caps differ by $2,908, and the assessed/collected wording also differs. Both duration formulations support 48 months, but neither expressly reconciles the April 2024 order’s January 2024–December 2028 dates.</w:t>
      </w:r>
    </w:p>
    <w:p>
      <w:r>
        <w:t>These statements are preserved without choosing a corrected cap or inferring a cessation date. They create uncertainty about the surcharge’s cessation conditions and later billing history. They do not provide evidence that the supported December 2024 $1.72 component, or the $56.63 benchmark including it, should change. The event data continue to record the original authorization cap; neither amount is substituted for the other as a resolved cessation condition. Source: sources/files/mountain_2026_order.pdf, pp38, 49; sources/files/mountain_april_order.pdf, pp3–4.</w:t>
      </w:r>
    </w:p>
    <w:p>
      <w:pPr>
        <w:pStyle w:val="Heading1"/>
      </w:pPr>
      <w:r>
        <w:t>6 Literature and evidence boundaries</w:t>
      </w:r>
    </w:p>
    <w:p>
      <w:r>
        <w:t>The Pennsylvania predecessor is Bash, Grimshaw, Horan, Stanmyer, Warren and Patterson (2020), Addressing Financial Sustainability of Drinking Water Systems with Declining Populations: Lessons from Pennsylvania. Duke's institutional record establishes authorship and the 16-system/four-case scope: https://scholars.duke.edu/publication/1565546. Exact report full text remains unavailable through the checked publisher/repository routes; no claim is made that it lacks an equivalent regression or tariff appendix. The literature search is targeted, not exhaustive.</w:t>
      </w:r>
    </w:p>
    <w:p>
      <w:r>
        <w:t>The October 2026 review inspected the Kentucky affordability report’s methods, rate-case examples, and ratemaking appendix in full text. That report already uses fixed-consumption charges and surcharges; this paper’s addition is the 2019–2024 linkage to accounts and a common reconstruction for the primary sample. Full-text sections of Allaire and Dinar (2022), Patterson and Doyle (2021), and Patterson, Bryson, and Doyle (2023) were accessible. For Cardoso and Wichman (2022), the author-hosted February 2022 working paper’s introduction and methods were inspected alongside the published bibliographic record. It is not treated as proof of identical wording in the published article.</w:t>
      </w:r>
    </w:p>
    <w:p>
      <w:r>
        <w:t>Bash et al. (2020), Doyle et al. (2020), August et al. (2023), Mahmood and Lane (2026), and Ormsbee et al. (2026) were checked through accessible institutional, author-hosted, or publisher summaries and metadata where complete articles were unavailable. Search-index excerpts from the Pennsylvania PDF were also available, but do not constitute inspection of the complete report. sources/cited_works.csv records source-specific coverage and URLs.</w:t>
      </w:r>
    </w:p>
    <w:p>
      <w:r>
        <w:t>The 40 endpoint tariff records were previously checked against original pages; this edition reuses that coding. Machine checks verify hashes and arithmetic, not human double coding. Research preparation, coding, source review, and document revision used AI assistance. The present review does not constitute independent human double coding or completed faculty review. docs/evidence.md describes documentary limits, and docs/reproduction.md reports execution and comparison results.</w:t>
      </w:r>
    </w:p>
    <w:p>
      <w:r>
        <w:t>Mountain's refund installment and calendar-duration conflicts, Hyden's earlier phase-two first billing, and Powell's first surcharge invoice remain unresolved. These are within-period limits rather than new endpoint corrections. Seven account exclusions, category shares and physical territory continuity can affect the meaning or composition of the sample. The prior source memos distinguish those issues without imputed account reallocations or invoices.</w:t>
      </w:r>
    </w:p>
    <w:p>
      <w:pPr>
        <w:pStyle w:val="Heading1"/>
      </w:pPr>
      <w:r>
        <w:t>7 Research files and execution</w:t>
      </w:r>
    </w:p>
    <w:p>
      <w:r>
        <w:t>The analytical observations, eligibility rules, and specifications remain those of the v4 analysis. README.md identifies the files and execution commands; docs/reproduction.md gives the tested workflow and its scope. Current validation uses fixed references in data/reference/ and requires no historical directory. Sources retain their identities and qualifications. Execution from compiled inputs does not reconstruct the original collection and screening process; availability of the source files does not establish redistribution permission.</w:t>
      </w:r>
    </w:p>
    <w:p>
      <w:r>
        <w:t>The paper and supporting files are provided in this private working edition. No public release URL or DOI has been assigned. Paths in this supplement are relative to the edition directory unless stated otherwise.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