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C3722" w14:textId="77777777" w:rsidR="007261F5" w:rsidRDefault="002D6B35">
      <w:pPr>
        <w:rPr>
          <w:b/>
          <w:sz w:val="32"/>
          <w:szCs w:val="32"/>
          <w:u w:val="single"/>
        </w:rPr>
      </w:pPr>
      <w:r w:rsidRPr="002D6B35">
        <w:rPr>
          <w:b/>
          <w:sz w:val="32"/>
          <w:szCs w:val="32"/>
          <w:u w:val="single"/>
        </w:rPr>
        <w:t xml:space="preserve">Explanation of Data Structure </w:t>
      </w:r>
    </w:p>
    <w:p w14:paraId="21ABF1B0" w14:textId="77777777" w:rsidR="002D6B35" w:rsidRDefault="002D6B35">
      <w:pPr>
        <w:rPr>
          <w:b/>
          <w:sz w:val="28"/>
          <w:szCs w:val="28"/>
          <w:u w:val="single"/>
        </w:rPr>
      </w:pPr>
    </w:p>
    <w:p w14:paraId="5C63BAB6" w14:textId="77777777" w:rsidR="002D6B35" w:rsidRDefault="002D6B35">
      <w:r>
        <w:t>The data structure used to for the COMP3331 Assignment was a graph. We had 2 graphs one for all the nodes from A to Z and another one for the nodes we read in. Both these graphs were Array Lists that stored the Node as their Array value.  The graph that held the nodes from A to Z was called “</w:t>
      </w:r>
      <w:proofErr w:type="spellStart"/>
      <w:r>
        <w:t>allnodes</w:t>
      </w:r>
      <w:proofErr w:type="spellEnd"/>
      <w:r>
        <w:t xml:space="preserve">” while the graph that stored values read in from topology and workload files was called “graph”. </w:t>
      </w:r>
    </w:p>
    <w:p w14:paraId="78FEC6C8" w14:textId="77777777" w:rsidR="002D6B35" w:rsidRDefault="002D6B35"/>
    <w:p w14:paraId="611CF1B9" w14:textId="77777777" w:rsidR="002D6B35" w:rsidRDefault="002D6B35">
      <w:r>
        <w:t xml:space="preserve">When a node was read in, we looped </w:t>
      </w:r>
      <w:r w:rsidR="007B38B4">
        <w:t>through</w:t>
      </w:r>
      <w:r>
        <w:t xml:space="preserve"> the </w:t>
      </w:r>
      <w:proofErr w:type="spellStart"/>
      <w:r>
        <w:t>allnodes</w:t>
      </w:r>
      <w:proofErr w:type="spellEnd"/>
      <w:r>
        <w:t xml:space="preserve"> graph to find the node, and then we set the Source and destination node based on the value we found. The source and destination along with delay and </w:t>
      </w:r>
      <w:r w:rsidR="007B38B4">
        <w:t>capacity</w:t>
      </w:r>
      <w:r>
        <w:t xml:space="preserve"> </w:t>
      </w:r>
      <w:proofErr w:type="gramStart"/>
      <w:r>
        <w:t>values,</w:t>
      </w:r>
      <w:proofErr w:type="gramEnd"/>
      <w:r>
        <w:t xml:space="preserve"> were used to create an edge. The edge represented </w:t>
      </w:r>
      <w:r w:rsidR="007B38B4">
        <w:t xml:space="preserve">connection between the two nodes. The edge class created and stored the values between two nodes on the graph. </w:t>
      </w:r>
    </w:p>
    <w:p w14:paraId="2E7224D8" w14:textId="77777777" w:rsidR="007B38B4" w:rsidRDefault="007B38B4"/>
    <w:p w14:paraId="6BFC35C1" w14:textId="77777777" w:rsidR="007B38B4" w:rsidRDefault="007B38B4">
      <w:pPr>
        <w:rPr>
          <w:b/>
          <w:u w:val="single"/>
        </w:rPr>
      </w:pPr>
      <w:r>
        <w:rPr>
          <w:b/>
          <w:u w:val="single"/>
        </w:rPr>
        <w:t>Tabulation of Results</w:t>
      </w:r>
    </w:p>
    <w:p w14:paraId="45A70B4C" w14:textId="77777777" w:rsidR="007B38B4" w:rsidRPr="007B38B4" w:rsidRDefault="007B38B4">
      <w:r>
        <w:t xml:space="preserve">Note: A packet rate of  “1” was used in these values </w:t>
      </w:r>
    </w:p>
    <w:p w14:paraId="346948E3" w14:textId="77777777" w:rsidR="007B38B4" w:rsidRDefault="007B38B4">
      <w:pPr>
        <w:rPr>
          <w:b/>
          <w:u w:val="single"/>
        </w:rPr>
      </w:pPr>
    </w:p>
    <w:tbl>
      <w:tblPr>
        <w:tblStyle w:val="TableGrid"/>
        <w:tblW w:w="9322" w:type="dxa"/>
        <w:tblLook w:val="04A0" w:firstRow="1" w:lastRow="0" w:firstColumn="1" w:lastColumn="0" w:noHBand="0" w:noVBand="1"/>
      </w:tblPr>
      <w:tblGrid>
        <w:gridCol w:w="856"/>
        <w:gridCol w:w="815"/>
        <w:gridCol w:w="849"/>
        <w:gridCol w:w="1149"/>
        <w:gridCol w:w="1137"/>
        <w:gridCol w:w="849"/>
        <w:gridCol w:w="1074"/>
        <w:gridCol w:w="849"/>
        <w:gridCol w:w="1744"/>
      </w:tblGrid>
      <w:tr w:rsidR="00C607B4" w:rsidRPr="00C607B4" w14:paraId="0D283902" w14:textId="77777777" w:rsidTr="00C607B4">
        <w:tc>
          <w:tcPr>
            <w:tcW w:w="856" w:type="dxa"/>
          </w:tcPr>
          <w:p w14:paraId="461E03FB" w14:textId="77777777" w:rsidR="007B38B4" w:rsidRPr="00C607B4" w:rsidRDefault="007B38B4">
            <w:pPr>
              <w:rPr>
                <w:sz w:val="18"/>
                <w:szCs w:val="18"/>
              </w:rPr>
            </w:pPr>
          </w:p>
        </w:tc>
        <w:tc>
          <w:tcPr>
            <w:tcW w:w="815" w:type="dxa"/>
          </w:tcPr>
          <w:p w14:paraId="088B9405" w14:textId="77777777" w:rsidR="007B38B4" w:rsidRPr="00C607B4" w:rsidRDefault="00C607B4">
            <w:pPr>
              <w:rPr>
                <w:sz w:val="18"/>
                <w:szCs w:val="18"/>
              </w:rPr>
            </w:pPr>
            <w:r w:rsidRPr="00C607B4">
              <w:rPr>
                <w:sz w:val="18"/>
                <w:szCs w:val="18"/>
              </w:rPr>
              <w:t>Virtual Circuits</w:t>
            </w:r>
          </w:p>
        </w:tc>
        <w:tc>
          <w:tcPr>
            <w:tcW w:w="849" w:type="dxa"/>
          </w:tcPr>
          <w:p w14:paraId="6DBA4381" w14:textId="77777777" w:rsidR="007B38B4" w:rsidRPr="00C607B4" w:rsidRDefault="00C607B4">
            <w:pPr>
              <w:rPr>
                <w:sz w:val="18"/>
                <w:szCs w:val="18"/>
              </w:rPr>
            </w:pPr>
            <w:r w:rsidRPr="00C607B4">
              <w:rPr>
                <w:sz w:val="18"/>
                <w:szCs w:val="18"/>
              </w:rPr>
              <w:t>Number of packets</w:t>
            </w:r>
          </w:p>
        </w:tc>
        <w:tc>
          <w:tcPr>
            <w:tcW w:w="1149" w:type="dxa"/>
          </w:tcPr>
          <w:p w14:paraId="1DBC94D7" w14:textId="77777777" w:rsidR="007B38B4" w:rsidRPr="00C607B4" w:rsidRDefault="00C607B4">
            <w:pPr>
              <w:rPr>
                <w:sz w:val="18"/>
                <w:szCs w:val="18"/>
              </w:rPr>
            </w:pPr>
            <w:r w:rsidRPr="00C607B4">
              <w:rPr>
                <w:sz w:val="18"/>
                <w:szCs w:val="18"/>
              </w:rPr>
              <w:t>Successfully routed packets</w:t>
            </w:r>
          </w:p>
        </w:tc>
        <w:tc>
          <w:tcPr>
            <w:tcW w:w="1137" w:type="dxa"/>
          </w:tcPr>
          <w:p w14:paraId="66A6C203" w14:textId="77777777" w:rsidR="007B38B4" w:rsidRPr="00C607B4" w:rsidRDefault="00C607B4">
            <w:pPr>
              <w:rPr>
                <w:sz w:val="18"/>
                <w:szCs w:val="18"/>
              </w:rPr>
            </w:pPr>
            <w:r w:rsidRPr="00C607B4">
              <w:rPr>
                <w:sz w:val="18"/>
                <w:szCs w:val="18"/>
              </w:rPr>
              <w:t>Percentage of successfully routed packets</w:t>
            </w:r>
          </w:p>
        </w:tc>
        <w:tc>
          <w:tcPr>
            <w:tcW w:w="849" w:type="dxa"/>
          </w:tcPr>
          <w:p w14:paraId="266DD8FD" w14:textId="77777777" w:rsidR="007B38B4" w:rsidRPr="00C607B4" w:rsidRDefault="00C607B4">
            <w:pPr>
              <w:rPr>
                <w:sz w:val="18"/>
                <w:szCs w:val="18"/>
              </w:rPr>
            </w:pPr>
            <w:r w:rsidRPr="00C607B4">
              <w:rPr>
                <w:sz w:val="18"/>
                <w:szCs w:val="18"/>
              </w:rPr>
              <w:t>Number of blocked packets</w:t>
            </w:r>
          </w:p>
        </w:tc>
        <w:tc>
          <w:tcPr>
            <w:tcW w:w="1074" w:type="dxa"/>
          </w:tcPr>
          <w:p w14:paraId="5F2A2AF7" w14:textId="77777777" w:rsidR="007B38B4" w:rsidRPr="00C607B4" w:rsidRDefault="00C607B4" w:rsidP="00C607B4">
            <w:pPr>
              <w:rPr>
                <w:sz w:val="18"/>
                <w:szCs w:val="18"/>
              </w:rPr>
            </w:pPr>
            <w:r w:rsidRPr="00C607B4">
              <w:rPr>
                <w:sz w:val="18"/>
                <w:szCs w:val="18"/>
              </w:rPr>
              <w:t>Percentage of blocked packets</w:t>
            </w:r>
          </w:p>
        </w:tc>
        <w:tc>
          <w:tcPr>
            <w:tcW w:w="849" w:type="dxa"/>
          </w:tcPr>
          <w:p w14:paraId="6FBF2363" w14:textId="77777777" w:rsidR="007B38B4" w:rsidRPr="00C607B4" w:rsidRDefault="00C607B4">
            <w:pPr>
              <w:rPr>
                <w:sz w:val="18"/>
                <w:szCs w:val="18"/>
              </w:rPr>
            </w:pPr>
            <w:r w:rsidRPr="00C607B4">
              <w:rPr>
                <w:sz w:val="18"/>
                <w:szCs w:val="18"/>
              </w:rPr>
              <w:t>Number of hops</w:t>
            </w:r>
          </w:p>
        </w:tc>
        <w:tc>
          <w:tcPr>
            <w:tcW w:w="1744" w:type="dxa"/>
          </w:tcPr>
          <w:p w14:paraId="12BD8F1E" w14:textId="77777777" w:rsidR="007B38B4" w:rsidRPr="00C607B4" w:rsidRDefault="00C607B4">
            <w:pPr>
              <w:rPr>
                <w:sz w:val="18"/>
                <w:szCs w:val="18"/>
              </w:rPr>
            </w:pPr>
            <w:r w:rsidRPr="00C607B4">
              <w:rPr>
                <w:sz w:val="18"/>
                <w:szCs w:val="18"/>
              </w:rPr>
              <w:t>Propagation delay</w:t>
            </w:r>
          </w:p>
        </w:tc>
      </w:tr>
      <w:tr w:rsidR="00C607B4" w:rsidRPr="00C607B4" w14:paraId="434B5721" w14:textId="77777777" w:rsidTr="00C607B4">
        <w:tc>
          <w:tcPr>
            <w:tcW w:w="856" w:type="dxa"/>
          </w:tcPr>
          <w:p w14:paraId="5B1FC3AA" w14:textId="77777777" w:rsidR="007B38B4" w:rsidRPr="00C607B4" w:rsidRDefault="00C607B4">
            <w:pPr>
              <w:rPr>
                <w:sz w:val="18"/>
                <w:szCs w:val="18"/>
              </w:rPr>
            </w:pPr>
            <w:r w:rsidRPr="00C607B4">
              <w:rPr>
                <w:sz w:val="18"/>
                <w:szCs w:val="18"/>
              </w:rPr>
              <w:t>Circuit SHP</w:t>
            </w:r>
          </w:p>
        </w:tc>
        <w:tc>
          <w:tcPr>
            <w:tcW w:w="815" w:type="dxa"/>
          </w:tcPr>
          <w:p w14:paraId="6CA2249A" w14:textId="77777777" w:rsidR="007B38B4" w:rsidRPr="00C607B4" w:rsidRDefault="00C607B4">
            <w:pPr>
              <w:rPr>
                <w:sz w:val="18"/>
                <w:szCs w:val="18"/>
              </w:rPr>
            </w:pPr>
            <w:r w:rsidRPr="00C607B4">
              <w:rPr>
                <w:sz w:val="18"/>
                <w:szCs w:val="18"/>
              </w:rPr>
              <w:t>8377</w:t>
            </w:r>
          </w:p>
        </w:tc>
        <w:tc>
          <w:tcPr>
            <w:tcW w:w="849" w:type="dxa"/>
          </w:tcPr>
          <w:p w14:paraId="23630B9A" w14:textId="77777777" w:rsidR="007B38B4" w:rsidRPr="00C607B4" w:rsidRDefault="00C607B4">
            <w:pPr>
              <w:rPr>
                <w:sz w:val="18"/>
                <w:szCs w:val="18"/>
              </w:rPr>
            </w:pPr>
            <w:r w:rsidRPr="00C607B4">
              <w:rPr>
                <w:sz w:val="18"/>
                <w:szCs w:val="18"/>
              </w:rPr>
              <w:t>259106</w:t>
            </w:r>
          </w:p>
        </w:tc>
        <w:tc>
          <w:tcPr>
            <w:tcW w:w="1149" w:type="dxa"/>
          </w:tcPr>
          <w:p w14:paraId="29C0DCE7" w14:textId="77777777" w:rsidR="007B38B4" w:rsidRPr="00C607B4" w:rsidRDefault="00D3425B">
            <w:pPr>
              <w:rPr>
                <w:sz w:val="18"/>
                <w:szCs w:val="18"/>
              </w:rPr>
            </w:pPr>
            <w:r w:rsidRPr="00D3425B">
              <w:rPr>
                <w:sz w:val="18"/>
                <w:szCs w:val="18"/>
              </w:rPr>
              <w:t>236324</w:t>
            </w:r>
          </w:p>
        </w:tc>
        <w:tc>
          <w:tcPr>
            <w:tcW w:w="1137" w:type="dxa"/>
          </w:tcPr>
          <w:p w14:paraId="66E7481B" w14:textId="77777777" w:rsidR="007B38B4" w:rsidRPr="00C607B4" w:rsidRDefault="00D3425B">
            <w:pPr>
              <w:rPr>
                <w:sz w:val="18"/>
                <w:szCs w:val="18"/>
              </w:rPr>
            </w:pPr>
            <w:r w:rsidRPr="00D3425B">
              <w:rPr>
                <w:sz w:val="18"/>
                <w:szCs w:val="18"/>
              </w:rPr>
              <w:t>91.21</w:t>
            </w:r>
          </w:p>
        </w:tc>
        <w:tc>
          <w:tcPr>
            <w:tcW w:w="849" w:type="dxa"/>
          </w:tcPr>
          <w:p w14:paraId="51C62ADE" w14:textId="77777777" w:rsidR="007B38B4" w:rsidRPr="00C607B4" w:rsidRDefault="00D3425B">
            <w:pPr>
              <w:rPr>
                <w:sz w:val="18"/>
                <w:szCs w:val="18"/>
              </w:rPr>
            </w:pPr>
            <w:r w:rsidRPr="00D3425B">
              <w:rPr>
                <w:sz w:val="18"/>
                <w:szCs w:val="18"/>
              </w:rPr>
              <w:t>22782</w:t>
            </w:r>
          </w:p>
        </w:tc>
        <w:tc>
          <w:tcPr>
            <w:tcW w:w="1074" w:type="dxa"/>
          </w:tcPr>
          <w:p w14:paraId="3A67788A" w14:textId="77777777" w:rsidR="007B38B4" w:rsidRPr="00C607B4" w:rsidRDefault="00D3425B">
            <w:pPr>
              <w:rPr>
                <w:sz w:val="18"/>
                <w:szCs w:val="18"/>
              </w:rPr>
            </w:pPr>
            <w:r w:rsidRPr="00D3425B">
              <w:rPr>
                <w:sz w:val="18"/>
                <w:szCs w:val="18"/>
              </w:rPr>
              <w:t>8.79</w:t>
            </w:r>
          </w:p>
        </w:tc>
        <w:tc>
          <w:tcPr>
            <w:tcW w:w="849" w:type="dxa"/>
          </w:tcPr>
          <w:p w14:paraId="2E882392" w14:textId="77777777" w:rsidR="007B38B4" w:rsidRPr="00C607B4" w:rsidRDefault="00D3425B">
            <w:pPr>
              <w:rPr>
                <w:sz w:val="18"/>
                <w:szCs w:val="18"/>
              </w:rPr>
            </w:pPr>
            <w:r w:rsidRPr="00D3425B">
              <w:rPr>
                <w:sz w:val="18"/>
                <w:szCs w:val="18"/>
              </w:rPr>
              <w:t>2.66</w:t>
            </w:r>
          </w:p>
        </w:tc>
        <w:tc>
          <w:tcPr>
            <w:tcW w:w="1744" w:type="dxa"/>
          </w:tcPr>
          <w:p w14:paraId="37C95EEC" w14:textId="77777777" w:rsidR="007B38B4" w:rsidRPr="00C607B4" w:rsidRDefault="00D3425B">
            <w:pPr>
              <w:rPr>
                <w:sz w:val="18"/>
                <w:szCs w:val="18"/>
              </w:rPr>
            </w:pPr>
            <w:r w:rsidRPr="00D3425B">
              <w:rPr>
                <w:sz w:val="18"/>
                <w:szCs w:val="18"/>
              </w:rPr>
              <w:t>168.68</w:t>
            </w:r>
          </w:p>
        </w:tc>
      </w:tr>
      <w:tr w:rsidR="00C607B4" w:rsidRPr="00C607B4" w14:paraId="3E97E930" w14:textId="77777777" w:rsidTr="00C607B4">
        <w:tc>
          <w:tcPr>
            <w:tcW w:w="856" w:type="dxa"/>
          </w:tcPr>
          <w:p w14:paraId="3C5A6D32" w14:textId="77777777" w:rsidR="007B38B4" w:rsidRPr="00C607B4" w:rsidRDefault="00C607B4">
            <w:pPr>
              <w:rPr>
                <w:sz w:val="18"/>
                <w:szCs w:val="18"/>
              </w:rPr>
            </w:pPr>
            <w:r w:rsidRPr="00C607B4">
              <w:rPr>
                <w:sz w:val="18"/>
                <w:szCs w:val="18"/>
              </w:rPr>
              <w:t>Circuit SDP</w:t>
            </w:r>
          </w:p>
        </w:tc>
        <w:tc>
          <w:tcPr>
            <w:tcW w:w="815" w:type="dxa"/>
          </w:tcPr>
          <w:p w14:paraId="741BF9B1" w14:textId="77777777" w:rsidR="007B38B4" w:rsidRPr="00C607B4" w:rsidRDefault="00C607B4">
            <w:pPr>
              <w:rPr>
                <w:sz w:val="18"/>
                <w:szCs w:val="18"/>
              </w:rPr>
            </w:pPr>
            <w:r w:rsidRPr="00C607B4">
              <w:rPr>
                <w:sz w:val="18"/>
                <w:szCs w:val="18"/>
              </w:rPr>
              <w:t>8377</w:t>
            </w:r>
          </w:p>
        </w:tc>
        <w:tc>
          <w:tcPr>
            <w:tcW w:w="849" w:type="dxa"/>
          </w:tcPr>
          <w:p w14:paraId="7046F608" w14:textId="77777777" w:rsidR="007B38B4" w:rsidRPr="00C607B4" w:rsidRDefault="00C607B4">
            <w:pPr>
              <w:rPr>
                <w:sz w:val="18"/>
                <w:szCs w:val="18"/>
              </w:rPr>
            </w:pPr>
            <w:r w:rsidRPr="00C607B4">
              <w:rPr>
                <w:sz w:val="18"/>
                <w:szCs w:val="18"/>
              </w:rPr>
              <w:t>259106</w:t>
            </w:r>
          </w:p>
        </w:tc>
        <w:tc>
          <w:tcPr>
            <w:tcW w:w="1149" w:type="dxa"/>
          </w:tcPr>
          <w:p w14:paraId="6D597F20" w14:textId="77777777" w:rsidR="007B38B4" w:rsidRPr="00C607B4" w:rsidRDefault="00D3425B">
            <w:pPr>
              <w:rPr>
                <w:sz w:val="18"/>
                <w:szCs w:val="18"/>
              </w:rPr>
            </w:pPr>
            <w:r w:rsidRPr="00D3425B">
              <w:rPr>
                <w:sz w:val="18"/>
                <w:szCs w:val="18"/>
              </w:rPr>
              <w:t>239831</w:t>
            </w:r>
          </w:p>
        </w:tc>
        <w:tc>
          <w:tcPr>
            <w:tcW w:w="1137" w:type="dxa"/>
          </w:tcPr>
          <w:p w14:paraId="1D6ECFF6" w14:textId="77777777" w:rsidR="007B38B4" w:rsidRPr="00C607B4" w:rsidRDefault="00D3425B">
            <w:pPr>
              <w:rPr>
                <w:sz w:val="18"/>
                <w:szCs w:val="18"/>
              </w:rPr>
            </w:pPr>
            <w:r w:rsidRPr="00D3425B">
              <w:rPr>
                <w:sz w:val="18"/>
                <w:szCs w:val="18"/>
              </w:rPr>
              <w:t>92.56</w:t>
            </w:r>
          </w:p>
        </w:tc>
        <w:tc>
          <w:tcPr>
            <w:tcW w:w="849" w:type="dxa"/>
          </w:tcPr>
          <w:p w14:paraId="3F2CC20C" w14:textId="77777777" w:rsidR="007B38B4" w:rsidRPr="00C607B4" w:rsidRDefault="00D3425B">
            <w:pPr>
              <w:rPr>
                <w:sz w:val="18"/>
                <w:szCs w:val="18"/>
              </w:rPr>
            </w:pPr>
            <w:r w:rsidRPr="00D3425B">
              <w:rPr>
                <w:sz w:val="18"/>
                <w:szCs w:val="18"/>
              </w:rPr>
              <w:t>19275</w:t>
            </w:r>
          </w:p>
        </w:tc>
        <w:tc>
          <w:tcPr>
            <w:tcW w:w="1074" w:type="dxa"/>
          </w:tcPr>
          <w:p w14:paraId="331D0A3F" w14:textId="77777777" w:rsidR="007B38B4" w:rsidRPr="00C607B4" w:rsidRDefault="00D3425B">
            <w:pPr>
              <w:rPr>
                <w:sz w:val="18"/>
                <w:szCs w:val="18"/>
              </w:rPr>
            </w:pPr>
            <w:r>
              <w:rPr>
                <w:sz w:val="18"/>
                <w:szCs w:val="18"/>
              </w:rPr>
              <w:t>7.44</w:t>
            </w:r>
          </w:p>
        </w:tc>
        <w:tc>
          <w:tcPr>
            <w:tcW w:w="849" w:type="dxa"/>
          </w:tcPr>
          <w:p w14:paraId="7C1EDC17" w14:textId="77777777" w:rsidR="007B38B4" w:rsidRPr="00C607B4" w:rsidRDefault="00D3425B">
            <w:pPr>
              <w:rPr>
                <w:sz w:val="18"/>
                <w:szCs w:val="18"/>
              </w:rPr>
            </w:pPr>
            <w:r w:rsidRPr="00D3425B">
              <w:rPr>
                <w:sz w:val="18"/>
                <w:szCs w:val="18"/>
              </w:rPr>
              <w:t>3.35</w:t>
            </w:r>
          </w:p>
        </w:tc>
        <w:tc>
          <w:tcPr>
            <w:tcW w:w="1744" w:type="dxa"/>
          </w:tcPr>
          <w:p w14:paraId="46EE49F4" w14:textId="77777777" w:rsidR="007B38B4" w:rsidRPr="00C607B4" w:rsidRDefault="00D3425B">
            <w:pPr>
              <w:rPr>
                <w:sz w:val="18"/>
                <w:szCs w:val="18"/>
              </w:rPr>
            </w:pPr>
            <w:r w:rsidRPr="00D3425B">
              <w:rPr>
                <w:sz w:val="18"/>
                <w:szCs w:val="18"/>
              </w:rPr>
              <w:t>140.86</w:t>
            </w:r>
          </w:p>
        </w:tc>
      </w:tr>
      <w:tr w:rsidR="00C607B4" w:rsidRPr="00C607B4" w14:paraId="6011328D" w14:textId="77777777" w:rsidTr="00C607B4">
        <w:tc>
          <w:tcPr>
            <w:tcW w:w="856" w:type="dxa"/>
          </w:tcPr>
          <w:p w14:paraId="64D99E38" w14:textId="77777777" w:rsidR="007B38B4" w:rsidRPr="00C607B4" w:rsidRDefault="00C607B4">
            <w:pPr>
              <w:rPr>
                <w:sz w:val="18"/>
                <w:szCs w:val="18"/>
              </w:rPr>
            </w:pPr>
            <w:r w:rsidRPr="00C607B4">
              <w:rPr>
                <w:sz w:val="18"/>
                <w:szCs w:val="18"/>
              </w:rPr>
              <w:t xml:space="preserve">Circuit </w:t>
            </w:r>
            <w:r w:rsidRPr="00C607B4">
              <w:rPr>
                <w:sz w:val="18"/>
                <w:szCs w:val="18"/>
              </w:rPr>
              <w:br/>
              <w:t>LLP</w:t>
            </w:r>
          </w:p>
        </w:tc>
        <w:tc>
          <w:tcPr>
            <w:tcW w:w="815" w:type="dxa"/>
          </w:tcPr>
          <w:p w14:paraId="0B97A4A3" w14:textId="77777777" w:rsidR="007B38B4" w:rsidRPr="00C607B4" w:rsidRDefault="00C607B4">
            <w:pPr>
              <w:rPr>
                <w:sz w:val="18"/>
                <w:szCs w:val="18"/>
              </w:rPr>
            </w:pPr>
            <w:r w:rsidRPr="00C607B4">
              <w:rPr>
                <w:sz w:val="18"/>
                <w:szCs w:val="18"/>
              </w:rPr>
              <w:t>8377</w:t>
            </w:r>
          </w:p>
        </w:tc>
        <w:tc>
          <w:tcPr>
            <w:tcW w:w="849" w:type="dxa"/>
          </w:tcPr>
          <w:p w14:paraId="5393AFF8" w14:textId="77777777" w:rsidR="007B38B4" w:rsidRPr="00C607B4" w:rsidRDefault="00C607B4">
            <w:pPr>
              <w:rPr>
                <w:sz w:val="18"/>
                <w:szCs w:val="18"/>
              </w:rPr>
            </w:pPr>
            <w:r w:rsidRPr="00C607B4">
              <w:rPr>
                <w:sz w:val="18"/>
                <w:szCs w:val="18"/>
              </w:rPr>
              <w:t>259106</w:t>
            </w:r>
          </w:p>
        </w:tc>
        <w:tc>
          <w:tcPr>
            <w:tcW w:w="1149" w:type="dxa"/>
          </w:tcPr>
          <w:p w14:paraId="63D2A41E" w14:textId="77777777" w:rsidR="007B38B4" w:rsidRPr="00C607B4" w:rsidRDefault="00D3425B">
            <w:pPr>
              <w:rPr>
                <w:sz w:val="18"/>
                <w:szCs w:val="18"/>
              </w:rPr>
            </w:pPr>
            <w:r w:rsidRPr="00D3425B">
              <w:rPr>
                <w:sz w:val="18"/>
                <w:szCs w:val="18"/>
              </w:rPr>
              <w:t>212798</w:t>
            </w:r>
          </w:p>
        </w:tc>
        <w:tc>
          <w:tcPr>
            <w:tcW w:w="1137" w:type="dxa"/>
          </w:tcPr>
          <w:p w14:paraId="22EF09BD" w14:textId="77777777" w:rsidR="007B38B4" w:rsidRPr="00C607B4" w:rsidRDefault="00903913">
            <w:pPr>
              <w:rPr>
                <w:sz w:val="18"/>
                <w:szCs w:val="18"/>
              </w:rPr>
            </w:pPr>
            <w:r>
              <w:rPr>
                <w:sz w:val="18"/>
                <w:szCs w:val="18"/>
              </w:rPr>
              <w:t>93.81</w:t>
            </w:r>
          </w:p>
        </w:tc>
        <w:tc>
          <w:tcPr>
            <w:tcW w:w="849" w:type="dxa"/>
          </w:tcPr>
          <w:p w14:paraId="47554E48" w14:textId="77777777" w:rsidR="007B38B4" w:rsidRPr="00C607B4" w:rsidRDefault="00903913">
            <w:pPr>
              <w:rPr>
                <w:sz w:val="18"/>
                <w:szCs w:val="18"/>
              </w:rPr>
            </w:pPr>
            <w:r w:rsidRPr="00903913">
              <w:rPr>
                <w:sz w:val="18"/>
                <w:szCs w:val="18"/>
              </w:rPr>
              <w:t>16028</w:t>
            </w:r>
          </w:p>
        </w:tc>
        <w:tc>
          <w:tcPr>
            <w:tcW w:w="1074" w:type="dxa"/>
          </w:tcPr>
          <w:p w14:paraId="2EA909F5" w14:textId="77777777" w:rsidR="007B38B4" w:rsidRPr="00C607B4" w:rsidRDefault="00903913">
            <w:pPr>
              <w:rPr>
                <w:sz w:val="18"/>
                <w:szCs w:val="18"/>
              </w:rPr>
            </w:pPr>
            <w:r w:rsidRPr="00903913">
              <w:rPr>
                <w:sz w:val="18"/>
                <w:szCs w:val="18"/>
              </w:rPr>
              <w:t>6.19</w:t>
            </w:r>
          </w:p>
        </w:tc>
        <w:tc>
          <w:tcPr>
            <w:tcW w:w="849" w:type="dxa"/>
          </w:tcPr>
          <w:p w14:paraId="25EFC1C4" w14:textId="77777777" w:rsidR="007B38B4" w:rsidRPr="00C607B4" w:rsidRDefault="00903913">
            <w:pPr>
              <w:rPr>
                <w:sz w:val="18"/>
                <w:szCs w:val="18"/>
              </w:rPr>
            </w:pPr>
            <w:r>
              <w:rPr>
                <w:sz w:val="18"/>
                <w:szCs w:val="18"/>
              </w:rPr>
              <w:t>2.77</w:t>
            </w:r>
          </w:p>
        </w:tc>
        <w:tc>
          <w:tcPr>
            <w:tcW w:w="1744" w:type="dxa"/>
          </w:tcPr>
          <w:p w14:paraId="79E933CC" w14:textId="77777777" w:rsidR="00D3425B" w:rsidRPr="00D3425B" w:rsidRDefault="00903913" w:rsidP="00D3425B">
            <w:pPr>
              <w:rPr>
                <w:sz w:val="18"/>
                <w:szCs w:val="18"/>
              </w:rPr>
            </w:pPr>
            <w:r>
              <w:rPr>
                <w:sz w:val="18"/>
                <w:szCs w:val="18"/>
              </w:rPr>
              <w:t>175.50</w:t>
            </w:r>
          </w:p>
          <w:p w14:paraId="027510C6" w14:textId="77777777" w:rsidR="007B38B4" w:rsidRPr="00C607B4" w:rsidRDefault="007B38B4">
            <w:pPr>
              <w:rPr>
                <w:sz w:val="18"/>
                <w:szCs w:val="18"/>
              </w:rPr>
            </w:pPr>
          </w:p>
        </w:tc>
      </w:tr>
      <w:tr w:rsidR="00C607B4" w:rsidRPr="00C607B4" w14:paraId="325862D7" w14:textId="77777777" w:rsidTr="00C607B4">
        <w:tc>
          <w:tcPr>
            <w:tcW w:w="856" w:type="dxa"/>
          </w:tcPr>
          <w:p w14:paraId="0ECD3507" w14:textId="77777777" w:rsidR="007B38B4" w:rsidRPr="00C607B4" w:rsidRDefault="00C607B4">
            <w:pPr>
              <w:rPr>
                <w:sz w:val="18"/>
                <w:szCs w:val="18"/>
              </w:rPr>
            </w:pPr>
            <w:r w:rsidRPr="00C607B4">
              <w:rPr>
                <w:sz w:val="18"/>
                <w:szCs w:val="18"/>
              </w:rPr>
              <w:t>PACKET</w:t>
            </w:r>
            <w:r w:rsidRPr="00C607B4">
              <w:rPr>
                <w:sz w:val="18"/>
                <w:szCs w:val="18"/>
              </w:rPr>
              <w:br/>
              <w:t>SHP</w:t>
            </w:r>
          </w:p>
        </w:tc>
        <w:tc>
          <w:tcPr>
            <w:tcW w:w="815" w:type="dxa"/>
          </w:tcPr>
          <w:p w14:paraId="717803F0" w14:textId="77777777" w:rsidR="007B38B4" w:rsidRPr="00C607B4" w:rsidRDefault="00C607B4">
            <w:pPr>
              <w:rPr>
                <w:sz w:val="18"/>
                <w:szCs w:val="18"/>
              </w:rPr>
            </w:pPr>
            <w:r w:rsidRPr="00C607B4">
              <w:rPr>
                <w:sz w:val="18"/>
                <w:szCs w:val="18"/>
              </w:rPr>
              <w:t>259106</w:t>
            </w:r>
          </w:p>
        </w:tc>
        <w:tc>
          <w:tcPr>
            <w:tcW w:w="849" w:type="dxa"/>
          </w:tcPr>
          <w:p w14:paraId="243C0972" w14:textId="77777777" w:rsidR="007B38B4" w:rsidRPr="00C607B4" w:rsidRDefault="00C607B4">
            <w:pPr>
              <w:rPr>
                <w:sz w:val="18"/>
                <w:szCs w:val="18"/>
              </w:rPr>
            </w:pPr>
            <w:r w:rsidRPr="00C607B4">
              <w:rPr>
                <w:sz w:val="18"/>
                <w:szCs w:val="18"/>
              </w:rPr>
              <w:t>259106</w:t>
            </w:r>
          </w:p>
        </w:tc>
        <w:tc>
          <w:tcPr>
            <w:tcW w:w="1149" w:type="dxa"/>
          </w:tcPr>
          <w:p w14:paraId="2E432C9D" w14:textId="77777777" w:rsidR="007B38B4" w:rsidRPr="00C607B4" w:rsidRDefault="00D3425B">
            <w:pPr>
              <w:rPr>
                <w:sz w:val="18"/>
                <w:szCs w:val="18"/>
              </w:rPr>
            </w:pPr>
            <w:r w:rsidRPr="00D3425B">
              <w:rPr>
                <w:sz w:val="18"/>
                <w:szCs w:val="18"/>
              </w:rPr>
              <w:t>254040</w:t>
            </w:r>
          </w:p>
        </w:tc>
        <w:tc>
          <w:tcPr>
            <w:tcW w:w="1137" w:type="dxa"/>
          </w:tcPr>
          <w:p w14:paraId="62134079" w14:textId="77777777" w:rsidR="007B38B4" w:rsidRPr="00C607B4" w:rsidRDefault="00D3425B">
            <w:pPr>
              <w:rPr>
                <w:sz w:val="18"/>
                <w:szCs w:val="18"/>
              </w:rPr>
            </w:pPr>
            <w:r w:rsidRPr="00D3425B">
              <w:rPr>
                <w:sz w:val="18"/>
                <w:szCs w:val="18"/>
              </w:rPr>
              <w:t>98.04</w:t>
            </w:r>
          </w:p>
        </w:tc>
        <w:tc>
          <w:tcPr>
            <w:tcW w:w="849" w:type="dxa"/>
          </w:tcPr>
          <w:p w14:paraId="179D6010" w14:textId="77777777" w:rsidR="007B38B4" w:rsidRPr="00C607B4" w:rsidRDefault="00D3425B">
            <w:pPr>
              <w:rPr>
                <w:sz w:val="18"/>
                <w:szCs w:val="18"/>
              </w:rPr>
            </w:pPr>
            <w:r w:rsidRPr="00D3425B">
              <w:rPr>
                <w:sz w:val="18"/>
                <w:szCs w:val="18"/>
              </w:rPr>
              <w:t>5066</w:t>
            </w:r>
          </w:p>
        </w:tc>
        <w:tc>
          <w:tcPr>
            <w:tcW w:w="1074" w:type="dxa"/>
          </w:tcPr>
          <w:p w14:paraId="0B7B1431" w14:textId="77777777" w:rsidR="007B38B4" w:rsidRPr="00C607B4" w:rsidRDefault="00D3425B">
            <w:pPr>
              <w:rPr>
                <w:sz w:val="18"/>
                <w:szCs w:val="18"/>
              </w:rPr>
            </w:pPr>
            <w:r w:rsidRPr="00D3425B">
              <w:rPr>
                <w:sz w:val="18"/>
                <w:szCs w:val="18"/>
              </w:rPr>
              <w:t>1.96</w:t>
            </w:r>
          </w:p>
        </w:tc>
        <w:tc>
          <w:tcPr>
            <w:tcW w:w="849" w:type="dxa"/>
          </w:tcPr>
          <w:p w14:paraId="0BC24F21" w14:textId="77777777" w:rsidR="007B38B4" w:rsidRPr="00C607B4" w:rsidRDefault="00D3425B">
            <w:pPr>
              <w:rPr>
                <w:sz w:val="18"/>
                <w:szCs w:val="18"/>
              </w:rPr>
            </w:pPr>
            <w:r>
              <w:rPr>
                <w:sz w:val="18"/>
                <w:szCs w:val="18"/>
              </w:rPr>
              <w:t>2.70</w:t>
            </w:r>
          </w:p>
        </w:tc>
        <w:tc>
          <w:tcPr>
            <w:tcW w:w="1744" w:type="dxa"/>
          </w:tcPr>
          <w:p w14:paraId="386268B9" w14:textId="77777777" w:rsidR="007B38B4" w:rsidRPr="00C607B4" w:rsidRDefault="00D3425B">
            <w:pPr>
              <w:rPr>
                <w:sz w:val="18"/>
                <w:szCs w:val="18"/>
              </w:rPr>
            </w:pPr>
            <w:r w:rsidRPr="00D3425B">
              <w:rPr>
                <w:sz w:val="18"/>
                <w:szCs w:val="18"/>
              </w:rPr>
              <w:t>171.60</w:t>
            </w:r>
          </w:p>
        </w:tc>
      </w:tr>
      <w:tr w:rsidR="00C607B4" w:rsidRPr="00C607B4" w14:paraId="7E8ADE22" w14:textId="77777777" w:rsidTr="00C607B4">
        <w:tc>
          <w:tcPr>
            <w:tcW w:w="856" w:type="dxa"/>
          </w:tcPr>
          <w:p w14:paraId="03D49F96" w14:textId="77777777" w:rsidR="007B38B4" w:rsidRPr="00C607B4" w:rsidRDefault="00C607B4">
            <w:pPr>
              <w:rPr>
                <w:sz w:val="18"/>
                <w:szCs w:val="18"/>
              </w:rPr>
            </w:pPr>
            <w:r w:rsidRPr="00C607B4">
              <w:rPr>
                <w:sz w:val="18"/>
                <w:szCs w:val="18"/>
              </w:rPr>
              <w:t>PACKET</w:t>
            </w:r>
            <w:r w:rsidRPr="00C607B4">
              <w:rPr>
                <w:sz w:val="18"/>
                <w:szCs w:val="18"/>
              </w:rPr>
              <w:br/>
              <w:t>SDP</w:t>
            </w:r>
          </w:p>
        </w:tc>
        <w:tc>
          <w:tcPr>
            <w:tcW w:w="815" w:type="dxa"/>
          </w:tcPr>
          <w:p w14:paraId="0EFAE9EE" w14:textId="77777777" w:rsidR="007B38B4" w:rsidRPr="00C607B4" w:rsidRDefault="00C607B4">
            <w:pPr>
              <w:rPr>
                <w:sz w:val="18"/>
                <w:szCs w:val="18"/>
              </w:rPr>
            </w:pPr>
            <w:r w:rsidRPr="00C607B4">
              <w:rPr>
                <w:sz w:val="18"/>
                <w:szCs w:val="18"/>
              </w:rPr>
              <w:t>259106</w:t>
            </w:r>
          </w:p>
        </w:tc>
        <w:tc>
          <w:tcPr>
            <w:tcW w:w="849" w:type="dxa"/>
          </w:tcPr>
          <w:p w14:paraId="4AECF7EC" w14:textId="77777777" w:rsidR="007B38B4" w:rsidRPr="00C607B4" w:rsidRDefault="00C607B4">
            <w:pPr>
              <w:rPr>
                <w:sz w:val="18"/>
                <w:szCs w:val="18"/>
              </w:rPr>
            </w:pPr>
            <w:r w:rsidRPr="00C607B4">
              <w:rPr>
                <w:sz w:val="18"/>
                <w:szCs w:val="18"/>
              </w:rPr>
              <w:t>259106</w:t>
            </w:r>
          </w:p>
        </w:tc>
        <w:tc>
          <w:tcPr>
            <w:tcW w:w="1149" w:type="dxa"/>
          </w:tcPr>
          <w:p w14:paraId="7FEFF5DE" w14:textId="77777777" w:rsidR="007B38B4" w:rsidRPr="00C607B4" w:rsidRDefault="00D3425B">
            <w:pPr>
              <w:rPr>
                <w:sz w:val="18"/>
                <w:szCs w:val="18"/>
              </w:rPr>
            </w:pPr>
            <w:r w:rsidRPr="00D3425B">
              <w:rPr>
                <w:sz w:val="18"/>
                <w:szCs w:val="18"/>
              </w:rPr>
              <w:t>254638</w:t>
            </w:r>
          </w:p>
        </w:tc>
        <w:tc>
          <w:tcPr>
            <w:tcW w:w="1137" w:type="dxa"/>
          </w:tcPr>
          <w:p w14:paraId="33B83D63" w14:textId="77777777" w:rsidR="007B38B4" w:rsidRPr="00C607B4" w:rsidRDefault="00D3425B">
            <w:pPr>
              <w:rPr>
                <w:sz w:val="18"/>
                <w:szCs w:val="18"/>
              </w:rPr>
            </w:pPr>
            <w:r w:rsidRPr="00D3425B">
              <w:rPr>
                <w:sz w:val="18"/>
                <w:szCs w:val="18"/>
              </w:rPr>
              <w:t>98.28</w:t>
            </w:r>
          </w:p>
        </w:tc>
        <w:tc>
          <w:tcPr>
            <w:tcW w:w="849" w:type="dxa"/>
          </w:tcPr>
          <w:p w14:paraId="3E17BCA2" w14:textId="77777777" w:rsidR="007B38B4" w:rsidRPr="00C607B4" w:rsidRDefault="00D3425B">
            <w:pPr>
              <w:rPr>
                <w:sz w:val="18"/>
                <w:szCs w:val="18"/>
              </w:rPr>
            </w:pPr>
            <w:r w:rsidRPr="00D3425B">
              <w:rPr>
                <w:sz w:val="18"/>
                <w:szCs w:val="18"/>
              </w:rPr>
              <w:t>4468</w:t>
            </w:r>
          </w:p>
        </w:tc>
        <w:tc>
          <w:tcPr>
            <w:tcW w:w="1074" w:type="dxa"/>
          </w:tcPr>
          <w:p w14:paraId="2FAC5923" w14:textId="77777777" w:rsidR="007B38B4" w:rsidRPr="00C607B4" w:rsidRDefault="00D3425B">
            <w:pPr>
              <w:rPr>
                <w:sz w:val="18"/>
                <w:szCs w:val="18"/>
              </w:rPr>
            </w:pPr>
            <w:r>
              <w:rPr>
                <w:sz w:val="18"/>
                <w:szCs w:val="18"/>
              </w:rPr>
              <w:t>1.72</w:t>
            </w:r>
          </w:p>
        </w:tc>
        <w:tc>
          <w:tcPr>
            <w:tcW w:w="849" w:type="dxa"/>
          </w:tcPr>
          <w:p w14:paraId="01E455BB" w14:textId="77777777" w:rsidR="007B38B4" w:rsidRPr="00C607B4" w:rsidRDefault="00D3425B">
            <w:pPr>
              <w:rPr>
                <w:sz w:val="18"/>
                <w:szCs w:val="18"/>
              </w:rPr>
            </w:pPr>
            <w:r w:rsidRPr="00D3425B">
              <w:rPr>
                <w:sz w:val="18"/>
                <w:szCs w:val="18"/>
              </w:rPr>
              <w:t>3.43</w:t>
            </w:r>
          </w:p>
        </w:tc>
        <w:tc>
          <w:tcPr>
            <w:tcW w:w="1744" w:type="dxa"/>
          </w:tcPr>
          <w:p w14:paraId="2FB99B62" w14:textId="77777777" w:rsidR="007B38B4" w:rsidRPr="00C607B4" w:rsidRDefault="00D3425B">
            <w:pPr>
              <w:rPr>
                <w:sz w:val="18"/>
                <w:szCs w:val="18"/>
              </w:rPr>
            </w:pPr>
            <w:r w:rsidRPr="00D3425B">
              <w:rPr>
                <w:sz w:val="18"/>
                <w:szCs w:val="18"/>
              </w:rPr>
              <w:t>140.68</w:t>
            </w:r>
          </w:p>
        </w:tc>
      </w:tr>
      <w:tr w:rsidR="00C607B4" w:rsidRPr="00C607B4" w14:paraId="1552DC67" w14:textId="77777777" w:rsidTr="00C607B4">
        <w:tc>
          <w:tcPr>
            <w:tcW w:w="856" w:type="dxa"/>
          </w:tcPr>
          <w:p w14:paraId="3078C5E6" w14:textId="77777777" w:rsidR="007B38B4" w:rsidRPr="00C607B4" w:rsidRDefault="00C607B4">
            <w:pPr>
              <w:rPr>
                <w:sz w:val="18"/>
                <w:szCs w:val="18"/>
              </w:rPr>
            </w:pPr>
            <w:r w:rsidRPr="00C607B4">
              <w:rPr>
                <w:sz w:val="18"/>
                <w:szCs w:val="18"/>
              </w:rPr>
              <w:t>PACKET</w:t>
            </w:r>
            <w:r w:rsidRPr="00C607B4">
              <w:rPr>
                <w:sz w:val="18"/>
                <w:szCs w:val="18"/>
              </w:rPr>
              <w:br/>
              <w:t>LLP</w:t>
            </w:r>
          </w:p>
        </w:tc>
        <w:tc>
          <w:tcPr>
            <w:tcW w:w="815" w:type="dxa"/>
          </w:tcPr>
          <w:p w14:paraId="244CD2A9" w14:textId="77777777" w:rsidR="007B38B4" w:rsidRPr="00C607B4" w:rsidRDefault="00C607B4">
            <w:pPr>
              <w:rPr>
                <w:sz w:val="18"/>
                <w:szCs w:val="18"/>
              </w:rPr>
            </w:pPr>
            <w:r w:rsidRPr="00C607B4">
              <w:rPr>
                <w:sz w:val="18"/>
                <w:szCs w:val="18"/>
              </w:rPr>
              <w:t>259106</w:t>
            </w:r>
          </w:p>
        </w:tc>
        <w:tc>
          <w:tcPr>
            <w:tcW w:w="849" w:type="dxa"/>
          </w:tcPr>
          <w:p w14:paraId="323A6986" w14:textId="77777777" w:rsidR="007B38B4" w:rsidRPr="00C607B4" w:rsidRDefault="00D3425B">
            <w:pPr>
              <w:rPr>
                <w:sz w:val="18"/>
                <w:szCs w:val="18"/>
              </w:rPr>
            </w:pPr>
            <w:r w:rsidRPr="00D3425B">
              <w:rPr>
                <w:sz w:val="18"/>
                <w:szCs w:val="18"/>
              </w:rPr>
              <w:t>259106</w:t>
            </w:r>
          </w:p>
        </w:tc>
        <w:tc>
          <w:tcPr>
            <w:tcW w:w="1149" w:type="dxa"/>
          </w:tcPr>
          <w:p w14:paraId="05EF0224" w14:textId="77777777" w:rsidR="007B38B4" w:rsidRPr="00C607B4" w:rsidRDefault="00903913">
            <w:pPr>
              <w:rPr>
                <w:sz w:val="18"/>
                <w:szCs w:val="18"/>
              </w:rPr>
            </w:pPr>
            <w:r>
              <w:rPr>
                <w:sz w:val="18"/>
                <w:szCs w:val="18"/>
              </w:rPr>
              <w:t>255603</w:t>
            </w:r>
          </w:p>
        </w:tc>
        <w:tc>
          <w:tcPr>
            <w:tcW w:w="1137" w:type="dxa"/>
          </w:tcPr>
          <w:p w14:paraId="3D31C4FE" w14:textId="77777777" w:rsidR="007B38B4" w:rsidRPr="00C607B4" w:rsidRDefault="00903913">
            <w:pPr>
              <w:rPr>
                <w:sz w:val="18"/>
                <w:szCs w:val="18"/>
              </w:rPr>
            </w:pPr>
            <w:r>
              <w:rPr>
                <w:sz w:val="18"/>
                <w:szCs w:val="18"/>
              </w:rPr>
              <w:t>98.65</w:t>
            </w:r>
          </w:p>
        </w:tc>
        <w:tc>
          <w:tcPr>
            <w:tcW w:w="849" w:type="dxa"/>
          </w:tcPr>
          <w:p w14:paraId="395F1AAB" w14:textId="77777777" w:rsidR="007B38B4" w:rsidRPr="00C607B4" w:rsidRDefault="00903913">
            <w:pPr>
              <w:rPr>
                <w:sz w:val="18"/>
                <w:szCs w:val="18"/>
              </w:rPr>
            </w:pPr>
            <w:r>
              <w:rPr>
                <w:sz w:val="18"/>
                <w:szCs w:val="18"/>
              </w:rPr>
              <w:t>3503</w:t>
            </w:r>
          </w:p>
        </w:tc>
        <w:tc>
          <w:tcPr>
            <w:tcW w:w="1074" w:type="dxa"/>
          </w:tcPr>
          <w:p w14:paraId="108ED629" w14:textId="77777777" w:rsidR="007B38B4" w:rsidRPr="00C607B4" w:rsidRDefault="00D3425B">
            <w:pPr>
              <w:rPr>
                <w:sz w:val="18"/>
                <w:szCs w:val="18"/>
              </w:rPr>
            </w:pPr>
            <w:r w:rsidRPr="00D3425B">
              <w:rPr>
                <w:sz w:val="18"/>
                <w:szCs w:val="18"/>
              </w:rPr>
              <w:t>1.</w:t>
            </w:r>
            <w:r w:rsidR="00903913">
              <w:rPr>
                <w:sz w:val="18"/>
                <w:szCs w:val="18"/>
              </w:rPr>
              <w:t>35</w:t>
            </w:r>
          </w:p>
        </w:tc>
        <w:tc>
          <w:tcPr>
            <w:tcW w:w="849" w:type="dxa"/>
          </w:tcPr>
          <w:p w14:paraId="52BA93AC" w14:textId="77777777" w:rsidR="007B38B4" w:rsidRPr="00C607B4" w:rsidRDefault="00903913">
            <w:pPr>
              <w:rPr>
                <w:sz w:val="18"/>
                <w:szCs w:val="18"/>
              </w:rPr>
            </w:pPr>
            <w:r>
              <w:rPr>
                <w:sz w:val="18"/>
                <w:szCs w:val="18"/>
              </w:rPr>
              <w:t>2.95</w:t>
            </w:r>
          </w:p>
        </w:tc>
        <w:tc>
          <w:tcPr>
            <w:tcW w:w="1744" w:type="dxa"/>
          </w:tcPr>
          <w:p w14:paraId="5AC010D7" w14:textId="77777777" w:rsidR="007B38B4" w:rsidRPr="00C607B4" w:rsidRDefault="00903913">
            <w:pPr>
              <w:rPr>
                <w:sz w:val="18"/>
                <w:szCs w:val="18"/>
              </w:rPr>
            </w:pPr>
            <w:r>
              <w:rPr>
                <w:sz w:val="18"/>
                <w:szCs w:val="18"/>
              </w:rPr>
              <w:t>190.07</w:t>
            </w:r>
          </w:p>
        </w:tc>
      </w:tr>
    </w:tbl>
    <w:p w14:paraId="26DE1C28" w14:textId="77777777" w:rsidR="007B38B4" w:rsidRPr="00C607B4" w:rsidRDefault="007B38B4"/>
    <w:p w14:paraId="31EB01F9" w14:textId="77777777" w:rsidR="007B38B4" w:rsidRDefault="007B38B4"/>
    <w:p w14:paraId="1FB78653" w14:textId="062E027B" w:rsidR="007B38B4" w:rsidRDefault="009C3C7B">
      <w:r>
        <w:t>As we can see from the results the SHP has the lowest amount of hops per d</w:t>
      </w:r>
      <w:r w:rsidR="006104DF">
        <w:t xml:space="preserve">estination. This is due to the fact that the </w:t>
      </w:r>
      <w:r w:rsidR="00167D1A">
        <w:t xml:space="preserve">SHP algorithm looks for the path with the least amount of hops needed, hence it makes sense that SHP would have the least amount of hops. </w:t>
      </w:r>
    </w:p>
    <w:p w14:paraId="3B534FED" w14:textId="77777777" w:rsidR="00167D1A" w:rsidRDefault="00167D1A"/>
    <w:p w14:paraId="2E21D1D2" w14:textId="62392474" w:rsidR="00167D1A" w:rsidRDefault="00167D1A">
      <w:r>
        <w:t xml:space="preserve">We can see that the SDP algorithm has the least amount of propagation </w:t>
      </w:r>
      <w:r w:rsidR="0078761F">
        <w:t xml:space="preserve">delay, as this should be expected. The SDP algorithm </w:t>
      </w:r>
      <w:r w:rsidR="00C94815">
        <w:t>looks for the path with the least amount of the delay, hence SDP routing algorithm has the least propagation delay.</w:t>
      </w:r>
    </w:p>
    <w:p w14:paraId="45385872" w14:textId="77777777" w:rsidR="00C94815" w:rsidRDefault="00C94815"/>
    <w:p w14:paraId="1DA5F33E" w14:textId="3BADB731" w:rsidR="00C94815" w:rsidRDefault="00C94815">
      <w:r>
        <w:t xml:space="preserve">We can see that the LLP has the least amount of blocked packets compared to other algorithms. This can be down to the fact the LLP algorithm picks the least loaded path. By picking the least loaded path the chance of packets being blocked is being reduced. </w:t>
      </w:r>
    </w:p>
    <w:p w14:paraId="343A4D21" w14:textId="77777777" w:rsidR="00C94815" w:rsidRDefault="00C94815"/>
    <w:p w14:paraId="1259A23A" w14:textId="77777777" w:rsidR="00C94815" w:rsidRDefault="00C94815"/>
    <w:p w14:paraId="718A2E9E" w14:textId="77777777" w:rsidR="00B114D2" w:rsidRDefault="00B114D2"/>
    <w:p w14:paraId="611AE4D6" w14:textId="2930CBF5" w:rsidR="00B114D2" w:rsidRDefault="00C95C0E" w:rsidP="00C95C0E">
      <w:pPr>
        <w:jc w:val="center"/>
        <w:rPr>
          <w:b/>
          <w:sz w:val="32"/>
          <w:szCs w:val="32"/>
          <w:u w:val="single"/>
        </w:rPr>
      </w:pPr>
      <w:r w:rsidRPr="00C95C0E">
        <w:rPr>
          <w:b/>
          <w:sz w:val="32"/>
          <w:szCs w:val="32"/>
          <w:u w:val="single"/>
        </w:rPr>
        <w:lastRenderedPageBreak/>
        <w:t>Packet Virtual Analysis</w:t>
      </w:r>
    </w:p>
    <w:p w14:paraId="04413CE3" w14:textId="77777777" w:rsidR="00C95C0E" w:rsidRDefault="00C95C0E" w:rsidP="00C95C0E">
      <w:pPr>
        <w:jc w:val="center"/>
        <w:rPr>
          <w:b/>
          <w:sz w:val="32"/>
          <w:szCs w:val="32"/>
          <w:u w:val="single"/>
        </w:rPr>
      </w:pPr>
    </w:p>
    <w:p w14:paraId="500D2D3A" w14:textId="018D4653" w:rsidR="00C95C0E" w:rsidRDefault="00C95C0E" w:rsidP="00C95C0E">
      <w:r>
        <w:t>Percentage of Packet delivered successfully:</w:t>
      </w:r>
      <w:r>
        <w:br/>
      </w:r>
      <w:r>
        <w:rPr>
          <w:noProof/>
          <w:lang w:val="en-US"/>
        </w:rPr>
        <w:drawing>
          <wp:inline distT="0" distB="0" distL="0" distR="0" wp14:anchorId="66787197" wp14:editId="35AAA4FE">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8876C4" w14:textId="77777777" w:rsidR="00C95C0E" w:rsidRDefault="00C95C0E" w:rsidP="00C95C0E"/>
    <w:p w14:paraId="02EC515E" w14:textId="77777777" w:rsidR="001E6EBE" w:rsidRDefault="00C95C0E" w:rsidP="00C95C0E">
      <w:r>
        <w:t xml:space="preserve">As we can see from the plot that as the packet rate increases, the amount of packets delivery </w:t>
      </w:r>
      <w:r w:rsidR="001E6EBE">
        <w:t>successfully delivered for all 3 routing algorithms. All 3 routing algorithms are in uniform decrease as the packet rate increases. This can be due to the fact that there are more packets to deliver at higher packet rates and this leads to more congestion on the network.</w:t>
      </w:r>
      <w:r w:rsidR="001E6EBE">
        <w:br/>
      </w:r>
      <w:r w:rsidR="001E6EBE">
        <w:br/>
        <w:t>Average Hops:</w:t>
      </w:r>
    </w:p>
    <w:p w14:paraId="6B06D366" w14:textId="77777777" w:rsidR="001E6EBE" w:rsidRDefault="001E6EBE" w:rsidP="00C95C0E">
      <w:r>
        <w:rPr>
          <w:noProof/>
          <w:lang w:val="en-US"/>
        </w:rPr>
        <w:drawing>
          <wp:inline distT="0" distB="0" distL="0" distR="0" wp14:anchorId="34372338" wp14:editId="424EFB2D">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DACDD1" w14:textId="77777777" w:rsidR="001E6EBE" w:rsidRDefault="001E6EBE" w:rsidP="00C95C0E"/>
    <w:p w14:paraId="4566FCAE" w14:textId="77777777" w:rsidR="001E6EBE" w:rsidRDefault="001E6EBE" w:rsidP="00C95C0E">
      <w:r>
        <w:t xml:space="preserve">We can see that the average </w:t>
      </w:r>
      <w:proofErr w:type="gramStart"/>
      <w:r>
        <w:t>hops for all 3 circuits remains</w:t>
      </w:r>
      <w:proofErr w:type="gramEnd"/>
      <w:r>
        <w:t xml:space="preserve"> almost the same regardless of the routing algorithm applied. We can see that the HP has the lowest amount of average hops and remains constant regardless of packet rates. The LLP for higher packet rates, average hops decrease slightly. </w:t>
      </w:r>
    </w:p>
    <w:p w14:paraId="55C9715B" w14:textId="1F1BCC40" w:rsidR="00C95C0E" w:rsidRDefault="001E6EBE" w:rsidP="00C95C0E">
      <w:r>
        <w:t xml:space="preserve"> </w:t>
      </w:r>
    </w:p>
    <w:p w14:paraId="08776648" w14:textId="538B0B91" w:rsidR="001E6EBE" w:rsidRDefault="001E6EBE" w:rsidP="00C95C0E">
      <w:r>
        <w:t>Average Delay Per circuit:</w:t>
      </w:r>
    </w:p>
    <w:p w14:paraId="679B8004" w14:textId="3415EB97" w:rsidR="001E6EBE" w:rsidRDefault="001E6EBE" w:rsidP="00C95C0E">
      <w:r>
        <w:rPr>
          <w:noProof/>
          <w:lang w:val="en-US"/>
        </w:rPr>
        <w:drawing>
          <wp:inline distT="0" distB="0" distL="0" distR="0" wp14:anchorId="3DC122A5" wp14:editId="355AE517">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r>
    </w:p>
    <w:p w14:paraId="7B137254" w14:textId="70E90B37" w:rsidR="001E6EBE" w:rsidRPr="00C95C0E" w:rsidRDefault="001E6EBE" w:rsidP="00C95C0E">
      <w:r>
        <w:t xml:space="preserve">For all 3 routing algorithms the average delay per circuit does not change much. There is slight increase/decrease as the packet rate goes up or down for change in packet rate. But this change is really negligible and overall makes little to know difference. We can see that that SDP algorithm as expected has the lowest circuit delay, as this algorithm looks for the path with shortest paths. </w:t>
      </w:r>
      <w:bookmarkStart w:id="0" w:name="_GoBack"/>
      <w:bookmarkEnd w:id="0"/>
    </w:p>
    <w:sectPr w:rsidR="001E6EBE" w:rsidRPr="00C95C0E" w:rsidSect="007261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35"/>
    <w:rsid w:val="00167D1A"/>
    <w:rsid w:val="001E6EBE"/>
    <w:rsid w:val="002D6B35"/>
    <w:rsid w:val="006104DF"/>
    <w:rsid w:val="007261F5"/>
    <w:rsid w:val="0078761F"/>
    <w:rsid w:val="007B38B4"/>
    <w:rsid w:val="00903913"/>
    <w:rsid w:val="009C3C7B"/>
    <w:rsid w:val="00B114D2"/>
    <w:rsid w:val="00C607B4"/>
    <w:rsid w:val="00C94815"/>
    <w:rsid w:val="00C95C0E"/>
    <w:rsid w:val="00D34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182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C95C0E"/>
    <w:rPr>
      <w:rFonts w:ascii="Lucida Grande" w:hAnsi="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C95C0E"/>
    <w:rPr>
      <w:rFonts w:ascii="Lucida Grande"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ohaibmushtaq:Documents:COMP3331:excel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ohaibmushtaq:Documents:COMP3331:excelrep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ohaibmushtaq:Documents:COMP3331:excel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Sheet1!$B$2</c:f>
              <c:strCache>
                <c:ptCount val="1"/>
                <c:pt idx="0">
                  <c:v>SHP</c:v>
                </c:pt>
              </c:strCache>
            </c:strRef>
          </c:tx>
          <c:marker>
            <c:symbol val="none"/>
          </c:marker>
          <c:cat>
            <c:numRef>
              <c:f>Sheet1!$A$3:$A$7</c:f>
              <c:numCache>
                <c:formatCode>General</c:formatCode>
                <c:ptCount val="5"/>
                <c:pt idx="0">
                  <c:v>1.0</c:v>
                </c:pt>
                <c:pt idx="1">
                  <c:v>2.0</c:v>
                </c:pt>
                <c:pt idx="2">
                  <c:v>3.0</c:v>
                </c:pt>
                <c:pt idx="3">
                  <c:v>4.0</c:v>
                </c:pt>
                <c:pt idx="4">
                  <c:v>5.0</c:v>
                </c:pt>
              </c:numCache>
            </c:numRef>
          </c:cat>
          <c:val>
            <c:numRef>
              <c:f>Sheet1!$B$3:$B$7</c:f>
              <c:numCache>
                <c:formatCode>General</c:formatCode>
                <c:ptCount val="5"/>
                <c:pt idx="0">
                  <c:v>98.04</c:v>
                </c:pt>
                <c:pt idx="1">
                  <c:v>96.83</c:v>
                </c:pt>
                <c:pt idx="2">
                  <c:v>96.06</c:v>
                </c:pt>
                <c:pt idx="3">
                  <c:v>95.54</c:v>
                </c:pt>
                <c:pt idx="4">
                  <c:v>95.14</c:v>
                </c:pt>
              </c:numCache>
            </c:numRef>
          </c:val>
          <c:smooth val="0"/>
        </c:ser>
        <c:ser>
          <c:idx val="1"/>
          <c:order val="1"/>
          <c:tx>
            <c:strRef>
              <c:f>Sheet1!$C$2</c:f>
              <c:strCache>
                <c:ptCount val="1"/>
                <c:pt idx="0">
                  <c:v>SDP</c:v>
                </c:pt>
              </c:strCache>
            </c:strRef>
          </c:tx>
          <c:marker>
            <c:symbol val="none"/>
          </c:marker>
          <c:cat>
            <c:numRef>
              <c:f>Sheet1!$A$3:$A$7</c:f>
              <c:numCache>
                <c:formatCode>General</c:formatCode>
                <c:ptCount val="5"/>
                <c:pt idx="0">
                  <c:v>1.0</c:v>
                </c:pt>
                <c:pt idx="1">
                  <c:v>2.0</c:v>
                </c:pt>
                <c:pt idx="2">
                  <c:v>3.0</c:v>
                </c:pt>
                <c:pt idx="3">
                  <c:v>4.0</c:v>
                </c:pt>
                <c:pt idx="4">
                  <c:v>5.0</c:v>
                </c:pt>
              </c:numCache>
            </c:numRef>
          </c:cat>
          <c:val>
            <c:numRef>
              <c:f>Sheet1!$C$3:$C$7</c:f>
              <c:numCache>
                <c:formatCode>General</c:formatCode>
                <c:ptCount val="5"/>
                <c:pt idx="0">
                  <c:v>98.28</c:v>
                </c:pt>
                <c:pt idx="1">
                  <c:v>97.08</c:v>
                </c:pt>
                <c:pt idx="2">
                  <c:v>96.32</c:v>
                </c:pt>
                <c:pt idx="3">
                  <c:v>95.79</c:v>
                </c:pt>
                <c:pt idx="4">
                  <c:v>95.39</c:v>
                </c:pt>
              </c:numCache>
            </c:numRef>
          </c:val>
          <c:smooth val="0"/>
        </c:ser>
        <c:ser>
          <c:idx val="2"/>
          <c:order val="2"/>
          <c:tx>
            <c:strRef>
              <c:f>Sheet1!$D$2</c:f>
              <c:strCache>
                <c:ptCount val="1"/>
                <c:pt idx="0">
                  <c:v>LLP</c:v>
                </c:pt>
              </c:strCache>
            </c:strRef>
          </c:tx>
          <c:marker>
            <c:symbol val="none"/>
          </c:marker>
          <c:cat>
            <c:numRef>
              <c:f>Sheet1!$A$3:$A$7</c:f>
              <c:numCache>
                <c:formatCode>General</c:formatCode>
                <c:ptCount val="5"/>
                <c:pt idx="0">
                  <c:v>1.0</c:v>
                </c:pt>
                <c:pt idx="1">
                  <c:v>2.0</c:v>
                </c:pt>
                <c:pt idx="2">
                  <c:v>3.0</c:v>
                </c:pt>
                <c:pt idx="3">
                  <c:v>4.0</c:v>
                </c:pt>
                <c:pt idx="4">
                  <c:v>5.0</c:v>
                </c:pt>
              </c:numCache>
            </c:numRef>
          </c:cat>
          <c:val>
            <c:numRef>
              <c:f>Sheet1!$D$3:$D$7</c:f>
              <c:numCache>
                <c:formatCode>General</c:formatCode>
                <c:ptCount val="5"/>
                <c:pt idx="0">
                  <c:v>98.65000000000001</c:v>
                </c:pt>
                <c:pt idx="1">
                  <c:v>97.5</c:v>
                </c:pt>
                <c:pt idx="2">
                  <c:v>96.74</c:v>
                </c:pt>
                <c:pt idx="3">
                  <c:v>96.2</c:v>
                </c:pt>
                <c:pt idx="4">
                  <c:v>95.8</c:v>
                </c:pt>
              </c:numCache>
            </c:numRef>
          </c:val>
          <c:smooth val="0"/>
        </c:ser>
        <c:dLbls>
          <c:showLegendKey val="0"/>
          <c:showVal val="0"/>
          <c:showCatName val="0"/>
          <c:showSerName val="0"/>
          <c:showPercent val="0"/>
          <c:showBubbleSize val="0"/>
        </c:dLbls>
        <c:marker val="1"/>
        <c:smooth val="0"/>
        <c:axId val="2114060584"/>
        <c:axId val="2116883368"/>
      </c:lineChart>
      <c:catAx>
        <c:axId val="2114060584"/>
        <c:scaling>
          <c:orientation val="minMax"/>
        </c:scaling>
        <c:delete val="0"/>
        <c:axPos val="b"/>
        <c:numFmt formatCode="General" sourceLinked="1"/>
        <c:majorTickMark val="out"/>
        <c:minorTickMark val="none"/>
        <c:tickLblPos val="nextTo"/>
        <c:crossAx val="2116883368"/>
        <c:crosses val="autoZero"/>
        <c:auto val="1"/>
        <c:lblAlgn val="ctr"/>
        <c:lblOffset val="100"/>
        <c:noMultiLvlLbl val="0"/>
      </c:catAx>
      <c:valAx>
        <c:axId val="2116883368"/>
        <c:scaling>
          <c:orientation val="minMax"/>
        </c:scaling>
        <c:delete val="0"/>
        <c:axPos val="l"/>
        <c:majorGridlines/>
        <c:numFmt formatCode="General" sourceLinked="1"/>
        <c:majorTickMark val="out"/>
        <c:minorTickMark val="none"/>
        <c:tickLblPos val="nextTo"/>
        <c:crossAx val="21140605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Sheet1!$B$19</c:f>
              <c:strCache>
                <c:ptCount val="1"/>
                <c:pt idx="0">
                  <c:v>SHP</c:v>
                </c:pt>
              </c:strCache>
            </c:strRef>
          </c:tx>
          <c:marker>
            <c:symbol val="none"/>
          </c:marker>
          <c:cat>
            <c:numRef>
              <c:f>Sheet1!$A$20:$A$25</c:f>
              <c:numCache>
                <c:formatCode>General</c:formatCode>
                <c:ptCount val="6"/>
                <c:pt idx="0">
                  <c:v>1.0</c:v>
                </c:pt>
                <c:pt idx="1">
                  <c:v>2.0</c:v>
                </c:pt>
                <c:pt idx="2">
                  <c:v>3.0</c:v>
                </c:pt>
                <c:pt idx="3">
                  <c:v>4.0</c:v>
                </c:pt>
                <c:pt idx="4">
                  <c:v>5.0</c:v>
                </c:pt>
              </c:numCache>
            </c:numRef>
          </c:cat>
          <c:val>
            <c:numRef>
              <c:f>Sheet1!$B$20:$B$25</c:f>
              <c:numCache>
                <c:formatCode>General</c:formatCode>
                <c:ptCount val="6"/>
                <c:pt idx="0">
                  <c:v>2.7</c:v>
                </c:pt>
                <c:pt idx="1">
                  <c:v>2.7</c:v>
                </c:pt>
                <c:pt idx="2">
                  <c:v>2.7</c:v>
                </c:pt>
                <c:pt idx="3">
                  <c:v>2.7</c:v>
                </c:pt>
                <c:pt idx="4">
                  <c:v>2.7</c:v>
                </c:pt>
              </c:numCache>
            </c:numRef>
          </c:val>
          <c:smooth val="0"/>
        </c:ser>
        <c:ser>
          <c:idx val="1"/>
          <c:order val="1"/>
          <c:tx>
            <c:strRef>
              <c:f>Sheet1!$C$19</c:f>
              <c:strCache>
                <c:ptCount val="1"/>
                <c:pt idx="0">
                  <c:v>SDP</c:v>
                </c:pt>
              </c:strCache>
            </c:strRef>
          </c:tx>
          <c:marker>
            <c:symbol val="none"/>
          </c:marker>
          <c:cat>
            <c:numRef>
              <c:f>Sheet1!$A$20:$A$25</c:f>
              <c:numCache>
                <c:formatCode>General</c:formatCode>
                <c:ptCount val="6"/>
                <c:pt idx="0">
                  <c:v>1.0</c:v>
                </c:pt>
                <c:pt idx="1">
                  <c:v>2.0</c:v>
                </c:pt>
                <c:pt idx="2">
                  <c:v>3.0</c:v>
                </c:pt>
                <c:pt idx="3">
                  <c:v>4.0</c:v>
                </c:pt>
                <c:pt idx="4">
                  <c:v>5.0</c:v>
                </c:pt>
              </c:numCache>
            </c:numRef>
          </c:cat>
          <c:val>
            <c:numRef>
              <c:f>Sheet1!$C$20:$C$25</c:f>
              <c:numCache>
                <c:formatCode>General</c:formatCode>
                <c:ptCount val="6"/>
                <c:pt idx="0">
                  <c:v>3.43</c:v>
                </c:pt>
                <c:pt idx="1">
                  <c:v>3.43</c:v>
                </c:pt>
                <c:pt idx="2">
                  <c:v>3.43</c:v>
                </c:pt>
                <c:pt idx="3">
                  <c:v>3.43</c:v>
                </c:pt>
                <c:pt idx="4">
                  <c:v>3.43</c:v>
                </c:pt>
              </c:numCache>
            </c:numRef>
          </c:val>
          <c:smooth val="0"/>
        </c:ser>
        <c:ser>
          <c:idx val="2"/>
          <c:order val="2"/>
          <c:tx>
            <c:strRef>
              <c:f>Sheet1!$D$19</c:f>
              <c:strCache>
                <c:ptCount val="1"/>
                <c:pt idx="0">
                  <c:v>LLP</c:v>
                </c:pt>
              </c:strCache>
            </c:strRef>
          </c:tx>
          <c:marker>
            <c:symbol val="none"/>
          </c:marker>
          <c:cat>
            <c:numRef>
              <c:f>Sheet1!$A$20:$A$25</c:f>
              <c:numCache>
                <c:formatCode>General</c:formatCode>
                <c:ptCount val="6"/>
                <c:pt idx="0">
                  <c:v>1.0</c:v>
                </c:pt>
                <c:pt idx="1">
                  <c:v>2.0</c:v>
                </c:pt>
                <c:pt idx="2">
                  <c:v>3.0</c:v>
                </c:pt>
                <c:pt idx="3">
                  <c:v>4.0</c:v>
                </c:pt>
                <c:pt idx="4">
                  <c:v>5.0</c:v>
                </c:pt>
              </c:numCache>
            </c:numRef>
          </c:cat>
          <c:val>
            <c:numRef>
              <c:f>Sheet1!$D$20:$D$25</c:f>
              <c:numCache>
                <c:formatCode>General</c:formatCode>
                <c:ptCount val="6"/>
                <c:pt idx="0">
                  <c:v>2.95</c:v>
                </c:pt>
                <c:pt idx="1">
                  <c:v>2.94</c:v>
                </c:pt>
                <c:pt idx="2">
                  <c:v>2.93</c:v>
                </c:pt>
                <c:pt idx="3">
                  <c:v>2.93</c:v>
                </c:pt>
                <c:pt idx="4">
                  <c:v>2.93</c:v>
                </c:pt>
              </c:numCache>
            </c:numRef>
          </c:val>
          <c:smooth val="0"/>
        </c:ser>
        <c:dLbls>
          <c:showLegendKey val="0"/>
          <c:showVal val="0"/>
          <c:showCatName val="0"/>
          <c:showSerName val="0"/>
          <c:showPercent val="0"/>
          <c:showBubbleSize val="0"/>
        </c:dLbls>
        <c:marker val="1"/>
        <c:smooth val="0"/>
        <c:axId val="2115713880"/>
        <c:axId val="2115766824"/>
      </c:lineChart>
      <c:catAx>
        <c:axId val="2115713880"/>
        <c:scaling>
          <c:orientation val="minMax"/>
        </c:scaling>
        <c:delete val="0"/>
        <c:axPos val="b"/>
        <c:numFmt formatCode="General" sourceLinked="1"/>
        <c:majorTickMark val="out"/>
        <c:minorTickMark val="none"/>
        <c:tickLblPos val="nextTo"/>
        <c:crossAx val="2115766824"/>
        <c:crosses val="autoZero"/>
        <c:auto val="1"/>
        <c:lblAlgn val="ctr"/>
        <c:lblOffset val="100"/>
        <c:noMultiLvlLbl val="0"/>
      </c:catAx>
      <c:valAx>
        <c:axId val="2115766824"/>
        <c:scaling>
          <c:orientation val="minMax"/>
        </c:scaling>
        <c:delete val="0"/>
        <c:axPos val="l"/>
        <c:majorGridlines/>
        <c:numFmt formatCode="General" sourceLinked="1"/>
        <c:majorTickMark val="out"/>
        <c:minorTickMark val="none"/>
        <c:tickLblPos val="nextTo"/>
        <c:crossAx val="21157138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Sheet1!$B$35</c:f>
              <c:strCache>
                <c:ptCount val="1"/>
                <c:pt idx="0">
                  <c:v>SHP</c:v>
                </c:pt>
              </c:strCache>
            </c:strRef>
          </c:tx>
          <c:marker>
            <c:symbol val="none"/>
          </c:marker>
          <c:cat>
            <c:numRef>
              <c:f>Sheet1!$A$36:$A$40</c:f>
              <c:numCache>
                <c:formatCode>General</c:formatCode>
                <c:ptCount val="5"/>
                <c:pt idx="0">
                  <c:v>1.0</c:v>
                </c:pt>
                <c:pt idx="1">
                  <c:v>2.0</c:v>
                </c:pt>
                <c:pt idx="2">
                  <c:v>3.0</c:v>
                </c:pt>
                <c:pt idx="3">
                  <c:v>4.0</c:v>
                </c:pt>
                <c:pt idx="4">
                  <c:v>5.0</c:v>
                </c:pt>
              </c:numCache>
            </c:numRef>
          </c:cat>
          <c:val>
            <c:numRef>
              <c:f>Sheet1!$B$36:$B$40</c:f>
              <c:numCache>
                <c:formatCode>General</c:formatCode>
                <c:ptCount val="5"/>
                <c:pt idx="0">
                  <c:v>171.6</c:v>
                </c:pt>
                <c:pt idx="1">
                  <c:v>171.6</c:v>
                </c:pt>
                <c:pt idx="2">
                  <c:v>171.62</c:v>
                </c:pt>
                <c:pt idx="3">
                  <c:v>171.59</c:v>
                </c:pt>
                <c:pt idx="4">
                  <c:v>171.58</c:v>
                </c:pt>
              </c:numCache>
            </c:numRef>
          </c:val>
          <c:smooth val="0"/>
        </c:ser>
        <c:ser>
          <c:idx val="1"/>
          <c:order val="1"/>
          <c:tx>
            <c:strRef>
              <c:f>Sheet1!$C$35</c:f>
              <c:strCache>
                <c:ptCount val="1"/>
                <c:pt idx="0">
                  <c:v>SDP</c:v>
                </c:pt>
              </c:strCache>
            </c:strRef>
          </c:tx>
          <c:marker>
            <c:symbol val="none"/>
          </c:marker>
          <c:cat>
            <c:numRef>
              <c:f>Sheet1!$A$36:$A$40</c:f>
              <c:numCache>
                <c:formatCode>General</c:formatCode>
                <c:ptCount val="5"/>
                <c:pt idx="0">
                  <c:v>1.0</c:v>
                </c:pt>
                <c:pt idx="1">
                  <c:v>2.0</c:v>
                </c:pt>
                <c:pt idx="2">
                  <c:v>3.0</c:v>
                </c:pt>
                <c:pt idx="3">
                  <c:v>4.0</c:v>
                </c:pt>
                <c:pt idx="4">
                  <c:v>5.0</c:v>
                </c:pt>
              </c:numCache>
            </c:numRef>
          </c:cat>
          <c:val>
            <c:numRef>
              <c:f>Sheet1!$C$36:$C$40</c:f>
              <c:numCache>
                <c:formatCode>General</c:formatCode>
                <c:ptCount val="5"/>
                <c:pt idx="0">
                  <c:v>140.68</c:v>
                </c:pt>
                <c:pt idx="1">
                  <c:v>140.66</c:v>
                </c:pt>
                <c:pt idx="2">
                  <c:v>140.72</c:v>
                </c:pt>
                <c:pt idx="3">
                  <c:v>140.72</c:v>
                </c:pt>
                <c:pt idx="4">
                  <c:v>140.59</c:v>
                </c:pt>
              </c:numCache>
            </c:numRef>
          </c:val>
          <c:smooth val="0"/>
        </c:ser>
        <c:ser>
          <c:idx val="2"/>
          <c:order val="2"/>
          <c:tx>
            <c:strRef>
              <c:f>Sheet1!$D$35</c:f>
              <c:strCache>
                <c:ptCount val="1"/>
                <c:pt idx="0">
                  <c:v>LLP</c:v>
                </c:pt>
              </c:strCache>
            </c:strRef>
          </c:tx>
          <c:marker>
            <c:symbol val="none"/>
          </c:marker>
          <c:cat>
            <c:numRef>
              <c:f>Sheet1!$A$36:$A$40</c:f>
              <c:numCache>
                <c:formatCode>General</c:formatCode>
                <c:ptCount val="5"/>
                <c:pt idx="0">
                  <c:v>1.0</c:v>
                </c:pt>
                <c:pt idx="1">
                  <c:v>2.0</c:v>
                </c:pt>
                <c:pt idx="2">
                  <c:v>3.0</c:v>
                </c:pt>
                <c:pt idx="3">
                  <c:v>4.0</c:v>
                </c:pt>
                <c:pt idx="4">
                  <c:v>5.0</c:v>
                </c:pt>
              </c:numCache>
            </c:numRef>
          </c:cat>
          <c:val>
            <c:numRef>
              <c:f>Sheet1!$D$36:$D$40</c:f>
              <c:numCache>
                <c:formatCode>General</c:formatCode>
                <c:ptCount val="5"/>
                <c:pt idx="0">
                  <c:v>190.07</c:v>
                </c:pt>
                <c:pt idx="1">
                  <c:v>189.17</c:v>
                </c:pt>
                <c:pt idx="2">
                  <c:v>188.72</c:v>
                </c:pt>
                <c:pt idx="3">
                  <c:v>188.46</c:v>
                </c:pt>
                <c:pt idx="4">
                  <c:v>188.28</c:v>
                </c:pt>
              </c:numCache>
            </c:numRef>
          </c:val>
          <c:smooth val="0"/>
        </c:ser>
        <c:dLbls>
          <c:showLegendKey val="0"/>
          <c:showVal val="0"/>
          <c:showCatName val="0"/>
          <c:showSerName val="0"/>
          <c:showPercent val="0"/>
          <c:showBubbleSize val="0"/>
        </c:dLbls>
        <c:marker val="1"/>
        <c:smooth val="0"/>
        <c:axId val="2115051784"/>
        <c:axId val="2115054728"/>
      </c:lineChart>
      <c:catAx>
        <c:axId val="2115051784"/>
        <c:scaling>
          <c:orientation val="minMax"/>
        </c:scaling>
        <c:delete val="0"/>
        <c:axPos val="b"/>
        <c:numFmt formatCode="General" sourceLinked="1"/>
        <c:majorTickMark val="out"/>
        <c:minorTickMark val="none"/>
        <c:tickLblPos val="nextTo"/>
        <c:crossAx val="2115054728"/>
        <c:crosses val="autoZero"/>
        <c:auto val="1"/>
        <c:lblAlgn val="ctr"/>
        <c:lblOffset val="100"/>
        <c:noMultiLvlLbl val="0"/>
      </c:catAx>
      <c:valAx>
        <c:axId val="2115054728"/>
        <c:scaling>
          <c:orientation val="minMax"/>
        </c:scaling>
        <c:delete val="0"/>
        <c:axPos val="l"/>
        <c:majorGridlines/>
        <c:numFmt formatCode="General" sourceLinked="1"/>
        <c:majorTickMark val="out"/>
        <c:minorTickMark val="none"/>
        <c:tickLblPos val="nextTo"/>
        <c:crossAx val="211505178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2895</Characters>
  <Application>Microsoft Macintosh Word</Application>
  <DocSecurity>0</DocSecurity>
  <Lines>24</Lines>
  <Paragraphs>6</Paragraphs>
  <ScaleCrop>false</ScaleCrop>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sohaibmushtaq</dc:creator>
  <cp:keywords/>
  <dc:description/>
  <cp:lastModifiedBy>sohaibmushtaq</cp:lastModifiedBy>
  <cp:revision>2</cp:revision>
  <dcterms:created xsi:type="dcterms:W3CDTF">2014-10-24T00:30:00Z</dcterms:created>
  <dcterms:modified xsi:type="dcterms:W3CDTF">2014-10-24T00:30:00Z</dcterms:modified>
</cp:coreProperties>
</file>