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jc w:val="center"/>
      </w:pPr>
      <w:r>
        <w:rPr>
          <w:rFonts w:ascii="黑体" w:hAnsi="黑体" w:eastAsia="黑体"/>
          <w:b/>
          <w:sz w:val="40"/>
        </w:rPr>
        <w:t>摩罗互娱网络安全整改方案</w:t>
      </w:r>
    </w:p>
    <w:p>
      <w:pPr>
        <w:spacing w:before="0" w:after="200" w:line="360" w:lineRule="auto"/>
        <w:jc w:val="center"/>
      </w:pPr>
      <w:r>
        <w:rPr>
          <w:rFonts w:ascii="黑体" w:hAnsi="黑体" w:eastAsia="黑体"/>
          <w:b/>
          <w:sz w:val="40"/>
        </w:rPr>
        <w:t>实施进度报告</w:t>
      </w:r>
    </w:p>
    <w:p>
      <w:pPr>
        <w:spacing w:before="40" w:after="40" w:line="312" w:lineRule="auto"/>
        <w:jc w:val="center"/>
      </w:pPr>
      <w:r>
        <w:rPr>
          <w:rFonts w:ascii="楷体" w:hAnsi="楷体" w:eastAsia="楷体"/>
          <w:b w:val="0"/>
          <w:sz w:val="22"/>
        </w:rPr>
        <w:t>依据：摩罗互娱网络安全整改方案技术服务合同</w:t>
      </w:r>
    </w:p>
    <w:p>
      <w:pPr>
        <w:spacing w:before="0" w:after="40" w:line="312" w:lineRule="auto"/>
        <w:jc w:val="center"/>
      </w:pPr>
      <w:r>
        <w:rPr>
          <w:rFonts w:ascii="楷体" w:hAnsi="楷体" w:eastAsia="楷体"/>
          <w:b/>
          <w:sz w:val="22"/>
        </w:rPr>
        <w:t>报告日期：2026年7月29日　　整体进度：约 70%</w:t>
      </w:r>
    </w:p>
    <w:p>
      <w:pPr>
        <w:spacing w:before="280" w:after="160" w:line="360" w:lineRule="auto"/>
      </w:pPr>
      <w:r>
        <w:rPr>
          <w:rFonts w:ascii="黑体" w:hAnsi="黑体" w:eastAsia="黑体"/>
          <w:b/>
          <w:sz w:val="28"/>
        </w:rPr>
        <w:t>一、概述</w:t>
      </w:r>
    </w:p>
    <w:p>
      <w:pPr>
        <w:spacing w:before="0" w:after="120" w:line="360" w:lineRule="auto"/>
        <w:ind w:firstLine="420"/>
      </w:pPr>
      <w:r>
        <w:rPr>
          <w:rFonts w:ascii="宋体" w:hAnsi="宋体" w:eastAsia="宋体"/>
          <w:b w:val="0"/>
          <w:sz w:val="24"/>
        </w:rPr>
        <w:t>根据《摩罗互娱网络安全整改方案技术服务合同》约定内容，本报告对当前网络安全整改工作的实施进展进行阶段性汇总。截至本报告日期，整体整改工作进度约达70%。整改工作围绕渗透测试与端口收敛、操作系统升级与核心/大地市服务器迁移、内网围墙重塑、AI代码审计与高风险接口治理等主线推进，重点降低老互娱生产环境公网暴露面，提升运维体系安全基线。本报告重点说明已完成事项、关键量化结果、后续迁移与加固计划，并附相关交付材料清单，供项目各方跟踪确认。</w:t>
      </w:r>
    </w:p>
    <w:p>
      <w:pPr>
        <w:spacing w:before="200" w:after="120" w:line="360" w:lineRule="auto"/>
      </w:pPr>
      <w:r>
        <w:rPr>
          <w:rFonts w:ascii="黑体" w:hAnsi="黑体" w:eastAsia="黑体"/>
          <w:b/>
          <w:sz w:val="24"/>
        </w:rPr>
        <w:t>（一）分项进度一览</w:t>
      </w:r>
    </w:p>
    <w:tbl>
      <w:tblPr>
        <w:tblW w:type="auto" w:w="0"/>
        <w:jc w:val="center"/>
        <w:tblLayout w:type="autofit"/>
        <w:tblLook w:firstColumn="1" w:firstRow="1" w:lastColumn="0" w:lastRow="0" w:noHBand="0" w:noVBand="1" w:val="04A0"/>
      </w:tblPr>
      <w:tblGrid>
        <w:gridCol w:w="3024"/>
        <w:gridCol w:w="3024"/>
        <w:gridCol w:w="3024"/>
      </w:tblGrid>
      <w:tr>
        <w:tc>
          <w:tcPr>
            <w:tcW w:type="dxa" w:w="2381"/>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整改事项</w:t>
            </w:r>
          </w:p>
        </w:tc>
        <w:tc>
          <w:tcPr>
            <w:tcW w:type="dxa" w:w="1587"/>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当前状态</w:t>
            </w:r>
          </w:p>
        </w:tc>
        <w:tc>
          <w:tcPr>
            <w:tcW w:type="dxa" w:w="3798"/>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完成情况说明</w:t>
            </w:r>
          </w:p>
        </w:tc>
      </w:tr>
      <w:tr>
        <w:tc>
          <w:tcPr>
            <w:tcW w:type="dxa" w:w="2381"/>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渗透测试与端口收敛</w:t>
            </w:r>
          </w:p>
        </w:tc>
        <w:tc>
          <w:tcPr>
            <w:tcW w:type="dxa" w:w="158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2172个端口核查处置完毕，非业务端口清零</w:t>
            </w:r>
          </w:p>
        </w:tc>
      </w:tr>
      <w:tr>
        <w:tc>
          <w:tcPr>
            <w:tcW w:type="dxa" w:w="2381"/>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核心服务器升级迁移</w:t>
            </w:r>
          </w:p>
        </w:tc>
        <w:tc>
          <w:tcPr>
            <w:tcW w:type="dxa" w:w="158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运维/跳板机/监控服务器升级至 Ubuntu 24.04</w:t>
            </w:r>
          </w:p>
        </w:tc>
      </w:tr>
      <w:tr>
        <w:tc>
          <w:tcPr>
            <w:tcW w:type="dxa" w:w="2381"/>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大地市操作系统迁移</w:t>
            </w:r>
          </w:p>
        </w:tc>
        <w:tc>
          <w:tcPr>
            <w:tcW w:type="dxa" w:w="158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进行中</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7个受攻击大地市中已完成3个</w:t>
            </w:r>
          </w:p>
        </w:tc>
      </w:tr>
      <w:tr>
        <w:tc>
          <w:tcPr>
            <w:tcW w:type="dxa" w:w="2381"/>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内网围墙重塑</w:t>
            </w:r>
          </w:p>
        </w:tc>
        <w:tc>
          <w:tcPr>
            <w:tcW w:type="dxa" w:w="158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非用户访问系统与接口已封锁进内网/VPN</w:t>
            </w:r>
          </w:p>
        </w:tc>
      </w:tr>
      <w:tr>
        <w:tc>
          <w:tcPr>
            <w:tcW w:type="dxa" w:w="2381"/>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AI代码审计与接口治理</w:t>
            </w:r>
          </w:p>
        </w:tc>
        <w:tc>
          <w:tcPr>
            <w:tcW w:type="dxa" w:w="158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基本完成</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对外PHP已替换为Go；配牌后门仅内网开放待加告警</w:t>
            </w:r>
          </w:p>
        </w:tc>
      </w:tr>
    </w:tbl>
    <w:p/>
    <w:p>
      <w:pPr>
        <w:spacing w:before="280" w:after="160" w:line="360" w:lineRule="auto"/>
      </w:pPr>
      <w:r>
        <w:rPr>
          <w:rFonts w:ascii="黑体" w:hAnsi="黑体" w:eastAsia="黑体"/>
          <w:b/>
          <w:sz w:val="28"/>
        </w:rPr>
        <w:t>二、渗透测试（已完成）</w:t>
      </w:r>
    </w:p>
    <w:p>
      <w:pPr>
        <w:spacing w:before="0" w:after="120" w:line="360" w:lineRule="auto"/>
        <w:ind w:firstLine="420"/>
      </w:pPr>
      <w:r>
        <w:rPr>
          <w:rFonts w:ascii="宋体" w:hAnsi="宋体" w:eastAsia="宋体"/>
          <w:b w:val="0"/>
          <w:sz w:val="24"/>
        </w:rPr>
        <w:t>老互娱生产环境渗透扫描覆盖公网开放端口共计2172个。经逐项核查与处置，非业务端口已全部关闭；业务端口中未使用端口已完成收敛；仍保留开放的业务端口均为确认为业务所需端口。</w:t>
      </w:r>
    </w:p>
    <w:p>
      <w:pPr>
        <w:spacing w:before="200" w:after="120" w:line="360" w:lineRule="auto"/>
      </w:pPr>
      <w:r>
        <w:rPr>
          <w:rFonts w:ascii="黑体" w:hAnsi="黑体" w:eastAsia="黑体"/>
          <w:b/>
          <w:sz w:val="24"/>
        </w:rPr>
        <w:t>（一）端口处理情况统计</w:t>
      </w:r>
    </w:p>
    <w:tbl>
      <w:tblPr>
        <w:tblW w:type="auto" w:w="0"/>
        <w:jc w:val="center"/>
        <w:tblLayout w:type="autofit"/>
        <w:tblLook w:firstColumn="1" w:firstRow="1" w:lastColumn="0" w:lastRow="0" w:noHBand="0" w:noVBand="1" w:val="04A0"/>
      </w:tblPr>
      <w:tblGrid>
        <w:gridCol w:w="3024"/>
        <w:gridCol w:w="3024"/>
        <w:gridCol w:w="3024"/>
      </w:tblGrid>
      <w:tr>
        <w:tc>
          <w:tcPr>
            <w:tcW w:type="dxa" w:w="1247"/>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序号</w:t>
            </w:r>
          </w:p>
        </w:tc>
        <w:tc>
          <w:tcPr>
            <w:tcW w:type="dxa" w:w="4252"/>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统计项</w:t>
            </w:r>
          </w:p>
        </w:tc>
        <w:tc>
          <w:tcPr>
            <w:tcW w:type="dxa" w:w="2268"/>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数量（个）</w:t>
            </w:r>
          </w:p>
        </w:tc>
      </w:tr>
      <w:tr>
        <w:tc>
          <w:tcPr>
            <w:tcW w:type="dxa" w:w="124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w:t>
            </w:r>
          </w:p>
        </w:tc>
        <w:tc>
          <w:tcPr>
            <w:tcW w:type="dxa" w:w="4252"/>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总的非业务端口</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289</w:t>
            </w:r>
          </w:p>
        </w:tc>
      </w:tr>
      <w:tr>
        <w:tc>
          <w:tcPr>
            <w:tcW w:type="dxa" w:w="124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w:t>
            </w:r>
          </w:p>
        </w:tc>
        <w:tc>
          <w:tcPr>
            <w:tcW w:type="dxa" w:w="4252"/>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总的业务端口</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1883</w:t>
            </w:r>
          </w:p>
        </w:tc>
      </w:tr>
      <w:tr>
        <w:tc>
          <w:tcPr>
            <w:tcW w:type="dxa" w:w="124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3</w:t>
            </w:r>
          </w:p>
        </w:tc>
        <w:tc>
          <w:tcPr>
            <w:tcW w:type="dxa" w:w="4252"/>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非业务端口已关闭</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289</w:t>
            </w:r>
          </w:p>
        </w:tc>
      </w:tr>
      <w:tr>
        <w:tc>
          <w:tcPr>
            <w:tcW w:type="dxa" w:w="124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4</w:t>
            </w:r>
          </w:p>
        </w:tc>
        <w:tc>
          <w:tcPr>
            <w:tcW w:type="dxa" w:w="4252"/>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业务端口已关闭（未使用）</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187</w:t>
            </w:r>
          </w:p>
        </w:tc>
      </w:tr>
      <w:tr>
        <w:tc>
          <w:tcPr>
            <w:tcW w:type="dxa" w:w="124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5</w:t>
            </w:r>
          </w:p>
        </w:tc>
        <w:tc>
          <w:tcPr>
            <w:tcW w:type="dxa" w:w="4252"/>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未关闭的非业务端口</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0</w:t>
            </w:r>
          </w:p>
        </w:tc>
      </w:tr>
      <w:tr>
        <w:tc>
          <w:tcPr>
            <w:tcW w:type="dxa" w:w="124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6</w:t>
            </w:r>
          </w:p>
        </w:tc>
        <w:tc>
          <w:tcPr>
            <w:tcW w:type="dxa" w:w="4252"/>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未关闭的业务端口</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1696</w:t>
            </w:r>
          </w:p>
        </w:tc>
      </w:tr>
    </w:tbl>
    <w:p/>
    <w:p>
      <w:pPr>
        <w:spacing w:before="200" w:after="120" w:line="360" w:lineRule="auto"/>
      </w:pPr>
      <w:r>
        <w:rPr>
          <w:rFonts w:ascii="黑体" w:hAnsi="黑体" w:eastAsia="黑体"/>
          <w:b/>
          <w:sz w:val="24"/>
        </w:rPr>
        <w:t>（二）服务端口归类关闭统计</w:t>
      </w:r>
    </w:p>
    <w:tbl>
      <w:tblPr>
        <w:tblW w:type="auto" w:w="0"/>
        <w:jc w:val="center"/>
        <w:tblLayout w:type="autofit"/>
        <w:tblLook w:firstColumn="1" w:firstRow="1" w:lastColumn="0" w:lastRow="0" w:noHBand="0" w:noVBand="1" w:val="04A0"/>
      </w:tblPr>
      <w:tblGrid>
        <w:gridCol w:w="3024"/>
        <w:gridCol w:w="3024"/>
        <w:gridCol w:w="3024"/>
      </w:tblGrid>
      <w:tr>
        <w:tc>
          <w:tcPr>
            <w:tcW w:type="dxa" w:w="1247"/>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序号</w:t>
            </w:r>
          </w:p>
        </w:tc>
        <w:tc>
          <w:tcPr>
            <w:tcW w:type="dxa" w:w="4252"/>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服务类型</w:t>
            </w:r>
          </w:p>
        </w:tc>
        <w:tc>
          <w:tcPr>
            <w:tcW w:type="dxa" w:w="2268"/>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关闭数量（个）</w:t>
            </w:r>
          </w:p>
        </w:tc>
      </w:tr>
      <w:tr>
        <w:tc>
          <w:tcPr>
            <w:tcW w:type="dxa" w:w="124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w:t>
            </w:r>
          </w:p>
        </w:tc>
        <w:tc>
          <w:tcPr>
            <w:tcW w:type="dxa" w:w="4252"/>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php-fpm 服务端口</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116</w:t>
            </w:r>
          </w:p>
        </w:tc>
      </w:tr>
      <w:tr>
        <w:tc>
          <w:tcPr>
            <w:tcW w:type="dxa" w:w="124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w:t>
            </w:r>
          </w:p>
        </w:tc>
        <w:tc>
          <w:tcPr>
            <w:tcW w:type="dxa" w:w="4252"/>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zabbix 服务端口</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88</w:t>
            </w:r>
          </w:p>
        </w:tc>
      </w:tr>
      <w:tr>
        <w:tc>
          <w:tcPr>
            <w:tcW w:type="dxa" w:w="1247"/>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3</w:t>
            </w:r>
          </w:p>
        </w:tc>
        <w:tc>
          <w:tcPr>
            <w:tcW w:type="dxa" w:w="4252"/>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sshd 服务端口</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33</w:t>
            </w:r>
          </w:p>
        </w:tc>
      </w:tr>
      <w:tr>
        <w:tc>
          <w:tcPr>
            <w:tcW w:type="dxa" w:w="1247"/>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4</w:t>
            </w:r>
          </w:p>
        </w:tc>
        <w:tc>
          <w:tcPr>
            <w:tcW w:type="dxa" w:w="4252"/>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clubserver 服务端口</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33</w:t>
            </w:r>
          </w:p>
        </w:tc>
      </w:tr>
    </w:tbl>
    <w:p/>
    <w:p>
      <w:pPr>
        <w:spacing w:before="200" w:after="120" w:line="360" w:lineRule="auto"/>
      </w:pPr>
      <w:r>
        <w:rPr>
          <w:rFonts w:ascii="黑体" w:hAnsi="黑体" w:eastAsia="黑体"/>
          <w:b/>
          <w:sz w:val="24"/>
        </w:rPr>
        <w:t>（三）关键整改结论</w:t>
      </w:r>
    </w:p>
    <w:p>
      <w:pPr>
        <w:spacing w:before="0" w:after="60" w:line="360" w:lineRule="auto"/>
        <w:ind w:left="420"/>
      </w:pPr>
      <w:r>
        <w:rPr>
          <w:rFonts w:ascii="宋体" w:hAnsi="宋体" w:eastAsia="宋体"/>
          <w:b w:val="0"/>
          <w:sz w:val="24"/>
        </w:rPr>
        <w:t>• 目前各地市外网已无 PHP 接口开放；公共服对外开放的 PHP 接口均已完成代码审查，存在风险的 PHP 接口已更新为 Go 重写。</w:t>
      </w:r>
    </w:p>
    <w:p>
      <w:pPr>
        <w:spacing w:before="0" w:after="60" w:line="360" w:lineRule="auto"/>
        <w:ind w:left="420"/>
      </w:pPr>
      <w:r>
        <w:rPr>
          <w:rFonts w:ascii="宋体" w:hAnsi="宋体" w:eastAsia="宋体"/>
          <w:b w:val="0"/>
          <w:sz w:val="24"/>
        </w:rPr>
        <w:t>• Zabbix、clubserver 等无需外网访问的内部服务，均已关闭外网访问。</w:t>
      </w:r>
    </w:p>
    <w:p>
      <w:pPr>
        <w:spacing w:before="0" w:after="60" w:line="360" w:lineRule="auto"/>
        <w:ind w:left="420"/>
      </w:pPr>
      <w:r>
        <w:rPr>
          <w:rFonts w:ascii="宋体" w:hAnsi="宋体" w:eastAsia="宋体"/>
          <w:b w:val="0"/>
          <w:sz w:val="24"/>
        </w:rPr>
        <w:t>• 高风险运维管理服务器的 SSH 端口已全部封入内网，仅允许由内部运维服务器进行管理。</w:t>
      </w:r>
    </w:p>
    <w:p>
      <w:pPr>
        <w:spacing w:before="200" w:after="120" w:line="360" w:lineRule="auto"/>
      </w:pPr>
      <w:r>
        <w:rPr>
          <w:rFonts w:ascii="黑体" w:hAnsi="黑体" w:eastAsia="黑体"/>
          <w:b/>
          <w:sz w:val="24"/>
        </w:rPr>
        <w:t>（四）相关交付材料</w:t>
      </w:r>
    </w:p>
    <w:p>
      <w:pPr>
        <w:spacing w:before="0" w:after="60" w:line="360" w:lineRule="auto"/>
      </w:pPr>
      <w:r>
        <w:rPr>
          <w:rFonts w:ascii="宋体" w:hAnsi="宋体" w:eastAsia="宋体"/>
          <w:b w:val="0"/>
          <w:sz w:val="24"/>
        </w:rPr>
        <w:t>未加固前端口开放情况：</w:t>
      </w:r>
    </w:p>
    <w:p>
      <w:pPr>
        <w:spacing w:before="0" w:after="60" w:line="360" w:lineRule="auto"/>
        <w:ind w:left="420"/>
      </w:pPr>
      <w:r>
        <w:rPr>
          <w:rFonts w:ascii="宋体" w:hAnsi="宋体" w:eastAsia="宋体"/>
          <w:b w:val="0"/>
          <w:sz w:val="24"/>
        </w:rPr>
        <w:t>• 地市生产服务器渗透开启端口服务表-复查完成.xlsx</w:t>
      </w:r>
    </w:p>
    <w:p>
      <w:pPr>
        <w:spacing w:before="0" w:after="60" w:line="360" w:lineRule="auto"/>
        <w:ind w:left="420"/>
      </w:pPr>
      <w:r>
        <w:rPr>
          <w:rFonts w:ascii="宋体" w:hAnsi="宋体" w:eastAsia="宋体"/>
          <w:b w:val="0"/>
          <w:sz w:val="24"/>
        </w:rPr>
        <w:t>• 公共服务器公网端口渗透扫结果-2026-06-10.xlsx</w:t>
      </w:r>
    </w:p>
    <w:p>
      <w:pPr>
        <w:spacing w:before="0" w:after="60" w:line="360" w:lineRule="auto"/>
      </w:pPr>
      <w:r>
        <w:rPr>
          <w:rFonts w:ascii="宋体" w:hAnsi="宋体" w:eastAsia="宋体"/>
          <w:b w:val="0"/>
          <w:sz w:val="24"/>
        </w:rPr>
        <w:t>加固后端口情况：</w:t>
      </w:r>
    </w:p>
    <w:p>
      <w:pPr>
        <w:spacing w:before="0" w:after="60" w:line="360" w:lineRule="auto"/>
        <w:ind w:left="420"/>
      </w:pPr>
      <w:r>
        <w:rPr>
          <w:rFonts w:ascii="宋体" w:hAnsi="宋体" w:eastAsia="宋体"/>
          <w:b w:val="0"/>
          <w:sz w:val="24"/>
        </w:rPr>
        <w:t>• 老互娱全量公网端口扫漏对比报告_20260729.xlsx</w:t>
      </w:r>
    </w:p>
    <w:p>
      <w:pPr>
        <w:spacing w:before="200" w:after="120" w:line="360" w:lineRule="auto"/>
      </w:pPr>
      <w:r>
        <w:rPr>
          <w:rFonts w:ascii="黑体" w:hAnsi="黑体" w:eastAsia="黑体"/>
          <w:b/>
          <w:sz w:val="24"/>
        </w:rPr>
        <w:t>（五）后续建议</w:t>
      </w:r>
    </w:p>
    <w:p>
      <w:pPr>
        <w:spacing w:before="0" w:after="120" w:line="360" w:lineRule="auto"/>
        <w:ind w:firstLine="420"/>
      </w:pPr>
      <w:r>
        <w:rPr>
          <w:rFonts w:ascii="宋体" w:hAnsi="宋体" w:eastAsia="宋体"/>
          <w:b w:val="0"/>
          <w:sz w:val="24"/>
        </w:rPr>
        <w:t>渗透测试方案已交付运维团队。建议后续按月执行一次外网端口扫描复查，持续确认公网暴露面无回流、无新增高风险端口开放，并将扫描结果纳入运维例行安全检查闭环。</w:t>
      </w:r>
    </w:p>
    <w:p>
      <w:pPr>
        <w:spacing w:before="280" w:after="160" w:line="360" w:lineRule="auto"/>
      </w:pPr>
      <w:r>
        <w:rPr>
          <w:rFonts w:ascii="黑体" w:hAnsi="黑体" w:eastAsia="黑体"/>
          <w:b/>
          <w:sz w:val="28"/>
        </w:rPr>
        <w:t>三、操作系统升级与服务器迁移</w:t>
      </w:r>
    </w:p>
    <w:p>
      <w:pPr>
        <w:spacing w:before="200" w:after="120" w:line="360" w:lineRule="auto"/>
      </w:pPr>
      <w:r>
        <w:rPr>
          <w:rFonts w:ascii="黑体" w:hAnsi="黑体" w:eastAsia="黑体"/>
          <w:b/>
          <w:sz w:val="24"/>
        </w:rPr>
        <w:t>（一）核心服务器升级迁移（已完成）</w:t>
      </w:r>
    </w:p>
    <w:p>
      <w:pPr>
        <w:spacing w:before="0" w:after="120" w:line="360" w:lineRule="auto"/>
        <w:ind w:firstLine="420"/>
      </w:pPr>
      <w:r>
        <w:rPr>
          <w:rFonts w:ascii="宋体" w:hAnsi="宋体" w:eastAsia="宋体"/>
          <w:b w:val="0"/>
          <w:sz w:val="24"/>
        </w:rPr>
        <w:t>运维服务器、跳板机服务器、监控服务器均已完成升级并迁移至 Ubuntu 24.04，弃用已失去官方系统漏洞修复支持的 CentOS 7，从操作系统层面降低已知漏洞长期暴露风险，夯实核心运维基础设施安全基线。</w:t>
      </w:r>
    </w:p>
    <w:p>
      <w:pPr>
        <w:spacing w:before="200" w:after="120" w:line="360" w:lineRule="auto"/>
      </w:pPr>
      <w:r>
        <w:rPr>
          <w:rFonts w:ascii="黑体" w:hAnsi="黑体" w:eastAsia="黑体"/>
          <w:b/>
          <w:sz w:val="24"/>
        </w:rPr>
        <w:t>（二）大地市操作系统升级与迁移</w:t>
      </w:r>
    </w:p>
    <w:p>
      <w:pPr>
        <w:spacing w:before="0" w:after="120" w:line="360" w:lineRule="auto"/>
        <w:ind w:firstLine="420"/>
      </w:pPr>
      <w:r>
        <w:rPr>
          <w:rFonts w:ascii="宋体" w:hAnsi="宋体" w:eastAsia="宋体"/>
          <w:b w:val="0"/>
          <w:sz w:val="24"/>
        </w:rPr>
        <w:t>目前已完成海满、摩罗长春、齐齐哈尔三大地市的操作系统及服务器迁移。铁岭因市场原因靠后处理。老互娱受攻击地市统计共有7个大地市，迁移进展说明如下。</w:t>
      </w:r>
    </w:p>
    <w:p>
      <w:pPr>
        <w:spacing w:before="0" w:after="120" w:line="360" w:lineRule="auto"/>
        <w:ind w:firstLine="420"/>
      </w:pPr>
      <w:r>
        <w:rPr>
          <w:rFonts w:ascii="宋体" w:hAnsi="宋体" w:eastAsia="宋体"/>
          <w:b w:val="0"/>
          <w:sz w:val="24"/>
        </w:rPr>
        <w:t>今年老互娱受攻击发生地市：新阜新、保定、铁岭、大连、海满、摩罗长春、齐齐哈尔。</w:t>
      </w:r>
    </w:p>
    <w:p>
      <w:pPr>
        <w:spacing w:before="0" w:after="120" w:line="360" w:lineRule="auto"/>
        <w:ind w:firstLine="420"/>
      </w:pPr>
      <w:r>
        <w:rPr>
          <w:rFonts w:ascii="宋体" w:hAnsi="宋体" w:eastAsia="宋体"/>
          <w:b w:val="0"/>
          <w:sz w:val="24"/>
        </w:rPr>
        <w:t>已完成迁移地市：海满、摩罗长春、齐齐哈尔。</w:t>
      </w:r>
    </w:p>
    <w:tbl>
      <w:tblPr>
        <w:tblW w:type="auto" w:w="0"/>
        <w:jc w:val="center"/>
        <w:tblLayout w:type="autofit"/>
        <w:tblLook w:firstColumn="1" w:firstRow="1" w:lastColumn="0" w:lastRow="0" w:noHBand="0" w:noVBand="1" w:val="04A0"/>
      </w:tblPr>
      <w:tblGrid>
        <w:gridCol w:w="3024"/>
        <w:gridCol w:w="3024"/>
        <w:gridCol w:w="3024"/>
      </w:tblGrid>
      <w:tr>
        <w:tc>
          <w:tcPr>
            <w:tcW w:type="dxa" w:w="1984"/>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地市</w:t>
            </w:r>
          </w:p>
        </w:tc>
        <w:tc>
          <w:tcPr>
            <w:tcW w:type="dxa" w:w="1984"/>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迁移状态</w:t>
            </w:r>
          </w:p>
        </w:tc>
        <w:tc>
          <w:tcPr>
            <w:tcW w:type="dxa" w:w="3798"/>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备注</w:t>
            </w:r>
          </w:p>
        </w:tc>
      </w:tr>
      <w:tr>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海满</w:t>
            </w:r>
          </w:p>
        </w:tc>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操作系统与服务器迁移完成</w:t>
            </w:r>
          </w:p>
        </w:tc>
      </w:tr>
      <w:tr>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摩罗长春</w:t>
            </w:r>
          </w:p>
        </w:tc>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操作系统与服务器迁移完成</w:t>
            </w:r>
          </w:p>
        </w:tc>
      </w:tr>
      <w:tr>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齐齐哈尔</w:t>
            </w:r>
          </w:p>
        </w:tc>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已完成</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操作系统与服务器迁移完成</w:t>
            </w:r>
          </w:p>
        </w:tc>
      </w:tr>
      <w:tr>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保定</w:t>
            </w:r>
          </w:p>
        </w:tc>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待迁移</w:t>
            </w:r>
          </w:p>
        </w:tc>
        <w:tc>
          <w:tcPr>
            <w:tcW w:type="dxa" w:w="379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后续迁移顺序第1位</w:t>
            </w:r>
          </w:p>
        </w:tc>
      </w:tr>
      <w:tr>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大连</w:t>
            </w:r>
          </w:p>
        </w:tc>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待迁移</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后续迁移顺序第2位</w:t>
            </w:r>
          </w:p>
        </w:tc>
      </w:tr>
      <w:tr>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新阜新</w:t>
            </w:r>
          </w:p>
        </w:tc>
        <w:tc>
          <w:tcPr>
            <w:tcW w:type="dxa" w:w="1984"/>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待迁移</w:t>
            </w:r>
          </w:p>
        </w:tc>
        <w:tc>
          <w:tcPr>
            <w:tcW w:type="dxa" w:w="379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后续迁移顺序第3位</w:t>
            </w:r>
          </w:p>
        </w:tc>
      </w:tr>
      <w:tr>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铁岭</w:t>
            </w:r>
          </w:p>
        </w:tc>
        <w:tc>
          <w:tcPr>
            <w:tcW w:type="dxa" w:w="1984"/>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待迁移</w:t>
            </w:r>
          </w:p>
        </w:tc>
        <w:tc>
          <w:tcPr>
            <w:tcW w:type="dxa" w:w="379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因市场原因靠后处理</w:t>
            </w:r>
          </w:p>
        </w:tc>
      </w:tr>
    </w:tbl>
    <w:p/>
    <w:p>
      <w:pPr>
        <w:spacing w:before="0" w:after="120" w:line="360" w:lineRule="auto"/>
        <w:ind w:firstLine="420"/>
      </w:pPr>
      <w:r>
        <w:rPr>
          <w:rFonts w:ascii="宋体" w:hAnsi="宋体" w:eastAsia="宋体"/>
          <w:b w:val="0"/>
          <w:sz w:val="24"/>
        </w:rPr>
        <w:t>后续迁移顺序建议为：保定 → 大连 → 新阜新 → 铁岭。其余地市可由运维团队规划逐步升级，或与后续降本方案一并统筹讨论推进。</w:t>
      </w:r>
    </w:p>
    <w:p>
      <w:pPr>
        <w:spacing w:before="280" w:after="160" w:line="360" w:lineRule="auto"/>
      </w:pPr>
      <w:r>
        <w:rPr>
          <w:rFonts w:ascii="黑体" w:hAnsi="黑体" w:eastAsia="黑体"/>
          <w:b/>
          <w:sz w:val="28"/>
        </w:rPr>
        <w:t>四、内网围墙重塑</w:t>
      </w:r>
    </w:p>
    <w:p>
      <w:pPr>
        <w:spacing w:before="0" w:after="120" w:line="360" w:lineRule="auto"/>
        <w:ind w:firstLine="420"/>
      </w:pPr>
      <w:r>
        <w:rPr>
          <w:rFonts w:ascii="宋体" w:hAnsi="宋体" w:eastAsia="宋体"/>
          <w:b w:val="0"/>
          <w:sz w:val="24"/>
        </w:rPr>
        <w:t>针对无需面向用户访问的系统与接口，已实施内网化与访问边界收敛，将相关服务封锁进内网及 VPN，降低外部攻击面。公网端口收敛与对比结果详见《老互娱全量公网端口扫漏对比报告_20260729.xlsx》。</w:t>
      </w:r>
    </w:p>
    <w:p>
      <w:pPr>
        <w:spacing w:before="0" w:after="120" w:line="360" w:lineRule="auto"/>
        <w:ind w:firstLine="420"/>
      </w:pPr>
      <w:r>
        <w:rPr>
          <w:rFonts w:ascii="宋体" w:hAnsi="宋体" w:eastAsia="宋体"/>
          <w:b w:val="0"/>
          <w:sz w:val="24"/>
        </w:rPr>
        <w:t>通过“业务必需开放、非业务一律关闭、内部服务内网化”的原则，形成更清晰的内外网隔离边界，使运维管理入口、监控组件、历史遗留内部服务等不再直接暴露于公网。</w:t>
      </w:r>
    </w:p>
    <w:p>
      <w:pPr>
        <w:spacing w:before="280" w:after="160" w:line="360" w:lineRule="auto"/>
      </w:pPr>
      <w:r>
        <w:rPr>
          <w:rFonts w:ascii="黑体" w:hAnsi="黑体" w:eastAsia="黑体"/>
          <w:b/>
          <w:sz w:val="28"/>
        </w:rPr>
        <w:t>五、AI代码审计与接口治理</w:t>
      </w:r>
    </w:p>
    <w:p>
      <w:pPr>
        <w:spacing w:before="0" w:after="60" w:line="360" w:lineRule="auto"/>
        <w:ind w:left="420"/>
      </w:pPr>
      <w:r>
        <w:rPr>
          <w:rFonts w:ascii="宋体" w:hAnsi="宋体" w:eastAsia="宋体"/>
          <w:b w:val="0"/>
          <w:sz w:val="24"/>
        </w:rPr>
        <w:t>• 所有对外 PHP 接口均已替换为 Go 接口，从技术栈层面消除外网 PHP 接口暴露风险。</w:t>
      </w:r>
    </w:p>
    <w:p>
      <w:pPr>
        <w:spacing w:before="0" w:after="60" w:line="360" w:lineRule="auto"/>
        <w:ind w:left="420"/>
      </w:pPr>
      <w:r>
        <w:rPr>
          <w:rFonts w:ascii="宋体" w:hAnsi="宋体" w:eastAsia="宋体"/>
          <w:b w:val="0"/>
          <w:sz w:val="24"/>
        </w:rPr>
        <w:t>• Go 与 C++ 接口经审计后，仅存一个用于配牌的后门接口；该接口仅内网开放，并将补充调用告警机制，一旦出现调用即在群内告警并及时处置。</w:t>
      </w:r>
    </w:p>
    <w:p>
      <w:pPr>
        <w:spacing w:before="0" w:after="120" w:line="360" w:lineRule="auto"/>
        <w:ind w:firstLine="420"/>
      </w:pPr>
      <w:r>
        <w:rPr>
          <w:rFonts w:ascii="宋体" w:hAnsi="宋体" w:eastAsia="宋体"/>
          <w:b w:val="0"/>
          <w:sz w:val="24"/>
        </w:rPr>
        <w:t>详细审计结论见：《Go 与 C++ 扫描报告.docx》。</w:t>
      </w:r>
    </w:p>
    <w:p>
      <w:pPr>
        <w:spacing w:before="280" w:after="160" w:line="360" w:lineRule="auto"/>
      </w:pPr>
      <w:r>
        <w:rPr>
          <w:rFonts w:ascii="黑体" w:hAnsi="黑体" w:eastAsia="黑体"/>
          <w:b/>
          <w:sz w:val="28"/>
        </w:rPr>
        <w:t>六、阶段性总结与下一步计划</w:t>
      </w:r>
    </w:p>
    <w:p>
      <w:pPr>
        <w:spacing w:before="0" w:after="120" w:line="360" w:lineRule="auto"/>
        <w:ind w:firstLine="420"/>
      </w:pPr>
      <w:r>
        <w:rPr>
          <w:rFonts w:ascii="宋体" w:hAnsi="宋体" w:eastAsia="宋体"/>
          <w:b w:val="0"/>
          <w:sz w:val="24"/>
        </w:rPr>
        <w:t>当前整改工作已完成渗透测试与端口收敛、核心运维基础设施升级迁移、部分受攻击大地市迁移、内网围墙重塑及对外 PHP 接口治理等关键任务，整体进度约70%。从效果看：公网非业务端口已清零；Zabbix、clubserver 等内部服务已取消外网访问；高风险 SSH 管理入口已全部内网化；各地市外网已无 PHP 接口开放，相关风险接口已完成 Go 重写替换。上述措施显著压缩了外部攻击面。</w:t>
      </w:r>
    </w:p>
    <w:p>
      <w:pPr>
        <w:spacing w:before="0" w:after="120" w:line="360" w:lineRule="auto"/>
        <w:ind w:firstLine="420"/>
      </w:pPr>
      <w:r>
        <w:rPr>
          <w:rFonts w:ascii="宋体" w:hAnsi="宋体" w:eastAsia="宋体"/>
          <w:b w:val="0"/>
          <w:sz w:val="24"/>
        </w:rPr>
        <w:t>尚未完成的主要工作集中在受攻击大地市的操作系统升级与服务器迁移。已完成海满、摩罗长春、齐齐哈尔；保定、大连、新阜新、铁岭仍待按序推进。同时，配牌后门接口的内网调用告警机制需尽快落地，形成发现—告警—处置闭环。</w:t>
      </w:r>
    </w:p>
    <w:p>
      <w:pPr>
        <w:spacing w:before="200" w:after="120" w:line="360" w:lineRule="auto"/>
      </w:pPr>
      <w:r>
        <w:rPr>
          <w:rFonts w:ascii="黑体" w:hAnsi="黑体" w:eastAsia="黑体"/>
          <w:b/>
          <w:sz w:val="24"/>
        </w:rPr>
        <w:t>（一）下一步重点工作</w:t>
      </w:r>
    </w:p>
    <w:p>
      <w:pPr>
        <w:spacing w:before="0" w:after="60" w:line="360" w:lineRule="auto"/>
        <w:ind w:left="420"/>
      </w:pPr>
      <w:r>
        <w:rPr>
          <w:rFonts w:ascii="宋体" w:hAnsi="宋体" w:eastAsia="宋体"/>
          <w:b w:val="0"/>
          <w:sz w:val="24"/>
        </w:rPr>
        <w:t>• 按既定顺序推进保定、大连、新阜新、铁岭等地市操作系统升级与服务器迁移。</w:t>
      </w:r>
    </w:p>
    <w:p>
      <w:pPr>
        <w:spacing w:before="0" w:after="60" w:line="360" w:lineRule="auto"/>
        <w:ind w:left="420"/>
      </w:pPr>
      <w:r>
        <w:rPr>
          <w:rFonts w:ascii="宋体" w:hAnsi="宋体" w:eastAsia="宋体"/>
          <w:b w:val="0"/>
          <w:sz w:val="24"/>
        </w:rPr>
        <w:t>• 由运维按月执行外网端口扫描复查，防止高风险端口回流，并将结果纳入例行安全检查。</w:t>
      </w:r>
    </w:p>
    <w:p>
      <w:pPr>
        <w:spacing w:before="0" w:after="60" w:line="360" w:lineRule="auto"/>
        <w:ind w:left="420"/>
      </w:pPr>
      <w:r>
        <w:rPr>
          <w:rFonts w:ascii="宋体" w:hAnsi="宋体" w:eastAsia="宋体"/>
          <w:b w:val="0"/>
          <w:sz w:val="24"/>
        </w:rPr>
        <w:t>• 完善配牌后门接口的内网调用告警与应急处置流程，确保异常调用可及时发现并响应。</w:t>
      </w:r>
    </w:p>
    <w:p>
      <w:pPr>
        <w:spacing w:before="0" w:after="60" w:line="360" w:lineRule="auto"/>
        <w:ind w:left="420"/>
      </w:pPr>
      <w:r>
        <w:rPr>
          <w:rFonts w:ascii="宋体" w:hAnsi="宋体" w:eastAsia="宋体"/>
          <w:b w:val="0"/>
          <w:sz w:val="24"/>
        </w:rPr>
        <w:t>• 结合降本方案，统筹剩余地市升级节奏与资源投入，避免重复建设与资源浪费。</w:t>
      </w:r>
    </w:p>
    <w:p>
      <w:pPr>
        <w:spacing w:before="200" w:after="120" w:line="360" w:lineRule="auto"/>
      </w:pPr>
      <w:r>
        <w:rPr>
          <w:rFonts w:ascii="黑体" w:hAnsi="黑体" w:eastAsia="黑体"/>
          <w:b/>
          <w:sz w:val="24"/>
        </w:rPr>
        <w:t>（二）附件清单</w:t>
      </w:r>
    </w:p>
    <w:tbl>
      <w:tblPr>
        <w:tblW w:type="auto" w:w="0"/>
        <w:jc w:val="center"/>
        <w:tblLayout w:type="autofit"/>
        <w:tblLook w:firstColumn="1" w:firstRow="1" w:lastColumn="0" w:lastRow="0" w:noHBand="0" w:noVBand="1" w:val="04A0"/>
      </w:tblPr>
      <w:tblGrid>
        <w:gridCol w:w="3024"/>
        <w:gridCol w:w="3024"/>
        <w:gridCol w:w="3024"/>
      </w:tblGrid>
      <w:tr>
        <w:tc>
          <w:tcPr>
            <w:tcW w:type="dxa" w:w="850"/>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序号</w:t>
            </w:r>
          </w:p>
        </w:tc>
        <w:tc>
          <w:tcPr>
            <w:tcW w:type="dxa" w:w="4649"/>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附件名称</w:t>
            </w:r>
          </w:p>
        </w:tc>
        <w:tc>
          <w:tcPr>
            <w:tcW w:type="dxa" w:w="2268"/>
            <w:shd w:fill="D9E2F3"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sz w:val="21"/>
              </w:rPr>
              <w:t>用途说明</w:t>
            </w:r>
          </w:p>
        </w:tc>
      </w:tr>
      <w:tr>
        <w:tc>
          <w:tcPr>
            <w:tcW w:type="dxa" w:w="850"/>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1</w:t>
            </w:r>
          </w:p>
        </w:tc>
        <w:tc>
          <w:tcPr>
            <w:tcW w:type="dxa" w:w="4649"/>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地市生产服务器渗透开启端口服务表-复查完成.xlsx</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加固前地市生产端口基线</w:t>
            </w:r>
          </w:p>
        </w:tc>
      </w:tr>
      <w:tr>
        <w:tc>
          <w:tcPr>
            <w:tcW w:type="dxa" w:w="850"/>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2</w:t>
            </w:r>
          </w:p>
        </w:tc>
        <w:tc>
          <w:tcPr>
            <w:tcW w:type="dxa" w:w="4649"/>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公共服务器公网端口渗透扫结果-2026-06-10.xlsx</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加固前公共服公网端口基线</w:t>
            </w:r>
          </w:p>
        </w:tc>
      </w:tr>
      <w:tr>
        <w:tc>
          <w:tcPr>
            <w:tcW w:type="dxa" w:w="850"/>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3</w:t>
            </w:r>
          </w:p>
        </w:tc>
        <w:tc>
          <w:tcPr>
            <w:tcW w:type="dxa" w:w="4649"/>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老互娱全量公网端口扫漏对比报告_20260729.xlsx</w:t>
            </w:r>
          </w:p>
        </w:tc>
        <w:tc>
          <w:tcPr>
            <w:tcW w:type="dxa" w:w="2268"/>
            <w:shd w:fill="FFFFFF"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加固前后端口对比与内网围墙结果</w:t>
            </w:r>
          </w:p>
        </w:tc>
      </w:tr>
      <w:tr>
        <w:tc>
          <w:tcPr>
            <w:tcW w:type="dxa" w:w="850"/>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4</w:t>
            </w:r>
          </w:p>
        </w:tc>
        <w:tc>
          <w:tcPr>
            <w:tcW w:type="dxa" w:w="4649"/>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Go 与 C++ 扫描报告.docx</w:t>
            </w:r>
          </w:p>
        </w:tc>
        <w:tc>
          <w:tcPr>
            <w:tcW w:type="dxa" w:w="2268"/>
            <w:shd w:fill="F2F2F2" w:val="clear"/>
            <w:tcBorders>
              <w:top w:val="single" w:sz="4" w:space="0" w:color="666666"/>
              <w:left w:val="single" w:sz="4" w:space="0" w:color="666666"/>
              <w:bottom w:val="single" w:sz="4" w:space="0" w:color="666666"/>
              <w:right w:val="single" w:sz="4" w:space="0" w:color="666666"/>
            </w:tcBorders>
          </w:tcPr>
          <w:p>
            <w:pPr>
              <w:spacing w:before="40" w:after="40" w:line="276" w:lineRule="auto"/>
              <w:jc w:val="center"/>
            </w:pPr>
            <w:r/>
            <w:r>
              <w:rPr>
                <w:rFonts w:ascii="宋体" w:hAnsi="宋体" w:eastAsia="宋体"/>
                <w:b w:val="0"/>
                <w:sz w:val="21"/>
              </w:rPr>
              <w:t>AI代码审计与接口治理明细</w:t>
            </w:r>
          </w:p>
        </w:tc>
      </w:tr>
    </w:tbl>
    <w:p/>
    <w:p>
      <w:pPr>
        <w:spacing w:before="280" w:after="80" w:line="360" w:lineRule="auto"/>
        <w:jc w:val="right"/>
      </w:pPr>
      <w:r>
        <w:rPr>
          <w:rFonts w:ascii="宋体" w:hAnsi="宋体" w:eastAsia="宋体"/>
          <w:b w:val="0"/>
          <w:sz w:val="24"/>
        </w:rPr>
        <w:t>报告编制日期：2026年7月29日</w:t>
      </w:r>
    </w:p>
    <w:p>
      <w:pPr>
        <w:spacing w:before="0" w:after="0" w:line="360" w:lineRule="auto"/>
        <w:jc w:val="right"/>
      </w:pPr>
      <w:r>
        <w:rPr>
          <w:rFonts w:ascii="楷体" w:hAnsi="楷体" w:eastAsia="楷体"/>
          <w:b w:val="0"/>
          <w:color w:val="666666"/>
          <w:sz w:val="22"/>
        </w:rPr>
        <w:t>（本报告为阶段性实施进度汇报）</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66666"/>
        <w:sz w:val="18"/>
      </w:rPr>
      <w:t xml:space="preserve">第 </w:t>
    </w:r>
    <w:r>
      <w:rPr>
        <w:rFonts w:ascii="宋体" w:hAnsi="宋体" w:eastAsia="宋体"/>
        <w:b w:val="0"/>
        <w:color w:val="666666"/>
        <w:sz w:val="18"/>
      </w:rPr>
      <w:fldChar w:fldCharType="begin"/>
      <w:instrText xml:space="preserve"> PAGE </w:instrText>
      <w:fldChar w:fldCharType="separate"/>
      <w:t>1</w:t>
      <w:fldChar w:fldCharType="end"/>
    </w:r>
    <w:r>
      <w:rPr>
        <w:rFonts w:ascii="宋体" w:hAnsi="宋体" w:eastAsia="宋体"/>
        <w:b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