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FF0B" w14:textId="39348451" w:rsidR="00EF1FF2" w:rsidRPr="005F6A05" w:rsidRDefault="00EF1FF2" w:rsidP="005501A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F6A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DECISION </w:t>
      </w:r>
      <w:r w:rsidRPr="005F6A05">
        <w:rPr>
          <w:rFonts w:ascii="Times New Roman" w:hAnsi="Times New Roman" w:cs="Times New Roman"/>
          <w:b/>
          <w:bCs/>
          <w:sz w:val="28"/>
          <w:szCs w:val="28"/>
          <w:u w:val="single"/>
        </w:rPr>
        <w:t>MEMORANDUM</w:t>
      </w:r>
    </w:p>
    <w:p w14:paraId="5B7629F4" w14:textId="1BC0F32B" w:rsidR="00EF1FF2" w:rsidRPr="00EF1FF2" w:rsidRDefault="00EF1FF2" w:rsidP="00EF1FF2">
      <w:pPr>
        <w:jc w:val="both"/>
        <w:rPr>
          <w:rFonts w:ascii="Times New Roman" w:hAnsi="Times New Roman" w:cs="Times New Roman"/>
        </w:rPr>
      </w:pPr>
      <w:r w:rsidRPr="005B5F47">
        <w:rPr>
          <w:rFonts w:ascii="Times New Roman" w:hAnsi="Times New Roman" w:cs="Times New Roman"/>
          <w:b/>
          <w:bCs/>
        </w:rPr>
        <w:t>TO:</w:t>
      </w:r>
      <w:r w:rsidRPr="00EF1FF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DecodeX</w:t>
      </w:r>
      <w:proofErr w:type="spellEnd"/>
      <w:r>
        <w:rPr>
          <w:rFonts w:ascii="Times New Roman" w:hAnsi="Times New Roman" w:cs="Times New Roman"/>
        </w:rPr>
        <w:t xml:space="preserve"> Team</w:t>
      </w:r>
    </w:p>
    <w:p w14:paraId="5F346821" w14:textId="62189FFC" w:rsidR="00EF1FF2" w:rsidRDefault="00EF1FF2" w:rsidP="00EF1FF2">
      <w:pPr>
        <w:jc w:val="both"/>
        <w:rPr>
          <w:rFonts w:ascii="Times New Roman" w:hAnsi="Times New Roman" w:cs="Times New Roman"/>
        </w:rPr>
      </w:pPr>
      <w:r w:rsidRPr="005B5F47">
        <w:rPr>
          <w:rFonts w:ascii="Times New Roman" w:hAnsi="Times New Roman" w:cs="Times New Roman"/>
          <w:b/>
          <w:bCs/>
        </w:rPr>
        <w:t>FROM:</w:t>
      </w:r>
      <w:r w:rsidRPr="00EF1F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Damned</w:t>
      </w:r>
    </w:p>
    <w:p w14:paraId="7BF68848" w14:textId="795DA173" w:rsidR="005B5F47" w:rsidRPr="00EF1FF2" w:rsidRDefault="005B5F47" w:rsidP="00EF1FF2">
      <w:pPr>
        <w:jc w:val="both"/>
        <w:rPr>
          <w:rFonts w:ascii="Times New Roman" w:hAnsi="Times New Roman" w:cs="Times New Roman"/>
        </w:rPr>
      </w:pPr>
      <w:r w:rsidRPr="005B5F47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1 March 2026</w:t>
      </w:r>
    </w:p>
    <w:p w14:paraId="788BA8CE" w14:textId="77777777" w:rsidR="00EF1FF2" w:rsidRDefault="00EF1FF2" w:rsidP="00EF1FF2">
      <w:pPr>
        <w:jc w:val="both"/>
        <w:rPr>
          <w:rFonts w:ascii="Times New Roman" w:hAnsi="Times New Roman" w:cs="Times New Roman"/>
        </w:rPr>
      </w:pPr>
      <w:r w:rsidRPr="005B5F47">
        <w:rPr>
          <w:rFonts w:ascii="Times New Roman" w:hAnsi="Times New Roman" w:cs="Times New Roman"/>
          <w:b/>
          <w:bCs/>
        </w:rPr>
        <w:t>SUBJECT:</w:t>
      </w:r>
      <w:r w:rsidRPr="00EF1FF2">
        <w:rPr>
          <w:rFonts w:ascii="Times New Roman" w:hAnsi="Times New Roman" w:cs="Times New Roman"/>
        </w:rPr>
        <w:t xml:space="preserve"> Stage 3 Accountability Audit &amp; 2026 Stabilized Design</w:t>
      </w:r>
    </w:p>
    <w:p w14:paraId="47AD18A5" w14:textId="00FA9E0B" w:rsidR="00BE5698" w:rsidRPr="00F522FA" w:rsidRDefault="00BE5698" w:rsidP="00EF1FF2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20D7D97A" w14:textId="77777777" w:rsidR="00EF1FF2" w:rsidRPr="00330280" w:rsidRDefault="00EF1FF2" w:rsidP="00EF1FF2">
      <w:pPr>
        <w:jc w:val="both"/>
        <w:rPr>
          <w:rFonts w:ascii="Times New Roman" w:hAnsi="Times New Roman" w:cs="Times New Roman"/>
          <w:b/>
          <w:bCs/>
        </w:rPr>
      </w:pPr>
      <w:r w:rsidRPr="00330280">
        <w:rPr>
          <w:rFonts w:ascii="Times New Roman" w:hAnsi="Times New Roman" w:cs="Times New Roman"/>
          <w:b/>
          <w:bCs/>
        </w:rPr>
        <w:t>1. What fundamentally changed after the regime shift?</w:t>
      </w:r>
    </w:p>
    <w:p w14:paraId="13BEF3B7" w14:textId="77777777" w:rsidR="00EF1FF2" w:rsidRDefault="00EF1FF2" w:rsidP="00EF1FF2">
      <w:p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sz w:val="22"/>
          <w:szCs w:val="22"/>
        </w:rPr>
        <w:t xml:space="preserve">The introduction of Metro Phase 2 on July 1, 2025, triggered a permanent structural break, but the network did not retain its initial Q3 shock intensity. By Q4, the system entered a "redistributed equilibrium." The fundamental change is </w:t>
      </w:r>
      <w:r w:rsidRPr="00EF1EA3">
        <w:rPr>
          <w:rFonts w:ascii="Times New Roman" w:hAnsi="Times New Roman" w:cs="Times New Roman"/>
          <w:b/>
          <w:bCs/>
          <w:sz w:val="22"/>
          <w:szCs w:val="22"/>
        </w:rPr>
        <w:t>Elasticity Decay</w:t>
      </w:r>
      <w:r w:rsidRPr="00EF1EA3">
        <w:rPr>
          <w:rFonts w:ascii="Times New Roman" w:hAnsi="Times New Roman" w:cs="Times New Roman"/>
          <w:sz w:val="22"/>
          <w:szCs w:val="22"/>
        </w:rPr>
        <w:t>. Severe surface congestion (Level 4/5) no longer triggers catastrophic +20% volume surges on surface routes. Metro Phase 2 now acts as a high-magnitude substitution sponge, absorbing congestion-driven volatility and insulating the surface fleet. Furthermore, the Q3 "Express Surge" plateaued at ~9,600 daily passengers, proving that initial Q3 Express route spikes were discovery-phase volatility, not infinite structural growth.</w:t>
      </w:r>
    </w:p>
    <w:p w14:paraId="662446C3" w14:textId="77777777" w:rsidR="00BE5698" w:rsidRPr="00F522FA" w:rsidRDefault="00BE5698" w:rsidP="00EF1FF2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1F987785" w14:textId="77777777" w:rsidR="00EF1FF2" w:rsidRPr="00330280" w:rsidRDefault="00EF1FF2" w:rsidP="00EF1FF2">
      <w:pPr>
        <w:jc w:val="both"/>
        <w:rPr>
          <w:rFonts w:ascii="Times New Roman" w:hAnsi="Times New Roman" w:cs="Times New Roman"/>
          <w:b/>
          <w:bCs/>
        </w:rPr>
      </w:pPr>
      <w:r w:rsidRPr="00330280">
        <w:rPr>
          <w:rFonts w:ascii="Times New Roman" w:hAnsi="Times New Roman" w:cs="Times New Roman"/>
          <w:b/>
          <w:bCs/>
        </w:rPr>
        <w:t>2. What trade-offs were accepted?</w:t>
      </w:r>
    </w:p>
    <w:p w14:paraId="372DDA18" w14:textId="77777777" w:rsidR="00EF1FF2" w:rsidRDefault="00EF1FF2" w:rsidP="00EF1FF2">
      <w:p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sz w:val="22"/>
          <w:szCs w:val="22"/>
        </w:rPr>
        <w:t xml:space="preserve">In transitioning from the Stage 2 crisis to the Q4 equilibrium, we accepted the trade-off of </w:t>
      </w:r>
      <w:r w:rsidRPr="00EF1EA3">
        <w:rPr>
          <w:rFonts w:ascii="Times New Roman" w:hAnsi="Times New Roman" w:cs="Times New Roman"/>
          <w:b/>
          <w:bCs/>
          <w:sz w:val="22"/>
          <w:szCs w:val="22"/>
        </w:rPr>
        <w:t>variance misestimation</w:t>
      </w:r>
      <w:r w:rsidRPr="00EF1EA3">
        <w:rPr>
          <w:rFonts w:ascii="Times New Roman" w:hAnsi="Times New Roman" w:cs="Times New Roman"/>
          <w:sz w:val="22"/>
          <w:szCs w:val="22"/>
        </w:rPr>
        <w:t>. Our Stage 2 models overreacted to the Q3 shock, resulting in an upward directional bias for Express routes and a downward bias for Feeder routes. We accept that our initial recommendation to cannibalize 35% of the Feeder fleet was excessive. By holding capacity rather than permanently stripping it, we successfully accommodated the +9.1% Q4 seasonal Feeder rebound (Winter Uplift) without causing platform failure.</w:t>
      </w:r>
    </w:p>
    <w:p w14:paraId="319ED0FE" w14:textId="77777777" w:rsidR="00BE5698" w:rsidRPr="00F522FA" w:rsidRDefault="00BE5698" w:rsidP="00EF1FF2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7514AE12" w14:textId="77777777" w:rsidR="00EF1FF2" w:rsidRPr="00330280" w:rsidRDefault="00EF1FF2" w:rsidP="00EF1FF2">
      <w:pPr>
        <w:jc w:val="both"/>
        <w:rPr>
          <w:rFonts w:ascii="Times New Roman" w:hAnsi="Times New Roman" w:cs="Times New Roman"/>
          <w:b/>
          <w:bCs/>
        </w:rPr>
      </w:pPr>
      <w:r w:rsidRPr="00330280">
        <w:rPr>
          <w:rFonts w:ascii="Times New Roman" w:hAnsi="Times New Roman" w:cs="Times New Roman"/>
          <w:b/>
          <w:bCs/>
        </w:rPr>
        <w:t>3. What final decision is recommended?</w:t>
      </w:r>
    </w:p>
    <w:p w14:paraId="3566E333" w14:textId="1CA3B572" w:rsidR="00EF1FF2" w:rsidRPr="00EF1EA3" w:rsidRDefault="00EF1FF2" w:rsidP="00EF1FF2">
      <w:p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sz w:val="22"/>
          <w:szCs w:val="22"/>
        </w:rPr>
        <w:t xml:space="preserve">We recommend abandoning reactive route cannibalization in </w:t>
      </w:r>
      <w:r w:rsidR="003D5EC7" w:rsidRPr="00EF1EA3">
        <w:rPr>
          <w:rFonts w:ascii="Times New Roman" w:hAnsi="Times New Roman" w:cs="Times New Roman"/>
          <w:sz w:val="22"/>
          <w:szCs w:val="22"/>
        </w:rPr>
        <w:t>favour</w:t>
      </w:r>
      <w:r w:rsidRPr="00EF1EA3">
        <w:rPr>
          <w:rFonts w:ascii="Times New Roman" w:hAnsi="Times New Roman" w:cs="Times New Roman"/>
          <w:sz w:val="22"/>
          <w:szCs w:val="22"/>
        </w:rPr>
        <w:t xml:space="preserve"> of a </w:t>
      </w:r>
      <w:r w:rsidRPr="00EF1EA3">
        <w:rPr>
          <w:rFonts w:ascii="Times New Roman" w:hAnsi="Times New Roman" w:cs="Times New Roman"/>
          <w:b/>
          <w:bCs/>
          <w:sz w:val="22"/>
          <w:szCs w:val="22"/>
        </w:rPr>
        <w:t>Stabilized 2026 Design</w:t>
      </w:r>
      <w:r w:rsidRPr="00EF1EA3">
        <w:rPr>
          <w:rFonts w:ascii="Times New Roman" w:hAnsi="Times New Roman" w:cs="Times New Roman"/>
          <w:sz w:val="22"/>
          <w:szCs w:val="22"/>
        </w:rPr>
        <w:t>:</w:t>
      </w:r>
    </w:p>
    <w:p w14:paraId="4726DC57" w14:textId="77777777" w:rsidR="00EF1FF2" w:rsidRPr="00EF1EA3" w:rsidRDefault="00EF1FF2" w:rsidP="00266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b/>
          <w:bCs/>
          <w:sz w:val="22"/>
          <w:szCs w:val="22"/>
        </w:rPr>
        <w:t>Express Capacity Calibration</w:t>
      </w:r>
      <w:r w:rsidRPr="00EF1EA3">
        <w:rPr>
          <w:rFonts w:ascii="Times New Roman" w:hAnsi="Times New Roman" w:cs="Times New Roman"/>
          <w:sz w:val="22"/>
          <w:szCs w:val="22"/>
        </w:rPr>
        <w:t>: Cap Express fleet deployment at current Q4 equilibrium levels. The transit bridge demand has reached its ceiling.</w:t>
      </w:r>
    </w:p>
    <w:p w14:paraId="38DFD404" w14:textId="77777777" w:rsidR="00EF1FF2" w:rsidRPr="00EF1EA3" w:rsidRDefault="00EF1FF2" w:rsidP="00266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b/>
          <w:bCs/>
          <w:sz w:val="22"/>
          <w:szCs w:val="22"/>
        </w:rPr>
        <w:t>Feeder Redesign ("Winter Flex")</w:t>
      </w:r>
      <w:r w:rsidRPr="00EF1EA3">
        <w:rPr>
          <w:rFonts w:ascii="Times New Roman" w:hAnsi="Times New Roman" w:cs="Times New Roman"/>
          <w:sz w:val="22"/>
          <w:szCs w:val="22"/>
        </w:rPr>
        <w:t>: Retain baseline Feeder capacity, but shift to a seasonal deployment model to exclusively capture the Q4–Q1 Winter Uplift.</w:t>
      </w:r>
    </w:p>
    <w:p w14:paraId="7DD57232" w14:textId="77777777" w:rsidR="00EF1FF2" w:rsidRDefault="00EF1FF2" w:rsidP="00266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b/>
          <w:bCs/>
          <w:sz w:val="22"/>
          <w:szCs w:val="22"/>
        </w:rPr>
        <w:t>Volatility Buffer Mechanism</w:t>
      </w:r>
      <w:r w:rsidRPr="00EF1EA3">
        <w:rPr>
          <w:rFonts w:ascii="Times New Roman" w:hAnsi="Times New Roman" w:cs="Times New Roman"/>
          <w:sz w:val="22"/>
          <w:szCs w:val="22"/>
        </w:rPr>
        <w:t xml:space="preserve">: Rationalize the overlapping CBD and Intercity routes to establish a </w:t>
      </w:r>
      <w:r w:rsidRPr="00EF1EA3">
        <w:rPr>
          <w:rFonts w:ascii="Times New Roman" w:hAnsi="Times New Roman" w:cs="Times New Roman"/>
          <w:b/>
          <w:bCs/>
          <w:sz w:val="22"/>
          <w:szCs w:val="22"/>
        </w:rPr>
        <w:t>10% Strategic Reserve Fleet</w:t>
      </w:r>
      <w:r w:rsidRPr="00EF1EA3">
        <w:rPr>
          <w:rFonts w:ascii="Times New Roman" w:hAnsi="Times New Roman" w:cs="Times New Roman"/>
          <w:sz w:val="22"/>
          <w:szCs w:val="22"/>
        </w:rPr>
        <w:t xml:space="preserve"> stationed at core depots. This buffer will only be deployed during localized Metro infrastructure outages, rather than as a daily congestion remedy.</w:t>
      </w:r>
    </w:p>
    <w:p w14:paraId="6CB38890" w14:textId="77777777" w:rsidR="00BE5698" w:rsidRPr="00F522FA" w:rsidRDefault="00BE5698" w:rsidP="00BE5698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008AD2B7" w14:textId="77777777" w:rsidR="00EF1FF2" w:rsidRPr="00330280" w:rsidRDefault="00EF1FF2" w:rsidP="00EF1FF2">
      <w:pPr>
        <w:jc w:val="both"/>
        <w:rPr>
          <w:rFonts w:ascii="Times New Roman" w:hAnsi="Times New Roman" w:cs="Times New Roman"/>
          <w:b/>
          <w:bCs/>
        </w:rPr>
      </w:pPr>
      <w:r w:rsidRPr="00330280">
        <w:rPr>
          <w:rFonts w:ascii="Times New Roman" w:hAnsi="Times New Roman" w:cs="Times New Roman"/>
          <w:b/>
          <w:bCs/>
        </w:rPr>
        <w:t>4. What risks remain?</w:t>
      </w:r>
    </w:p>
    <w:p w14:paraId="34DEAFB0" w14:textId="68C27531" w:rsidR="005F1EC7" w:rsidRPr="00EF1EA3" w:rsidRDefault="00EF1FF2" w:rsidP="00EF1FF2">
      <w:pPr>
        <w:jc w:val="both"/>
        <w:rPr>
          <w:rFonts w:ascii="Times New Roman" w:hAnsi="Times New Roman" w:cs="Times New Roman"/>
          <w:sz w:val="22"/>
          <w:szCs w:val="22"/>
        </w:rPr>
      </w:pPr>
      <w:r w:rsidRPr="00EF1EA3">
        <w:rPr>
          <w:rFonts w:ascii="Times New Roman" w:hAnsi="Times New Roman" w:cs="Times New Roman"/>
          <w:sz w:val="22"/>
          <w:szCs w:val="22"/>
        </w:rPr>
        <w:t xml:space="preserve">The primary remaining risk is </w:t>
      </w:r>
      <w:r w:rsidRPr="00EF1EA3">
        <w:rPr>
          <w:rFonts w:ascii="Times New Roman" w:hAnsi="Times New Roman" w:cs="Times New Roman"/>
          <w:b/>
          <w:bCs/>
          <w:sz w:val="22"/>
          <w:szCs w:val="22"/>
        </w:rPr>
        <w:t>Infrastructure Expansion Exposure</w:t>
      </w:r>
      <w:r w:rsidRPr="00EF1EA3">
        <w:rPr>
          <w:rFonts w:ascii="Times New Roman" w:hAnsi="Times New Roman" w:cs="Times New Roman"/>
          <w:sz w:val="22"/>
          <w:szCs w:val="22"/>
        </w:rPr>
        <w:t>. While the Metro currently absorbs congestion elasticity, any future outage or capacity constraint on the Metro Phase 2 line will instantly push that volatility back onto our Express surface bridges. Without the 10% Volatility Buffer mechanism in place, the surface network will experience an immediate cascading failure under a dual Metro-and-Traffic shock.</w:t>
      </w:r>
    </w:p>
    <w:sectPr w:rsidR="005F1EC7" w:rsidRPr="00EF1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A0512"/>
    <w:multiLevelType w:val="hybridMultilevel"/>
    <w:tmpl w:val="75B8A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F2"/>
    <w:rsid w:val="000F1678"/>
    <w:rsid w:val="00266B6A"/>
    <w:rsid w:val="00330280"/>
    <w:rsid w:val="003D5EC7"/>
    <w:rsid w:val="00496CEB"/>
    <w:rsid w:val="005501A7"/>
    <w:rsid w:val="005B5F47"/>
    <w:rsid w:val="005F1EC7"/>
    <w:rsid w:val="005F6A05"/>
    <w:rsid w:val="006F6A69"/>
    <w:rsid w:val="007A53B0"/>
    <w:rsid w:val="00976FD7"/>
    <w:rsid w:val="00B15C26"/>
    <w:rsid w:val="00BE5698"/>
    <w:rsid w:val="00EF1EA3"/>
    <w:rsid w:val="00EF1FF2"/>
    <w:rsid w:val="00F5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B93E0"/>
  <w15:chartTrackingRefBased/>
  <w15:docId w15:val="{2D25F766-0004-8845-AA53-BBD5027D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Mayank Sinha</dc:creator>
  <cp:keywords/>
  <dc:description/>
  <cp:lastModifiedBy>Sharad Mayank Sinha</cp:lastModifiedBy>
  <cp:revision>14</cp:revision>
  <dcterms:created xsi:type="dcterms:W3CDTF">2026-02-28T23:44:00Z</dcterms:created>
  <dcterms:modified xsi:type="dcterms:W3CDTF">2026-02-28T23:49:00Z</dcterms:modified>
</cp:coreProperties>
</file>