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9BCA" w14:textId="77777777" w:rsidR="00247B85" w:rsidRPr="00247B85" w:rsidRDefault="00247B85" w:rsidP="00247B85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TECHNICAL APPENDIX</w:t>
      </w:r>
    </w:p>
    <w:p w14:paraId="6A2E5EF4" w14:textId="242F15EF" w:rsidR="004555F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Decode X 2026 – Case 03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01 March 2026</w:t>
      </w:r>
      <w:r w:rsidR="004555F5" w:rsidRPr="004555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4555F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4555F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Name</w:t>
      </w:r>
      <w:r w:rsidR="004555F5"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4555F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555F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Damned</w:t>
      </w:r>
    </w:p>
    <w:p w14:paraId="647DDD4C" w14:textId="77777777" w:rsidR="00247B85" w:rsidRPr="00247B85" w:rsidRDefault="00247B85" w:rsidP="00247B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Longitudinal Methodology</w:t>
      </w:r>
    </w:p>
    <w:p w14:paraId="4B9F98E1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analytical framework was executed through a three-stage longitudinal study, tracking the network from a state of baseline expansion, through a severe structural shock, and into a redistributed equilibrium.</w:t>
      </w:r>
    </w:p>
    <w:p w14:paraId="44B8DBA3" w14:textId="77777777" w:rsidR="00247B85" w:rsidRPr="00247B85" w:rsidRDefault="00247B85" w:rsidP="00247B8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1 (Baseline Diagnostics):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Analyzed H1 2022–2025 data to decompose structural urban growth from severe cyclical macro-seasonality ("Summer Moderation"). We established the baseline "Catastrophic Loop" of congestion-driven demand surges.</w:t>
      </w:r>
    </w:p>
    <w:p w14:paraId="02CEC546" w14:textId="77777777" w:rsidR="00247B85" w:rsidRPr="00247B85" w:rsidRDefault="00247B85" w:rsidP="00247B8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2 (Regime Shift &amp; Intervention):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Following the July 1, 2025 Metro Phase 2 launch, we detected a permanent structural break. We quantified the immediate cannibalization of Feeder routes and the parallel volume surge on Express transit bridges, pivoting to a heuristic forecasting model.</w:t>
      </w:r>
    </w:p>
    <w:p w14:paraId="5172C5BA" w14:textId="77777777" w:rsidR="00247B85" w:rsidRPr="00247B85" w:rsidRDefault="00247B85" w:rsidP="00247B85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3 (Accountability &amp; Stabilization):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Utilizing the Q4 2025 out-of-time holdout data, we conducted a Forecast Performance Audit. We evaluated the decay of congestion elasticity and formulated a stabilized 2026 network design incorporating a quantified Volatility Buffer.</w:t>
      </w:r>
    </w:p>
    <w:p w14:paraId="3B184C5C" w14:textId="77777777" w:rsidR="00247B85" w:rsidRPr="00247B85" w:rsidRDefault="00247B85" w:rsidP="00247B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Model Specifications &amp; Mathematical Logic</w:t>
      </w:r>
    </w:p>
    <w:p w14:paraId="2E364375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the July 1 structural break, historical time-series weighting models (e.g., ARIMA) were mathematically invalidated. We therefore deployed empirical data aggregations and heuristic shock modifiers to maintain model transparency and prevent overfitting.</w:t>
      </w:r>
    </w:p>
    <w:p w14:paraId="164A2548" w14:textId="77777777" w:rsidR="003262EB" w:rsidRDefault="003262EB" w:rsidP="00FC02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B16683E" w14:textId="77777777" w:rsidR="003262EB" w:rsidRDefault="003262EB" w:rsidP="00FC02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323E5EE" w14:textId="0BEF746A" w:rsidR="00247B85" w:rsidRPr="00247B85" w:rsidRDefault="00247B85" w:rsidP="00FC020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2.1 Stage 1: Baseline Demand Decomposition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Baseline historical ridership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t</m:t>
            </m:r>
          </m:sub>
        </m:sSub>
      </m:oMath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was decomposed to separate secular growth from cyclical moderation:</w:t>
      </w:r>
    </w:p>
    <w:p w14:paraId="742AFEB7" w14:textId="3CA798D3" w:rsidR="00247B85" w:rsidRPr="00247B85" w:rsidRDefault="00000000" w:rsidP="0024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=Baselin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+Seasonalit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sub>
          </m:sSub>
        </m:oMath>
      </m:oMathPara>
    </w:p>
    <w:p w14:paraId="307A95D6" w14:textId="77777777" w:rsidR="00247B85" w:rsidRPr="00247B85" w:rsidRDefault="00247B85" w:rsidP="00247B8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Secular Growth: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Calculated via a linear trendline on historical aggregates, proving a +40% expansion on core corridors (Jan '22 vs Jan '25).</w:t>
      </w:r>
    </w:p>
    <w:p w14:paraId="69D30709" w14:textId="77777777" w:rsidR="00247B85" w:rsidRPr="00247B85" w:rsidRDefault="00247B85" w:rsidP="00247B85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Cyclical Moderation: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Quantified as a recurrent ~30% volume reduction during the June–August window across all non-tourism zones.</w:t>
      </w:r>
    </w:p>
    <w:p w14:paraId="5FC1CB5F" w14:textId="1CF4D666" w:rsidR="00247B85" w:rsidRPr="00247B85" w:rsidRDefault="00DC49AC" w:rsidP="00DC49A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7D1D26E" wp14:editId="6BB59DB5">
            <wp:extent cx="5731510" cy="2891790"/>
            <wp:effectExtent l="0" t="0" r="0" b="3810"/>
            <wp:docPr id="1658673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73220" name="Picture 1658673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47B85" w:rsidRPr="00247B8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t>Figure 1: Stage 1 Baseline Decomposition proving aggressive secular growth masked by recurring seasonal moderation.</w:t>
      </w:r>
    </w:p>
    <w:p w14:paraId="28A3D2F4" w14:textId="416A1F86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Stage 2: Heuristic Regime-Shift Forecasting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forecast Q4 2025 under the new Metro Phase 2 regime, we utilized a flat-multiplier heuristic model based exclusively on the new Q3 post-shock baseline:</w:t>
      </w:r>
    </w:p>
    <w:p w14:paraId="2FE0B382" w14:textId="77777777" w:rsidR="00247B85" w:rsidRPr="00247B85" w:rsidRDefault="00247B85" w:rsidP="0024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Forecas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Q4</m:t>
            </m:r>
          </m:sub>
        </m:sSub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=</m:t>
        </m:r>
        <m:acc>
          <m:accPr>
            <m:chr m:val="‾"/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Actua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en-GB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en-GB"/>
                    <w14:ligatures w14:val="none"/>
                  </w:rPr>
                  <m:t>Q3</m:t>
                </m:r>
              </m:sub>
            </m:sSub>
          </m:e>
        </m:acc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×(1+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0"/>
                <w:szCs w:val="20"/>
                <w:lang w:eastAsia="en-GB"/>
                <w14:ligatures w14:val="none"/>
              </w:rPr>
              <m:t>route</m:t>
            </m:r>
          </m:sub>
        </m:sSub>
        <m:r>
          <w:rPr>
            <w:rFonts w:ascii="Cambria Math" w:eastAsia="Times New Roman" w:hAnsi="Cambria Math" w:cs="Times New Roman"/>
            <w:kern w:val="0"/>
            <w:sz w:val="20"/>
            <w:szCs w:val="20"/>
            <w:lang w:eastAsia="en-GB"/>
            <w14:ligatures w14:val="none"/>
          </w:rPr>
          <m:t>)</m:t>
        </m:r>
      </m:oMath>
    </w:p>
    <w:p w14:paraId="5A534609" w14:textId="77777777" w:rsidR="00247B85" w:rsidRPr="00247B85" w:rsidRDefault="00247B85" w:rsidP="0024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3C5CFFC7" w14:textId="77777777" w:rsidR="00BF3010" w:rsidRPr="00BF3010" w:rsidRDefault="00000000" w:rsidP="00247B8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m:oMath>
        <m:acc>
          <m:accPr>
            <m:chr m:val="‾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Actua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Q3</m:t>
                </m:r>
              </m:sub>
            </m:sSub>
          </m:e>
        </m:acc>
      </m:oMath>
      <w:r w:rsidR="00247B85"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newly established daily average post-July 1.</w:t>
      </w:r>
      <w:r w:rsidR="00BF30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08E86CE" w14:textId="5CB9831F" w:rsidR="00247B85" w:rsidRPr="00247B85" w:rsidRDefault="00000000" w:rsidP="001C2709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="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route</m:t>
            </m:r>
          </m:sub>
        </m:sSub>
      </m:oMath>
      <w:r w:rsidR="00247B85" w:rsidRPr="00247B8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247B85"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(Volatility Modifier):</w:t>
      </w:r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assumed behavioral continuation multiplier. In Stage 2, we assigned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α=+0.10 </m:t>
        </m:r>
      </m:oMath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Express (assuming continued bridging growth) and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α=-0.05 </m:t>
        </m:r>
      </m:oMath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Feeders (assuming continued cannibalization).</w:t>
      </w:r>
    </w:p>
    <w:p w14:paraId="4113A448" w14:textId="02A36249" w:rsidR="00247B85" w:rsidRPr="00247B85" w:rsidRDefault="00247B85" w:rsidP="009963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2.3 Stage 3: Empirical Congestion Elasticity Gradient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quantify the decay of the "Catastrophic Loop," we calculated the empirical peak-to-trough demand gradient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E</m:t>
        </m:r>
      </m:oMath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across congestion levels rather than a parametric log-log regression:</w:t>
      </w:r>
    </w:p>
    <w:p w14:paraId="29922BA2" w14:textId="74ABECAB" w:rsidR="00247B85" w:rsidRPr="00247B85" w:rsidRDefault="00247B85" w:rsidP="0024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Deman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Level5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-Deman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Level1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Deman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Level1</m:t>
                  </m:r>
                </m:sub>
              </m:sSub>
            </m:den>
          </m:f>
        </m:oMath>
      </m:oMathPara>
    </w:p>
    <w:p w14:paraId="1706073B" w14:textId="33A6DDC7" w:rsidR="00247B85" w:rsidRPr="00247B85" w:rsidRDefault="00247B85" w:rsidP="00DD5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 Stage 1 (H1), the congestion gradient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E</m:t>
        </m:r>
      </m:oMath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was highly positive (+18% to +20%). In Stage 3 (Q4),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E </m:t>
        </m:r>
      </m:oMath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decayed to &lt;10% for Express and &lt;5% for City routes.</w:t>
      </w:r>
    </w:p>
    <w:p w14:paraId="5D50299D" w14:textId="7579EBCD" w:rsidR="00247B85" w:rsidRPr="00247B85" w:rsidRDefault="005844BD" w:rsidP="005844B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1581BCB" wp14:editId="644BA0C0">
            <wp:extent cx="5731510" cy="3671570"/>
            <wp:effectExtent l="0" t="0" r="0" b="0"/>
            <wp:docPr id="1154422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2775" name="Picture 11544227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47B85" w:rsidRPr="00247B85">
        <w:rPr>
          <w:rFonts w:ascii="Times New Roman" w:eastAsia="Times New Roman" w:hAnsi="Times New Roman" w:cs="Times New Roman"/>
          <w:i/>
          <w:iCs/>
          <w:kern w:val="0"/>
          <w:sz w:val="21"/>
          <w:szCs w:val="21"/>
          <w:lang w:eastAsia="en-GB"/>
          <w14:ligatures w14:val="none"/>
        </w:rPr>
        <w:t>Figure 2: Empirical mapping of elasticity decay. The Q4 (Post-Metro) line demonstrates a flattened gradient, with the shaded region quantifying the systemic volatility absorbed by Metro Phase 2.</w:t>
      </w:r>
    </w:p>
    <w:p w14:paraId="67595B4D" w14:textId="77777777" w:rsidR="00247B85" w:rsidRPr="00247B85" w:rsidRDefault="00247B85" w:rsidP="00247B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Evolution of Assumptions</w:t>
      </w:r>
    </w:p>
    <w:p w14:paraId="6A108F0F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 structural models relied on evolving assumptions as the network transitioned through the shock:</w:t>
      </w:r>
    </w:p>
    <w:p w14:paraId="184D167B" w14:textId="77777777" w:rsidR="00247B85" w:rsidRPr="00247B85" w:rsidRDefault="00247B85" w:rsidP="00247B8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1 Assumptions (Pre-Shock):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assumed passenger demand was highly inelastic to surface traffic delays. During Level 5 gridlock, passengers had no alternative transit, forcing demand to spike exactly when fleet cycle times halved.</w:t>
      </w:r>
    </w:p>
    <w:p w14:paraId="606432F7" w14:textId="65CCFE72" w:rsidR="00247B85" w:rsidRPr="00247B85" w:rsidRDefault="00247B85" w:rsidP="00247B8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Stage 2 Assumptions (The Regime Shift):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assumed the Q3 "discovery phase" volatility</w:t>
      </w:r>
      <w:r w:rsidR="00DA5E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users aggressively tested the new Express bridges while abandoning Feeders</w:t>
      </w:r>
      <w:r w:rsidR="00DA5E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represented a permanent, linear growth/decay trajectory.</w:t>
      </w:r>
    </w:p>
    <w:p w14:paraId="7F04161A" w14:textId="77777777" w:rsidR="00247B85" w:rsidRPr="00247B85" w:rsidRDefault="00247B85" w:rsidP="00247B85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Stage 3 Assumptions (The Stabilized Equilibrium):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updated our core assumption to recognize </w:t>
      </w: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cross-transit substitution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Metro Phase 2 permanently absorbs excess surface congestion shocks. Furthermore, the Q4 "Winter Uplift" acts as a recurring seasonal macro-cycle (+9.1% Feeder rebound) that overrides localized Metro cannibalization.</w:t>
      </w:r>
    </w:p>
    <w:p w14:paraId="5AD0E49F" w14:textId="77777777" w:rsidR="00247B85" w:rsidRPr="00247B85" w:rsidRDefault="00247B85" w:rsidP="00247B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Validation Approach &amp; Accountability Audit</w:t>
      </w:r>
    </w:p>
    <w:p w14:paraId="1ADF874C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validated our Stage 2 recalibrated models against the out-of-time Q4 2025 dataset via a rigorous performance audit, acknowledging directional bias.</w:t>
      </w:r>
    </w:p>
    <w:p w14:paraId="0C5638CB" w14:textId="55256446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Evaluation Metric: Percentage Forecast Error (PFE)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identify variance misestimation, we quantified the directional bias using PFE at the route-type aggregation:</w:t>
      </w:r>
    </w:p>
    <w:p w14:paraId="62CD707A" w14:textId="64881F4B" w:rsidR="00247B85" w:rsidRPr="00247B85" w:rsidRDefault="00247B85" w:rsidP="00247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PFE=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Forecas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Stage2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-Actua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Q4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0"/>
                  <w:szCs w:val="20"/>
                  <w:lang w:eastAsia="en-GB"/>
                  <w14:ligatures w14:val="none"/>
                </w:rPr>
                <m:t>Actua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Q4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0"/>
              <w:szCs w:val="20"/>
              <w:lang w:eastAsia="en-GB"/>
              <w14:ligatures w14:val="none"/>
            </w:rPr>
            <m:t>×100</m:t>
          </m:r>
        </m:oMath>
      </m:oMathPara>
    </w:p>
    <w:p w14:paraId="65F20377" w14:textId="1684BE14" w:rsidR="00247B85" w:rsidRPr="00247B85" w:rsidRDefault="00247B85" w:rsidP="00E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  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47B8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(Note: A positive PFE indicates an upward bias/over-forecasting; a negative PFE indicates a downward bias/under-forecasting).</w:t>
      </w:r>
    </w:p>
    <w:p w14:paraId="107BE58B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 Audit Findings &amp; Variance Misestimation</w:t>
      </w:r>
    </w:p>
    <w:p w14:paraId="7C21BBE4" w14:textId="77777777" w:rsidR="00247B85" w:rsidRPr="00247B85" w:rsidRDefault="00247B85" w:rsidP="00247B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Express Routes (Upward Bias):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Stage 2 forecasted exponential growth. Q4 Actuals stabilized at an average of 9,686 pax/day. The model exhibited a </w:t>
      </w: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positive upward bias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(+15% PFE), proving we overreacted to the Q3 surge.</w:t>
      </w:r>
    </w:p>
    <w:p w14:paraId="35321516" w14:textId="77777777" w:rsidR="00247B85" w:rsidRPr="00247B85" w:rsidRDefault="00247B85" w:rsidP="00247B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Feeder Routes (Downward Bias):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Stage 2 forecasted permanent decay. Q4 Actuals rebounded to 6,356 pax/day. The model exhibited a </w:t>
      </w: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negative downward bias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(-10% PFE).</w:t>
      </w:r>
    </w:p>
    <w:p w14:paraId="5D5FBF30" w14:textId="77777777" w:rsidR="00247B85" w:rsidRPr="00247B85" w:rsidRDefault="00247B85" w:rsidP="00247B85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mathematical validation proves our Stage 2 recommendation to cannibalize 35% of the Feeder fleet was excessive. The network required capacity retention to handle the Q4 seasonal stabilization.</w:t>
      </w:r>
    </w:p>
    <w:p w14:paraId="3D36783E" w14:textId="78A4B153" w:rsidR="00247B85" w:rsidRPr="00247B85" w:rsidRDefault="003772ED" w:rsidP="003772E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6133B0FD" wp14:editId="67F6B31B">
            <wp:extent cx="5731510" cy="4406900"/>
            <wp:effectExtent l="0" t="0" r="0" b="0"/>
            <wp:docPr id="937680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0381" name="Picture 9376803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47B85" w:rsidRPr="00247B8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n-GB"/>
          <w14:ligatures w14:val="none"/>
        </w:rPr>
        <w:t>Figure 3: Route-level Directional Bias confirming variance misestimation. Express routes show over-forecasting, Feeders show under-forecasting.</w:t>
      </w:r>
    </w:p>
    <w:p w14:paraId="6DAFBA43" w14:textId="77777777" w:rsidR="00247B85" w:rsidRPr="00247B85" w:rsidRDefault="00247B85" w:rsidP="00247B8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Sensitivity Analysis &amp; Risk Exposure</w:t>
      </w:r>
    </w:p>
    <w:p w14:paraId="09899115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construct a robust 2026 Forward Strategy, we stress-tested the network under varying capacity and elasticity constraints.</w:t>
      </w:r>
    </w:p>
    <w:p w14:paraId="7D8F85F4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Congestion Sensitivity Stabilization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Under Q4 parameters, sensitivity to Level 5 congestion has effectively neutralized. A simulated drop in network speed to 17 km/h previously triggered a +20% platform overload risk. Under current post-Metro conditions, the same speed drop triggers &lt;5% excess volume.</w:t>
      </w:r>
    </w:p>
    <w:p w14:paraId="0612CBBE" w14:textId="77777777" w:rsidR="00247B85" w:rsidRPr="00247B85" w:rsidRDefault="00247B85" w:rsidP="00247B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Infrastructure Outage Exposure (The Volatility Buffer Justification)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modeled a high-risk sensitivity scenario: the temporary removal of the Metro Phase 2 substitution effect (e.g., a localized train failure or major municipal event).</w:t>
      </w:r>
    </w:p>
    <w:p w14:paraId="1A1EF34B" w14:textId="77777777" w:rsidR="00247B85" w:rsidRPr="00247B85" w:rsidRDefault="00247B85" w:rsidP="00247B8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Sensitivity: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the Metro acting as an elasticity sponge, the +20% demand surge instantly reverts to the surface Express network.</w:t>
      </w:r>
    </w:p>
    <w:p w14:paraId="306851B9" w14:textId="77777777" w:rsidR="00247B85" w:rsidRPr="00247B85" w:rsidRDefault="00247B85" w:rsidP="00247B85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7B8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Optimization Strategy: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Operating the 2026 fleet at 100% route utilization leaves a 0% margin for this structural shock. Therefore, we propose a </w:t>
      </w: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CBD Rationalization Framework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eliminating redundant overlapping City routes to establish a </w:t>
      </w:r>
      <w:r w:rsidRPr="00247B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10% Strategic Volatility Buffer</w:t>
      </w:r>
      <w:r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capacity will be held at core depots to exclusively manage high-sensitivity tail-risk events.</w:t>
      </w:r>
    </w:p>
    <w:p w14:paraId="0445AC8F" w14:textId="2ACDF335" w:rsidR="005F1EC7" w:rsidRPr="000E2792" w:rsidRDefault="001E65E1" w:rsidP="000E279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EA56775" wp14:editId="7AD86CED">
            <wp:extent cx="5731510" cy="4794885"/>
            <wp:effectExtent l="0" t="0" r="0" b="5715"/>
            <wp:docPr id="1315743052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43052" name="Picture 8" descr="A screenshot of a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B85" w:rsidRPr="00247B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47B85" w:rsidRPr="00247B8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Figure 4: Fleet rationalization translating directly into the 10% Volatility Buffer, mitigating future infrastructure risk exposure.</w:t>
      </w:r>
    </w:p>
    <w:sectPr w:rsidR="005F1EC7" w:rsidRPr="000E2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12A"/>
    <w:multiLevelType w:val="multilevel"/>
    <w:tmpl w:val="47B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2333A"/>
    <w:multiLevelType w:val="multilevel"/>
    <w:tmpl w:val="CC2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F7C07"/>
    <w:multiLevelType w:val="multilevel"/>
    <w:tmpl w:val="C814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008C2"/>
    <w:multiLevelType w:val="multilevel"/>
    <w:tmpl w:val="433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1DB0"/>
    <w:multiLevelType w:val="multilevel"/>
    <w:tmpl w:val="514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F7B69"/>
    <w:multiLevelType w:val="multilevel"/>
    <w:tmpl w:val="A13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A135C"/>
    <w:multiLevelType w:val="multilevel"/>
    <w:tmpl w:val="BAF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C7E88"/>
    <w:multiLevelType w:val="multilevel"/>
    <w:tmpl w:val="F3E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078BF"/>
    <w:multiLevelType w:val="multilevel"/>
    <w:tmpl w:val="67F2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01E7D"/>
    <w:multiLevelType w:val="multilevel"/>
    <w:tmpl w:val="A242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660CA"/>
    <w:multiLevelType w:val="multilevel"/>
    <w:tmpl w:val="E07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D5647"/>
    <w:multiLevelType w:val="multilevel"/>
    <w:tmpl w:val="368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E651F"/>
    <w:multiLevelType w:val="multilevel"/>
    <w:tmpl w:val="5D6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E4F4D"/>
    <w:multiLevelType w:val="multilevel"/>
    <w:tmpl w:val="04E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444368">
    <w:abstractNumId w:val="8"/>
  </w:num>
  <w:num w:numId="2" w16cid:durableId="1666131937">
    <w:abstractNumId w:val="11"/>
  </w:num>
  <w:num w:numId="3" w16cid:durableId="616833421">
    <w:abstractNumId w:val="0"/>
  </w:num>
  <w:num w:numId="4" w16cid:durableId="1446269587">
    <w:abstractNumId w:val="7"/>
  </w:num>
  <w:num w:numId="5" w16cid:durableId="1609967768">
    <w:abstractNumId w:val="6"/>
  </w:num>
  <w:num w:numId="6" w16cid:durableId="2068871636">
    <w:abstractNumId w:val="13"/>
  </w:num>
  <w:num w:numId="7" w16cid:durableId="1838232626">
    <w:abstractNumId w:val="2"/>
  </w:num>
  <w:num w:numId="8" w16cid:durableId="625089652">
    <w:abstractNumId w:val="9"/>
  </w:num>
  <w:num w:numId="9" w16cid:durableId="1332100329">
    <w:abstractNumId w:val="5"/>
  </w:num>
  <w:num w:numId="10" w16cid:durableId="1999378065">
    <w:abstractNumId w:val="1"/>
  </w:num>
  <w:num w:numId="11" w16cid:durableId="1460879326">
    <w:abstractNumId w:val="4"/>
  </w:num>
  <w:num w:numId="12" w16cid:durableId="438722075">
    <w:abstractNumId w:val="12"/>
  </w:num>
  <w:num w:numId="13" w16cid:durableId="1554151241">
    <w:abstractNumId w:val="3"/>
  </w:num>
  <w:num w:numId="14" w16cid:durableId="19056761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9"/>
    <w:rsid w:val="0001735D"/>
    <w:rsid w:val="00046597"/>
    <w:rsid w:val="00064ED5"/>
    <w:rsid w:val="000914A4"/>
    <w:rsid w:val="000D01DC"/>
    <w:rsid w:val="000E2792"/>
    <w:rsid w:val="00113701"/>
    <w:rsid w:val="001207AA"/>
    <w:rsid w:val="001C2709"/>
    <w:rsid w:val="001E65E1"/>
    <w:rsid w:val="002212C1"/>
    <w:rsid w:val="00247B85"/>
    <w:rsid w:val="00282AF9"/>
    <w:rsid w:val="002F37E4"/>
    <w:rsid w:val="00324A49"/>
    <w:rsid w:val="003262EB"/>
    <w:rsid w:val="003459F1"/>
    <w:rsid w:val="003772ED"/>
    <w:rsid w:val="003A0A93"/>
    <w:rsid w:val="003F3F5E"/>
    <w:rsid w:val="00443510"/>
    <w:rsid w:val="004555F5"/>
    <w:rsid w:val="00473A94"/>
    <w:rsid w:val="005242F8"/>
    <w:rsid w:val="00537DE9"/>
    <w:rsid w:val="005844BD"/>
    <w:rsid w:val="005B4244"/>
    <w:rsid w:val="005C30B3"/>
    <w:rsid w:val="005F1EC7"/>
    <w:rsid w:val="006454CA"/>
    <w:rsid w:val="006A72A2"/>
    <w:rsid w:val="006F6C00"/>
    <w:rsid w:val="00706DF3"/>
    <w:rsid w:val="007668DC"/>
    <w:rsid w:val="007A4D29"/>
    <w:rsid w:val="007A5A36"/>
    <w:rsid w:val="008B6480"/>
    <w:rsid w:val="00931CD1"/>
    <w:rsid w:val="00944981"/>
    <w:rsid w:val="00976FD7"/>
    <w:rsid w:val="0099636B"/>
    <w:rsid w:val="00A03107"/>
    <w:rsid w:val="00A04D9A"/>
    <w:rsid w:val="00A774E8"/>
    <w:rsid w:val="00A86CC1"/>
    <w:rsid w:val="00AB1482"/>
    <w:rsid w:val="00B16740"/>
    <w:rsid w:val="00BA085B"/>
    <w:rsid w:val="00BF3010"/>
    <w:rsid w:val="00C667D7"/>
    <w:rsid w:val="00C66E16"/>
    <w:rsid w:val="00D01AF7"/>
    <w:rsid w:val="00D17C90"/>
    <w:rsid w:val="00DA5EDB"/>
    <w:rsid w:val="00DC49AC"/>
    <w:rsid w:val="00DD5328"/>
    <w:rsid w:val="00E20C06"/>
    <w:rsid w:val="00E5420A"/>
    <w:rsid w:val="00E807AF"/>
    <w:rsid w:val="00E93F03"/>
    <w:rsid w:val="00FC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7162"/>
  <w15:chartTrackingRefBased/>
  <w15:docId w15:val="{F521C3D5-8C2C-5D49-A5F4-51AF0AE9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49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324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star-inserted1">
    <w:name w:val="ng-star-inserted1"/>
    <w:basedOn w:val="DefaultParagraphFont"/>
    <w:rsid w:val="00324A49"/>
  </w:style>
  <w:style w:type="character" w:styleId="Strong">
    <w:name w:val="Strong"/>
    <w:basedOn w:val="DefaultParagraphFont"/>
    <w:uiPriority w:val="22"/>
    <w:qFormat/>
    <w:rsid w:val="00324A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A4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inline-code">
    <w:name w:val="inline-code"/>
    <w:basedOn w:val="DefaultParagraphFont"/>
    <w:rsid w:val="00324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1039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Mayank Sinha</dc:creator>
  <cp:keywords/>
  <dc:description/>
  <cp:lastModifiedBy>Sharad Mayank Sinha</cp:lastModifiedBy>
  <cp:revision>57</cp:revision>
  <dcterms:created xsi:type="dcterms:W3CDTF">2026-03-01T00:17:00Z</dcterms:created>
  <dcterms:modified xsi:type="dcterms:W3CDTF">2026-03-01T01:03:00Z</dcterms:modified>
</cp:coreProperties>
</file>