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B2545"/>
          <w:sz w:val="52"/>
        </w:rPr>
        <w:t>PROCUREMENT RAG ARCHITECTURE</w:t>
      </w:r>
    </w:p>
    <w:p>
      <w:pPr>
        <w:spacing w:after="240"/>
      </w:pPr>
      <w:r>
        <w:rPr>
          <w:color w:val="535E6F"/>
          <w:sz w:val="24"/>
        </w:rPr>
        <w:t>Agentic retrieval, MongoDB Atlas Vector Search, MySQL lookup tools, Gemini LLM, and LangGraph memory</w:t>
      </w:r>
    </w:p>
    <w:p>
      <w:r>
        <w:t>This document updates the original RAG architecture to match the current implementation in the project. The bot is now an agentic procurement assistant with three domain tools: Supplier Contract retrieval from MongoDB Atlas, Purchase Order lookup from MySQL, and Invoice lookup from MySQL. LangGraph orchestrates the LLM/tool loop and stores per-thread memory through a checkpointer.</w:t>
      </w:r>
    </w:p>
    <w:p>
      <w:pPr>
        <w:jc w:val="center"/>
      </w:pPr>
      <w:r>
        <w:drawing>
          <wp:inline xmlns:a="http://schemas.openxmlformats.org/drawingml/2006/main" xmlns:pic="http://schemas.openxmlformats.org/drawingml/2006/picture">
            <wp:extent cx="6126480" cy="3752469"/>
            <wp:docPr id="1" name="Picture 1"/>
            <wp:cNvGraphicFramePr>
              <a:graphicFrameLocks noChangeAspect="1"/>
            </wp:cNvGraphicFramePr>
            <a:graphic>
              <a:graphicData uri="http://schemas.openxmlformats.org/drawingml/2006/picture">
                <pic:pic>
                  <pic:nvPicPr>
                    <pic:cNvPr id="0" name="procurement_architecture_updated.png"/>
                    <pic:cNvPicPr/>
                  </pic:nvPicPr>
                  <pic:blipFill>
                    <a:blip r:embed="rId11"/>
                    <a:stretch>
                      <a:fillRect/>
                    </a:stretch>
                  </pic:blipFill>
                  <pic:spPr>
                    <a:xfrm>
                      <a:off x="0" y="0"/>
                      <a:ext cx="6126480" cy="3752469"/>
                    </a:xfrm>
                    <a:prstGeom prst="rect"/>
                  </pic:spPr>
                </pic:pic>
              </a:graphicData>
            </a:graphic>
          </wp:inline>
        </w:drawing>
      </w:r>
    </w:p>
    <w:p>
      <w:pPr>
        <w:jc w:val="center"/>
      </w:pPr>
      <w:r>
        <w:rPr>
          <w:i/>
          <w:color w:val="535E6F"/>
          <w:sz w:val="18"/>
        </w:rPr>
        <w:t>Figure 1. Current end-to-end architecture with ingestion, agent routing, tools, backends, and memory.</w:t>
      </w:r>
    </w:p>
    <w:p>
      <w:pPr>
        <w:pStyle w:val="Heading1"/>
      </w:pPr>
      <w:r>
        <w:t>1. Executive Summary</w:t>
      </w:r>
    </w:p>
    <w:p>
      <w:r>
        <w:t>The project implements a procurement RAG and data lookup assistant. Static supplier documents are ingested from local PDF and Excel files, chunked, embedded with Hugging Face models, and stored in MongoDB Atlas for semantic vector search. Runtime questions are handled by a Gemini chat model inside a LangGraph StateGraph. The LLM can answer directly or call one of three tools depending on the user request.</w:t>
      </w:r>
    </w:p>
    <w:p>
      <w:pPr>
        <w:pStyle w:val="ListBullet"/>
        <w:spacing w:after="60"/>
        <w:ind w:left="360" w:hanging="72"/>
      </w:pPr>
      <w:r>
        <w:t>Supplier Contract: retrieves semantically similar contract or policy chunks from MongoDB Atlas Vector Search.</w:t>
      </w:r>
    </w:p>
    <w:p>
      <w:pPr>
        <w:pStyle w:val="ListBullet"/>
        <w:spacing w:after="60"/>
        <w:ind w:left="360" w:hanging="72"/>
      </w:pPr>
      <w:r>
        <w:t>Purchase Order: generates a read-only MySQL query from table schema/sample context, executes it, and returns results to the LLM.</w:t>
      </w:r>
    </w:p>
    <w:p>
      <w:pPr>
        <w:pStyle w:val="ListBullet"/>
        <w:spacing w:after="60"/>
        <w:ind w:left="360" w:hanging="72"/>
      </w:pPr>
      <w:r>
        <w:t>Invoice: follows the same schema-aware MySQL lookup pattern but is restricted to configured invoice tables.</w:t>
      </w:r>
    </w:p>
    <w:p>
      <w:pPr>
        <w:pStyle w:val="ListBullet"/>
        <w:spacing w:after="60"/>
        <w:ind w:left="360" w:hanging="72"/>
      </w:pPr>
      <w:r>
        <w:t>Memory: uses a custom ProcurementState and MemorySaver checkpointing keyed by thread_id so follow-up turns can reference the conversation chain.</w:t>
      </w:r>
    </w:p>
    <w:tbl>
      <w:tblPr>
        <w:tblW w:type="auto" w:w="0"/>
        <w:tblLook w:firstColumn="1" w:firstRow="1" w:lastColumn="0" w:lastRow="0" w:noHBand="0" w:noVBand="1" w:val="04A0"/>
      </w:tblPr>
      <w:tblGrid>
        <w:gridCol w:w="9936"/>
      </w:tblGrid>
      <w:tr>
        <w:tc>
          <w:tcPr>
            <w:tcW w:type="dxa" w:w="9936"/>
            <w:shd w:fill="FFF2CC"/>
            <w:tcBorders>
              <w:top w:val="single" w:sz="6" w:space="0" w:color="B8C7DA"/>
              <w:left w:val="single" w:sz="6" w:space="0" w:color="B8C7DA"/>
              <w:bottom w:val="single" w:sz="6" w:space="0" w:color="B8C7DA"/>
              <w:right w:val="single" w:sz="6" w:space="0" w:color="B8C7DA"/>
            </w:tcBorders>
            <w:tcMar>
              <w:top w:w="120" w:type="dxa"/>
              <w:start w:w="160" w:type="dxa"/>
              <w:bottom w:w="120" w:type="dxa"/>
              <w:end w:w="160" w:type="dxa"/>
            </w:tcMar>
          </w:tcPr>
          <w:p>
            <w:r/>
            <w:r>
              <w:rPr>
                <w:b/>
                <w:color w:val="0B2545"/>
              </w:rPr>
              <w:t xml:space="preserve">Architecture readout: </w:t>
            </w:r>
            <w:r>
              <w:t>The project has evolved from a single-tool RAG workflow into a small procurement agent. The main design strength is domain routing; the main production risk is that memory and SQL execution guardrails are still development-grade.</w:t>
            </w:r>
          </w:p>
        </w:tc>
      </w:tr>
    </w:tbl>
    <w:p>
      <w:pPr>
        <w:spacing w:after="40"/>
      </w:pPr>
    </w:p>
    <w:p>
      <w:pPr>
        <w:pStyle w:val="Heading1"/>
      </w:pPr>
      <w:r>
        <w:t>2. Component Inventory</w:t>
      </w:r>
    </w:p>
    <w:tbl>
      <w:tblPr>
        <w:tblW w:type="auto" w:w="0"/>
        <w:jc w:val="center"/>
        <w:tblLayout w:type="fixed"/>
        <w:tblLook w:firstColumn="1" w:firstRow="1" w:lastColumn="0" w:lastRow="0" w:noHBand="0" w:noVBand="1" w:val="04A0"/>
      </w:tblPr>
      <w:tblGrid>
        <w:gridCol w:w="3312"/>
        <w:gridCol w:w="3312"/>
        <w:gridCol w:w="3312"/>
      </w:tblGrid>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Component</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File</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Responsibility</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Settings</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code/config.py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Reads MongoDB, vector index, embedding, data directory, chunking, and MySQL configuration from environment variables.</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Ingestion pipeline</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code/ingest.py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Loads PDF/Excel sources, chunks text, embeds chunks, upserts MongoDB records, and creates the Atlas vector index.</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Vector retrieval</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code/retrieve.py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Embeds the user query and runs MongoDB Atlas $vectorSearch against stored chunk vectors.</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Google LLM</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code/google_llm.py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Initializes ChatGoogleGenerativeAI with GOOGLE_API_KEY, GOOGLE_MODEL, and controlled temperature.</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 lookup</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code/mysql_lookup.py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Builds schema context, asks Gemini to generate SELECT/WITH SQL, validates it, and executes through LangChain SQLDatabase.</w:t>
            </w:r>
          </w:p>
        </w:tc>
      </w:tr>
      <w:tr>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Agent graph</w:t>
            </w:r>
          </w:p>
        </w:tc>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code/procurement_graph.py</w:t>
            </w:r>
          </w:p>
        </w:tc>
        <w:tc>
          <w:tcPr>
            <w:tcW w:type="dxa" w:w="532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Defines ProcurementState, three tools, MemorySaver checkpointing, and the LangGraph tool loop.</w:t>
            </w:r>
          </w:p>
        </w:tc>
      </w:tr>
    </w:tbl>
    <w:p>
      <w:pPr>
        <w:spacing w:after="40"/>
      </w:pPr>
    </w:p>
    <w:p>
      <w:pPr>
        <w:pStyle w:val="Heading1"/>
      </w:pPr>
      <w:r>
        <w:t>3. Data Ingestion Pipeline</w:t>
      </w:r>
    </w:p>
    <w:p>
      <w:r>
        <w:t>The ingestion pipeline prepares supplier contract and procurement reference content for semantic retrieval. It is intended to run before the chat workflow so MongoDB Atlas already contains chunk text, metadata, and embeddings.</w:t>
      </w:r>
    </w:p>
    <w:p>
      <w:pPr>
        <w:pStyle w:val="ListNumber"/>
        <w:spacing w:after="60"/>
        <w:ind w:left="360"/>
      </w:pPr>
      <w:r>
        <w:t>Discover source files under the configured DATA_DIR, defaulting to the project data folder.</w:t>
      </w:r>
    </w:p>
    <w:p>
      <w:pPr>
        <w:pStyle w:val="ListNumber"/>
        <w:spacing w:after="60"/>
        <w:ind w:left="360"/>
      </w:pPr>
      <w:r>
        <w:t>Load PDFs with PyPDFLoader and Excel files with UnstructuredExcelLoader.</w:t>
      </w:r>
    </w:p>
    <w:p>
      <w:pPr>
        <w:pStyle w:val="ListNumber"/>
        <w:spacing w:after="60"/>
        <w:ind w:left="360"/>
      </w:pPr>
      <w:r>
        <w:t>Attach traceability metadata: source path, file name, file type, and chunk number.</w:t>
      </w:r>
    </w:p>
    <w:p>
      <w:pPr>
        <w:pStyle w:val="ListNumber"/>
        <w:spacing w:after="60"/>
        <w:ind w:left="360"/>
      </w:pPr>
      <w:r>
        <w:t>Split content with RecursiveCharacterTextSplitter using CHUNK_SIZE and CHUNK_OVERLAP.</w:t>
      </w:r>
    </w:p>
    <w:p>
      <w:pPr>
        <w:pStyle w:val="ListNumber"/>
        <w:spacing w:after="60"/>
        <w:ind w:left="360"/>
      </w:pPr>
      <w:r>
        <w:t>Embed chunks with HuggingFaceEmbeddings using normalized vectors for cosine search.</w:t>
      </w:r>
    </w:p>
    <w:p>
      <w:pPr>
        <w:pStyle w:val="ListNumber"/>
        <w:spacing w:after="60"/>
        <w:ind w:left="360"/>
      </w:pPr>
      <w:r>
        <w:t>Upsert each chunk into MongoDB with a SHA-256 deterministic ID to avoid duplicate re-ingestion.</w:t>
      </w:r>
    </w:p>
    <w:p>
      <w:pPr>
        <w:pStyle w:val="ListNumber"/>
        <w:spacing w:after="60"/>
        <w:ind w:left="360"/>
      </w:pPr>
      <w:r>
        <w:t>Create the Atlas vector search index when missing, using the embedding model dimension detected at runtime.</w:t>
      </w:r>
    </w:p>
    <w:tbl>
      <w:tblPr>
        <w:tblW w:type="auto" w:w="0"/>
        <w:jc w:val="center"/>
        <w:tblLayout w:type="fixed"/>
        <w:tblLook w:firstColumn="1" w:firstRow="1" w:lastColumn="0" w:lastRow="0" w:noHBand="0" w:noVBand="1" w:val="04A0"/>
      </w:tblPr>
      <w:tblGrid>
        <w:gridCol w:w="4968"/>
        <w:gridCol w:w="4968"/>
      </w:tblGrid>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MongoDB Field</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Purpose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_id</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Deterministic hash derived from source, chunk number, and chunk text.</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text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Chunk body used as answer evidence.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embedding</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Normalized semantic vector used by Atlas Vector Search.</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metadata</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Source file path, file name, file type, and chunk number for traceability.</w:t>
            </w:r>
          </w:p>
        </w:tc>
      </w:tr>
    </w:tbl>
    <w:p>
      <w:pPr>
        <w:spacing w:after="40"/>
      </w:pPr>
    </w:p>
    <w:p>
      <w:pPr>
        <w:pStyle w:val="Heading1"/>
      </w:pPr>
      <w:r>
        <w:t>4. MongoDB Supplier Contract Retrieval</w:t>
      </w:r>
    </w:p>
    <w:p>
      <w:r>
        <w:t>The Supplier Contract tool maps to the code-level tool name supplier_contract. It embeds the natural-language query with the same Hugging Face model used during ingestion, then runs a MongoDB aggregation pipeline with the $vectorSearch stage. The tool returns chunk text, metadata, and vector similarity score as context for Gemini.</w:t>
      </w:r>
    </w:p>
    <w:p>
      <w:pPr>
        <w:pStyle w:val="ListBullet"/>
        <w:spacing w:after="60"/>
        <w:ind w:left="360" w:hanging="72"/>
      </w:pPr>
      <w:r>
        <w:t>Search target: MongoDB collection configured by MONGODB_DATABASE and MONGODB_COLLECTION.</w:t>
      </w:r>
    </w:p>
    <w:p>
      <w:pPr>
        <w:pStyle w:val="ListBullet"/>
        <w:spacing w:after="60"/>
        <w:ind w:left="360" w:hanging="72"/>
      </w:pPr>
      <w:r>
        <w:t>Index target: embedding field using MONGODB_VECTOR_INDEX.</w:t>
      </w:r>
    </w:p>
    <w:p>
      <w:pPr>
        <w:pStyle w:val="ListBullet"/>
        <w:spacing w:after="60"/>
        <w:ind w:left="360" w:hanging="72"/>
      </w:pPr>
      <w:r>
        <w:t>Retrieval depth: limit defaults to 4 in the tool, with numCandidates equal to limit x 20.</w:t>
      </w:r>
    </w:p>
    <w:p>
      <w:pPr>
        <w:pStyle w:val="ListBullet"/>
        <w:spacing w:after="60"/>
        <w:ind w:left="360" w:hanging="72"/>
      </w:pPr>
      <w:r>
        <w:t>Output shape: formatted source sections with file name/source metadata and similarity score.</w:t>
      </w:r>
    </w:p>
    <w:p>
      <w:pPr>
        <w:pStyle w:val="Heading1"/>
      </w:pPr>
      <w:r>
        <w:t>5. MySQL Purchase Order and Invoice Retrieval</w:t>
      </w:r>
    </w:p>
    <w:p>
      <w:r>
        <w:t>The Purchase Order and Invoice tools are implemented as separate LangGraph tools but share the same read-only lookup engine in code/mysql_lookup.py. Each tool receives a user question, restricts schema access to its configured table allowlist, asks Gemini to draft one SELECT or WITH query, validates the generated SQL, executes it through SQLDatabase, and returns the SQL plus query results to the main LLM.</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Tool</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Code Name</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Configured Tables</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Backend</w:t>
            </w:r>
          </w:p>
        </w:tc>
      </w:tr>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Supplier Contract</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supplier_contract</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 documents collection</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 Atlas Vector Search</w:t>
            </w:r>
          </w:p>
        </w:tc>
      </w:tr>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Purchase Order</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purchase_order</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MYSQL_PURCHASE_ORDER_TABLES</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 through LangChain SQLDatabase</w:t>
            </w:r>
          </w:p>
        </w:tc>
      </w:tr>
      <w:tr>
        <w:tc>
          <w:tcPr>
            <w:tcW w:type="dxa" w:w="20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Invoice</w:t>
            </w:r>
          </w:p>
        </w:tc>
        <w:tc>
          <w:tcPr>
            <w:tcW w:type="dxa" w:w="194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invoice</w:t>
            </w:r>
          </w:p>
        </w:tc>
        <w:tc>
          <w:tcPr>
            <w:tcW w:type="dxa" w:w="302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MYSQL_INVOICE_TABLES</w:t>
            </w:r>
          </w:p>
        </w:tc>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 through LangChain SQLDatabase</w:t>
            </w:r>
          </w:p>
        </w:tc>
      </w:tr>
    </w:tbl>
    <w:p>
      <w:pPr>
        <w:spacing w:after="40"/>
      </w:pPr>
    </w:p>
    <w:p>
      <w:pPr>
        <w:pStyle w:val="Heading2"/>
      </w:pPr>
      <w:r>
        <w:t>SQL Guardrails</w:t>
      </w:r>
    </w:p>
    <w:p>
      <w:pPr>
        <w:pStyle w:val="ListBullet"/>
        <w:spacing w:after="60"/>
        <w:ind w:left="360" w:hanging="72"/>
      </w:pPr>
      <w:r>
        <w:t>Only table names matching a simple identifier pattern are accepted in the allowlist.</w:t>
      </w:r>
    </w:p>
    <w:p>
      <w:pPr>
        <w:pStyle w:val="ListBullet"/>
        <w:spacing w:after="60"/>
        <w:ind w:left="360" w:hanging="72"/>
      </w:pPr>
      <w:r>
        <w:t>Generated SQL must be a single SELECT or WITH statement.</w:t>
      </w:r>
    </w:p>
    <w:p>
      <w:pPr>
        <w:pStyle w:val="ListBullet"/>
        <w:spacing w:after="60"/>
        <w:ind w:left="360" w:hanging="72"/>
      </w:pPr>
      <w:r>
        <w:t>Data-changing statements such as INSERT, UPDATE, DELETE, DROP, and ALTER are rejected.</w:t>
      </w:r>
    </w:p>
    <w:p>
      <w:pPr>
        <w:pStyle w:val="ListBullet"/>
        <w:spacing w:after="60"/>
        <w:ind w:left="360" w:hanging="72"/>
      </w:pPr>
      <w:r>
        <w:t>Multiple statements and SQL comments are rejected.</w:t>
      </w:r>
    </w:p>
    <w:p>
      <w:pPr>
        <w:pStyle w:val="ListBullet"/>
        <w:spacing w:after="60"/>
        <w:ind w:left="360" w:hanging="72"/>
      </w:pPr>
      <w:r>
        <w:t>Referenced FROM/JOIN tables must be inside the selected tool allowlist.</w:t>
      </w:r>
    </w:p>
    <w:p>
      <w:pPr>
        <w:pStyle w:val="ListBullet"/>
        <w:spacing w:after="60"/>
        <w:ind w:left="360" w:hanging="72"/>
      </w:pPr>
      <w:r>
        <w:t>LIMIT 100 is appended when the generated query does not include a limit.</w:t>
      </w:r>
    </w:p>
    <w:tbl>
      <w:tblPr>
        <w:tblW w:type="auto" w:w="0"/>
        <w:tblLook w:firstColumn="1" w:firstRow="1" w:lastColumn="0" w:lastRow="0" w:noHBand="0" w:noVBand="1" w:val="04A0"/>
      </w:tblPr>
      <w:tblGrid>
        <w:gridCol w:w="9936"/>
      </w:tblGrid>
      <w:tr>
        <w:tc>
          <w:tcPr>
            <w:tcW w:type="dxa" w:w="9936"/>
            <w:shd w:fill="FFF2CC"/>
            <w:tcBorders>
              <w:top w:val="single" w:sz="6" w:space="0" w:color="B8C7DA"/>
              <w:left w:val="single" w:sz="6" w:space="0" w:color="B8C7DA"/>
              <w:bottom w:val="single" w:sz="6" w:space="0" w:color="B8C7DA"/>
              <w:right w:val="single" w:sz="6" w:space="0" w:color="B8C7DA"/>
            </w:tcBorders>
            <w:tcMar>
              <w:top w:w="120" w:type="dxa"/>
              <w:start w:w="160" w:type="dxa"/>
              <w:bottom w:w="120" w:type="dxa"/>
              <w:end w:w="160" w:type="dxa"/>
            </w:tcMar>
          </w:tcPr>
          <w:p>
            <w:r/>
            <w:r>
              <w:rPr>
                <w:b/>
                <w:color w:val="0B2545"/>
              </w:rPr>
              <w:t xml:space="preserve">Data governance note: </w:t>
            </w:r>
            <w:r>
              <w:t>The schema context includes headers and one sample row from each allowed table. In production, sample rows can expose sensitive supplier, PO, or invoice data to the external LLM provider, so masking and least-privilege database roles are important.</w:t>
            </w:r>
          </w:p>
        </w:tc>
      </w:tr>
    </w:tbl>
    <w:p>
      <w:pPr>
        <w:spacing w:after="40"/>
      </w:pPr>
    </w:p>
    <w:p>
      <w:pPr>
        <w:pStyle w:val="Heading1"/>
      </w:pPr>
      <w:r>
        <w:t>6. LangGraph Orchestration and State</w:t>
      </w:r>
    </w:p>
    <w:p>
      <w:r>
        <w:t>The active graph is a StateGraph parameterized with a custom ProcurementState class. ProcurementState inherits MessagesState, so LangGraph still merges chat messages normally, while adding project-specific fields used to inspect and retain retrieval behavior.</w:t>
      </w:r>
    </w:p>
    <w:tbl>
      <w:tblPr>
        <w:tblW w:type="auto" w:w="0"/>
        <w:jc w:val="center"/>
        <w:tblLayout w:type="fixed"/>
        <w:tblLook w:firstColumn="1" w:firstRow="1" w:lastColumn="0" w:lastRow="0" w:noHBand="0" w:noVBand="1" w:val="04A0"/>
      </w:tblPr>
      <w:tblGrid>
        <w:gridCol w:w="4968"/>
        <w:gridCol w:w="4968"/>
      </w:tblGrid>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State Field</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Meaning</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messages</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Inherited message history: human messages, AI responses, tool calls, and tool results. This is the primary conversation memory.</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current_question</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Latest human question extracted during the LLM node.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retrieved_context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Latest tool output, whether from MongoDB, Purchase Order, or Invoice lookup.</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tool_context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Dictionary of tool outputs keyed by tool name; latest value is retained per tool name.</w:t>
            </w:r>
          </w:p>
        </w:tc>
      </w:tr>
      <w:tr>
        <w:tc>
          <w:tcPr>
            <w:tcW w:type="dxa" w:w="23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retrieval_count</w:t>
            </w:r>
          </w:p>
        </w:tc>
        <w:tc>
          <w:tcPr>
            <w:tcW w:type="dxa" w:w="705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Count of matching tool messages currently present in the graph state.</w:t>
            </w:r>
          </w:p>
        </w:tc>
      </w:tr>
    </w:tbl>
    <w:p>
      <w:pPr>
        <w:spacing w:after="40"/>
      </w:pPr>
    </w:p>
    <w:p>
      <w:r>
        <w:t>The graph uses MemorySaver as a checkpointer. Each call passes config={"configurable": {"thread_id": thread_id}}, allowing LangGraph to load and save state for that conversation thread. Reusing the same thread_id lets the assistant answer with respect to the earlier conversation chain.</w:t>
      </w:r>
    </w:p>
    <w:tbl>
      <w:tblPr>
        <w:tblW w:type="auto" w:w="0"/>
        <w:jc w:val="center"/>
        <w:tblLayout w:type="fixed"/>
        <w:tblLook w:firstColumn="1" w:firstRow="1" w:lastColumn="0" w:lastRow="0" w:noHBand="0" w:noVBand="1" w:val="04A0"/>
      </w:tblPr>
      <w:tblGrid>
        <w:gridCol w:w="4968"/>
        <w:gridCol w:w="4968"/>
      </w:tblGrid>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Graph Step</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Behavior</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START -&gt; llm_with_tool</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Gemini receives the system prompt and conversation messages.</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llm_with_tool -&gt; tools_condition</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Gemini either answers directly or emits a tool call.</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tools -&gt; update_retrieval_state</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ToolNode executes supplier_contract, purchase_order, or invoice and appends a ToolMessage.</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update_retrieval_state -&gt; llm_with_tool</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Latest tool context is copied into custom state, then Gemini receives the enriched message history.</w:t>
            </w:r>
          </w:p>
        </w:tc>
      </w:tr>
      <w:tr>
        <w:tc>
          <w:tcPr>
            <w:tcW w:type="dxa" w:w="295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llm_with_tool -&gt; END</w:t>
            </w:r>
          </w:p>
        </w:tc>
        <w:tc>
          <w:tcPr>
            <w:tcW w:type="dxa" w:w="640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When no further tool call is needed, the final answer is returned.</w:t>
            </w:r>
          </w:p>
        </w:tc>
      </w:tr>
    </w:tbl>
    <w:p>
      <w:pPr>
        <w:spacing w:after="40"/>
      </w:pPr>
    </w:p>
    <w:p>
      <w:pPr>
        <w:pStyle w:val="Heading1"/>
      </w:pPr>
      <w:r>
        <w:t>7. Runtime Answer Flow</w:t>
      </w:r>
    </w:p>
    <w:p>
      <w:pPr>
        <w:pStyle w:val="ListNumber"/>
        <w:spacing w:after="60"/>
        <w:ind w:left="360"/>
      </w:pPr>
      <w:r>
        <w:t>User submits a question and optional thread_id through the CLI ask path.</w:t>
      </w:r>
    </w:p>
    <w:p>
      <w:pPr>
        <w:pStyle w:val="ListNumber"/>
        <w:spacing w:after="60"/>
        <w:ind w:left="360"/>
      </w:pPr>
      <w:r>
        <w:t>LangGraph loads prior checkpointed messages for that thread if they exist in the running process.</w:t>
      </w:r>
    </w:p>
    <w:p>
      <w:pPr>
        <w:pStyle w:val="ListNumber"/>
        <w:spacing w:after="60"/>
        <w:ind w:left="360"/>
      </w:pPr>
      <w:r>
        <w:t>Gemini reads the system prompt and decides whether the question needs Supplier Contract, Purchase Order, or Invoice data.</w:t>
      </w:r>
    </w:p>
    <w:p>
      <w:pPr>
        <w:pStyle w:val="ListNumber"/>
        <w:spacing w:after="60"/>
        <w:ind w:left="360"/>
      </w:pPr>
      <w:r>
        <w:t>For Supplier Contract questions, the graph retrieves semantic chunks from MongoDB Atlas.</w:t>
      </w:r>
    </w:p>
    <w:p>
      <w:pPr>
        <w:pStyle w:val="ListNumber"/>
        <w:spacing w:after="60"/>
        <w:ind w:left="360"/>
      </w:pPr>
      <w:r>
        <w:t>For Purchase Order or Invoice questions, the selected MySQL tool prepares schema context, generates safe SQL, executes it, and returns rows.</w:t>
      </w:r>
    </w:p>
    <w:p>
      <w:pPr>
        <w:pStyle w:val="ListNumber"/>
        <w:spacing w:after="60"/>
        <w:ind w:left="360"/>
      </w:pPr>
      <w:r>
        <w:t>The tool result is appended to messages, copied into custom state, and sent back to Gemini.</w:t>
      </w:r>
    </w:p>
    <w:p>
      <w:pPr>
        <w:pStyle w:val="ListNumber"/>
        <w:spacing w:after="60"/>
        <w:ind w:left="360"/>
      </w:pPr>
      <w:r>
        <w:t>Gemini can call another tool if needed; otherwise it synthesizes a natural-language answer grounded in the returned context.</w:t>
      </w:r>
    </w:p>
    <w:p>
      <w:pPr>
        <w:pStyle w:val="Heading1"/>
      </w:pPr>
      <w:r>
        <w:t>8. Configuration and Deployment View</w:t>
      </w:r>
    </w:p>
    <w:tbl>
      <w:tblPr>
        <w:tblW w:type="auto" w:w="0"/>
        <w:jc w:val="center"/>
        <w:tblLayout w:type="fixed"/>
        <w:tblLook w:firstColumn="1" w:firstRow="1" w:lastColumn="0" w:lastRow="0" w:noHBand="0" w:noVBand="1" w:val="04A0"/>
      </w:tblPr>
      <w:tblGrid>
        <w:gridCol w:w="3312"/>
        <w:gridCol w:w="3312"/>
        <w:gridCol w:w="3312"/>
      </w:tblGrid>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Setting</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Used By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Notes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GOOGLE_API_KEY</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code/google_llm.py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Required for every LLM call, including SQL generation.</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GOOGLE_MODEL</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code/google_llm.py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Defaults to gemini-3.6-flash in the current code.</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MONGODB_URI</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code/config.py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Required by Settings.from_environment, even for graph startup.</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MONGODB_DATABASE / COLLECTION</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ingest.py, retrieve.py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Selects the Atlas database and collection for chunk storage and retrieval.</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MONGODB_VECTOR_INDEX</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ingest.py, retrieve.py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Index name used for creation and $vectorSearch.</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EMBEDDING_MODEL</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ingest.py, retrieve.py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Must remain consistent between ingestion and query retrieval.</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DATA_DIR</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ingest.py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Defaults to project-root/data; current sample files are under data_source, so set DATA_DIR when needed.</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MYSQL_URI</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procurement_graph.py, mysql_lookup.py</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Required for Purchase Order and Invoice tools. Use a read-only database user.</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MYSQL_PURCHASE_ORDER_TABLES</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purchase_order tool</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Comma-separated allowlist for purchase-order tables.</w:t>
            </w:r>
          </w:p>
        </w:tc>
      </w:tr>
      <w:tr>
        <w:tc>
          <w:tcPr>
            <w:tcW w:type="dxa" w:w="252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MYSQL_INVOICE_TABLES</w:t>
            </w:r>
          </w:p>
        </w:tc>
        <w:tc>
          <w:tcPr>
            <w:tcW w:type="dxa" w:w="2736"/>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invoice tool</w:t>
            </w:r>
          </w:p>
        </w:tc>
        <w:tc>
          <w:tcPr>
            <w:tcW w:type="dxa" w:w="4104"/>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Comma-separated allowlist for invoice tables.</w:t>
            </w:r>
          </w:p>
        </w:tc>
      </w:tr>
    </w:tbl>
    <w:p>
      <w:pPr>
        <w:spacing w:after="40"/>
      </w:pPr>
    </w:p>
    <w:p>
      <w:pPr>
        <w:pStyle w:val="Heading1"/>
      </w:pPr>
      <w:r>
        <w:t>9. Architecture Assessment</w:t>
      </w:r>
    </w:p>
    <w:p>
      <w:pPr>
        <w:pStyle w:val="Heading2"/>
      </w:pPr>
      <w:r>
        <w:t>Strengths</w:t>
      </w:r>
    </w:p>
    <w:p>
      <w:pPr>
        <w:pStyle w:val="ListBullet"/>
        <w:spacing w:after="60"/>
        <w:ind w:left="360" w:hanging="72"/>
      </w:pPr>
      <w:r>
        <w:t>Clear separation between ingestion, vector retrieval, LLM initialization, SQL lookup, and graph orchestration.</w:t>
      </w:r>
    </w:p>
    <w:p>
      <w:pPr>
        <w:pStyle w:val="ListBullet"/>
        <w:spacing w:after="60"/>
        <w:ind w:left="360" w:hanging="72"/>
      </w:pPr>
      <w:r>
        <w:t>Domain-specific tools reduce ambiguity compared with one generic retrieval function.</w:t>
      </w:r>
    </w:p>
    <w:p>
      <w:pPr>
        <w:pStyle w:val="ListBullet"/>
        <w:spacing w:after="60"/>
        <w:ind w:left="360" w:hanging="72"/>
      </w:pPr>
      <w:r>
        <w:t>MongoDB vector search keeps evidence text and vector data together with traceability metadata.</w:t>
      </w:r>
    </w:p>
    <w:p>
      <w:pPr>
        <w:pStyle w:val="ListBullet"/>
        <w:spacing w:after="60"/>
        <w:ind w:left="360" w:hanging="72"/>
      </w:pPr>
      <w:r>
        <w:t>SQL tools use table allowlists and read-only validation before execution.</w:t>
      </w:r>
    </w:p>
    <w:p>
      <w:pPr>
        <w:pStyle w:val="ListBullet"/>
        <w:spacing w:after="60"/>
        <w:ind w:left="360" w:hanging="72"/>
      </w:pPr>
      <w:r>
        <w:t>Custom state and checkpointing make multi-turn procurement conversations easier to inspect and extend.</w:t>
      </w:r>
    </w:p>
    <w:p>
      <w:pPr>
        <w:pStyle w:val="Heading2"/>
      </w:pPr>
      <w:r>
        <w:t>Current Constraints and Risks</w:t>
      </w:r>
    </w:p>
    <w:tbl>
      <w:tblPr>
        <w:tblW w:type="auto" w:w="0"/>
        <w:jc w:val="center"/>
        <w:tblLayout w:type="fixed"/>
        <w:tblLook w:firstColumn="1" w:firstRow="1" w:lastColumn="0" w:lastRow="0" w:noHBand="0" w:noVBand="1" w:val="04A0"/>
      </w:tblPr>
      <w:tblGrid>
        <w:gridCol w:w="3312"/>
        <w:gridCol w:w="3312"/>
        <w:gridCol w:w="3312"/>
      </w:tblGrid>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Area</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Observation</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E8EEF5"/>
          </w:tcPr>
          <w:p>
            <w:pPr>
              <w:spacing w:after="40"/>
            </w:pPr>
            <w:r>
              <w:rPr>
                <w:b/>
                <w:color w:val="0B2545"/>
                <w:sz w:val="19"/>
              </w:rPr>
              <w:t>Recommendation</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Memory</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MemorySaver is in-process and disappears when the application restarts.</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Use a persistent checkpointer such as SQLite, Postgres, or MongoDB for production threads.</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SQL safety</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Regex validation blocks common unsafe SQL, but the database role is still the final safety boundary.</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Use a read-only MySQL user, query timeouts, row limits, and database-level permissions.</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Data exposure</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Schema context includes one sample row and is sent to Gemini during SQL generation.</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Mask sensitive fields or use synthetic samples where possible.</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Routing</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Supplier Contract currently searches the configured MongoDB collection broadly.</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Add metadata filters if contracts, policies, invoices, and other document families share one collection.</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Configuration</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Settings requires MONGODB_URI even when a MySQL-only query is asked.</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Consider lazy-loading settings per tool or separating Mongo and MySQL config objects.</w:t>
            </w:r>
          </w:p>
        </w:tc>
      </w:tr>
      <w:tr>
        <w:tc>
          <w:tcPr>
            <w:tcW w:type="dxa" w:w="144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Context growth</w:t>
            </w:r>
          </w:p>
        </w:tc>
        <w:tc>
          <w:tcPr>
            <w:tcW w:type="dxa" w:w="3888"/>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Full message history is passed back to Gemini as memory grows.</w:t>
            </w:r>
          </w:p>
        </w:tc>
        <w:tc>
          <w:tcPr>
            <w:tcW w:type="dxa" w:w="4032"/>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Add trimming or summarization for long conversations.</w:t>
            </w:r>
          </w:p>
        </w:tc>
      </w:tr>
    </w:tbl>
    <w:p>
      <w:pPr>
        <w:spacing w:after="40"/>
      </w:pPr>
    </w:p>
    <w:p>
      <w:pPr>
        <w:pStyle w:val="Heading1"/>
      </w:pPr>
      <w:r>
        <w:t>10. Recommended Next Enhancements</w:t>
      </w:r>
    </w:p>
    <w:p>
      <w:pPr>
        <w:pStyle w:val="ListBullet"/>
        <w:spacing w:after="60"/>
        <w:ind w:left="360" w:hanging="72"/>
      </w:pPr>
      <w:r>
        <w:t>Persist graph memory in a durable checkpointer before running the bot as a service.</w:t>
      </w:r>
    </w:p>
    <w:p>
      <w:pPr>
        <w:pStyle w:val="ListBullet"/>
        <w:spacing w:after="60"/>
        <w:ind w:left="360" w:hanging="72"/>
      </w:pPr>
      <w:r>
        <w:t>Add structured metadata filters for supplier contract retrieval, such as supplier_name, contract_type, effective_date, and document_family.</w:t>
      </w:r>
    </w:p>
    <w:p>
      <w:pPr>
        <w:pStyle w:val="ListBullet"/>
        <w:spacing w:after="60"/>
        <w:ind w:left="360" w:hanging="72"/>
      </w:pPr>
      <w:r>
        <w:t>Return structured SQL results instead of raw result strings so Gemini can reason over rows more reliably.</w:t>
      </w:r>
    </w:p>
    <w:p>
      <w:pPr>
        <w:pStyle w:val="ListBullet"/>
        <w:spacing w:after="60"/>
        <w:ind w:left="360" w:hanging="72"/>
      </w:pPr>
      <w:r>
        <w:t>Add observability for tool choice, SQL generated, latency, retrieval scores, and answer citations.</w:t>
      </w:r>
    </w:p>
    <w:p>
      <w:pPr>
        <w:pStyle w:val="ListBullet"/>
        <w:spacing w:after="60"/>
        <w:ind w:left="360" w:hanging="72"/>
      </w:pPr>
      <w:r>
        <w:t>Create smoke tests for ingestion, retrieval, SQL validation, and graph routing with mocked LLM/tool calls.</w:t>
      </w:r>
    </w:p>
    <w:p>
      <w:pPr>
        <w:pStyle w:val="ListBullet"/>
        <w:spacing w:after="60"/>
        <w:ind w:left="360" w:hanging="72"/>
      </w:pPr>
      <w:r>
        <w:t>Document an environment setup profile for development, UAT, and production credentials.</w:t>
      </w:r>
    </w:p>
    <w:p>
      <w:pPr>
        <w:pStyle w:val="Heading1"/>
      </w:pPr>
      <w:r>
        <w:t>11. Project File Map</w:t>
      </w:r>
    </w:p>
    <w:tbl>
      <w:tblPr>
        <w:tblW w:type="auto" w:w="0"/>
        <w:jc w:val="center"/>
        <w:tblLayout w:type="fixed"/>
        <w:tblLook w:firstColumn="1" w:firstRow="1" w:lastColumn="0" w:lastRow="0" w:noHBand="0" w:noVBand="1" w:val="04A0"/>
      </w:tblPr>
      <w:tblGrid>
        <w:gridCol w:w="4968"/>
        <w:gridCol w:w="4968"/>
      </w:tblGrid>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Path</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shd w:fill="F2F4F7"/>
          </w:tcPr>
          <w:p>
            <w:pPr>
              <w:spacing w:after="40"/>
            </w:pPr>
            <w:r>
              <w:rPr>
                <w:b/>
                <w:color w:val="0B2545"/>
                <w:sz w:val="19"/>
              </w:rPr>
              <w:t>Role</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code/config.py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Environment-backed settings and project root resolution.</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code/ingest.py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PDF/Excel loading, chunking, embedding, MongoDB upsert, vector index creation.</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code/retrieve.py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MongoDB Atlas Vector Search retrieval for supplier context.</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code/google_llm.py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Gemini model factory.</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code/mysql_lookup.py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Read-only SQL generation and execution helper for PO and invoice tools.</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code/procurement_graph.py</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LangGraph agent, custom state, tools, checkpointer, and CLI ask interface.</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README.md</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Current high-level instructions for agent tools and thread memory.</w:t>
            </w:r>
          </w:p>
        </w:tc>
      </w:tr>
      <w:tr>
        <w:tc>
          <w:tcPr>
            <w:tcW w:type="dxa" w:w="28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Procurement_RAG_Architecture.docx</w:t>
            </w:r>
          </w:p>
        </w:tc>
        <w:tc>
          <w:tcPr>
            <w:tcW w:type="dxa" w:w="6480"/>
            <w:vAlign w:val="center"/>
            <w:tcBorders>
              <w:top w:val="single" w:sz="6" w:space="0" w:color="D1D5DB"/>
              <w:left w:val="single" w:sz="6" w:space="0" w:color="D1D5DB"/>
              <w:bottom w:val="single" w:sz="6" w:space="0" w:color="D1D5DB"/>
              <w:right w:val="single" w:sz="6" w:space="0" w:color="D1D5DB"/>
            </w:tcBorders>
            <w:tcMar>
              <w:top w:w="80" w:type="dxa"/>
              <w:start w:w="120" w:type="dxa"/>
              <w:bottom w:w="80" w:type="dxa"/>
              <w:end w:w="120" w:type="dxa"/>
            </w:tcMar>
          </w:tcPr>
          <w:p>
            <w:pPr>
              <w:spacing w:after="40"/>
            </w:pPr>
            <w:r>
              <w:rPr>
                <w:sz w:val="19"/>
              </w:rPr>
              <w:t>This updated architecture reference document.</w:t>
            </w:r>
          </w:p>
        </w:tc>
      </w:tr>
    </w:tbl>
    <w:p>
      <w:pPr>
        <w:spacing w:after="40"/>
      </w:pP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35E6F"/>
        <w:sz w:val="16"/>
      </w:rPr>
      <w:t>Updated architecture reference for the LangGraph procurement RAG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35E6F"/>
        <w:sz w:val="16"/>
      </w:rPr>
      <w:t>Procurement Bot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0B25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Procurement RAG Architecture</dc:title>
  <dc:subject>Architecture, pipelines, LangGraph tools, and memory for procurement bot</dc:subject>
  <dc:creator>Codex</dc:creator>
  <cp:keywords/>
  <dc:description>Updated to reflect Supplier Contract, Purchase Order, Invoice tools, custom state, and checkpointer memory.</dc:description>
  <cp:lastModifiedBy/>
  <cp:revision>1</cp:revision>
  <dcterms:created xsi:type="dcterms:W3CDTF">2013-12-23T23:15:00Z</dcterms:created>
  <dcterms:modified xsi:type="dcterms:W3CDTF">2013-12-23T23:15:00Z</dcterms:modified>
  <cp:category/>
</cp:coreProperties>
</file>