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color w:val="2C5282"/>
          <w:sz w:val="48"/>
          <w:szCs w:val="48"/>
        </w:rPr>
        <w:t xml:space="preserve">REGIME DIVERGENCE PAIRS TRADING STRATEGY</w:t>
      </w:r>
    </w:p>
    <w:p>
      <w:pPr>
        <w:spacing w:after="200"/>
        <w:jc w:val="center"/>
      </w:pPr>
      <w:r>
        <w:t xml:space="preserve">Validated Strategy Documentation</w:t>
      </w:r>
    </w:p>
    <w:p>
      <w:pPr>
        <w:spacing w:after="600"/>
        <w:jc w:val="center"/>
      </w:pPr>
      <w:r>
        <w:t xml:space="preserve">January 2025</w:t>
      </w:r>
    </w:p>
    <w:p>
      <w:pPr>
        <w:pStyle w:val="Heading1"/>
      </w:pPr>
      <w:r>
        <w:t xml:space="preserve">Executive Summary</w:t>
      </w:r>
    </w:p>
    <w:p>
      <w:pPr>
        <w:spacing w:after="200"/>
      </w:pPr>
      <w:r>
        <w:t xml:space="preserve">This document describes a validated pairs trading strategy for cryptocurrency markets. The strategy exploits regime divergence between cryptocurrency pairs using a 32-state regime detection model with multi-timeframe analysis. Extensive backtesting has validated the approach with 111.9% annual returns and a 1.39 Sharpe ratio.</w:t>
      </w:r>
    </w:p>
    <w:p>
      <w:pPr>
        <w:spacing w:after="200"/>
      </w:pPr>
      <w:r>
        <w:t xml:space="preserve">A critical finding of this research: the apparent </w:t>
      </w:r>
      <w:r>
        <w:rPr>
          <w:i/>
          <w:iCs/>
        </w:rPr>
        <w:t xml:space="preserve">"lag"</w:t>
      </w:r>
      <w:r>
        <w:t xml:space="preserve"> in multi-timeframe analysis is not a flaw to be corrected, but rather an essential feature that filters market noise and ensures regime persistence. Attempts to eliminate this lag through rolling windows resulted in strategy failure.</w:t>
      </w:r>
    </w:p>
    <w:p>
      <w:pPr>
        <w:spacing w:before="200" w:after="100"/>
      </w:pPr>
      <w:r>
        <w:rPr>
          <w:b/>
          <w:bCs/>
        </w:rPr>
        <w:t xml:space="preserve">Validated Performance: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b/>
                <w:bCs/>
                <w:color w:val="FFFFFF"/>
              </w:rPr>
              <w:t xml:space="preserve">Metric</w:t>
            </w:r>
          </w:p>
        </w:tc>
        <w:tc>
          <w:tcPr>
            <w:tcW w:type="dxa" w:w="468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b/>
                <w:bCs/>
                <w:color w:val="FFFFFF"/>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Annual Return</w:t>
            </w:r>
          </w:p>
        </w:tc>
        <w:tc>
          <w:tcPr>
            <w:tcW w:type="dxa" w:w="468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b/>
                <w:bCs/>
              </w:rPr>
              <w:t xml:space="preserve">111.9%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Sharpe Ratio</w:t>
            </w:r>
          </w:p>
        </w:tc>
        <w:tc>
          <w:tcPr>
            <w:tcW w:type="dxa" w:w="468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b/>
                <w:bCs/>
              </w:rPr>
              <w:t xml:space="preserve">1.39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Maximum Drawdown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56.0%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Return / Drawdown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Win Rate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Test Period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2,553 days (~7 years)</w:t>
            </w:r>
          </w:p>
        </w:tc>
      </w:tr>
    </w:tbl>
    <w:p>
      <w:r>
        <w:br w:type="page"/>
      </w:r>
    </w:p>
    <w:p>
      <w:pPr>
        <w:pStyle w:val="Heading1"/>
      </w:pPr>
      <w:r>
        <w:t xml:space="preserve">Strategy Specification</w:t>
      </w:r>
    </w:p>
    <w:p>
      <w:pPr>
        <w:pStyle w:val="Heading2"/>
      </w:pPr>
      <w:r>
        <w:t xml:space="preserve">Asset Universe</w:t>
      </w:r>
    </w:p>
    <w:p>
      <w:pPr>
        <w:spacing w:after="200"/>
      </w:pPr>
      <w:r>
        <w:t xml:space="preserve">The strategy is validated exclusively on the following six cryptocurrencies. These assets were found to have synergistic properties for pairs trading that other assets (including BTC, LTC, LINK, SOL, AVAX) do not share.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b/>
                <w:bCs/>
                <w:color w:val="FFFFFF"/>
              </w:rPr>
              <w:t xml:space="preserve">Asset</w:t>
            </w:r>
          </w:p>
        </w:tc>
        <w:tc>
          <w:tcPr>
            <w:tcW w:type="dxa" w:w="312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b/>
                <w:bCs/>
                <w:color w:val="FFFFFF"/>
              </w:rPr>
              <w:t xml:space="preserve">Symbol</w:t>
            </w:r>
          </w:p>
        </w:tc>
        <w:tc>
          <w:tcPr>
            <w:tcW w:type="dxa" w:w="312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b/>
                <w:bCs/>
                <w:color w:val="FFFFFF"/>
              </w:rPr>
              <w:t xml:space="preserve">Category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Stellar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XLM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Payments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Zcash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ZEC</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Privacy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Ethereum Classic</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ETC</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Smart Contract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Ethereum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ETH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Smart Contract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Monero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XMR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Privacy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Cardano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Smart Contract</w:t>
            </w:r>
          </w:p>
        </w:tc>
      </w:tr>
    </w:tbl>
    <w:p>
      <w:pPr>
        <w:spacing w:before="200" w:after="200"/>
      </w:pPr>
      <w:r>
        <w:t xml:space="preserve">This creates 15 unique trading pairs.</w:t>
      </w:r>
    </w:p>
    <w:p>
      <w:pPr>
        <w:pStyle w:val="Heading2"/>
      </w:pPr>
      <w:r>
        <w:t xml:space="preserve">Timeframe Configuration</w:t>
      </w:r>
    </w:p>
    <w:p>
      <w:pPr>
        <w:spacing w:after="200"/>
      </w:pPr>
      <w:r>
        <w:t xml:space="preserve">The strategy uses three distinct timeframes with fixed bar aggregation. The "lag" created by fixed bars (as opposed to rolling windows) is essential to strategy performance.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b/>
                <w:bCs/>
                <w:color w:val="FFFFFF"/>
              </w:rPr>
              <w:t xml:space="preserve">Timeframe</w:t>
            </w:r>
          </w:p>
        </w:tc>
        <w:tc>
          <w:tcPr>
            <w:tcW w:type="dxa" w:w="234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b/>
                <w:bCs/>
                <w:color w:val="FFFFFF"/>
              </w:rPr>
              <w:t xml:space="preserve">Bar Period</w:t>
            </w:r>
          </w:p>
        </w:tc>
        <w:tc>
          <w:tcPr>
            <w:tcW w:type="dxa" w:w="234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b/>
                <w:bCs/>
                <w:color w:val="FFFFFF"/>
              </w:rPr>
              <w:t xml:space="preserve">MA Period</w:t>
            </w:r>
          </w:p>
        </w:tc>
        <w:tc>
          <w:tcPr>
            <w:tcW w:type="dxa" w:w="234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b/>
                <w:bCs/>
                <w:color w:val="FFFFFF"/>
              </w:rPr>
              <w:t xml:space="preserve">Update Frequency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Short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24 hours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MA(24)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Daily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72 hours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Every 3 days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168 hours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Every 7 days</w:t>
            </w:r>
          </w:p>
        </w:tc>
      </w:tr>
    </w:tbl>
    <w:p>
      <w:r>
        <w:br w:type="page"/>
      </w:r>
    </w:p>
    <w:p>
      <w:pPr>
        <w:pStyle w:val="Heading1"/>
      </w:pPr>
      <w:r>
        <w:t xml:space="preserve">Regime Detection Model</w:t>
      </w:r>
    </w:p>
    <w:p>
      <w:pPr>
        <w:pStyle w:val="Heading2"/>
      </w:pPr>
      <w:r>
        <w:t xml:space="preserve">32-State Model</w:t>
      </w:r>
    </w:p>
    <w:p>
      <w:pPr>
        <w:spacing w:after="200"/>
      </w:pPr>
      <w:r>
        <w:t xml:space="preserve">Each asset is classified into one of 32 possible states based on five binary indicators:</w:t>
      </w:r>
    </w:p>
    <w:p>
      <w:pPr>
        <w:pStyle w:val="ListParagraph"/>
        <w:numPr>
          <w:ilvl w:val="0"/>
          <w:numId w:val="2"/>
        </w:numPr>
      </w:pPr>
      <w:r>
        <w:t xml:space="preserve">Trend_24h: Price above/below 24-hour MA</w:t>
      </w:r>
    </w:p>
    <w:p>
      <w:pPr>
        <w:pStyle w:val="ListParagraph"/>
        <w:numPr>
          <w:ilvl w:val="0"/>
          <w:numId w:val="2"/>
        </w:numPr>
      </w:pPr>
      <w:r>
        <w:t xml:space="preserve">Trend_72h: Price above/below 72-hour MA</w:t>
      </w:r>
    </w:p>
    <w:p>
      <w:pPr>
        <w:pStyle w:val="ListParagraph"/>
        <w:numPr>
          <w:ilvl w:val="0"/>
          <w:numId w:val="2"/>
        </w:numPr>
      </w:pPr>
      <w:r>
        <w:t xml:space="preserve">Trend_168h: Price above/below 168-hour MA</w:t>
      </w:r>
    </w:p>
    <w:p>
      <w:pPr>
        <w:pStyle w:val="ListParagraph"/>
        <w:numPr>
          <w:ilvl w:val="0"/>
          <w:numId w:val="2"/>
        </w:numPr>
      </w:pPr>
      <w:r>
        <w:t xml:space="preserve">MA_72h_above_24h: 72h MA above/below 24h MA</w:t>
      </w:r>
    </w:p>
    <w:p>
      <w:pPr>
        <w:pStyle w:val="ListParagraph"/>
        <w:numPr>
          <w:ilvl w:val="0"/>
          <w:numId w:val="2"/>
        </w:numPr>
        <w:spacing w:after="200"/>
      </w:pPr>
      <w:r>
        <w:t xml:space="preserve">MA_168h_above_24h: 168h MA above/below 24h MA</w:t>
      </w:r>
    </w:p>
    <w:p>
      <w:pPr>
        <w:spacing w:after="200"/>
      </w:pPr>
      <w:r>
        <w:t xml:space="preserve">This creates 2^5 = 32 possible state combinations.</w:t>
      </w:r>
    </w:p>
    <w:p>
      <w:pPr>
        <w:pStyle w:val="Heading2"/>
      </w:pPr>
      <w:r>
        <w:t xml:space="preserve">Hit Rate Calculation</w:t>
      </w:r>
    </w:p>
    <w:p>
      <w:pPr>
        <w:spacing w:after="200"/>
      </w:pPr>
      <w:r>
        <w:t xml:space="preserve">For each state, the historical "hit rate" is calculated using an expanding window: the percentage of times the next-period return was positive when the asset was in that state. This requires a minimum of 365 days of training data and 20 observations per state.</w:t>
      </w:r>
    </w:p>
    <w:p>
      <w:pPr>
        <w:pStyle w:val="Heading2"/>
      </w:pPr>
      <w:r>
        <w:t xml:space="preserve">Simple State Classification</w:t>
      </w:r>
    </w:p>
    <w:p>
      <w:pPr>
        <w:spacing w:after="100"/>
      </w:pPr>
      <w:r>
        <w:t xml:space="preserve">The 32-state hit rates are mapped to four actionable states: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b/>
                <w:bCs/>
                <w:color w:val="FFFFFF"/>
              </w:rPr>
              <w:t xml:space="preserve">State</w:t>
            </w:r>
          </w:p>
        </w:tc>
        <w:tc>
          <w:tcPr>
            <w:tcW w:type="dxa" w:w="312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b/>
                <w:bCs/>
                <w:color w:val="FFFFFF"/>
              </w:rPr>
              <w:t xml:space="preserve">Hit Rate Threshold</w:t>
            </w:r>
          </w:p>
        </w:tc>
        <w:tc>
          <w:tcPr>
            <w:tcW w:type="dxa" w:w="312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b/>
                <w:bCs/>
                <w:color w:val="FFFFFF"/>
              </w:rPr>
              <w:t xml:space="preserve">Numeric Value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STRONG_BUY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&gt;= 55%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 - 55%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SELL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45% - 50%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STRONG_SELL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&lt; 45%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w:t>
            </w:r>
          </w:p>
        </w:tc>
      </w:tr>
    </w:tbl>
    <w:p>
      <w:r>
        <w:br w:type="page"/>
      </w:r>
    </w:p>
    <w:p>
      <w:pPr>
        <w:pStyle w:val="Heading1"/>
      </w:pPr>
      <w:r>
        <w:t xml:space="preserve">Trading Rules</w:t>
      </w:r>
    </w:p>
    <w:p>
      <w:pPr>
        <w:pStyle w:val="Heading2"/>
      </w:pPr>
      <w:r>
        <w:t xml:space="preserve">Entry Conditions</w:t>
      </w:r>
    </w:p>
    <w:p>
      <w:pPr>
        <w:spacing w:after="100"/>
      </w:pPr>
      <w:r>
        <w:t xml:space="preserve">A trade is entered when:</w:t>
      </w:r>
    </w:p>
    <w:p>
      <w:pPr>
        <w:pStyle w:val="ListParagraph"/>
        <w:numPr>
          <w:ilvl w:val="0"/>
          <w:numId w:val="3"/>
        </w:numPr>
      </w:pPr>
      <w:r>
        <w:t xml:space="preserve">State Divergence &gt;= 2: The absolute difference between two assets' numeric state values is at least 2 (e.g., STRONG_BUY vs SELL, or BUY vs STRONG_SELL)</w:t>
      </w:r>
    </w:p>
    <w:p>
      <w:pPr>
        <w:pStyle w:val="ListParagraph"/>
        <w:numPr>
          <w:ilvl w:val="0"/>
          <w:numId w:val="3"/>
        </w:numPr>
      </w:pPr>
      <w:r>
        <w:t xml:space="preserve">Long the asset with the higher state value</w:t>
      </w:r>
    </w:p>
    <w:p>
      <w:pPr>
        <w:pStyle w:val="ListParagraph"/>
        <w:numPr>
          <w:ilvl w:val="0"/>
          <w:numId w:val="3"/>
        </w:numPr>
        <w:spacing w:after="200"/>
      </w:pPr>
      <w:r>
        <w:t xml:space="preserve">Short the asset with the lower state value</w:t>
      </w:r>
    </w:p>
    <w:p>
      <w:pPr>
        <w:pStyle w:val="Heading2"/>
      </w:pPr>
      <w:r>
        <w:t xml:space="preserve">Exit Conditions</w:t>
      </w:r>
    </w:p>
    <w:p>
      <w:pPr>
        <w:spacing w:after="100"/>
      </w:pPr>
      <w:r>
        <w:t xml:space="preserve">A trade is exited when either:</w:t>
      </w:r>
    </w:p>
    <w:p>
      <w:pPr>
        <w:pStyle w:val="ListParagraph"/>
        <w:numPr>
          <w:ilvl w:val="0"/>
          <w:numId w:val="3"/>
        </w:numPr>
      </w:pPr>
      <w:r>
        <w:t xml:space="preserve">State Divergence &lt; 2: The regime divergence has converged</w:t>
      </w:r>
    </w:p>
    <w:p>
      <w:pPr>
        <w:pStyle w:val="ListParagraph"/>
        <w:numPr>
          <w:ilvl w:val="0"/>
          <w:numId w:val="3"/>
        </w:numPr>
        <w:spacing w:after="200"/>
      </w:pPr>
      <w:r>
        <w:t xml:space="preserve">Maximum Hold Period of 10 days reached</w:t>
      </w:r>
    </w:p>
    <w:p>
      <w:pPr>
        <w:pStyle w:val="Heading2"/>
      </w:pPr>
      <w:r>
        <w:t xml:space="preserve">Position Sizing</w:t>
      </w:r>
    </w:p>
    <w:p>
      <w:pPr>
        <w:spacing w:after="200"/>
      </w:pPr>
      <w:r>
        <w:t xml:space="preserve">Inverse Volatility sizing is used: pairs with lower historical spread volatility receive larger position sizes. This normalizes risk contribution across pairs.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b/>
                <w:bCs/>
                <w:color w:val="FFFFFF"/>
              </w:rPr>
              <w:t xml:space="preserve">Parameter</w:t>
            </w:r>
          </w:p>
        </w:tc>
        <w:tc>
          <w:tcPr>
            <w:tcW w:type="dxa" w:w="468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b/>
                <w:bCs/>
                <w:color w:val="FFFFFF"/>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Base Position Size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 per leg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Minimum Position Size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 per leg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Maximum Position Size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25% per leg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Trading Cost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0.15% per trade</w:t>
            </w:r>
          </w:p>
        </w:tc>
      </w:tr>
    </w:tbl>
    <w:p>
      <w:r>
        <w:br w:type="page"/>
      </w:r>
    </w:p>
    <w:p>
      <w:pPr>
        <w:pStyle w:val="Heading1"/>
      </w:pPr>
      <w:r>
        <w:t xml:space="preserve">Critical Research Findings</w:t>
      </w:r>
    </w:p>
    <w:p>
      <w:pPr>
        <w:pStyle w:val="Heading2"/>
      </w:pPr>
      <w:r>
        <w:t xml:space="preserve">The Lag Is The Feature</w:t>
      </w:r>
    </w:p>
    <w:p>
      <w:pPr>
        <w:spacing w:after="200"/>
      </w:pPr>
      <w:r>
        <w:t xml:space="preserve">The most important finding of this research: the apparent "lag" in multi-timeframe analysis is essential to strategy performance, not a flaw to be corrected.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b/>
                <w:bCs/>
                <w:color w:val="FFFFFF"/>
              </w:rPr>
              <w:t xml:space="preserve">Approach</w:t>
            </w:r>
          </w:p>
        </w:tc>
        <w:tc>
          <w:tcPr>
            <w:tcW w:type="dxa" w:w="312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b/>
                <w:bCs/>
                <w:color w:val="FFFFFF"/>
              </w:rPr>
              <w:t xml:space="preserve">Annual Return</w:t>
            </w:r>
          </w:p>
        </w:tc>
        <w:tc>
          <w:tcPr>
            <w:tcW w:type="dxa" w:w="312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b/>
                <w:bCs/>
                <w:color w:val="FFFFFF"/>
              </w:rPr>
              <w:t xml:space="preserve">Result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Fixed Bars (Lagged)</w:t>
            </w:r>
          </w:p>
        </w:tc>
        <w:tc>
          <w:tcPr>
            <w:tcW w:type="dxa" w:w="312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b/>
                <w:bCs/>
              </w:rPr>
              <w:t xml:space="preserve">+111.9%</w:t>
            </w:r>
          </w:p>
        </w:tc>
        <w:tc>
          <w:tcPr>
            <w:tcW w:type="dxa" w:w="312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b/>
                <w:bCs/>
              </w:rPr>
              <w:t xml:space="preserve">SUCCESS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Rolling Windows (No Lag)</w:t>
            </w:r>
          </w:p>
        </w:tc>
        <w:tc>
          <w:tcPr>
            <w:tcW w:type="dxa" w:w="3120"/>
            <w:tcBorders>
              <w:top w:val="single" w:color="CCCCCC" w:sz="1"/>
              <w:left w:val="single" w:color="CCCCCC" w:sz="1"/>
              <w:bottom w:val="single" w:color="CCCCCC" w:sz="1"/>
              <w:right w:val="single" w:color="CCCCCC" w:sz="1"/>
            </w:tcBorders>
            <w:shd w:fill="FFDDDD" w:val="clear"/>
            <w:tcMar>
              <w:top w:type="dxa" w:w="80"/>
              <w:left w:type="dxa" w:w="120"/>
              <w:bottom w:type="dxa" w:w="80"/>
              <w:right w:type="dxa" w:w="120"/>
            </w:tcMar>
          </w:tcPr>
          <w:p>
            <w:r>
              <w:rPr>
                <w:b/>
                <w:bCs/>
              </w:rPr>
              <w:t xml:space="preserve">-57.8%</w:t>
            </w:r>
          </w:p>
        </w:tc>
        <w:tc>
          <w:tcPr>
            <w:tcW w:type="dxa" w:w="3120"/>
            <w:tcBorders>
              <w:top w:val="single" w:color="CCCCCC" w:sz="1"/>
              <w:left w:val="single" w:color="CCCCCC" w:sz="1"/>
              <w:bottom w:val="single" w:color="CCCCCC" w:sz="1"/>
              <w:right w:val="single" w:color="CCCCCC" w:sz="1"/>
            </w:tcBorders>
            <w:shd w:fill="FFDDDD" w:val="clear"/>
            <w:tcMar>
              <w:top w:type="dxa" w:w="80"/>
              <w:left w:type="dxa" w:w="120"/>
              <w:bottom w:type="dxa" w:w="80"/>
              <w:right w:type="dxa" w:w="120"/>
            </w:tcMar>
          </w:tcPr>
          <w:p>
            <w:r>
              <w:rPr>
                <w:b/>
                <w:bCs/>
              </w:rPr>
              <w:t xml:space="preserve">FAILURE</w:t>
            </w:r>
          </w:p>
        </w:tc>
      </w:tr>
    </w:tbl>
    <w:p>
      <w:pPr>
        <w:spacing w:before="200" w:after="200"/>
      </w:pPr>
      <w:r>
        <w:t xml:space="preserve">Fixed 72h and 168h bars force regime persistence: the strategy waits for confirmation that a trend has truly changed rather than reacting to daily noise. This is consistent with literature on regime switching models (Hamilton, 1989) and time-series momentum (Moskowitz et al., 2012).</w:t>
      </w:r>
    </w:p>
    <w:p>
      <w:pPr>
        <w:pStyle w:val="Heading2"/>
      </w:pPr>
      <w:r>
        <w:t xml:space="preserve">Asset Universe Limitations</w:t>
      </w:r>
    </w:p>
    <w:p>
      <w:pPr>
        <w:spacing w:after="100"/>
      </w:pPr>
      <w:r>
        <w:t xml:space="preserve">Extensive testing showed that expanding beyond the Original 6 assets destroys performance: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b/>
                <w:bCs/>
                <w:color w:val="FFFFFF"/>
              </w:rPr>
              <w:t xml:space="preserve">Configuration</w:t>
            </w:r>
          </w:p>
        </w:tc>
        <w:tc>
          <w:tcPr>
            <w:tcW w:type="dxa" w:w="468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b/>
                <w:bCs/>
                <w:color w:val="FFFFFF"/>
              </w:rPr>
              <w:t xml:space="preserve">Annual Return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Original 6 assets</w:t>
            </w:r>
          </w:p>
        </w:tc>
        <w:tc>
          <w:tcPr>
            <w:tcW w:type="dxa" w:w="468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b/>
                <w:bCs/>
              </w:rPr>
              <w:t xml:space="preserve">+111.9%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Original 6 + BTC, LTC, LINK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+38.5%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 11 assets (including SOL, AVAX)</w:t>
            </w:r>
          </w:p>
        </w:tc>
        <w:tc>
          <w:tcPr>
            <w:tcW w:type="dxa" w:w="4680"/>
            <w:tcBorders>
              <w:top w:val="single" w:color="CCCCCC" w:sz="1"/>
              <w:left w:val="single" w:color="CCCCCC" w:sz="1"/>
              <w:bottom w:val="single" w:color="CCCCCC" w:sz="1"/>
              <w:right w:val="single" w:color="CCCCCC" w:sz="1"/>
            </w:tcBorders>
            <w:shd w:fill="FFDDDD" w:val="clear"/>
            <w:tcMar>
              <w:top w:type="dxa" w:w="80"/>
              <w:left w:type="dxa" w:w="120"/>
              <w:bottom w:type="dxa" w:w="80"/>
              <w:right w:type="dxa" w:w="120"/>
            </w:tcMar>
          </w:tcPr>
          <w:p>
            <w:r>
              <w:rPr>
                <w:b/>
                <w:bCs/>
              </w:rPr>
              <w:t xml:space="preserve">-80.8%</w:t>
            </w:r>
          </w:p>
        </w:tc>
      </w:tr>
    </w:tbl>
    <w:p>
      <w:pPr>
        <w:spacing w:before="200" w:after="200"/>
      </w:pPr>
      <w:r>
        <w:rPr>
          <w:b/>
          <w:bCs/>
        </w:rPr>
        <w:t xml:space="preserve">Key finding: </w:t>
      </w:r>
      <w:r>
        <w:t xml:space="preserve">SOL's hit rates are completely broken. When SOL shows STRONG_BUY, it actually goes DOWN 64% of the time. AVAX's STRONG_SELL signal is inverted, going UP 61% of the time.</w:t>
      </w:r>
    </w:p>
    <w:p>
      <w:pPr>
        <w:pStyle w:val="Heading2"/>
      </w:pPr>
      <w:r>
        <w:t xml:space="preserve">Time Period Stability</w:t>
      </w:r>
    </w:p>
    <w:p>
      <w:pPr>
        <w:spacing w:after="200"/>
      </w:pPr>
      <w:r>
        <w:t xml:space="preserve">The strategy has maintained or improved performance in recent periods: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b/>
                <w:bCs/>
                <w:color w:val="FFFFFF"/>
              </w:rPr>
              <w:t xml:space="preserve">Period</w:t>
            </w:r>
          </w:p>
        </w:tc>
        <w:tc>
          <w:tcPr>
            <w:tcW w:type="dxa" w:w="468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b/>
                <w:bCs/>
                <w:color w:val="FFFFFF"/>
              </w:rPr>
              <w:t xml:space="preserve">Annual Return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Full History (2018-2025)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+111.9%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2019-2025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+151.6%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 June 2021</w:t>
            </w:r>
          </w:p>
        </w:tc>
        <w:tc>
          <w:tcPr>
            <w:tcW w:type="dxa" w:w="468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b/>
                <w:bCs/>
              </w:rPr>
              <w:t xml:space="preserve">+172.2%</w:t>
            </w:r>
          </w:p>
        </w:tc>
      </w:tr>
    </w:tbl>
    <w:p>
      <w:pPr>
        <w:spacing w:before="200" w:after="200"/>
      </w:pPr>
      <w:r>
        <w:t xml:space="preserve">This confirms the strategy is not an artifact of early data and continues to perform well in recent market conditions.</w:t>
      </w:r>
    </w:p>
    <w:p>
      <w:r>
        <w:br w:type="page"/>
      </w:r>
    </w:p>
    <w:p>
      <w:pPr>
        <w:pStyle w:val="Heading1"/>
      </w:pPr>
      <w:r>
        <w:t xml:space="preserve">What NOT To Do</w:t>
      </w:r>
    </w:p>
    <w:p>
      <w:pPr>
        <w:spacing w:after="200"/>
      </w:pPr>
      <w:r>
        <w:t xml:space="preserve">The following modifications were tested and found to harm performance: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b/>
                <w:bCs/>
                <w:color w:val="FFFFFF"/>
              </w:rPr>
              <w:t xml:space="preserve">Modification</w:t>
            </w:r>
          </w:p>
        </w:tc>
        <w:tc>
          <w:tcPr>
            <w:tcW w:type="dxa" w:w="436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b/>
                <w:bCs/>
                <w:color w:val="FFFFFF"/>
              </w:rPr>
              <w:t xml:space="preserve">Impact</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Add BTC, LTC, LINK pairs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-73.4% annual return</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Add SOL, AVAX pairs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Complete strategy failure</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 single timeframe (24h only)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-47.1% annual return</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 rolling windows instead of fixed bars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-57.8% annual return</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Update states more frequently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Reduced Sharpe ratio</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 correlation pair filters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 improvement found</w:t>
            </w:r>
          </w:p>
        </w:tc>
      </w:tr>
    </w:tbl>
    <w:p>
      <w:r>
        <w:br w:type="page"/>
      </w:r>
    </w:p>
    <w:p>
      <w:pPr>
        <w:pStyle w:val="Heading1"/>
      </w:pPr>
      <w:r>
        <w:t xml:space="preserve">Implementation Notes</w:t>
      </w:r>
    </w:p>
    <w:p>
      <w:pPr>
        <w:pStyle w:val="Heading2"/>
      </w:pPr>
      <w:r>
        <w:t xml:space="preserve">Signal Generation Order</w:t>
      </w:r>
    </w:p>
    <w:p>
      <w:pPr>
        <w:spacing w:after="200"/>
      </w:pPr>
      <w:r>
        <w:t xml:space="preserve">Critical implementation detail: when aligning signals from longer timeframes to the daily index, the shift must occur BEFORE the reindex operation:</w:t>
      </w:r>
    </w:p>
    <w:p>
      <w:pPr>
        <w:spacing w:after="100"/>
      </w:pPr>
      <w:r>
        <w:rPr>
          <w:b/>
          <w:bCs/>
        </w:rPr>
        <w:t xml:space="preserve">Correct:</w:t>
      </w:r>
    </w:p>
    <w:p>
      <w:pPr>
        <w:shd w:fill="F0F0F0" w:val="clear"/>
        <w:spacing w:after="100"/>
      </w:pPr>
      <w:r>
        <w:rPr>
          <w:rFonts w:ascii="Courier New" w:cs="Courier New" w:eastAsia="Courier New" w:hAnsi="Courier New"/>
          <w:sz w:val="20"/>
          <w:szCs w:val="20"/>
        </w:rPr>
        <w:t xml:space="preserve">trend_72h.shift(1).reindex(daily_index, method='ffill')</w:t>
      </w:r>
    </w:p>
    <w:p>
      <w:pPr>
        <w:spacing w:after="100"/>
      </w:pPr>
      <w:r>
        <w:rPr>
          <w:b/>
          <w:bCs/>
        </w:rPr>
        <w:t xml:space="preserve">Incorrect (causes look-ahead bias):</w:t>
      </w:r>
    </w:p>
    <w:p>
      <w:pPr>
        <w:shd w:fill="F0F0F0" w:val="clear"/>
        <w:spacing w:after="200"/>
      </w:pPr>
      <w:r>
        <w:rPr>
          <w:rFonts w:ascii="Courier New" w:cs="Courier New" w:eastAsia="Courier New" w:hAnsi="Courier New"/>
          <w:sz w:val="20"/>
          <w:szCs w:val="20"/>
        </w:rPr>
        <w:t xml:space="preserve">trend_72h.reindex(daily_index, method='ffill').shift(1)</w:t>
      </w:r>
    </w:p>
    <w:p>
      <w:pPr>
        <w:pStyle w:val="Heading2"/>
      </w:pPr>
      <w:r>
        <w:t xml:space="preserve">Data Requirements</w:t>
      </w:r>
    </w:p>
    <w:p>
      <w:pPr>
        <w:pStyle w:val="ListParagraph"/>
        <w:numPr>
          <w:ilvl w:val="0"/>
          <w:numId w:val="3"/>
        </w:numPr>
      </w:pPr>
      <w:r>
        <w:t xml:space="preserve">Minimum 365 days of training data before trading</w:t>
      </w:r>
    </w:p>
    <w:p>
      <w:pPr>
        <w:pStyle w:val="ListParagraph"/>
        <w:numPr>
          <w:ilvl w:val="0"/>
          <w:numId w:val="3"/>
        </w:numPr>
      </w:pPr>
      <w:r>
        <w:t xml:space="preserve">Minimum 20 observations per state for valid hit rate</w:t>
      </w:r>
    </w:p>
    <w:p>
      <w:pPr>
        <w:pStyle w:val="ListParagraph"/>
        <w:numPr>
          <w:ilvl w:val="0"/>
          <w:numId w:val="3"/>
        </w:numPr>
      </w:pPr>
      <w:r>
        <w:t xml:space="preserve">Hourly OHLCV data required for proper bar aggregation</w:t>
      </w:r>
    </w:p>
    <w:p>
      <w:pPr>
        <w:pStyle w:val="ListParagraph"/>
        <w:numPr>
          <w:ilvl w:val="0"/>
          <w:numId w:val="3"/>
        </w:numPr>
        <w:spacing w:after="200"/>
      </w:pPr>
      <w:r>
        <w:t xml:space="preserve">Expanding window hit rate calculation (not rolling)</w:t>
      </w:r>
    </w:p>
    <w:p>
      <w:pPr>
        <w:pStyle w:val="Heading1"/>
      </w:pPr>
      <w:r>
        <w:t xml:space="preserve">Conclusion</w:t>
      </w:r>
    </w:p>
    <w:p>
      <w:pPr>
        <w:spacing w:after="200"/>
      </w:pPr>
      <w:r>
        <w:t xml:space="preserve">This pairs trading strategy represents a robust, validated approach to cryptocurrency trading. The key insights are:</w:t>
      </w:r>
    </w:p>
    <w:p>
      <w:pPr>
        <w:pStyle w:val="ListParagraph"/>
        <w:numPr>
          <w:ilvl w:val="0"/>
          <w:numId w:val="2"/>
        </w:numPr>
      </w:pPr>
      <w:r>
        <w:rPr>
          <w:b/>
          <w:bCs/>
        </w:rPr>
        <w:t xml:space="preserve">Asset Selection Matters: </w:t>
      </w:r>
      <w:r>
        <w:t xml:space="preserve">Only the Original 6 assets (XLM, ZEC, ETC, ETH, XMR, ADA) work together synergistically</w:t>
      </w:r>
    </w:p>
    <w:p>
      <w:pPr>
        <w:pStyle w:val="ListParagraph"/>
        <w:numPr>
          <w:ilvl w:val="0"/>
          <w:numId w:val="2"/>
        </w:numPr>
      </w:pPr>
      <w:r>
        <w:rPr>
          <w:b/>
          <w:bCs/>
        </w:rPr>
        <w:t xml:space="preserve">Lag Is Essential: </w:t>
      </w:r>
      <w:r>
        <w:t xml:space="preserve">Fixed-bar aggregation with multi-day update cycles is not a flaw but a critical noise filter</w:t>
      </w:r>
    </w:p>
    <w:p>
      <w:pPr>
        <w:pStyle w:val="ListParagraph"/>
        <w:numPr>
          <w:ilvl w:val="0"/>
          <w:numId w:val="2"/>
        </w:numPr>
      </w:pPr>
      <w:r>
        <w:rPr>
          <w:b/>
          <w:bCs/>
        </w:rPr>
        <w:t xml:space="preserve">Regime Persistence: </w:t>
      </w:r>
      <w:r>
        <w:t xml:space="preserve">The strategy profits from waiting for confirmed regime changes, not reacting to daily noise</w:t>
      </w:r>
    </w:p>
    <w:p>
      <w:pPr>
        <w:pStyle w:val="ListParagraph"/>
        <w:numPr>
          <w:ilvl w:val="0"/>
          <w:numId w:val="2"/>
        </w:numPr>
        <w:spacing w:after="200"/>
      </w:pPr>
      <w:r>
        <w:rPr>
          <w:b/>
          <w:bCs/>
        </w:rPr>
        <w:t xml:space="preserve">Simplicity Works: </w:t>
      </w:r>
      <w:r>
        <w:t xml:space="preserve">The validated approach outperforms all attempts at "improvement"</w:t>
      </w:r>
    </w:p>
    <w:p>
      <w:pPr>
        <w:spacing w:after="200"/>
      </w:pPr>
      <w:r>
        <w:t xml:space="preserve">The strategy has demonstrated consistent performance across time periods and represents a well-understood, reproducible approach to pairs trading in cryptocurrency markets.</w:t>
      </w:r>
    </w:p>
    <w:p>
      <w:pPr>
        <w:spacing w:before="600"/>
        <w:jc w:val="center"/>
      </w:pPr>
      <w:r>
        <w:t xml:space="preserve">---</w:t>
      </w:r>
    </w:p>
    <w:p>
      <w:pPr>
        <w:jc w:val="center"/>
      </w:pPr>
      <w:r>
        <w:rPr>
          <w:i/>
          <w:iCs/>
        </w:rPr>
        <w:t xml:space="preserve">Document generated from validated research findings</w:t>
      </w:r>
    </w:p>
    <w:p>
      <w:pPr>
        <w:jc w:val="center"/>
      </w:pPr>
      <w:r>
        <w:rPr>
          <w:i/>
          <w:iCs/>
        </w:rPr>
        <w:t xml:space="preserve">CryptoBot Pairs Trading Research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C5282"/>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C5282"/>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2026-01-11T03:19:05.800Z</dcterms:created>
  <dcterms:modified xsi:type="dcterms:W3CDTF">2026-01-11T03:19:05.800Z</dcterms:modified>
</cp:coreProperties>
</file>

<file path=docProps/custom.xml><?xml version="1.0" encoding="utf-8"?>
<Properties xmlns="http://schemas.openxmlformats.org/officeDocument/2006/custom-properties" xmlns:vt="http://schemas.openxmlformats.org/officeDocument/2006/docPropsVTypes"/>
</file>