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8"/>
      </w:pPr>
      <w:r>
        <w:rPr>
          <w:rFonts w:ascii="Cambria" w:eastAsia="MS Mincho" w:hAnsi="Cambria"/>
          <w:b/>
          <w:bCs/>
          <w:color w:val="2E5597"/>
          <w:sz w:val="20"/>
          <w:szCs w:val="20"/>
        </w:rPr>
        <w:t xml:space="preserve">INPIT 相談用</w:t>
      </w:r>
    </w:p>
    <w:p>
      <w:pPr>
        <w:spacing w:after="0"/>
      </w:pPr>
      <w:r>
        <w:rPr>
          <w:rFonts w:ascii="Cambria" w:eastAsia="MS Gothic" w:hAnsi="Cambria"/>
          <w:b/>
          <w:bCs/>
          <w:sz w:val="34"/>
          <w:szCs w:val="34"/>
        </w:rPr>
        <w:t xml:space="preserve">空間デザイン連動型印刷データ生成システム</w:t>
      </w:r>
    </w:p>
    <w:p>
      <w:pPr>
        <w:spacing w:after="120"/>
      </w:pPr>
      <w:r>
        <w:rPr>
          <w:rFonts w:ascii="Cambria" w:eastAsia="MS Gothic" w:hAnsi="Cambria"/>
          <w:b/>
          <w:bCs/>
          <w:sz w:val="34"/>
          <w:szCs w:val="34"/>
        </w:rPr>
        <w:t xml:space="preserve">発明概要説明資料 要約版</w:t>
      </w:r>
    </w:p>
    <w:p>
      <w:pPr>
        <w:pBdr>
          <w:bottom w:val="single" w:color="1F2A44" w:sz="8" w:space="2"/>
        </w:pBdr>
        <w:spacing w:after="80"/>
      </w:pPr>
      <w:r>
        <w:rPr>
          <w:rFonts w:ascii="Cambria" w:eastAsia="MS Gothic" w:hAnsi="Cambria"/>
          <w:b/>
          <w:bCs/>
          <w:color w:val="1F2A44"/>
          <w:sz w:val="22"/>
          <w:szCs w:val="22"/>
        </w:rPr>
        <w:t xml:space="preserve">起毛素材向け特殊印刷データ変換を中核とする発明構想</w:t>
      </w:r>
    </w:p>
    <w:p>
      <w:pPr>
        <w:spacing w:after="80" w:line="288"/>
      </w:pPr>
      <w:r>
        <w:rPr>
          <w:rFonts w:ascii="Cambria" w:eastAsia="MS Mincho" w:hAnsi="Cambria"/>
          <w:sz w:val="19"/>
          <w:szCs w:val="19"/>
        </w:rPr>
        <w:t xml:space="preserve">本資料は、INPIT への相談にあたり、現時点の発明構想、保護したい技術および主な確認事項を簡潔に整理したものである。詳細な処理条件、完成済み機能と将来構想の区分、先行技術との差異については、今後の相談および社内確認を通じて具体化する。</w:t>
      </w:r>
    </w:p>
    <w:p>
      <w:pPr>
        <w:spacing w:after="100" w:before="200"/>
      </w:pPr>
      <w:r>
        <w:rPr>
          <w:rFonts w:ascii="Cambria" w:eastAsia="MS Gothic" w:hAnsi="Cambria"/>
          <w:b/>
          <w:bCs/>
          <w:sz w:val="26"/>
          <w:szCs w:val="26"/>
        </w:rPr>
        <w:t xml:space="preserve">発明構想の要点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00"/>
      </w:tblGrid>
      <w:tr>
        <w:trPr>
          <w:tblHeader/>
        </w:trPr>
        <w:tc>
          <w:tcPr>
            <w:tcW w:type="dxa" w:w="20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発明の層</w:t>
            </w:r>
          </w:p>
        </w:tc>
        <w:tc>
          <w:tcPr>
            <w:tcW w:type="dxa" w:w="24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対象</w:t>
            </w:r>
          </w:p>
        </w:tc>
        <w:tc>
          <w:tcPr>
            <w:tcW w:type="dxa" w:w="51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中核となる考え方</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■コア技術</w:t>
            </w:r>
          </w:p>
          <w:p>
            <w:pPr>
              <w:spacing w:line="276"/>
            </w:pPr>
            <w:r>
              <w:rPr>
                <w:rFonts w:ascii="Cambria" w:eastAsia="MS Mincho" w:hAnsi="Cambria"/>
                <w:sz w:val="18"/>
                <w:szCs w:val="18"/>
              </w:rPr>
              <w:t xml:space="preserve">（コンピュータプログラム関連発明として検討）</w:t>
            </w:r>
          </w:p>
        </w:tc>
        <w:tc>
          <w:tcPr>
            <w:tcW w:type="dxa" w:w="24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起毛・パイル素材</w:t>
            </w:r>
          </w:p>
        </w:tc>
        <w:tc>
          <w:tcPr>
            <w:tcW w:type="dxa" w:w="51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一般的な CMYK／RGB データを、素材・製品・寸法・色・印刷条件に応じ、最大同時 16 色の特色印刷用データへ全自動または半自動で変換する。基本色（追加料金なし）、オプションカラー・特注色（有償）から使用色を選択できる構成を含む。</w:t>
            </w:r>
          </w:p>
        </w:tc>
      </w:tr>
      <w:tr>
        <w:trPr>
          <w:cantSplit/>
        </w:trPr>
        <w:tc>
          <w:tcPr>
            <w:tcW w:type="dxa" w:w="20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■全体システム</w:t>
            </w:r>
          </w:p>
          <w:p>
            <w:pPr>
              <w:spacing w:line="276"/>
            </w:pPr>
            <w:r>
              <w:rPr>
                <w:rFonts w:ascii="Cambria" w:eastAsia="MS Mincho" w:hAnsi="Cambria"/>
                <w:sz w:val="18"/>
                <w:szCs w:val="18"/>
              </w:rPr>
              <w:t xml:space="preserve">（コンピュータプログラム関連発明として検討）</w:t>
            </w:r>
          </w:p>
        </w:tc>
        <w:tc>
          <w:tcPr>
            <w:tcW w:type="dxa" w:w="24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床材、壁装材、天井材</w:t>
            </w:r>
          </w:p>
        </w:tc>
        <w:tc>
          <w:tcPr>
            <w:tcW w:type="dxa" w:w="51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面・壁面（必要に応じて天井面）の各入稿データを空間形状に対応付け、床面を基準として、各面の図柄・配置・色彩またはテーマの連動を確認・調整する。確定した配置情報から、各素材に対応する製造用印刷データを生成する。</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■受発注機能</w:t>
            </w:r>
          </w:p>
          <w:p>
            <w:pPr>
              <w:spacing w:line="276"/>
            </w:pPr>
            <w:r>
              <w:rPr>
                <w:rFonts w:ascii="Cambria" w:eastAsia="MS Mincho" w:hAnsi="Cambria"/>
                <w:sz w:val="18"/>
                <w:szCs w:val="18"/>
              </w:rPr>
              <w:t xml:space="preserve">（ビジネス関連発明として検討）</w:t>
            </w:r>
          </w:p>
        </w:tc>
        <w:tc>
          <w:tcPr>
            <w:tcW w:type="dxa" w:w="24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顧客から製造側まで</w:t>
            </w:r>
          </w:p>
        </w:tc>
        <w:tc>
          <w:tcPr>
            <w:tcW w:type="dxa" w:w="51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Web 入稿、仕様選択、図柄連動確認、数量割引・有償カラー・送料等の見積計算、途中案の保存、承認・発注を一連に処理する。確定情報から発注書・注文書控えを生成し、製造用データと確認用画像を送信先別に振り分ける。</w:t>
            </w:r>
          </w:p>
        </w:tc>
      </w:tr>
    </w:tbl>
    <w:p>
      <w:pPr>
        <w:spacing w:after="80" w:line="288"/>
      </w:pPr>
      <w:r>
        <w:rPr>
          <w:rFonts w:ascii="Cambria" w:eastAsia="MS Mincho" w:hAnsi="Cambria"/>
          <w:sz w:val="19"/>
          <w:szCs w:val="19"/>
        </w:rPr>
        <w:t xml:space="preserve">出願検討の基本方針：全体システムは印刷可能な床材全般を上位概念として整理し、特殊印刷データ変換については、ヨコセが強みを持つ起毛・パイル素材を具体的な実施形態として詳述する。なお、本資料の「コンピュータプログラム関連発明」「ビジネス関連発明」は相談上の整理であり、最終的な発明の単位および請求項構成は先行技術調査と専門家の判断を踏まえて決定する。</w:t>
      </w:r>
    </w:p>
    <w:p>
      <w:pPr>
        <w:spacing w:after="100" w:before="200"/>
      </w:pPr>
      <w:r>
        <w:rPr>
          <w:rFonts w:ascii="Cambria" w:eastAsia="MS Gothic" w:hAnsi="Cambria"/>
          <w:b/>
          <w:bCs/>
          <w:sz w:val="26"/>
          <w:szCs w:val="26"/>
        </w:rPr>
        <w:t xml:space="preserve">1 コア技術となる色変換プログラムと受発注の流れ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1500"/>
        <w:gridCol w:w="500"/>
        <w:gridCol w:w="1500"/>
        <w:gridCol w:w="500"/>
        <w:gridCol w:w="1500"/>
        <w:gridCol w:w="500"/>
        <w:gridCol w:w="1500"/>
      </w:tblGrid>
      <w:tr>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一般データ入稿</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製品・寸法・色選択</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空間上で確認・調整</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見積り・修正保存</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最終確定・発注</w:t>
            </w:r>
          </w:p>
        </w:tc>
      </w:tr>
    </w:tbl>
    <w:p>
      <w:pPr>
        <w:spacing w:after="120" w:before="60"/>
        <w:jc w:val="center"/>
      </w:pPr>
      <w:r>
        <w:rPr>
          <w:rFonts w:ascii="Cambria" w:eastAsia="MS Mincho" w:hAnsi="Cambria"/>
          <w:color w:val="7F7F7F"/>
          <w:sz w:val="16"/>
          <w:szCs w:val="16"/>
        </w:rPr>
        <w:t xml:space="preserve">図 1 顧客側の基本フロー</w:t>
      </w:r>
    </w:p>
    <w:p>
      <w:pPr>
        <w:spacing w:after="80" w:line="288"/>
      </w:pPr>
      <w:r>
        <w:rPr>
          <w:rFonts w:ascii="Cambria" w:eastAsia="MS Mincho" w:hAnsi="Cambria"/>
          <w:sz w:val="19"/>
          <w:szCs w:val="19"/>
        </w:rPr>
        <w:t xml:space="preserve">発注確定後は、確定情報を基に素材別の製造データを生成し、ヨコセ側の印刷・製造工程へ引き継ぐ。</w:t>
      </w:r>
    </w:p>
    <w:p>
      <w:pPr>
        <w:spacing w:after="80" w:before="160"/>
      </w:pPr>
      <w:r>
        <w:rPr>
          <w:rFonts w:ascii="Cambria" w:eastAsia="MS Gothic" w:hAnsi="Cambria"/>
          <w:b/>
          <w:bCs/>
          <w:sz w:val="22"/>
          <w:szCs w:val="22"/>
        </w:rPr>
        <w:t xml:space="preserve">主な処理</w:t>
      </w:r>
    </w:p>
    <w:p>
      <w:pPr>
        <w:pStyle w:val="ListParagraph"/>
        <w:numPr>
          <w:ilvl w:val="0"/>
          <w:numId w:val="2"/>
        </w:numPr>
        <w:spacing w:after="30"/>
      </w:pPr>
      <w:r>
        <w:rPr>
          <w:rFonts w:ascii="Cambria" w:eastAsia="MS Mincho" w:hAnsi="Cambria"/>
          <w:sz w:val="19"/>
          <w:szCs w:val="19"/>
        </w:rPr>
        <w:t xml:space="preserve">顧客が、データ変換機能を備えた専用 Web サイトへ一般的な画像・デザインデータを入稿する。</w:t>
      </w:r>
    </w:p>
    <w:p>
      <w:pPr>
        <w:pStyle w:val="ListParagraph"/>
        <w:numPr>
          <w:ilvl w:val="0"/>
          <w:numId w:val="2"/>
        </w:numPr>
        <w:spacing w:after="30"/>
      </w:pPr>
      <w:r>
        <w:rPr>
          <w:rFonts w:ascii="Cambria" w:eastAsia="MS Mincho" w:hAnsi="Cambria"/>
          <w:sz w:val="19"/>
          <w:szCs w:val="19"/>
        </w:rPr>
        <w:t xml:space="preserve">床材の種類、パイル形状、ゴム縁の有無、寸法・形状、数量および使用色等を製品に応じて選択する。</w:t>
      </w:r>
    </w:p>
    <w:p>
      <w:pPr>
        <w:pStyle w:val="ListParagraph"/>
        <w:numPr>
          <w:ilvl w:val="0"/>
          <w:numId w:val="2"/>
        </w:numPr>
        <w:spacing w:after="30"/>
      </w:pPr>
      <w:r>
        <w:rPr>
          <w:rFonts w:ascii="Cambria" w:eastAsia="MS Mincho" w:hAnsi="Cambria"/>
          <w:sz w:val="19"/>
          <w:szCs w:val="19"/>
        </w:rPr>
        <w:t xml:space="preserve">製品価格、色・仕様による追加料金、送料等を反映した見積価格を提示する。</w:t>
      </w:r>
    </w:p>
    <w:p>
      <w:pPr>
        <w:pStyle w:val="ListParagraph"/>
        <w:numPr>
          <w:ilvl w:val="0"/>
          <w:numId w:val="2"/>
        </w:numPr>
        <w:spacing w:after="30"/>
      </w:pPr>
      <w:r>
        <w:rPr>
          <w:rFonts w:ascii="Cambria" w:eastAsia="MS Mincho" w:hAnsi="Cambria"/>
          <w:sz w:val="19"/>
          <w:szCs w:val="19"/>
        </w:rPr>
        <w:t xml:space="preserve">著作権等の利用権限に関する説明を表示し、顧客による確認チェックを発注の必須条件とする。</w:t>
      </w:r>
    </w:p>
    <w:p>
      <w:pPr>
        <w:pStyle w:val="ListParagraph"/>
        <w:numPr>
          <w:ilvl w:val="0"/>
          <w:numId w:val="2"/>
        </w:numPr>
        <w:spacing w:after="30"/>
      </w:pPr>
      <w:r>
        <w:rPr>
          <w:rFonts w:ascii="Cambria" w:eastAsia="MS Mincho" w:hAnsi="Cambria"/>
          <w:sz w:val="19"/>
          <w:szCs w:val="19"/>
        </w:rPr>
        <w:t xml:space="preserve">途中データおよび複数の修正案を保存し、比較・再選択できるようにする。</w:t>
      </w:r>
    </w:p>
    <w:p>
      <w:pPr>
        <w:pStyle w:val="ListParagraph"/>
        <w:numPr>
          <w:ilvl w:val="0"/>
          <w:numId w:val="2"/>
        </w:numPr>
        <w:spacing w:after="30"/>
      </w:pPr>
      <w:r>
        <w:rPr>
          <w:rFonts w:ascii="Cambria" w:eastAsia="MS Mincho" w:hAnsi="Cambria"/>
          <w:sz w:val="19"/>
          <w:szCs w:val="19"/>
        </w:rPr>
        <w:t xml:space="preserve">最終仕様確定後、ヨコセ側へ製造用印刷データと発注書を送信する。</w:t>
      </w:r>
    </w:p>
    <w:p>
      <w:pPr>
        <w:pStyle w:val="ListParagraph"/>
        <w:numPr>
          <w:ilvl w:val="0"/>
          <w:numId w:val="2"/>
        </w:numPr>
        <w:spacing w:after="30"/>
      </w:pPr>
      <w:r>
        <w:rPr>
          <w:rFonts w:ascii="Cambria" w:eastAsia="MS Mincho" w:hAnsi="Cambria"/>
          <w:sz w:val="19"/>
          <w:szCs w:val="19"/>
        </w:rPr>
        <w:t xml:space="preserve">顧客側へは注文書控えと確認用画像を送り、専用印刷データは原則として送信しない。</w:t>
      </w:r>
    </w:p>
    <w:p>
      <w:r>
        <w:br w:type="page"/>
      </w:r>
    </w:p>
    <w:p>
      <w:pPr>
        <w:spacing w:after="80" w:before="160"/>
      </w:pPr>
      <w:r>
        <w:rPr>
          <w:rFonts w:ascii="Cambria" w:eastAsia="MS Gothic" w:hAnsi="Cambria"/>
          <w:b/>
          <w:bCs/>
          <w:sz w:val="22"/>
          <w:szCs w:val="22"/>
        </w:rPr>
        <w:t xml:space="preserve">起毛素材向けデータ変換</w:t>
      </w:r>
    </w:p>
    <w:p>
      <w:pPr>
        <w:spacing w:after="80" w:line="288"/>
      </w:pPr>
      <w:r>
        <w:rPr>
          <w:rFonts w:ascii="Cambria" w:eastAsia="MS Mincho" w:hAnsi="Cambria"/>
          <w:sz w:val="19"/>
          <w:szCs w:val="19"/>
        </w:rPr>
        <w:t xml:space="preserve">一般的な CMYK／RGB データと製品仕様を取得する。対象は、タイルカーペット・マットを中心とする起毛（パイル）素材製品全般とし、タイルカーペットのループ／カット、マットのゴム縁の有無、全体寸法・外形（変形形状を含む）、使用色および印刷条件を指定する。基本色（追加料金なし）、オプションカラー（有償）、特注色（有償）から使用色を選択し、合計最大同時 16 色の特色印刷用データへ変換する。変換工程は設定条件に基づく全自動、または利用者が必要に応じて色選択・補正を行う半自動を想定する。色分解、色の割当て、補正、分割・配置の具体的な処理と実装状況は、営業秘密との区分も含めて詳細化する。</w:t>
      </w:r>
    </w:p>
    <w:p>
      <w:pPr>
        <w:spacing w:after="100" w:before="200"/>
      </w:pPr>
      <w:r>
        <w:rPr>
          <w:rFonts w:ascii="Cambria" w:eastAsia="MS Gothic" w:hAnsi="Cambria"/>
          <w:b/>
          <w:bCs/>
          <w:sz w:val="26"/>
          <w:szCs w:val="26"/>
        </w:rPr>
        <w:t xml:space="preserve">2 床面を基準とした空間デザインの連動確認・調整システム</w:t>
      </w:r>
    </w:p>
    <w:p>
      <w:pPr>
        <w:spacing w:after="80" w:line="288"/>
      </w:pPr>
      <w:r>
        <w:rPr>
          <w:rFonts w:ascii="Cambria" w:eastAsia="MS Mincho" w:hAnsi="Cambria"/>
          <w:sz w:val="19"/>
          <w:szCs w:val="19"/>
        </w:rPr>
        <w:t xml:space="preserve">本構想の重要な特徴は、床面を空間デザインの基準として、壁面、天井面、柱、梁その他の面との関係を確認・調整し、その確定結果を各素材の製造用印刷データへ反映する点にある。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500"/>
      </w:tblGrid>
      <w:tr>
        <w:trPr>
          <w:tblHeader/>
        </w:trPr>
        <w:tc>
          <w:tcPr>
            <w:tcW w:type="dxa" w:w="19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連動方式</w:t>
            </w:r>
          </w:p>
        </w:tc>
        <w:tc>
          <w:tcPr>
            <w:tcW w:type="dxa" w:w="41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内容</w:t>
            </w:r>
          </w:p>
        </w:tc>
        <w:tc>
          <w:tcPr>
            <w:tcW w:type="dxa" w:w="35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例</w:t>
            </w:r>
          </w:p>
        </w:tc>
      </w:tr>
      <w:tr>
        <w:trPr>
          <w:cantSplit/>
        </w:trPr>
        <w:tc>
          <w:tcPr>
            <w:tcW w:type="dxa" w:w="19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図柄連続</w:t>
            </w:r>
          </w:p>
        </w:tc>
        <w:tc>
          <w:tcPr>
            <w:tcW w:type="dxa" w:w="41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異なる面をまたいで図柄を連続させる。</w:t>
            </w:r>
          </w:p>
        </w:tc>
        <w:tc>
          <w:tcPr>
            <w:tcW w:type="dxa" w:w="3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床から壁へ伸びる線、植物、ロゴ等</w:t>
            </w:r>
          </w:p>
        </w:tc>
      </w:tr>
      <w:tr>
        <w:trPr>
          <w:cantSplit/>
        </w:trPr>
        <w:tc>
          <w:tcPr>
            <w:tcW w:type="dxa" w:w="19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部分・位置連動</w:t>
            </w:r>
          </w:p>
        </w:tc>
        <w:tc>
          <w:tcPr>
            <w:tcW w:type="dxa" w:w="41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接続部分、中心、基準軸または方向を合わせる。</w:t>
            </w:r>
          </w:p>
        </w:tc>
        <w:tc>
          <w:tcPr>
            <w:tcW w:type="dxa" w:w="35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床と壁のライン、ロゴ位置等</w:t>
            </w:r>
          </w:p>
        </w:tc>
      </w:tr>
      <w:tr>
        <w:trPr>
          <w:cantSplit/>
        </w:trPr>
        <w:tc>
          <w:tcPr>
            <w:tcW w:type="dxa" w:w="19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色彩連動</w:t>
            </w:r>
          </w:p>
        </w:tc>
        <w:tc>
          <w:tcPr>
            <w:tcW w:type="dxa" w:w="41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共通色、指定色または配色を連動させる。</w:t>
            </w:r>
          </w:p>
        </w:tc>
        <w:tc>
          <w:tcPr>
            <w:tcW w:type="dxa" w:w="3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床の主色を壁のアクセント色に使用</w:t>
            </w:r>
          </w:p>
        </w:tc>
      </w:tr>
      <w:tr>
        <w:trPr>
          <w:cantSplit/>
        </w:trPr>
        <w:tc>
          <w:tcPr>
            <w:tcW w:type="dxa" w:w="19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テーマ連動</w:t>
            </w:r>
          </w:p>
        </w:tc>
        <w:tc>
          <w:tcPr>
            <w:tcW w:type="dxa" w:w="41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異なる図柄を同じ世界観で統一する。</w:t>
            </w:r>
          </w:p>
        </w:tc>
        <w:tc>
          <w:tcPr>
            <w:tcW w:type="dxa" w:w="35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海、森林、企業ブランド等</w:t>
            </w:r>
          </w:p>
        </w:tc>
      </w:tr>
      <w:tr>
        <w:trPr>
          <w:cantSplit/>
        </w:trPr>
        <w:tc>
          <w:tcPr>
            <w:tcW w:type="dxa" w:w="19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非連動</w:t>
            </w:r>
          </w:p>
        </w:tc>
        <w:tc>
          <w:tcPr>
            <w:tcW w:type="dxa" w:w="41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床、壁、天井をそれぞれ独立して設定する。</w:t>
            </w:r>
          </w:p>
        </w:tc>
        <w:tc>
          <w:tcPr>
            <w:tcW w:type="dxa" w:w="3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各面で異なるデザインを使用</w:t>
            </w:r>
          </w:p>
        </w:tc>
      </w:tr>
    </w:tbl>
    <w:p>
      <w:pPr>
        <w:spacing w:after="80" w:before="160"/>
      </w:pPr>
      <w:r>
        <w:rPr>
          <w:rFonts w:ascii="Cambria" w:eastAsia="MS Gothic" w:hAnsi="Cambria"/>
          <w:b/>
          <w:bCs/>
          <w:sz w:val="22"/>
          <w:szCs w:val="22"/>
        </w:rPr>
        <w:t xml:space="preserve">空間の詳細形状への段階的対応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600"/>
      </w:tblGrid>
      <w:tr>
        <w:trPr>
          <w:tblHeader/>
        </w:trPr>
        <w:tc>
          <w:tcPr>
            <w:tcW w:type="dxa" w:w="16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段階</w:t>
            </w:r>
          </w:p>
        </w:tc>
        <w:tc>
          <w:tcPr>
            <w:tcW w:type="dxa" w:w="53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形状の取得方法</w:t>
            </w:r>
          </w:p>
        </w:tc>
        <w:tc>
          <w:tcPr>
            <w:tcW w:type="dxa" w:w="26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考え方</w:t>
            </w:r>
          </w:p>
        </w:tc>
      </w:tr>
      <w:tr>
        <w:trPr>
          <w:cantSplit/>
        </w:trPr>
        <w:tc>
          <w:tcPr>
            <w:tcW w:type="dxa" w:w="16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第 1 段階</w:t>
            </w:r>
          </w:p>
        </w:tc>
        <w:tc>
          <w:tcPr>
            <w:tcW w:type="dxa" w:w="53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部屋寸法を入力し、柱、梁、窓、扉、凹凸等を追加する。</w:t>
            </w:r>
          </w:p>
        </w:tc>
        <w:tc>
          <w:tcPr>
            <w:tcW w:type="dxa" w:w="26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初期実装として現実的</w:t>
            </w:r>
          </w:p>
        </w:tc>
      </w:tr>
      <w:tr>
        <w:trPr>
          <w:cantSplit/>
        </w:trPr>
        <w:tc>
          <w:tcPr>
            <w:tcW w:type="dxa" w:w="16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第 2 段階</w:t>
            </w:r>
          </w:p>
        </w:tc>
        <w:tc>
          <w:tcPr>
            <w:tcW w:type="dxa" w:w="53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平面図、展開図、PDF 図面、2 次元 CAD 等を読み込み、人が補正する。</w:t>
            </w:r>
          </w:p>
        </w:tc>
        <w:tc>
          <w:tcPr>
            <w:tcW w:type="dxa" w:w="26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半自動化</w:t>
            </w:r>
          </w:p>
        </w:tc>
      </w:tr>
      <w:tr>
        <w:trPr>
          <w:cantSplit/>
        </w:trPr>
        <w:tc>
          <w:tcPr>
            <w:tcW w:type="dxa" w:w="16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第 3 段階</w:t>
            </w:r>
          </w:p>
        </w:tc>
        <w:tc>
          <w:tcPr>
            <w:tcW w:type="dxa" w:w="53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3 次元 CAD、BIM または 3D モデルから面、寸法、座標等を取得する。</w:t>
            </w:r>
          </w:p>
        </w:tc>
        <w:tc>
          <w:tcPr>
            <w:tcW w:type="dxa" w:w="26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将来の実施形態</w:t>
            </w:r>
          </w:p>
        </w:tc>
      </w:tr>
    </w:tbl>
    <w:p>
      <w:pPr>
        <w:spacing w:after="80" w:line="288"/>
      </w:pPr>
      <w:r>
        <w:rPr>
          <w:rFonts w:ascii="Cambria" w:eastAsia="MS Gothic" w:hAnsi="Cambria"/>
          <w:b/>
          <w:bCs/>
          <w:sz w:val="19"/>
          <w:szCs w:val="19"/>
        </w:rPr>
        <w:t xml:space="preserve">重要点：</w:t>
      </w:r>
      <w:r>
        <w:rPr>
          <w:rFonts w:ascii="Cambria" w:eastAsia="MS Mincho" w:hAnsi="Cambria"/>
          <w:sz w:val="19"/>
          <w:szCs w:val="19"/>
        </w:rPr>
        <w:t xml:space="preserve">CAD や 360 度表示そのものではなく、空間形状とデザイン配置情報を保持し、各施工面の実製造用データへ展開するところまでを一連の処理として整理する。</w:t>
      </w:r>
    </w:p>
    <w:p>
      <w:pPr>
        <w:spacing w:after="100" w:before="200"/>
      </w:pPr>
      <w:r>
        <w:rPr>
          <w:rFonts w:ascii="Cambria" w:eastAsia="MS Gothic" w:hAnsi="Cambria"/>
          <w:b/>
          <w:bCs/>
          <w:sz w:val="26"/>
          <w:szCs w:val="26"/>
        </w:rPr>
        <w:t xml:space="preserve">3 確定したデザインから素材別の製造用印刷データを生成</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1500"/>
        <w:gridCol w:w="500"/>
        <w:gridCol w:w="1500"/>
        <w:gridCol w:w="500"/>
        <w:gridCol w:w="1500"/>
        <w:gridCol w:w="500"/>
        <w:gridCol w:w="1500"/>
      </w:tblGrid>
      <w:tr>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空間形状取得</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各面へ配置</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柄・色・位置調整</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最終案確定</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面別に平面展開</w:t>
            </w:r>
          </w:p>
        </w:tc>
      </w:tr>
    </w:tbl>
    <w:p>
      <w:pPr>
        <w:spacing w:after="120" w:before="60"/>
        <w:jc w:val="center"/>
      </w:pPr>
      <w:r>
        <w:rPr>
          <w:rFonts w:ascii="Cambria" w:eastAsia="MS Mincho" w:hAnsi="Cambria"/>
          <w:color w:val="7F7F7F"/>
          <w:sz w:val="16"/>
          <w:szCs w:val="16"/>
        </w:rPr>
        <w:t xml:space="preserve">図 3 空間確認から平面展開まで</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1500"/>
        <w:gridCol w:w="500"/>
        <w:gridCol w:w="1500"/>
        <w:gridCol w:w="500"/>
        <w:gridCol w:w="1500"/>
        <w:gridCol w:w="500"/>
        <w:gridCol w:w="1500"/>
      </w:tblGrid>
      <w:tr>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面別データ</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素材・製品判定</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素材別変換</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製造条件付加</w:t>
            </w:r>
          </w:p>
        </w:tc>
        <w:tc>
          <w:tcPr>
            <w:tcW w:type="dxa" w:w="500"/>
            <w:tcBorders>
              <w:top w:val="none" w:color="FFFFFF" w:sz="0"/>
              <w:left w:val="none" w:color="FFFFFF" w:sz="0"/>
              <w:bottom w:val="none" w:color="FFFFFF" w:sz="0"/>
              <w:right w:val="none" w:color="FFFFFF" w:sz="0"/>
            </w:tcBorders>
            <w:vAlign w:val="center"/>
          </w:tcPr>
          <w:p>
            <w:pPr>
              <w:jc w:val="center"/>
            </w:pPr>
            <w:r>
              <w:rPr>
                <w:rFonts w:ascii="MS Mincho" w:eastAsia="MS Mincho" w:hAnsi="MS Mincho"/>
                <w:sz w:val="20"/>
                <w:szCs w:val="20"/>
              </w:rPr>
              <w:t xml:space="preserve">→</w:t>
            </w:r>
          </w:p>
        </w:tc>
        <w:tc>
          <w:tcPr>
            <w:tcW w:type="dxa" w:w="1500"/>
            <w:tcBorders>
              <w:top w:val="none" w:color="FFFFFF" w:sz="0"/>
              <w:left w:val="none" w:color="FFFFFF" w:sz="0"/>
              <w:bottom w:val="none" w:color="FFFFFF" w:sz="0"/>
              <w:right w:val="none" w:color="FFFFFF" w:sz="0"/>
            </w:tcBorders>
            <w:shd w:fill="DCE6F2" w:color="auto" w:val="clear"/>
            <w:tcMar>
              <w:top w:type="dxa" w:w="80"/>
              <w:left w:type="dxa" w:w="60"/>
              <w:bottom w:type="dxa" w:w="80"/>
              <w:right w:type="dxa" w:w="60"/>
            </w:tcMar>
            <w:vAlign w:val="center"/>
          </w:tcPr>
          <w:p>
            <w:pPr>
              <w:jc w:val="center"/>
            </w:pPr>
            <w:r>
              <w:rPr>
                <w:rFonts w:ascii="Cambria" w:eastAsia="MS Gothic" w:hAnsi="Cambria"/>
                <w:b/>
                <w:bCs/>
                <w:sz w:val="18"/>
                <w:szCs w:val="18"/>
              </w:rPr>
              <w:t xml:space="preserve">印刷データ出力</w:t>
            </w:r>
          </w:p>
        </w:tc>
      </w:tr>
    </w:tbl>
    <w:p>
      <w:pPr>
        <w:spacing w:after="120" w:before="60"/>
        <w:jc w:val="center"/>
      </w:pPr>
      <w:r>
        <w:rPr>
          <w:rFonts w:ascii="Cambria" w:eastAsia="MS Mincho" w:hAnsi="Cambria"/>
          <w:color w:val="7F7F7F"/>
          <w:sz w:val="16"/>
          <w:szCs w:val="16"/>
        </w:rPr>
        <w:t xml:space="preserve">図 4 素材別製造データ生成</w:t>
      </w:r>
    </w:p>
    <w:p>
      <w:pPr>
        <w:spacing w:after="80" w:line="288"/>
      </w:pPr>
      <w:r>
        <w:rPr>
          <w:rFonts w:ascii="Cambria" w:eastAsia="MS Mincho" w:hAnsi="Cambria"/>
          <w:sz w:val="19"/>
          <w:szCs w:val="19"/>
        </w:rPr>
        <w:t xml:space="preserve">確定した配置情報から、素材・印刷方式に応じた実寸寸法、解像度、色条件、分割・割付、トンボ等の必要条件を反映した製造用印刷データを生成する。</w:t>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対象</w:t>
            </w:r>
          </w:p>
        </w:tc>
        <w:tc>
          <w:tcPr>
            <w:tcW w:type="dxa" w:w="39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主な処理</w:t>
            </w:r>
          </w:p>
        </w:tc>
        <w:tc>
          <w:tcPr>
            <w:tcW w:type="dxa" w:w="38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想定する出力</w:t>
            </w:r>
          </w:p>
        </w:tc>
      </w:tr>
      <w:tr>
        <w:trPr>
          <w:cantSplit/>
        </w:trPr>
        <w:tc>
          <w:tcPr>
            <w:tcW w:type="dxa" w:w="18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起毛床材</w:t>
            </w:r>
          </w:p>
        </w:tc>
        <w:tc>
          <w:tcPr>
            <w:tcW w:type="dxa" w:w="39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特色の選択・割当てを含む起毛素材向け特殊変換、製品単位の分割・配置</w:t>
            </w:r>
          </w:p>
        </w:tc>
        <w:tc>
          <w:tcPr>
            <w:tcW w:type="dxa" w:w="38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最大同時 16 色の特色印刷用データ、製品番号・配置・方向に対応する施工指示書（割付番号図・貼り始め位置等）</w:t>
            </w:r>
          </w:p>
        </w:tc>
      </w:tr>
      <w:tr>
        <w:trPr>
          <w:cantSplit/>
        </w:trPr>
        <w:tc>
          <w:tcPr>
            <w:tcW w:type="dxa" w:w="18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塩ビタイル等</w:t>
            </w:r>
          </w:p>
        </w:tc>
        <w:tc>
          <w:tcPr>
            <w:tcW w:type="dxa" w:w="39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製品寸法に応じた分割・配置・方向設定と、CMYK（メーカーにより補色を追加）のインクジェット出力（または転写紙出力）用データ生成</w:t>
            </w:r>
          </w:p>
        </w:tc>
        <w:tc>
          <w:tcPr>
            <w:tcW w:type="dxa" w:w="38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タイル別データ、割付、施工順、施工指示書（割付番号図・貼り始め位置等）</w:t>
            </w:r>
          </w:p>
        </w:tc>
      </w:tr>
      <w:tr>
        <w:trPr>
          <w:cantSplit/>
        </w:trPr>
        <w:tc>
          <w:tcPr>
            <w:tcW w:type="dxa" w:w="18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壁紙・天井材</w:t>
            </w:r>
          </w:p>
        </w:tc>
        <w:tc>
          <w:tcPr>
            <w:tcW w:type="dxa" w:w="39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施工幅でのタイリング・トンボ付加と、CMYK（メーカーにより補色を追加）の大判インクジェット出力用データ生成</w:t>
            </w:r>
          </w:p>
        </w:tc>
        <w:tc>
          <w:tcPr>
            <w:tcW w:type="dxa" w:w="38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巾別データ、施工番号、重なり代、施工指示書（割付番号図・貼り始め位置等）</w:t>
            </w:r>
          </w:p>
        </w:tc>
      </w:tr>
      <w:tr>
        <w:trPr>
          <w:cantSplit/>
        </w:trPr>
        <w:tc>
          <w:tcPr>
            <w:tcW w:type="dxa" w:w="18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柱・凹凸面</w:t>
            </w:r>
          </w:p>
        </w:tc>
        <w:tc>
          <w:tcPr>
            <w:tcW w:type="dxa" w:w="39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各面の平面展開、境界基準の付加</w:t>
            </w:r>
          </w:p>
        </w:tc>
        <w:tc>
          <w:tcPr>
            <w:tcW w:type="dxa" w:w="38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面別データ、接続位置、施工方向等</w:t>
            </w:r>
          </w:p>
        </w:tc>
      </w:tr>
    </w:tbl>
    <w:p>
      <w:pPr>
        <w:spacing w:after="80" w:before="160"/>
      </w:pPr>
      <w:r>
        <w:rPr>
          <w:rFonts w:ascii="Cambria" w:eastAsia="MS Gothic" w:hAnsi="Cambria"/>
          <w:b/>
          <w:bCs/>
          <w:sz w:val="22"/>
          <w:szCs w:val="22"/>
        </w:rPr>
        <w:t xml:space="preserve">権利化の二層構造</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200"/>
      </w:tblGrid>
      <w:tr>
        <w:trPr>
          <w:tblHeader/>
        </w:trPr>
        <w:tc>
          <w:tcPr>
            <w:tcW w:type="dxa" w:w="20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層</w:t>
            </w:r>
          </w:p>
        </w:tc>
        <w:tc>
          <w:tcPr>
            <w:tcW w:type="dxa" w:w="33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対象範囲</w:t>
            </w:r>
          </w:p>
        </w:tc>
        <w:tc>
          <w:tcPr>
            <w:tcW w:type="dxa" w:w="42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独自性の中心</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全体システム</w:t>
            </w:r>
          </w:p>
        </w:tc>
        <w:tc>
          <w:tcPr>
            <w:tcW w:type="dxa" w:w="33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起毛床材、塩ビタイル、シート床材等を含む床材全般</w:t>
            </w:r>
          </w:p>
        </w:tc>
        <w:tc>
          <w:tcPr>
            <w:tcW w:type="dxa" w:w="42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床を基準とした壁・天井との連動、確認、調整、製造データ生成</w:t>
            </w:r>
          </w:p>
        </w:tc>
      </w:tr>
      <w:tr>
        <w:trPr>
          <w:cantSplit/>
        </w:trPr>
        <w:tc>
          <w:tcPr>
            <w:tcW w:type="dxa" w:w="20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変換プログラム</w:t>
            </w:r>
          </w:p>
        </w:tc>
        <w:tc>
          <w:tcPr>
            <w:tcW w:type="dxa" w:w="33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主として起毛・パイル素材</w:t>
            </w:r>
          </w:p>
        </w:tc>
        <w:tc>
          <w:tcPr>
            <w:tcW w:type="dxa" w:w="42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表面性状、製品、寸法、使用色および印刷条件等に応じた、最大同時 16 色の特色印刷用データ変換（色変換・分割・配置等）</w:t>
            </w:r>
          </w:p>
        </w:tc>
      </w:tr>
    </w:tbl>
    <w:p>
      <w:pPr>
        <w:spacing w:after="80" w:line="288"/>
      </w:pPr>
      <w:r>
        <w:rPr>
          <w:rFonts w:ascii="Cambria" w:eastAsia="MS Mincho" w:hAnsi="Cambria"/>
          <w:sz w:val="19"/>
          <w:szCs w:val="19"/>
        </w:rPr>
        <w:t xml:space="preserve">最初から出願件数を固定せず、一つの包括的出願、複数出願または将来の分割等について、先行技術調査と専門家判断を踏まえて検討する。</w:t>
      </w:r>
    </w:p>
    <w:p>
      <w:pPr>
        <w:spacing w:after="100" w:before="200"/>
      </w:pPr>
      <w:r>
        <w:rPr>
          <w:rFonts w:ascii="Cambria" w:eastAsia="MS Gothic" w:hAnsi="Cambria"/>
          <w:b/>
          <w:bCs/>
          <w:sz w:val="26"/>
          <w:szCs w:val="26"/>
        </w:rPr>
        <w:t xml:space="preserve">4 想定される効果と相談事項</w:t>
      </w:r>
    </w:p>
    <w:p>
      <w:pPr>
        <w:spacing w:after="80" w:before="160"/>
      </w:pPr>
      <w:r>
        <w:rPr>
          <w:rFonts w:ascii="Cambria" w:eastAsia="MS Gothic" w:hAnsi="Cambria"/>
          <w:b/>
          <w:bCs/>
          <w:sz w:val="22"/>
          <w:szCs w:val="22"/>
        </w:rPr>
        <w:t xml:space="preserve">想定される効果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項目</w:t>
            </w:r>
          </w:p>
        </w:tc>
        <w:tc>
          <w:tcPr>
            <w:tcW w:type="dxa" w:w="7500"/>
            <w:tcBorders>
              <w:top w:val="single" w:color="C8CDD5" w:sz="4"/>
              <w:left w:val="single" w:color="C8CDD5" w:sz="4"/>
              <w:bottom w:val="single" w:color="C8CDD5" w:sz="4"/>
              <w:right w:val="single" w:color="C8CDD5" w:sz="4"/>
            </w:tcBorders>
            <w:shd w:fill="1F2A44" w:color="auto" w:val="clear"/>
            <w:tcMar>
              <w:top w:type="dxa" w:w="60"/>
              <w:left w:type="dxa" w:w="100"/>
              <w:bottom w:type="dxa" w:w="60"/>
              <w:right w:type="dxa" w:w="100"/>
            </w:tcMar>
            <w:vAlign w:val="center"/>
          </w:tcPr>
          <w:p>
            <w:pPr>
              <w:spacing w:line="276"/>
              <w:jc w:val="center"/>
            </w:pPr>
            <w:r>
              <w:rPr>
                <w:rFonts w:ascii="Cambria" w:eastAsia="MS Gothic" w:hAnsi="Cambria"/>
                <w:b/>
                <w:bCs/>
                <w:color w:val="FFFFFF"/>
                <w:sz w:val="18"/>
                <w:szCs w:val="18"/>
              </w:rPr>
              <w:t xml:space="preserve">想定される効果</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データ作成</w:t>
            </w:r>
          </w:p>
        </w:tc>
        <w:tc>
          <w:tcPr>
            <w:tcW w:type="dxa" w:w="7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専門作業の一部自動化、作業時間短縮、属人性および変換ミスの低減</w:t>
            </w:r>
          </w:p>
        </w:tc>
      </w:tr>
      <w:tr>
        <w:trPr>
          <w:cantSplit/>
        </w:trPr>
        <w:tc>
          <w:tcPr>
            <w:tcW w:type="dxa" w:w="20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顧客確認</w:t>
            </w:r>
          </w:p>
        </w:tc>
        <w:tc>
          <w:tcPr>
            <w:tcW w:type="dxa" w:w="75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床・壁・天井の柄接続、配色・テーマ、選択した特色による仕上がりの目安を事前確認。画面表示は実印刷色の保証とは区別する。</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修正管理</w:t>
            </w:r>
          </w:p>
        </w:tc>
        <w:tc>
          <w:tcPr>
            <w:tcW w:type="dxa" w:w="7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途中案、修正案および最終案の混同を防止</w:t>
            </w:r>
          </w:p>
        </w:tc>
      </w:tr>
      <w:tr>
        <w:trPr>
          <w:cantSplit/>
        </w:trPr>
        <w:tc>
          <w:tcPr>
            <w:tcW w:type="dxa" w:w="20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製造連携</w:t>
            </w:r>
          </w:p>
        </w:tc>
        <w:tc>
          <w:tcPr>
            <w:tcW w:type="dxa" w:w="7500"/>
            <w:tcBorders>
              <w:top w:val="single" w:color="C8CDD5" w:sz="4"/>
              <w:left w:val="single" w:color="C8CDD5" w:sz="4"/>
              <w:bottom w:val="single" w:color="C8CDD5" w:sz="4"/>
              <w:right w:val="single" w:color="C8CDD5" w:sz="4"/>
            </w:tcBorders>
            <w:shd w:fill="F2F4F7"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確認・確定した配置情報から製造データを生成し、転記や再作成を削減</w:t>
            </w:r>
          </w:p>
        </w:tc>
      </w:tr>
      <w:tr>
        <w:trPr>
          <w:cantSplit/>
        </w:trPr>
        <w:tc>
          <w:tcPr>
            <w:tcW w:type="dxa" w:w="20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秘密管理</w:t>
            </w:r>
          </w:p>
        </w:tc>
        <w:tc>
          <w:tcPr>
            <w:tcW w:type="dxa" w:w="7500"/>
            <w:tcBorders>
              <w:top w:val="single" w:color="C8CDD5" w:sz="4"/>
              <w:left w:val="single" w:color="C8CDD5" w:sz="4"/>
              <w:bottom w:val="single" w:color="C8CDD5" w:sz="4"/>
              <w:right w:val="single" w:color="C8CDD5" w:sz="4"/>
            </w:tcBorders>
            <w:shd w:fill="FFFFFF" w:color="auto" w:val="clear"/>
            <w:tcMar>
              <w:top w:type="dxa" w:w="60"/>
              <w:left w:type="dxa" w:w="100"/>
              <w:bottom w:type="dxa" w:w="60"/>
              <w:right w:type="dxa" w:w="100"/>
            </w:tcMar>
            <w:vAlign w:val="center"/>
          </w:tcPr>
          <w:p>
            <w:pPr>
              <w:spacing w:line="276"/>
            </w:pPr>
            <w:r>
              <w:rPr>
                <w:rFonts w:ascii="Cambria" w:eastAsia="MS Mincho" w:hAnsi="Cambria"/>
                <w:sz w:val="18"/>
                <w:szCs w:val="18"/>
              </w:rPr>
              <w:t xml:space="preserve">専用印刷データを顧客へ渡さず、独自ノウハウの流出を抑制</w:t>
            </w:r>
          </w:p>
        </w:tc>
      </w:tr>
    </w:tbl>
    <w:p>
      <w:pPr>
        <w:spacing w:after="80" w:before="160"/>
      </w:pPr>
      <w:r>
        <w:rPr>
          <w:rFonts w:ascii="Cambria" w:eastAsia="MS Gothic" w:hAnsi="Cambria"/>
          <w:b/>
          <w:bCs/>
          <w:sz w:val="22"/>
          <w:szCs w:val="22"/>
        </w:rPr>
        <w:t xml:space="preserve">INPIT へ相談したい主な事項</w:t>
      </w:r>
    </w:p>
    <w:p>
      <w:pPr>
        <w:pStyle w:val="ListParagraph"/>
        <w:numPr>
          <w:ilvl w:val="0"/>
          <w:numId w:val="2"/>
        </w:numPr>
        <w:spacing w:after="30"/>
      </w:pPr>
      <w:r>
        <w:rPr>
          <w:rFonts w:ascii="Cambria" w:eastAsia="MS Mincho" w:hAnsi="Cambria"/>
          <w:sz w:val="19"/>
          <w:szCs w:val="19"/>
        </w:rPr>
        <w:t xml:space="preserve">起毛素材向け変換処理のうち、技術的特徴として説明すべき要素は何か。</w:t>
      </w:r>
    </w:p>
    <w:p>
      <w:pPr>
        <w:pStyle w:val="ListParagraph"/>
        <w:numPr>
          <w:ilvl w:val="0"/>
          <w:numId w:val="2"/>
        </w:numPr>
        <w:spacing w:after="30"/>
      </w:pPr>
      <w:r>
        <w:rPr>
          <w:rFonts w:ascii="Cambria" w:eastAsia="MS Mincho" w:hAnsi="Cambria"/>
          <w:sz w:val="19"/>
          <w:szCs w:val="19"/>
        </w:rPr>
        <w:t xml:space="preserve">空間デザイン連動と素材別製造データ生成を同一の発明として整理できるか。</w:t>
      </w:r>
    </w:p>
    <w:p>
      <w:pPr>
        <w:pStyle w:val="ListParagraph"/>
        <w:numPr>
          <w:ilvl w:val="0"/>
          <w:numId w:val="2"/>
        </w:numPr>
        <w:spacing w:after="30"/>
      </w:pPr>
      <w:r>
        <w:rPr>
          <w:rFonts w:ascii="Cambria" w:eastAsia="MS Mincho" w:hAnsi="Cambria"/>
          <w:sz w:val="19"/>
          <w:szCs w:val="19"/>
        </w:rPr>
        <w:t xml:space="preserve">床材全般を上位概念、起毛素材を具体的な下位概念とする構成は妥当か。</w:t>
      </w:r>
    </w:p>
    <w:p>
      <w:pPr>
        <w:pStyle w:val="ListParagraph"/>
        <w:numPr>
          <w:ilvl w:val="0"/>
          <w:numId w:val="2"/>
        </w:numPr>
        <w:spacing w:after="30"/>
      </w:pPr>
      <w:r>
        <w:rPr>
          <w:rFonts w:ascii="Cambria" w:eastAsia="MS Mincho" w:hAnsi="Cambria"/>
          <w:sz w:val="19"/>
          <w:szCs w:val="19"/>
        </w:rPr>
        <w:t xml:space="preserve">360 度確認、図柄接続、面別平面展開および素材別出力のどこに独自性を置くべきか。</w:t>
      </w:r>
    </w:p>
    <w:p>
      <w:pPr>
        <w:pStyle w:val="ListParagraph"/>
        <w:numPr>
          <w:ilvl w:val="0"/>
          <w:numId w:val="2"/>
        </w:numPr>
        <w:spacing w:after="30"/>
      </w:pPr>
      <w:r>
        <w:rPr>
          <w:rFonts w:ascii="Cambria" w:eastAsia="MS Mincho" w:hAnsi="Cambria"/>
          <w:sz w:val="19"/>
          <w:szCs w:val="19"/>
        </w:rPr>
        <w:t xml:space="preserve">CAD・BIM 読込みを将来の実施形態として記載するため、どの程度の説明が必要か。</w:t>
      </w:r>
    </w:p>
    <w:p>
      <w:pPr>
        <w:pStyle w:val="ListParagraph"/>
        <w:numPr>
          <w:ilvl w:val="0"/>
          <w:numId w:val="2"/>
        </w:numPr>
        <w:spacing w:after="30"/>
      </w:pPr>
      <w:r>
        <w:rPr>
          <w:rFonts w:ascii="Cambria" w:eastAsia="MS Mincho" w:hAnsi="Cambria"/>
          <w:sz w:val="19"/>
          <w:szCs w:val="19"/>
        </w:rPr>
        <w:t xml:space="preserve">一件の包括的出願、複数出願または将来の分割等のうち、どの構成が適切か。</w:t>
      </w:r>
    </w:p>
    <w:p>
      <w:pPr>
        <w:pStyle w:val="ListParagraph"/>
        <w:numPr>
          <w:ilvl w:val="0"/>
          <w:numId w:val="2"/>
        </w:numPr>
        <w:spacing w:after="30"/>
      </w:pPr>
      <w:r>
        <w:rPr>
          <w:rFonts w:ascii="Cambria" w:eastAsia="MS Mincho" w:hAnsi="Cambria"/>
          <w:sz w:val="19"/>
          <w:szCs w:val="19"/>
        </w:rPr>
        <w:t xml:space="preserve">特許として開示する部分と、営業秘密として保持する部分をどう区分するか。</w:t>
      </w:r>
    </w:p>
    <w:sectPr>
      <w:footerReference w:type="default" r:id="rId7"/>
      <w:pgSz w:w="11906" w:h="16838" w:orient="portrait"/>
      <w:pgMar w:top="1000" w:right="1203" w:bottom="1000" w:left="12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eastAsia="MS Mincho" w:hAnsi="Cambria"/>
        <w:color w:val="7F7F7F"/>
        <w:sz w:val="16"/>
        <w:szCs w:val="16"/>
      </w:rPr>
      <w:t xml:space="preserve">株式会社ヨコセ　INPIT 相談用 要約版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2026-10-19T10:28:55.836Z</dcterms:created>
  <dcterms:modified xsi:type="dcterms:W3CDTF">2026-10-19T10:28:55.836Z</dcterms:modified>
</cp:coreProperties>
</file>

<file path=docProps/custom.xml><?xml version="1.0" encoding="utf-8"?>
<Properties xmlns="http://schemas.openxmlformats.org/officeDocument/2006/custom-properties" xmlns:vt="http://schemas.openxmlformats.org/officeDocument/2006/docPropsVTypes"/>
</file>