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8986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多组织财务系统（私有部署）分模块详细设计文档（合集）</w:t>
      </w:r>
    </w:p>
    <w:p w14:paraId="7BA6275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前言（私有部署专属说明）</w:t>
      </w:r>
      <w:bookmarkEnd w:id="0"/>
    </w:p>
    <w:p w14:paraId="51744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本次详细设计</w:t>
      </w:r>
      <w:r>
        <w:rPr>
          <w:rFonts w:ascii="Arial" w:hAnsi="Arial" w:eastAsia="等线" w:cs="Arial"/>
          <w:b/>
          <w:sz w:val="22"/>
        </w:rPr>
        <w:t>仅针对私有部署版本</w:t>
      </w:r>
      <w:r>
        <w:rPr>
          <w:rFonts w:ascii="Arial" w:hAnsi="Arial" w:eastAsia="等线" w:cs="Arial"/>
          <w:sz w:val="22"/>
        </w:rPr>
        <w:t>，剔除云端多租户SaaS特性，聚焦企业本地部署、内网运行、数据本地存储、集团多组织管控闭环场景，完全对标金蝶云星空私有部署版财务核心流程。为解决篇幅过长问题，采用</w:t>
      </w:r>
      <w:r>
        <w:rPr>
          <w:rFonts w:ascii="Arial" w:hAnsi="Arial" w:eastAsia="等线" w:cs="Arial"/>
          <w:b/>
          <w:sz w:val="22"/>
        </w:rPr>
        <w:t>单模块单独立文档小节、可拆分导出</w:t>
      </w:r>
      <w:r>
        <w:rPr>
          <w:rFonts w:ascii="Arial" w:hAnsi="Arial" w:eastAsia="等线" w:cs="Arial"/>
          <w:sz w:val="22"/>
        </w:rPr>
        <w:t>的形式，覆盖用户要求的全业务链路：财务总账全流程、应收款全流程、应付款全流程、出纳资金全流程、固定资产全流程、业务单据自动生成凭证全流程，包含初始化、日常业务、期末处理、汇兑损益、本年利润结转、期末结账、账簿查询、报表输出完整闭环。</w:t>
      </w:r>
    </w:p>
    <w:p w14:paraId="5F0FF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统一适用规则：所有模块均基于系统已有的</w:t>
      </w:r>
      <w:r>
        <w:rPr>
          <w:rFonts w:ascii="Arial" w:hAnsi="Arial" w:eastAsia="等线" w:cs="Arial"/>
          <w:b/>
          <w:sz w:val="22"/>
        </w:rPr>
        <w:t>多组织柔性架构</w:t>
      </w:r>
      <w:r>
        <w:rPr>
          <w:rFonts w:ascii="Arial" w:hAnsi="Arial" w:eastAsia="等线" w:cs="Arial"/>
          <w:sz w:val="22"/>
        </w:rPr>
        <w:t>（集团管控组织+法人核算组织+业务运营组织），支持跨组织协同、集团统一基础资料、各法人组织独立核算、数据隔离、集中汇总，适配私有部署的权限管控、数据安全、本地化运维、离线业务处理需求。</w:t>
      </w:r>
    </w:p>
    <w:p w14:paraId="1766D51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文档一：多组织总账管理模块详细设计（私有部署·全流程）</w:t>
      </w:r>
      <w:bookmarkEnd w:id="1"/>
    </w:p>
    <w:p w14:paraId="301661B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模块定位</w:t>
      </w:r>
      <w:bookmarkEnd w:id="2"/>
    </w:p>
    <w:p w14:paraId="331DD0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总账为多组织财务核心基础模块，支撑私有部署环境下</w:t>
      </w:r>
      <w:r>
        <w:rPr>
          <w:rFonts w:ascii="Arial" w:hAnsi="Arial" w:eastAsia="等线" w:cs="Arial"/>
          <w:b/>
          <w:sz w:val="22"/>
        </w:rPr>
        <w:t>多组织初始化建账、凭证管理、账簿核算、期末结转、汇兑损益、本年利润结转、期末结账、账务报表输出</w:t>
      </w:r>
      <w:r>
        <w:rPr>
          <w:rFonts w:ascii="Arial" w:hAnsi="Arial" w:eastAsia="等线" w:cs="Arial"/>
          <w:sz w:val="22"/>
        </w:rPr>
        <w:t>全闭环流程，是所有业务模块的数据归集核心，严格遵循企业会计准则，支持集团统一管控与法人组织独立核算。</w:t>
      </w:r>
    </w:p>
    <w:p w14:paraId="1283215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多组织基础资料初始化设计（私有部署核心）</w:t>
      </w:r>
      <w:bookmarkEnd w:id="3"/>
    </w:p>
    <w:p w14:paraId="1CB4A1C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集团统一基础资料（管控层下发，下级不可删改）</w:t>
      </w:r>
      <w:bookmarkEnd w:id="4"/>
    </w:p>
    <w:p w14:paraId="07135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私有部署环境支持管理员本地统一维护，一键下发至所有下属组织，保障集团账务标准化：</w:t>
      </w:r>
    </w:p>
    <w:p w14:paraId="413B5E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会计科目体系</w:t>
      </w:r>
      <w:r>
        <w:rPr>
          <w:rFonts w:ascii="Arial" w:hAnsi="Arial" w:eastAsia="等线" w:cs="Arial"/>
          <w:sz w:val="22"/>
        </w:rPr>
        <w:t>：集团统一一级至二级科目，法人组织仅可新增三级及以下明细科目，科目属性、核算维度（部门、项目、客户、供应商、组织）集团统一锁定；支持科目批量导入、导出、批量禁用，适配私有部署离线初始化场景。</w:t>
      </w:r>
    </w:p>
    <w:p w14:paraId="629B0AA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会计期间</w:t>
      </w:r>
      <w:r>
        <w:rPr>
          <w:rFonts w:ascii="Arial" w:hAnsi="Arial" w:eastAsia="等线" w:cs="Arial"/>
          <w:sz w:val="22"/>
        </w:rPr>
        <w:t>：统一自然年度/自定义会计期间，所有组织期间一致，禁止单组织私自修改，支持跨年账务处理配置。</w:t>
      </w:r>
    </w:p>
    <w:p w14:paraId="17258C1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汇率体系</w:t>
      </w:r>
      <w:r>
        <w:rPr>
          <w:rFonts w:ascii="Arial" w:hAnsi="Arial" w:eastAsia="等线" w:cs="Arial"/>
          <w:sz w:val="22"/>
        </w:rPr>
        <w:t>：集团统一维护外币币种、期初汇率、期末调汇汇率，设置汇率变动方式（固定汇率、浮动汇率），所有组织汇兑损益核算统一标准。</w:t>
      </w:r>
    </w:p>
    <w:p w14:paraId="263DE29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凭证字、凭证模板</w:t>
      </w:r>
      <w:r>
        <w:rPr>
          <w:rFonts w:ascii="Arial" w:hAnsi="Arial" w:eastAsia="等线" w:cs="Arial"/>
          <w:sz w:val="22"/>
        </w:rPr>
        <w:t>：统一收、付、转凭证字，预置通用凭证模板，下级组织可微调模板摘要、分录规则，不可修改核心核算科目。</w:t>
      </w:r>
    </w:p>
    <w:p w14:paraId="50548D8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结转方案</w:t>
      </w:r>
      <w:r>
        <w:rPr>
          <w:rFonts w:ascii="Arial" w:hAnsi="Arial" w:eastAsia="等线" w:cs="Arial"/>
          <w:sz w:val="22"/>
        </w:rPr>
        <w:t>：集团统一预置汇兑损益结转、本年利润结转、损益结转模板，各组织直接调用，保证期末结转口径统一。</w:t>
      </w:r>
    </w:p>
    <w:p w14:paraId="475D670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法人组织私有初始化资料（独立维护、数据隔离）</w:t>
      </w:r>
      <w:bookmarkEnd w:id="5"/>
    </w:p>
    <w:p w14:paraId="17197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各独立核算法人组织，在集团标准框架内完成本地初始化，数据私有隔离、集团可汇总查询：</w:t>
      </w:r>
    </w:p>
    <w:p w14:paraId="1FDF378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科目期初余额</w:t>
      </w:r>
      <w:r>
        <w:rPr>
          <w:rFonts w:ascii="Arial" w:hAnsi="Arial" w:eastAsia="等线" w:cs="Arial"/>
          <w:sz w:val="22"/>
        </w:rPr>
        <w:t>：支持手工录入、Excel批量导入期初余额，区分借方、贷方、外币余额、数量余额；支持年初余额、期初余额自动联动，支持初始化试算平衡校验，不平衡禁止初始化完成。</w:t>
      </w:r>
    </w:p>
    <w:p w14:paraId="3C613E1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辅助核算期初</w:t>
      </w:r>
      <w:r>
        <w:rPr>
          <w:rFonts w:ascii="Arial" w:hAnsi="Arial" w:eastAsia="等线" w:cs="Arial"/>
          <w:sz w:val="22"/>
        </w:rPr>
        <w:t>：按部门、项目、客户、供应商、人员、多组织维度录入辅助期初数据，支持辅助核算对账，确保总账与辅助账数据一致。</w:t>
      </w:r>
    </w:p>
    <w:p w14:paraId="7AEA30C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初始化未达账项</w:t>
      </w:r>
      <w:r>
        <w:rPr>
          <w:rFonts w:ascii="Arial" w:hAnsi="Arial" w:eastAsia="等线" w:cs="Arial"/>
          <w:sz w:val="22"/>
        </w:rPr>
        <w:t>：维护银行未达账、往来未达账，适配期初账务衔接场景。</w:t>
      </w:r>
    </w:p>
    <w:p w14:paraId="47B8246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账套启用参数</w:t>
      </w:r>
      <w:r>
        <w:rPr>
          <w:rFonts w:ascii="Arial" w:hAnsi="Arial" w:eastAsia="等线" w:cs="Arial"/>
          <w:sz w:val="22"/>
        </w:rPr>
        <w:t>：各组织独立设置账套启用期间、结账锁定规则、凭证审核规则、赤字控制规则。</w:t>
      </w:r>
    </w:p>
    <w:p w14:paraId="239DB41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2.3 初始化闭环校验机制</w:t>
      </w:r>
      <w:bookmarkEnd w:id="6"/>
    </w:p>
    <w:p w14:paraId="56867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私有部署专属本地化校验，杜绝账务初始化错误：总账试算平衡校验、辅助核算期初与总账余额校验、外币期初汇率校验、跨组织期初往来对账校验，全部通过后方可开启日常账务处理。</w:t>
      </w:r>
    </w:p>
    <w:p w14:paraId="43B65EE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日常凭证全流程功能设计</w:t>
      </w:r>
      <w:bookmarkEnd w:id="7"/>
    </w:p>
    <w:p w14:paraId="15B7481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多组织凭证处理</w:t>
      </w:r>
      <w:bookmarkEnd w:id="8"/>
    </w:p>
    <w:p w14:paraId="262D572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凭证录入</w:t>
      </w:r>
      <w:r>
        <w:rPr>
          <w:rFonts w:ascii="Arial" w:hAnsi="Arial" w:eastAsia="等线" w:cs="Arial"/>
          <w:sz w:val="22"/>
        </w:rPr>
        <w:t>：支持单组织凭证录入、跨组织凭证录入（内部交易账务）；自动携带科目辅助核算、外币汇率、部门项目维度；智能校验科目合法性、赤字预警、超期期间预警。</w:t>
      </w:r>
    </w:p>
    <w:p w14:paraId="7B5CFE1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凭证修改/作废/删除</w:t>
      </w:r>
      <w:r>
        <w:rPr>
          <w:rFonts w:ascii="Arial" w:hAnsi="Arial" w:eastAsia="等线" w:cs="Arial"/>
          <w:sz w:val="22"/>
        </w:rPr>
        <w:t>：未审核凭证可修改删除，已审核凭证需反审核后操作；所有操作本地日志留存，支持内网追溯审计，适配私有部署内控要求。</w:t>
      </w:r>
    </w:p>
    <w:p w14:paraId="580B3B6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凭证审核/过账</w:t>
      </w:r>
      <w:r>
        <w:rPr>
          <w:rFonts w:ascii="Arial" w:hAnsi="Arial" w:eastAsia="等线" w:cs="Arial"/>
          <w:sz w:val="22"/>
        </w:rPr>
        <w:t>：支持单人审核、多级审核，可配置审核人与制单人分离；批量审核、批量过账、批量反过账；过账后自动更新总账、明细账、辅助账数据。</w:t>
      </w:r>
    </w:p>
    <w:p w14:paraId="28CCAE6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凭证批量处理</w:t>
      </w:r>
      <w:bookmarkEnd w:id="9"/>
    </w:p>
    <w:p w14:paraId="6063EB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支持期末批量计提、批量摊销、批量转账凭证生成；支持凭证模板一键生成，适配工资计提、折旧计提、费用摊销等常规账务场景。</w:t>
      </w:r>
    </w:p>
    <w:p w14:paraId="21C4BB2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账簿查询全流程设计（多组织维度）</w:t>
      </w:r>
      <w:bookmarkEnd w:id="10"/>
    </w:p>
    <w:p w14:paraId="56E55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私有部署本地实时计算，无需云端加载，支持多维度账簿查询与导出：</w:t>
      </w:r>
    </w:p>
    <w:p w14:paraId="02F63DF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基础账簿</w:t>
      </w:r>
      <w:r>
        <w:rPr>
          <w:rFonts w:ascii="Arial" w:hAnsi="Arial" w:eastAsia="等线" w:cs="Arial"/>
          <w:sz w:val="22"/>
        </w:rPr>
        <w:t>：总账、明细账、多栏账、日记账、外币账簿，支持按组织、期间、科目、部门、项目筛选查询。</w:t>
      </w:r>
    </w:p>
    <w:p w14:paraId="2D90A1D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辅助账簿</w:t>
      </w:r>
      <w:r>
        <w:rPr>
          <w:rFonts w:ascii="Arial" w:hAnsi="Arial" w:eastAsia="等线" w:cs="Arial"/>
          <w:sz w:val="22"/>
        </w:rPr>
        <w:t>：客户辅助账、供应商辅助账、部门辅助账、项目辅助账、跨组织往来辅助账。</w:t>
      </w:r>
    </w:p>
    <w:p w14:paraId="68DFD0B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批量导出打印</w:t>
      </w:r>
      <w:r>
        <w:rPr>
          <w:rFonts w:ascii="Arial" w:hAnsi="Arial" w:eastAsia="等线" w:cs="Arial"/>
          <w:sz w:val="22"/>
        </w:rPr>
        <w:t>：支持本地PDF、Excel批量导出，批量打印账簿，满足线下归档、审计备查需求（私有部署核心刚需）。</w:t>
      </w:r>
    </w:p>
    <w:p w14:paraId="6D33B4C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5. 期末专项处理核心功能</w:t>
      </w:r>
      <w:bookmarkEnd w:id="11"/>
    </w:p>
    <w:p w14:paraId="3AE1EF1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5.1 汇兑损益结转（多组织外币统一核算）</w:t>
      </w:r>
      <w:bookmarkEnd w:id="12"/>
    </w:p>
    <w:p w14:paraId="47A15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集团统一汇率体系，各法人组织独立执行期末调汇：系统自动筛选所有外币科目、外币往来余额，根据期末汇率与期初汇率差额，自动计算汇兑收益/损失；自动生成汇兑损益结转凭证，支持手动调整差额；调汇记录本地留存，支持逐笔追溯。</w:t>
      </w:r>
    </w:p>
    <w:p w14:paraId="7CFB34F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5.2 损益结转</w:t>
      </w:r>
      <w:bookmarkEnd w:id="13"/>
    </w:p>
    <w:p w14:paraId="14FA2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调用集团统一损益结转方案，自动归集主营业务收入、成本、期间费用、其他收支等损益类科目余额，一键生成损益结转凭证，支持全部结转、部分结转，适配月度、季度结转场景。</w:t>
      </w:r>
    </w:p>
    <w:p w14:paraId="04062E8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5.3 本年利润结转</w:t>
      </w:r>
      <w:bookmarkEnd w:id="14"/>
    </w:p>
    <w:p w14:paraId="10216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年度期末专属流程：系统自动汇总全年损益累计余额，将本年利润科目余额自动结转至利润分配科目；支持自动结转、手动结转两种模式，结转后本年利润科目无余额，支持跨年账务衔接校验。</w:t>
      </w:r>
    </w:p>
    <w:p w14:paraId="57434BC2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 期末结账全流程（私有部署严格管控）</w:t>
      </w:r>
      <w:bookmarkEnd w:id="15"/>
    </w:p>
    <w:p w14:paraId="49408506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结账前置校验</w:t>
      </w:r>
      <w:bookmarkEnd w:id="16"/>
    </w:p>
    <w:p w14:paraId="6407B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系统自动执行本地化闭环校验，任意一项不通过禁止结账：</w:t>
      </w:r>
    </w:p>
    <w:p w14:paraId="089C601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当期所有凭证全部审核过账；</w:t>
      </w:r>
    </w:p>
    <w:p w14:paraId="5D06A29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试算平衡校验通过；</w:t>
      </w:r>
    </w:p>
    <w:p w14:paraId="4CDEAA0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外币调汇、损益结转完成；</w:t>
      </w:r>
    </w:p>
    <w:p w14:paraId="15DC3FC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应收、应付、固定资产、出纳资金当期业务全部结账；</w:t>
      </w:r>
    </w:p>
    <w:p w14:paraId="3566C53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跨组织内部往来对账无差异；</w:t>
      </w:r>
    </w:p>
    <w:p w14:paraId="712A1DC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无未处理预警、赤字异常。</w:t>
      </w:r>
    </w:p>
    <w:p w14:paraId="72C2756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多组织结账模式</w:t>
      </w:r>
      <w:bookmarkEnd w:id="17"/>
    </w:p>
    <w:p w14:paraId="5521E1F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单组织独立结账</w:t>
      </w:r>
      <w:r>
        <w:rPr>
          <w:rFonts w:ascii="Arial" w:hAnsi="Arial" w:eastAsia="等线" w:cs="Arial"/>
          <w:sz w:val="22"/>
        </w:rPr>
        <w:t>：各法人组织自主完成当期结账；</w:t>
      </w:r>
    </w:p>
    <w:p w14:paraId="6E388DA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集团批量结账</w:t>
      </w:r>
      <w:r>
        <w:rPr>
          <w:rFonts w:ascii="Arial" w:hAnsi="Arial" w:eastAsia="等线" w:cs="Arial"/>
          <w:sz w:val="22"/>
        </w:rPr>
        <w:t>：管控组织一键批量完成所有下属组织结账，适配统一管控场景；</w:t>
      </w:r>
    </w:p>
    <w:p w14:paraId="20B048F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反结账</w:t>
      </w:r>
      <w:r>
        <w:rPr>
          <w:rFonts w:ascii="Arial" w:hAnsi="Arial" w:eastAsia="等线" w:cs="Arial"/>
          <w:sz w:val="22"/>
        </w:rPr>
        <w:t>：支持权限管控下的反结账、反过账、反审核，所有反向操作留存审计日志。</w:t>
      </w:r>
    </w:p>
    <w:p w14:paraId="2A892EC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 账务报表输出设计</w:t>
      </w:r>
      <w:bookmarkEnd w:id="18"/>
    </w:p>
    <w:p w14:paraId="5AF32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支持本地离线生成、导出、打印各类财务报表：科目余额表、试算平衡表、总账报表、辅助核算报表、多组织汇总账务报表、单体组织账务报表，支持自定义报表格式，适配报税、审计、内部经营分析需求。</w:t>
      </w:r>
    </w:p>
    <w:p w14:paraId="11F972EB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后续模块说明</w:t>
      </w:r>
      <w:bookmarkEnd w:id="19"/>
    </w:p>
    <w:p w14:paraId="44232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本合集将依次拆分生成以下独立模块详细设计文档，均适配</w:t>
      </w:r>
      <w:r>
        <w:rPr>
          <w:rFonts w:ascii="Arial" w:hAnsi="Arial" w:eastAsia="等线" w:cs="Arial"/>
          <w:b/>
          <w:sz w:val="22"/>
        </w:rPr>
        <w:t>私有部署+多组织架构</w:t>
      </w:r>
      <w:r>
        <w:rPr>
          <w:rFonts w:ascii="Arial" w:hAnsi="Arial" w:eastAsia="等线" w:cs="Arial"/>
          <w:sz w:val="22"/>
        </w:rPr>
        <w:t>，覆盖全流程与业务转凭证逻辑：</w:t>
      </w:r>
    </w:p>
    <w:p w14:paraId="53195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文档二：多组织应付款管理全流程详细设计</w:t>
      </w:r>
    </w:p>
    <w:p w14:paraId="26017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文档三：多组织应收款管理全流程详细设计</w:t>
      </w:r>
    </w:p>
    <w:p w14:paraId="5CF06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文档四：多组织出纳资金管理全流程详细设计</w:t>
      </w:r>
    </w:p>
    <w:p w14:paraId="2623C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文档五：多组织固定资产管理全流程详细设计</w:t>
      </w:r>
    </w:p>
    <w:p w14:paraId="3FCE7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文档六：多组织业务单据生成财务凭证（业财一体化）详细设计</w:t>
      </w:r>
    </w:p>
    <w:p w14:paraId="3E9347ED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文档二：多组织应付款管理全流程详细设计（私有部署·全闭环）</w:t>
      </w:r>
      <w:bookmarkEnd w:id="20"/>
    </w:p>
    <w:p w14:paraId="3D2E597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1. 模块定位</w:t>
      </w:r>
      <w:bookmarkEnd w:id="21"/>
    </w:p>
    <w:p w14:paraId="35485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应付款管理模块为多组织财务核心业务模块，适配私有部署内网本地化运行，依托集团多组织架构，实现</w:t>
      </w:r>
      <w:r>
        <w:rPr>
          <w:rFonts w:ascii="Arial" w:hAnsi="Arial" w:eastAsia="等线" w:cs="Arial"/>
          <w:b/>
          <w:sz w:val="22"/>
        </w:rPr>
        <w:t>集团统一管控、各法人组织独立应付核算、跨组织内部应付协同、供应商往来全生命周期管理</w:t>
      </w:r>
      <w:r>
        <w:rPr>
          <w:rFonts w:ascii="Arial" w:hAnsi="Arial" w:eastAsia="等线" w:cs="Arial"/>
          <w:sz w:val="22"/>
        </w:rPr>
        <w:t>。完整覆盖期初初始化、日常应付单据处理、付款核销、费用应付、暂估应付、期末调汇、对账结账、自动生成财务凭证全流程，与总账、出纳、资产模块深度联动，严格匹配金蝶云星空私有部署版应付核心业务逻辑，满足企业内控审计、税务核算、往来管控刚需。</w:t>
      </w:r>
    </w:p>
    <w:p w14:paraId="7CCE5D9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2. 多组织基础资料与初始化设计</w:t>
      </w:r>
      <w:bookmarkEnd w:id="22"/>
    </w:p>
    <w:p w14:paraId="65772B8C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2.1 集团统一基础资料（全局锁定、下发管控）</w:t>
      </w:r>
      <w:bookmarkEnd w:id="23"/>
    </w:p>
    <w:p w14:paraId="64F6C1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集团管控组织统一维护，所有下属法人、业务组织共用标准，禁止下级组织私自修改，保障全集团应付核算口径统一，私有部署本地固化留存：</w:t>
      </w:r>
    </w:p>
    <w:p w14:paraId="3EB1D90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供应商基础档案</w:t>
      </w:r>
      <w:r>
        <w:rPr>
          <w:rFonts w:ascii="Arial" w:hAnsi="Arial" w:eastAsia="等线" w:cs="Arial"/>
          <w:sz w:val="22"/>
        </w:rPr>
        <w:t>：集团统一维护核心供应商、外部供应商、内部组织供应商档案，统一供应商编码、名称、纳税信息、结算方式、信用等级、对账周期；支持按组织分配供应商权限，各组织仅可查看、使用授权供应商，不可新增集团核心供应商。</w:t>
      </w:r>
    </w:p>
    <w:p w14:paraId="10B8A94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应付核算参数</w:t>
      </w:r>
      <w:r>
        <w:rPr>
          <w:rFonts w:ascii="Arial" w:hAnsi="Arial" w:eastAsia="等线" w:cs="Arial"/>
          <w:sz w:val="22"/>
        </w:rPr>
        <w:t>：统一应付单据编码规则、核销规则、暂估核算规则、付款条件、账期计算规则、逾期计息规则，全集团统一执行。</w:t>
      </w:r>
    </w:p>
    <w:p w14:paraId="12B7F8B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凭证生成模板</w:t>
      </w:r>
      <w:r>
        <w:rPr>
          <w:rFonts w:ascii="Arial" w:hAnsi="Arial" w:eastAsia="等线" w:cs="Arial"/>
          <w:sz w:val="22"/>
        </w:rPr>
        <w:t>：预置采购应付、费用应付、暂估应付、冲回暂估、付款核销、手续费、汇兑损益等全套应付凭证模板，固定核算科目与分录规则，下级组织仅可微调摘要。</w:t>
      </w:r>
    </w:p>
    <w:p w14:paraId="1DEEA97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信用管控标准</w:t>
      </w:r>
      <w:r>
        <w:rPr>
          <w:rFonts w:ascii="Arial" w:hAnsi="Arial" w:eastAsia="等线" w:cs="Arial"/>
          <w:sz w:val="22"/>
        </w:rPr>
        <w:t>：集团统一供应商信用额度、超信用预警/拦截规则，统一应付账龄分段标准，用于全集团账龄分析。</w:t>
      </w:r>
    </w:p>
    <w:p w14:paraId="552BB5A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2.2 法人组织初始化数据（独立隔离、本地维护）</w:t>
      </w:r>
      <w:bookmarkEnd w:id="24"/>
    </w:p>
    <w:p w14:paraId="60FCD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各独立核算法人组织，在集团统一标准下，完成应付期初数据初始化，数据组织隔离、集团可汇总查询，适配新旧账套衔接场景：</w:t>
      </w:r>
    </w:p>
    <w:p w14:paraId="5AA9126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应付期初余额</w:t>
      </w:r>
      <w:r>
        <w:rPr>
          <w:rFonts w:ascii="Arial" w:hAnsi="Arial" w:eastAsia="等线" w:cs="Arial"/>
          <w:sz w:val="22"/>
        </w:rPr>
        <w:t>：支持录入期初应付账款、期初应付票据、期初预付账款，区分供应商、币别、到期日、对应业务单据号；支持手工录入、Excel批量导入，精准匹配历史往来数据。</w:t>
      </w:r>
    </w:p>
    <w:p w14:paraId="330D4E4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期初未核销单据</w:t>
      </w:r>
      <w:r>
        <w:rPr>
          <w:rFonts w:ascii="Arial" w:hAnsi="Arial" w:eastAsia="等线" w:cs="Arial"/>
          <w:sz w:val="22"/>
        </w:rPr>
        <w:t>：录入期初未核销应付单、期初未核销付款单，系统支持后期正常核销衔接，杜绝期初数据断层。</w:t>
      </w:r>
    </w:p>
    <w:p w14:paraId="03943E1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期初暂估应付</w:t>
      </w:r>
      <w:r>
        <w:rPr>
          <w:rFonts w:ascii="Arial" w:hAnsi="Arial" w:eastAsia="等线" w:cs="Arial"/>
          <w:sz w:val="22"/>
        </w:rPr>
        <w:t>：录入上期已入库未开票的暂估应付余额，支持后期发票到票自动冲回暂估、精准核销。</w:t>
      </w:r>
    </w:p>
    <w:p w14:paraId="6FBAE85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期初外币应付数据</w:t>
      </w:r>
      <w:r>
        <w:rPr>
          <w:rFonts w:ascii="Arial" w:hAnsi="Arial" w:eastAsia="等线" w:cs="Arial"/>
          <w:sz w:val="22"/>
        </w:rPr>
        <w:t>：外币往来期初单独录入原币金额、本位币金额、期初汇率，为期末统一汇兑损益计提提供精准期初依据。</w:t>
      </w:r>
    </w:p>
    <w:p w14:paraId="71383BE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2.3 初始化校验机制</w:t>
      </w:r>
      <w:bookmarkEnd w:id="25"/>
    </w:p>
    <w:p w14:paraId="04DF82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私有部署专属闭环校验：应付期初数据与总账供应商辅助期初余额双向核对、外币期初汇率校验、暂估数据明细与汇总数据校验，全部校验通过后方可启用日常应付业务，杜绝期初账实不符、账账不符问题。</w:t>
      </w:r>
    </w:p>
    <w:p w14:paraId="78A20391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 日常核心业务全流程设计</w:t>
      </w:r>
      <w:bookmarkEnd w:id="26"/>
    </w:p>
    <w:p w14:paraId="24C491D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3.1 应付单管理（核心业务单据）</w:t>
      </w:r>
      <w:bookmarkEnd w:id="27"/>
    </w:p>
    <w:p w14:paraId="14AC2E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支撑所有采购类、费用类、资产类应付业务，支持外部供应商应付、集团内部跨组织应付双向场景：</w:t>
      </w:r>
    </w:p>
    <w:p w14:paraId="59F5D14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采购应付单</w:t>
      </w:r>
      <w:r>
        <w:rPr>
          <w:rFonts w:ascii="Arial" w:hAnsi="Arial" w:eastAsia="等线" w:cs="Arial"/>
          <w:sz w:val="22"/>
        </w:rPr>
        <w:t>：采购入库、采购发票到票后，自动/手工生成应付单，关联采购订单、入库单、发票信息，明确应付金额、币别、账期、到期日、对应核算组织。</w:t>
      </w:r>
    </w:p>
    <w:p w14:paraId="7684C60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费用应付单</w:t>
      </w:r>
      <w:r>
        <w:rPr>
          <w:rFonts w:ascii="Arial" w:hAnsi="Arial" w:eastAsia="等线" w:cs="Arial"/>
          <w:sz w:val="22"/>
        </w:rPr>
        <w:t>：针对服务费、咨询费、水电费等无实物采购费用，独立生成费用应付单，支持部门、项目辅助核算。</w:t>
      </w:r>
    </w:p>
    <w:p w14:paraId="1A275F68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资产应付单</w:t>
      </w:r>
      <w:r>
        <w:rPr>
          <w:rFonts w:ascii="Arial" w:hAnsi="Arial" w:eastAsia="等线" w:cs="Arial"/>
          <w:sz w:val="22"/>
        </w:rPr>
        <w:t>：固定资产采购、无形资产采购对应应付单据，关联资产卡片，保障资产与应付数据联动一致。</w:t>
      </w:r>
    </w:p>
    <w:p w14:paraId="2CD663E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跨组织应付单</w:t>
      </w:r>
      <w:r>
        <w:rPr>
          <w:rFonts w:ascii="Arial" w:hAnsi="Arial" w:eastAsia="等线" w:cs="Arial"/>
          <w:sz w:val="22"/>
        </w:rPr>
        <w:t>：集团内A组织向B组织采购/领用，自动生成跨组织应付、应收单据，双方组织同步生成往来数据，支持内部交易对账抵消。</w:t>
      </w:r>
    </w:p>
    <w:p w14:paraId="77AAF92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单据管控</w:t>
      </w:r>
      <w:r>
        <w:rPr>
          <w:rFonts w:ascii="Arial" w:hAnsi="Arial" w:eastAsia="等线" w:cs="Arial"/>
          <w:sz w:val="22"/>
        </w:rPr>
        <w:t>：支持应付单新增、修改、作废、审核、批量审核；未审核单据可修改，已审核单据需反审核操作，所有操作留存本地审计日志，适配私有部署内控审计要求。</w:t>
      </w:r>
    </w:p>
    <w:p w14:paraId="47FAC0B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3.2 暂估应付全流程</w:t>
      </w:r>
      <w:bookmarkEnd w:id="28"/>
    </w:p>
    <w:p w14:paraId="79851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适配货票不同期的常规企业场景，形成完整暂估闭环，杜绝成本、负债核算滞后：</w:t>
      </w:r>
    </w:p>
    <w:p w14:paraId="34E1CF6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期末暂估入账</w:t>
      </w:r>
      <w:r>
        <w:rPr>
          <w:rFonts w:ascii="Arial" w:hAnsi="Arial" w:eastAsia="等线" w:cs="Arial"/>
          <w:sz w:val="22"/>
        </w:rPr>
        <w:t>：当期已入库未收到发票的业务，系统根据入库数据自动生成暂估应付单，自动计提应付负债与库存成本。</w:t>
      </w:r>
    </w:p>
    <w:p w14:paraId="46AE860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下期暂估冲回</w:t>
      </w:r>
      <w:r>
        <w:rPr>
          <w:rFonts w:ascii="Arial" w:hAnsi="Arial" w:eastAsia="等线" w:cs="Arial"/>
          <w:sz w:val="22"/>
        </w:rPr>
        <w:t>：次月初系统自动生成红字暂估冲回单据，冲销上期暂估余额；也可配置为收到发票后手动冲回，适配不同企业核算习惯。</w:t>
      </w:r>
    </w:p>
    <w:p w14:paraId="35382F2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到票核销匹配</w:t>
      </w:r>
      <w:r>
        <w:rPr>
          <w:rFonts w:ascii="Arial" w:hAnsi="Arial" w:eastAsia="等线" w:cs="Arial"/>
          <w:sz w:val="22"/>
        </w:rPr>
        <w:t>：正式发票到票后，生成正式应付单，与暂估单据精准匹配核销，保证账务精准闭环。</w:t>
      </w:r>
    </w:p>
    <w:p w14:paraId="04514FE8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3.3 付款单与预付单管理</w:t>
      </w:r>
      <w:bookmarkEnd w:id="29"/>
    </w:p>
    <w:p w14:paraId="763DBE2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付款单</w:t>
      </w:r>
      <w:r>
        <w:rPr>
          <w:rFonts w:ascii="Arial" w:hAnsi="Arial" w:eastAsia="等线" w:cs="Arial"/>
          <w:sz w:val="22"/>
        </w:rPr>
        <w:t>：根据到期应付单、合同付款计划生成付款单，支持全额付款、部分付款、分期付款；关联出纳付款流程，审批通过后推送出纳完成资金支付。</w:t>
      </w:r>
    </w:p>
    <w:p w14:paraId="4FDDAA0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预付单</w:t>
      </w:r>
      <w:r>
        <w:rPr>
          <w:rFonts w:ascii="Arial" w:hAnsi="Arial" w:eastAsia="等线" w:cs="Arial"/>
          <w:sz w:val="22"/>
        </w:rPr>
        <w:t>：支持提前预付供应商款项，生成预付账款单据，后续收到发票后与应付单核销抵扣。</w:t>
      </w:r>
    </w:p>
    <w:p w14:paraId="24B4463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跨组织付款</w:t>
      </w:r>
      <w:r>
        <w:rPr>
          <w:rFonts w:ascii="Arial" w:hAnsi="Arial" w:eastAsia="等线" w:cs="Arial"/>
          <w:sz w:val="22"/>
        </w:rPr>
        <w:t>：支持付款组织与核算组织分离，集团统一代付、下级组织自主付款，适配集团集中付款管控模式。</w:t>
      </w:r>
    </w:p>
    <w:p w14:paraId="2A24374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3.4 往来核销管理（核心闭环）</w:t>
      </w:r>
      <w:bookmarkEnd w:id="30"/>
    </w:p>
    <w:p w14:paraId="283054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支持多维度智能核销、手动核销，解决应付、预付、付款单据匹配问题，适配复杂往来场景：</w:t>
      </w:r>
    </w:p>
    <w:p w14:paraId="665CDB5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自动核销</w:t>
      </w:r>
      <w:r>
        <w:rPr>
          <w:rFonts w:ascii="Arial" w:hAnsi="Arial" w:eastAsia="等线" w:cs="Arial"/>
          <w:sz w:val="22"/>
        </w:rPr>
        <w:t>：系统按供应商、币别、业务单据号自动匹配应付单与付款单、预付单，批量完成核销。</w:t>
      </w:r>
    </w:p>
    <w:p w14:paraId="203FC21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手动核销</w:t>
      </w:r>
      <w:r>
        <w:rPr>
          <w:rFonts w:ascii="Arial" w:hAnsi="Arial" w:eastAsia="等线" w:cs="Arial"/>
          <w:sz w:val="22"/>
        </w:rPr>
        <w:t>：针对复杂混合付款、跨期付款场景，支持人工手动匹配单据、调整核销金额。</w:t>
      </w:r>
    </w:p>
    <w:p w14:paraId="1CBDB2E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跨组织核销</w:t>
      </w:r>
      <w:r>
        <w:rPr>
          <w:rFonts w:ascii="Arial" w:hAnsi="Arial" w:eastAsia="等线" w:cs="Arial"/>
          <w:sz w:val="22"/>
        </w:rPr>
        <w:t>：集团内部组织间往来自动核销，为期末合并报表内部抵消提供精准数据。</w:t>
      </w:r>
    </w:p>
    <w:p w14:paraId="05F59CE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核销反操作</w:t>
      </w:r>
      <w:r>
        <w:rPr>
          <w:rFonts w:ascii="Arial" w:hAnsi="Arial" w:eastAsia="等线" w:cs="Arial"/>
          <w:sz w:val="22"/>
        </w:rPr>
        <w:t>：已核销单据支持反核销，所有反向操作留存完整日志，可追溯、可审计。</w:t>
      </w:r>
    </w:p>
    <w:p w14:paraId="6FAA398B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4. 业财一体化：应付单据自动生成凭证</w:t>
      </w:r>
      <w:bookmarkEnd w:id="31"/>
    </w:p>
    <w:p w14:paraId="3F450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完全对标金蝶云星空自动凭证机制，私有部署本地离线生成，无需云端联动，所有凭证自动推送总账、自动过账，支持手动微调：</w:t>
      </w:r>
    </w:p>
    <w:p w14:paraId="068FA0A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采购应付凭证</w:t>
      </w:r>
      <w:r>
        <w:rPr>
          <w:rFonts w:ascii="Arial" w:hAnsi="Arial" w:eastAsia="等线" w:cs="Arial"/>
          <w:sz w:val="22"/>
        </w:rPr>
        <w:t>：审核通过的采购应付单，自动生成「借：库存商品/原材料 借：应交税费-进项税 贷：应付账款」凭证。</w:t>
      </w:r>
    </w:p>
    <w:p w14:paraId="40972A2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费用应付凭证</w:t>
      </w:r>
      <w:r>
        <w:rPr>
          <w:rFonts w:ascii="Arial" w:hAnsi="Arial" w:eastAsia="等线" w:cs="Arial"/>
          <w:sz w:val="22"/>
        </w:rPr>
        <w:t>：费用应付单自动生成「借：管理费用/销售费用/制造费用 贷：应付账款」凭证。</w:t>
      </w:r>
    </w:p>
    <w:p w14:paraId="54EF594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暂估应付凭证</w:t>
      </w:r>
      <w:r>
        <w:rPr>
          <w:rFonts w:ascii="Arial" w:hAnsi="Arial" w:eastAsia="等线" w:cs="Arial"/>
          <w:sz w:val="22"/>
        </w:rPr>
        <w:t>：期末暂估单自动生成「借：库存商品 贷：应付账款-暂估」凭证。</w:t>
      </w:r>
    </w:p>
    <w:p w14:paraId="3E4CA1F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暂估冲回凭证</w:t>
      </w:r>
      <w:r>
        <w:rPr>
          <w:rFonts w:ascii="Arial" w:hAnsi="Arial" w:eastAsia="等线" w:cs="Arial"/>
          <w:sz w:val="22"/>
        </w:rPr>
        <w:t>：次月冲回单据自动生成红字冲销凭证，抵消上期暂估账务。</w:t>
      </w:r>
    </w:p>
    <w:p w14:paraId="7FF15EB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付款核销凭证</w:t>
      </w:r>
      <w:r>
        <w:rPr>
          <w:rFonts w:ascii="Arial" w:hAnsi="Arial" w:eastAsia="等线" w:cs="Arial"/>
          <w:sz w:val="22"/>
        </w:rPr>
        <w:t>：付款核销完成后，自动生成「借：应付账款 贷：银行存款/预付账款」凭证。</w:t>
      </w:r>
    </w:p>
    <w:p w14:paraId="71E2436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手续费凭证</w:t>
      </w:r>
      <w:r>
        <w:rPr>
          <w:rFonts w:ascii="Arial" w:hAnsi="Arial" w:eastAsia="等线" w:cs="Arial"/>
          <w:sz w:val="22"/>
        </w:rPr>
        <w:t>：付款产生的银行手续费，自动生成财务费用凭证。</w:t>
      </w:r>
    </w:p>
    <w:p w14:paraId="7C6F79F0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5. 期末专项处理功能</w:t>
      </w:r>
      <w:bookmarkEnd w:id="32"/>
    </w:p>
    <w:p w14:paraId="29C5B3A5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5.1 应付汇兑损益结转</w:t>
      </w:r>
      <w:bookmarkEnd w:id="33"/>
    </w:p>
    <w:p w14:paraId="14296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集团统一汇率体系，各法人组织独立完成外币应付期末调汇：系统自动抓取当期所有未核销外币应付账款、应付票据、预付账款余额，根据期末汇率与账面汇率差额，自动计算汇兑损益，生成应付汇兑损益结转凭证，差额可手动微调，调汇明细全程可追溯。</w:t>
      </w:r>
    </w:p>
    <w:p w14:paraId="44076FFE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5.2 应付账龄分析与逾期管控</w:t>
      </w:r>
      <w:bookmarkEnd w:id="34"/>
    </w:p>
    <w:p w14:paraId="4BF82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期末自动计算所有供应商应付账龄，按集团统一账龄区间统计逾期金额、逾期天数、应付余额；支持多组织汇总账龄表、单组织明细账龄表，自动预警超期应付、超信用额度应付风险，支撑资金付款计划统筹。</w:t>
      </w:r>
    </w:p>
    <w:p w14:paraId="086684A6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5.3 期末往来对账</w:t>
      </w:r>
      <w:bookmarkEnd w:id="35"/>
    </w:p>
    <w:p w14:paraId="0EE00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支持组织与供应商外部对账、集团内部跨组织往来对账，自动生成对账差异表，针对未达账项、金额差异、单据差异进行调整核对，确保期末往来数据真实准确。</w:t>
      </w:r>
    </w:p>
    <w:p w14:paraId="0AA82EF5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6. 期末结账全流程管控</w:t>
      </w:r>
      <w:bookmarkEnd w:id="36"/>
    </w:p>
    <w:p w14:paraId="6C8A1CDD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6.1 应付模块结账前置校验</w:t>
      </w:r>
      <w:bookmarkEnd w:id="37"/>
    </w:p>
    <w:p w14:paraId="4B605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私有部署严格闭环校验，任意项不通过禁止应付模块结账，同时阻断总账结账：</w:t>
      </w:r>
    </w:p>
    <w:p w14:paraId="4634B34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当期所有应付单、付款单、预付单全部审核完毕；</w:t>
      </w:r>
    </w:p>
    <w:p w14:paraId="095EC76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当期所有单据核销完成，无未核销挂账单据；</w:t>
      </w:r>
    </w:p>
    <w:p w14:paraId="49B8402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外币应付汇兑损益全部计提完成；</w:t>
      </w:r>
    </w:p>
    <w:p w14:paraId="09AC167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期末暂估、冲回业务处理完毕；</w:t>
      </w:r>
    </w:p>
    <w:p w14:paraId="3D24BCF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往来对账无重大差异，异常单据全部处理；</w:t>
      </w:r>
    </w:p>
    <w:p w14:paraId="215CAB1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所有业务单据已全部生成财务凭证并推送总账过账。</w:t>
      </w:r>
    </w:p>
    <w:p w14:paraId="3C1E8B92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6.2 多组织结账模式</w:t>
      </w:r>
      <w:bookmarkEnd w:id="38"/>
    </w:p>
    <w:p w14:paraId="09D6F6A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单组织独立结账</w:t>
      </w:r>
      <w:r>
        <w:rPr>
          <w:rFonts w:ascii="Arial" w:hAnsi="Arial" w:eastAsia="等线" w:cs="Arial"/>
          <w:sz w:val="22"/>
        </w:rPr>
        <w:t>：各法人组织独立完成当期应付结账，结账后当期单据禁止新增、修改。</w:t>
      </w:r>
    </w:p>
    <w:p w14:paraId="3870F34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集团批量结账</w:t>
      </w:r>
      <w:r>
        <w:rPr>
          <w:rFonts w:ascii="Arial" w:hAnsi="Arial" w:eastAsia="等线" w:cs="Arial"/>
          <w:sz w:val="22"/>
        </w:rPr>
        <w:t>：集团管控端一键批量完成所有下属组织应付模块结账，统一管控结账进度。</w:t>
      </w:r>
    </w:p>
    <w:p w14:paraId="3435E31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权限化反结账</w:t>
      </w:r>
      <w:r>
        <w:rPr>
          <w:rFonts w:ascii="Arial" w:hAnsi="Arial" w:eastAsia="等线" w:cs="Arial"/>
          <w:sz w:val="22"/>
        </w:rPr>
        <w:t>：仅授权管理员可执行应付反结账、反核销、反单据审核，所有反向操作留存完整审计日志，满足内控合规要求。</w:t>
      </w:r>
    </w:p>
    <w:p w14:paraId="35A198B6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7. 账簿与报表输出</w:t>
      </w:r>
      <w:bookmarkEnd w:id="39"/>
    </w:p>
    <w:p w14:paraId="1DDF7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私有部署本地离线查询、导出、打印所有应付类报表，支持多组织汇总与单组织明细切换：应付明细账、应付总账、供应商往来对账单、应付账龄分析表、暂估应付明细表、付款执行明细表、跨组织应付往来报表，所有报表支持Excel/PDF本地导出、自定义格式调整，适配报税、审计、内部经营分析场景。</w:t>
      </w:r>
    </w:p>
    <w:p w14:paraId="41933283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文档三：多组织应收款管理全流程详细设计（私有部署·全闭环）</w:t>
      </w:r>
      <w:bookmarkEnd w:id="40"/>
    </w:p>
    <w:p w14:paraId="7D42329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1. 模块定位</w:t>
      </w:r>
      <w:bookmarkEnd w:id="41"/>
    </w:p>
    <w:p w14:paraId="0A10E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应收款管理模块为集团多组织财务核心往来业务模块，适配</w:t>
      </w:r>
      <w:r>
        <w:rPr>
          <w:rFonts w:ascii="Arial" w:hAnsi="Arial" w:eastAsia="等线" w:cs="Arial"/>
          <w:b/>
          <w:sz w:val="22"/>
        </w:rPr>
        <w:t>私有部署内网本地化、数据本地存储、离线业务处理</w:t>
      </w:r>
      <w:r>
        <w:rPr>
          <w:rFonts w:ascii="Arial" w:hAnsi="Arial" w:eastAsia="等线" w:cs="Arial"/>
          <w:sz w:val="22"/>
        </w:rPr>
        <w:t>特性，对标金蝶云星空私有部署版应收全流程机制。依托集团多组织架构，实现集团统一应收标准管控、各法人组织独立应收核算、跨组织内部交易应收协同、客户信用与回款全生命周期管理。完整覆盖期初初始化、日常应收单据、开票管理、回款核销、坏账处理、期末调汇、往来对账、自动凭证生成、模块结账全闭环，与总账、出纳、销售业务深度联动，满足企业收入核算、资金回款、信用风控、审计合规需求。</w:t>
      </w:r>
    </w:p>
    <w:p w14:paraId="4E25E889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2. 多组织基础资料与初始化设计</w:t>
      </w:r>
      <w:bookmarkEnd w:id="42"/>
    </w:p>
    <w:p w14:paraId="25C8D468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2.1 集团统一基础资料（全局锁定、下发管控）</w:t>
      </w:r>
      <w:bookmarkEnd w:id="43"/>
    </w:p>
    <w:p w14:paraId="6A528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集团管控组织统一维护、全局下发，所有法人及业务组织统一复用、禁止私自修改，保证全集团应收核算口径、风控标准、凭证规则统一固化：</w:t>
      </w:r>
    </w:p>
    <w:p w14:paraId="31432FD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客户档案体系</w:t>
      </w:r>
      <w:r>
        <w:rPr>
          <w:rFonts w:ascii="Arial" w:hAnsi="Arial" w:eastAsia="等线" w:cs="Arial"/>
          <w:sz w:val="22"/>
        </w:rPr>
        <w:t>：集团统一维护外部客户、内部组织客户档案，统一客户编码、名称、纳税资质、结算方式、对账周期、信用等级、行业分类；支持按组织分配客户权限，各组织仅可操作授权客户，核心客户档案由集团统一维护管控。</w:t>
      </w:r>
    </w:p>
    <w:p w14:paraId="4AA34C0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应收核算参数</w:t>
      </w:r>
      <w:r>
        <w:rPr>
          <w:rFonts w:ascii="Arial" w:hAnsi="Arial" w:eastAsia="等线" w:cs="Arial"/>
          <w:sz w:val="22"/>
        </w:rPr>
        <w:t>：统一应收单据编码规则、核销匹配规则、收入确认规则、账期计算公式、逾期罚息规则、坏账计提政策，全集团统一执行。</w:t>
      </w:r>
    </w:p>
    <w:p w14:paraId="4D33417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自动凭证模板</w:t>
      </w:r>
      <w:r>
        <w:rPr>
          <w:rFonts w:ascii="Arial" w:hAnsi="Arial" w:eastAsia="等线" w:cs="Arial"/>
          <w:sz w:val="22"/>
        </w:rPr>
        <w:t>：预置销售应收、劳务应收、预收冲应收、回款核销、坏账计提、坏账收回、应收汇兑损益全套凭证模板，核心科目与分录规则集团锁定，下级仅可微调摘要内容。</w:t>
      </w:r>
    </w:p>
    <w:p w14:paraId="7B6B3B9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信用与账龄标准</w:t>
      </w:r>
      <w:r>
        <w:rPr>
          <w:rFonts w:ascii="Arial" w:hAnsi="Arial" w:eastAsia="等线" w:cs="Arial"/>
          <w:sz w:val="22"/>
        </w:rPr>
        <w:t>：集团统一客户信用额度、信用预警/拦截策略、账龄区间划分标准，统一全集团应收风险分析维度与统计口径。</w:t>
      </w:r>
    </w:p>
    <w:p w14:paraId="3E058557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2.2 法人组织初始化数据（独立隔离、本地维护）</w:t>
      </w:r>
      <w:bookmarkEnd w:id="44"/>
    </w:p>
    <w:p w14:paraId="3B16F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各独立核算法人组织在集团标准框架内，独立完成期初应收数据初始化，数据组织隔离、集团可汇总查询，适配新旧账套平稳衔接：</w:t>
      </w:r>
    </w:p>
    <w:p w14:paraId="1CB012B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应收期初余额</w:t>
      </w:r>
      <w:r>
        <w:rPr>
          <w:rFonts w:ascii="Arial" w:hAnsi="Arial" w:eastAsia="等线" w:cs="Arial"/>
          <w:sz w:val="22"/>
        </w:rPr>
        <w:t>：支持录入期初应收账款、期初应收票据、期初预收账款，区分客户、币别、到期日、源业务单号；支持手工录入、Excel批量导入，精准承接历史往来数据。</w:t>
      </w:r>
    </w:p>
    <w:p w14:paraId="656602A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期初未核销单据</w:t>
      </w:r>
      <w:r>
        <w:rPr>
          <w:rFonts w:ascii="Arial" w:hAnsi="Arial" w:eastAsia="等线" w:cs="Arial"/>
          <w:sz w:val="22"/>
        </w:rPr>
        <w:t>：录入期初未核销应收单、期初未核销回款单，保障新账套后期正常核销衔接，杜绝往来数据断层。</w:t>
      </w:r>
    </w:p>
    <w:p w14:paraId="74F0E615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期初未开票应收</w:t>
      </w:r>
      <w:r>
        <w:rPr>
          <w:rFonts w:ascii="Arial" w:hAnsi="Arial" w:eastAsia="等线" w:cs="Arial"/>
          <w:sz w:val="22"/>
        </w:rPr>
        <w:t>：录入上期已发货未开票期初数据，用于后期开票匹配、收入确认与账务追溯。</w:t>
      </w:r>
    </w:p>
    <w:p w14:paraId="484AD82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期初外币应收数据</w:t>
      </w:r>
      <w:r>
        <w:rPr>
          <w:rFonts w:ascii="Arial" w:hAnsi="Arial" w:eastAsia="等线" w:cs="Arial"/>
          <w:sz w:val="22"/>
        </w:rPr>
        <w:t>：单独维护外币应收原币、本位币、期初汇率，为期末统一汇兑损益计提提供精准期初基数。</w:t>
      </w:r>
    </w:p>
    <w:p w14:paraId="6534A28C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期初坏账数据</w:t>
      </w:r>
      <w:r>
        <w:rPr>
          <w:rFonts w:ascii="Arial" w:hAnsi="Arial" w:eastAsia="等线" w:cs="Arial"/>
          <w:sz w:val="22"/>
        </w:rPr>
        <w:t>：录入已认定坏账、待核销坏账期初余额，延续历史坏账核算体系。</w:t>
      </w:r>
    </w:p>
    <w:p w14:paraId="7E6CE03C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2.3 初始化闭环校验机制</w:t>
      </w:r>
      <w:bookmarkEnd w:id="45"/>
    </w:p>
    <w:p w14:paraId="7411D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私有部署本地化强校验，确保初始化合规无误：应收期初与总账客户辅助期初双向对账、外币期初汇率校验、明细与汇总余额平衡校验、跨组织内部应收期初对账校验，全部通过方可启用日常应收业务。</w:t>
      </w:r>
    </w:p>
    <w:p w14:paraId="0AFAEF1B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3. 日常核心业务全流程设计</w:t>
      </w:r>
      <w:bookmarkEnd w:id="46"/>
    </w:p>
    <w:p w14:paraId="710558CB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3.1 应收单管理（核心业务单据）</w:t>
      </w:r>
      <w:bookmarkEnd w:id="47"/>
    </w:p>
    <w:p w14:paraId="57823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支撑商品销售、劳务服务、项目收入、跨组织内部交易等全部应收场景，区分开票应收与未开票应收，单据全流程可控可追溯：</w:t>
      </w:r>
    </w:p>
    <w:p w14:paraId="2BA9E71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销售应收单</w:t>
      </w:r>
      <w:r>
        <w:rPr>
          <w:rFonts w:ascii="Arial" w:hAnsi="Arial" w:eastAsia="等线" w:cs="Arial"/>
          <w:sz w:val="22"/>
        </w:rPr>
        <w:t>：销售发货、销售开票后自动/手工生成应收单，关联销售订单、出库单、销售发票，明确应收金额、税额、币别、账期、到期日、核算组织。</w:t>
      </w:r>
    </w:p>
    <w:p w14:paraId="53612F5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劳务/服务应收单</w:t>
      </w:r>
      <w:r>
        <w:rPr>
          <w:rFonts w:ascii="Arial" w:hAnsi="Arial" w:eastAsia="等线" w:cs="Arial"/>
          <w:sz w:val="22"/>
        </w:rPr>
        <w:t>：针对服务费、工程款、咨询费等无实物出库收入，独立生成服务类应收单，支持部门、项目、业务员多维度辅助核算。</w:t>
      </w:r>
    </w:p>
    <w:p w14:paraId="089E6E28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跨组织应收单</w:t>
      </w:r>
      <w:r>
        <w:rPr>
          <w:rFonts w:ascii="Arial" w:hAnsi="Arial" w:eastAsia="等线" w:cs="Arial"/>
          <w:sz w:val="22"/>
        </w:rPr>
        <w:t>：集团内部A组织对B组织销售、调拨、服务，系统自动双向生成跨组织应收/应付单据，支撑内部交易对账与后期合并抵消。</w:t>
      </w:r>
    </w:p>
    <w:p w14:paraId="0D6FF96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预收应收单</w:t>
      </w:r>
      <w:r>
        <w:rPr>
          <w:rFonts w:ascii="Arial" w:hAnsi="Arial" w:eastAsia="等线" w:cs="Arial"/>
          <w:sz w:val="22"/>
        </w:rPr>
        <w:t>：客户预先回款未开票场景，生成预收账款单据，作为后期核销抵扣依据。</w:t>
      </w:r>
    </w:p>
    <w:p w14:paraId="47746F76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单据全生命周期管控</w:t>
      </w:r>
      <w:r>
        <w:rPr>
          <w:rFonts w:ascii="Arial" w:hAnsi="Arial" w:eastAsia="等线" w:cs="Arial"/>
          <w:sz w:val="22"/>
        </w:rPr>
        <w:t>：支持应收单新增、修改、作废、审核、批量审核；未审核可修改，已审核必须反审核操作；全量操作本地日志留存，满足内网审计追溯要求。</w:t>
      </w:r>
    </w:p>
    <w:p w14:paraId="6FCF74BB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3.2 开票与收入确认管理</w:t>
      </w:r>
      <w:bookmarkEnd w:id="48"/>
    </w:p>
    <w:p w14:paraId="521BAF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实现发货、应收、开票、收入确认四流匹配，杜绝收入确认不规范、税会差异混乱问题：</w:t>
      </w:r>
    </w:p>
    <w:p w14:paraId="232224F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未开票转开票</w:t>
      </w:r>
      <w:r>
        <w:rPr>
          <w:rFonts w:ascii="Arial" w:hAnsi="Arial" w:eastAsia="等线" w:cs="Arial"/>
          <w:sz w:val="22"/>
        </w:rPr>
        <w:t>：前期已出库未开票应收，收到客户开票需求后，匹配发票生成正式开票应收单，完成税会口径同步。</w:t>
      </w:r>
    </w:p>
    <w:p w14:paraId="46E9037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分批开票、分批确认收入</w:t>
      </w:r>
      <w:r>
        <w:rPr>
          <w:rFonts w:ascii="Arial" w:hAnsi="Arial" w:eastAsia="等线" w:cs="Arial"/>
          <w:sz w:val="22"/>
        </w:rPr>
        <w:t>：支持一张应收单对应多次开票、多次确认收入，适配项目制、分期交付业务。</w:t>
      </w:r>
    </w:p>
    <w:p w14:paraId="469C914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税会差异管理</w:t>
      </w:r>
      <w:r>
        <w:rPr>
          <w:rFonts w:ascii="Arial" w:hAnsi="Arial" w:eastAsia="等线" w:cs="Arial"/>
          <w:sz w:val="22"/>
        </w:rPr>
        <w:t>：支持开票金额与确认收入金额差异化核算，自动统计税会差异明细，便于期末纳税调整。</w:t>
      </w:r>
    </w:p>
    <w:p w14:paraId="44E17B09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3.3 回款单管理</w:t>
      </w:r>
      <w:bookmarkEnd w:id="49"/>
    </w:p>
    <w:p w14:paraId="0AF51D79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常规回款单</w:t>
      </w:r>
      <w:r>
        <w:rPr>
          <w:rFonts w:ascii="Arial" w:hAnsi="Arial" w:eastAsia="等线" w:cs="Arial"/>
          <w:sz w:val="22"/>
        </w:rPr>
        <w:t>：根据客户回款流水生成回款单，支持全额回款、部分回款、分期回款，关联银行流水、出纳收款记录。</w:t>
      </w:r>
    </w:p>
    <w:p w14:paraId="7E36CE4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预收回款</w:t>
      </w:r>
      <w:r>
        <w:rPr>
          <w:rFonts w:ascii="Arial" w:hAnsi="Arial" w:eastAsia="等线" w:cs="Arial"/>
          <w:sz w:val="22"/>
        </w:rPr>
        <w:t>：客户提前回款计入预收账款，待后续交易完成后核销应收。</w:t>
      </w:r>
    </w:p>
    <w:p w14:paraId="3E0E8B1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跨组织代收回款</w:t>
      </w:r>
      <w:r>
        <w:rPr>
          <w:rFonts w:ascii="Arial" w:hAnsi="Arial" w:eastAsia="等线" w:cs="Arial"/>
          <w:sz w:val="22"/>
        </w:rPr>
        <w:t>：支持集团统一代收、上级组织代下级收款，实现收款组织与核算组织分离，适配集团资金集中管控模式。</w:t>
      </w:r>
    </w:p>
    <w:p w14:paraId="3FC158BA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3.4 往来核销管理</w:t>
      </w:r>
      <w:bookmarkEnd w:id="50"/>
    </w:p>
    <w:p w14:paraId="40732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多维度智能核销+人工精准核销结合，解决复杂回款匹配场景，保证往来账清晰闭环：</w:t>
      </w:r>
    </w:p>
    <w:p w14:paraId="7B1D57D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自动核销</w:t>
      </w:r>
      <w:r>
        <w:rPr>
          <w:rFonts w:ascii="Arial" w:hAnsi="Arial" w:eastAsia="等线" w:cs="Arial"/>
          <w:sz w:val="22"/>
        </w:rPr>
        <w:t>：按客户、币别、业务单号、期间自动匹配应收单与回款单、预收单，批量完成核销。</w:t>
      </w:r>
    </w:p>
    <w:p w14:paraId="0DBD389A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手动精准核销</w:t>
      </w:r>
      <w:r>
        <w:rPr>
          <w:rFonts w:ascii="Arial" w:hAnsi="Arial" w:eastAsia="等线" w:cs="Arial"/>
          <w:sz w:val="22"/>
        </w:rPr>
        <w:t>：针对跨期回款、混合回款、抹零、折扣场景，支持人工调整核销金额、匹配对应单据。</w:t>
      </w:r>
    </w:p>
    <w:p w14:paraId="6BC722D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预收冲应收</w:t>
      </w:r>
      <w:r>
        <w:rPr>
          <w:rFonts w:ascii="Arial" w:hAnsi="Arial" w:eastAsia="等线" w:cs="Arial"/>
          <w:sz w:val="22"/>
        </w:rPr>
        <w:t>：支持批量预收冲抵应收，自动生成冲销账务。</w:t>
      </w:r>
    </w:p>
    <w:p w14:paraId="60E20F82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跨组织内部核销</w:t>
      </w:r>
      <w:r>
        <w:rPr>
          <w:rFonts w:ascii="Arial" w:hAnsi="Arial" w:eastAsia="等线" w:cs="Arial"/>
          <w:sz w:val="22"/>
        </w:rPr>
        <w:t>：自动识别集团内部往来，完成内部应收应付对冲，为合并报表抵消提供数据底座。</w:t>
      </w:r>
    </w:p>
    <w:p w14:paraId="74A7C94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反核销回溯</w:t>
      </w:r>
      <w:r>
        <w:rPr>
          <w:rFonts w:ascii="Arial" w:hAnsi="Arial" w:eastAsia="等线" w:cs="Arial"/>
          <w:sz w:val="22"/>
        </w:rPr>
        <w:t>：已核销单据支持权限化反核销，所有反向操作留存审计日志，可追溯、可更正。</w:t>
      </w:r>
    </w:p>
    <w:p w14:paraId="2E58090F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3.5 坏账业务管理</w:t>
      </w:r>
      <w:bookmarkEnd w:id="51"/>
    </w:p>
    <w:p w14:paraId="0D18B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完整覆盖坏账计提、坏账确认、坏账收回全流程，适配企业会计准则坏账核算要求：</w:t>
      </w:r>
    </w:p>
    <w:p w14:paraId="498169A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坏账计提</w:t>
      </w:r>
      <w:r>
        <w:rPr>
          <w:rFonts w:ascii="Arial" w:hAnsi="Arial" w:eastAsia="等线" w:cs="Arial"/>
          <w:sz w:val="22"/>
        </w:rPr>
        <w:t>：支持按账龄比例、个别认定法计提坏账准备，批量计提、单条单据计提均可。</w:t>
      </w:r>
    </w:p>
    <w:p w14:paraId="0B9FAD5C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坏账核销</w:t>
      </w:r>
      <w:r>
        <w:rPr>
          <w:rFonts w:ascii="Arial" w:hAnsi="Arial" w:eastAsia="等线" w:cs="Arial"/>
          <w:sz w:val="22"/>
        </w:rPr>
        <w:t>：对确定无法收回的应收款项，审批通过后完成坏账核销，冲减应收与坏账准备。</w:t>
      </w:r>
    </w:p>
    <w:p w14:paraId="7A53ECD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坏账收回</w:t>
      </w:r>
      <w:r>
        <w:rPr>
          <w:rFonts w:ascii="Arial" w:hAnsi="Arial" w:eastAsia="等线" w:cs="Arial"/>
          <w:sz w:val="22"/>
        </w:rPr>
        <w:t>：已核销坏账后期收回资金，支持单独坏账收回流程与账务处理。</w:t>
      </w:r>
    </w:p>
    <w:p w14:paraId="021B3D0E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4. 业财一体化：应收单据自动生成凭证</w:t>
      </w:r>
      <w:bookmarkEnd w:id="52"/>
    </w:p>
    <w:p w14:paraId="3859F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私有部署本地离线自动生成凭证，无需云端依赖，凭证自动推送总账、支持人工微调，完全对标金蝶星空业财联动逻辑：</w:t>
      </w:r>
    </w:p>
    <w:p w14:paraId="4946BE4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销售应收凭证</w:t>
      </w:r>
      <w:r>
        <w:rPr>
          <w:rFonts w:ascii="Arial" w:hAnsi="Arial" w:eastAsia="等线" w:cs="Arial"/>
          <w:sz w:val="22"/>
        </w:rPr>
        <w:t>：审核开票应收单自动生成「借：应收账款 贷：主营业务收入 贷：应交税费-销项税额」。</w:t>
      </w:r>
    </w:p>
    <w:p w14:paraId="1B51873C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未开票收入凭证</w:t>
      </w:r>
      <w:r>
        <w:rPr>
          <w:rFonts w:ascii="Arial" w:hAnsi="Arial" w:eastAsia="等线" w:cs="Arial"/>
          <w:sz w:val="22"/>
        </w:rPr>
        <w:t>：已确认收入未开票单据，自动生成未开票收入暂估凭证。</w:t>
      </w:r>
    </w:p>
    <w:p w14:paraId="007BBF7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预收账款凭证</w:t>
      </w:r>
      <w:r>
        <w:rPr>
          <w:rFonts w:ascii="Arial" w:hAnsi="Arial" w:eastAsia="等线" w:cs="Arial"/>
          <w:sz w:val="22"/>
        </w:rPr>
        <w:t>：客户预收回款自动生成「借：银行存款 贷：预收账款」。</w:t>
      </w:r>
    </w:p>
    <w:p w14:paraId="34632C1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回款核销凭证</w:t>
      </w:r>
      <w:r>
        <w:rPr>
          <w:rFonts w:ascii="Arial" w:hAnsi="Arial" w:eastAsia="等线" w:cs="Arial"/>
          <w:sz w:val="22"/>
        </w:rPr>
        <w:t>：回款核销完成自动生成「借：银行存款 贷：应收账款」。</w:t>
      </w:r>
    </w:p>
    <w:p w14:paraId="2A53C430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预收冲应收凭证</w:t>
      </w:r>
      <w:r>
        <w:rPr>
          <w:rFonts w:ascii="Arial" w:hAnsi="Arial" w:eastAsia="等线" w:cs="Arial"/>
          <w:sz w:val="22"/>
        </w:rPr>
        <w:t>：预收冲销应收后自动生成对应冲销凭证。</w:t>
      </w:r>
    </w:p>
    <w:p w14:paraId="18CD613F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坏账计提凭证</w:t>
      </w:r>
      <w:r>
        <w:rPr>
          <w:rFonts w:ascii="Arial" w:hAnsi="Arial" w:eastAsia="等线" w:cs="Arial"/>
          <w:sz w:val="22"/>
        </w:rPr>
        <w:t>：期末计提坏账自动生成「借：信用减值损失 贷：坏账准备」。</w:t>
      </w:r>
    </w:p>
    <w:p w14:paraId="474A730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应收汇兑损益凭证</w:t>
      </w:r>
      <w:r>
        <w:rPr>
          <w:rFonts w:ascii="Arial" w:hAnsi="Arial" w:eastAsia="等线" w:cs="Arial"/>
          <w:sz w:val="22"/>
        </w:rPr>
        <w:t>：期末调汇后自动生成应收汇兑收益/损失凭证。</w:t>
      </w:r>
    </w:p>
    <w:p w14:paraId="22B3C092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5. 期末专项处理功能</w:t>
      </w:r>
      <w:bookmarkEnd w:id="53"/>
    </w:p>
    <w:p w14:paraId="62FB03EB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5.1 应收汇兑损益结转</w:t>
      </w:r>
      <w:bookmarkEnd w:id="54"/>
    </w:p>
    <w:p w14:paraId="277CD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集团统一汇率体系，各法人组织独立完成外币应收期末调汇：系统自动抓取当期所有未核销外币应收账款、应收票据、预收账款余额，根据期末汇率与账面汇率差额自动计算汇兑损益，批量生成调汇凭证；支持人工微调差额，所有调汇明细本地留存、逐笔可追溯。</w:t>
      </w:r>
    </w:p>
    <w:p w14:paraId="5979FD37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5.2 应收账龄分析与风险预警</w:t>
      </w:r>
      <w:bookmarkEnd w:id="55"/>
    </w:p>
    <w:p w14:paraId="2EC57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自动按集团统一账龄区间统计客户应收余额、逾期金额、逾期天数、占比分析；支持多组织汇总账龄表、单组织明细账龄表、客户维度账龄报表；对超信用、超期大额应收自动风险预警，支撑回款计划与客户信用管控。</w:t>
      </w:r>
    </w:p>
    <w:p w14:paraId="5BFA398B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5.3 期末往来对账</w:t>
      </w:r>
      <w:bookmarkEnd w:id="56"/>
    </w:p>
    <w:p w14:paraId="6CEDF1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支持外部客户对账、集团内部跨组织往来自动对账，系统自动比对双方应收应付数据，生成对账差异表、未达账项清单，支持线上对账确认、差异调整记录留存，保证期末往来数据真实、准确、可审计。</w:t>
      </w:r>
    </w:p>
    <w:p w14:paraId="17D1C62F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6. 期末结账全流程管控</w:t>
      </w:r>
      <w:bookmarkEnd w:id="57"/>
    </w:p>
    <w:p w14:paraId="55980FAE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6.1 应收模块结账前置校验</w:t>
      </w:r>
      <w:bookmarkEnd w:id="58"/>
    </w:p>
    <w:p w14:paraId="1CC17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私有部署强闭环校验，任意项不通过禁止应收模块结账，并阻断总账期末结账：</w:t>
      </w:r>
    </w:p>
    <w:p w14:paraId="77899284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当期所有应收单、回款单、预收单、坏账单据全部审核完成；</w:t>
      </w:r>
    </w:p>
    <w:p w14:paraId="548E666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当期所有往来单据核销完毕，无长期挂账未核销单据；</w:t>
      </w:r>
    </w:p>
    <w:p w14:paraId="174536F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外币应收汇兑损益全部计提完成；</w:t>
      </w:r>
    </w:p>
    <w:p w14:paraId="2797AC7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期末坏账计提、收入确认、税会差异调整处理完毕；</w:t>
      </w:r>
    </w:p>
    <w:p w14:paraId="73784CE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内外部往来对账差异全部处理或备案；</w:t>
      </w:r>
    </w:p>
    <w:p w14:paraId="6AC2743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所有业务单据已生成财务凭证并推送总账过账。</w:t>
      </w:r>
    </w:p>
    <w:p w14:paraId="0E6927DB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6.2 多组织结账模式</w:t>
      </w:r>
      <w:bookmarkEnd w:id="59"/>
    </w:p>
    <w:p w14:paraId="35E18B67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单组织独立结账</w:t>
      </w:r>
      <w:r>
        <w:rPr>
          <w:rFonts w:ascii="Arial" w:hAnsi="Arial" w:eastAsia="等线" w:cs="Arial"/>
          <w:sz w:val="22"/>
        </w:rPr>
        <w:t>：各法人组织独立完成当期应收结账，结账后锁定当期单据，禁止新增、修改、删除。</w:t>
      </w:r>
    </w:p>
    <w:p w14:paraId="5A8B492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集团批量结账</w:t>
      </w:r>
      <w:r>
        <w:rPr>
          <w:rFonts w:ascii="Arial" w:hAnsi="Arial" w:eastAsia="等线" w:cs="Arial"/>
          <w:sz w:val="22"/>
        </w:rPr>
        <w:t>：集团管控端一键批量完成全组织应收模块统一结账，统一管控结账进度与周期。</w:t>
      </w:r>
    </w:p>
    <w:p w14:paraId="61F4402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权限化反结账</w:t>
      </w:r>
      <w:r>
        <w:rPr>
          <w:rFonts w:ascii="Arial" w:hAnsi="Arial" w:eastAsia="等线" w:cs="Arial"/>
          <w:sz w:val="22"/>
        </w:rPr>
        <w:t>：仅授权管理员可执行应收反结账、反核销、反审核，所有反向操作全程日志留痕，满足内控合规。</w:t>
      </w:r>
    </w:p>
    <w:p w14:paraId="0017C6E3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b/>
          <w:sz w:val="32"/>
        </w:rPr>
        <w:t>7. 账簿与报表输出</w:t>
      </w:r>
      <w:bookmarkEnd w:id="60"/>
    </w:p>
    <w:p w14:paraId="03FF22F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支持私有部署本地离线查询、导出、打印全套应收类账簿与报表，支持多组织汇总、单组织明细、多维度穿透查询：应收总账、应收明细账、客户对账单、应收账龄分析表、逾期应收统计表、坏账计提明细表、未开票收入明细表、跨组织内部应收报表，全部支持Excel/PDF本地导出、自定义版式打印，适配报税、年审、内部经营分析、绩效考核场景。</w:t>
      </w:r>
    </w:p>
    <w:p w14:paraId="18B6361A">
      <w:pPr>
        <w:spacing w:before="380" w:after="140" w:line="288" w:lineRule="auto"/>
        <w:ind w:left="0"/>
        <w:jc w:val="left"/>
        <w:outlineLvl w:val="0"/>
      </w:pPr>
      <w:bookmarkStart w:id="61" w:name="heading_83"/>
      <w:r>
        <w:rPr>
          <w:rFonts w:ascii="Arial" w:hAnsi="Arial" w:eastAsia="等线" w:cs="Arial"/>
          <w:b/>
          <w:sz w:val="36"/>
        </w:rPr>
        <w:t>文档四：多组织出纳资金管理全流程详细设计（私有部署·全闭环）</w:t>
      </w:r>
      <w:bookmarkEnd w:id="61"/>
    </w:p>
    <w:p w14:paraId="655F2A2A">
      <w:pPr>
        <w:spacing w:before="320" w:after="120" w:line="288" w:lineRule="auto"/>
        <w:ind w:left="0"/>
        <w:jc w:val="left"/>
        <w:outlineLvl w:val="1"/>
      </w:pPr>
      <w:bookmarkStart w:id="62" w:name="heading_84"/>
      <w:r>
        <w:rPr>
          <w:rFonts w:ascii="Arial" w:hAnsi="Arial" w:eastAsia="等线" w:cs="Arial"/>
          <w:b/>
          <w:sz w:val="32"/>
        </w:rPr>
        <w:t>1. 模块定位</w:t>
      </w:r>
      <w:bookmarkEnd w:id="62"/>
    </w:p>
    <w:p w14:paraId="6A06D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出纳资金管理模块为集团多组织资金管控核心模块，适配</w:t>
      </w:r>
      <w:r>
        <w:rPr>
          <w:rFonts w:ascii="Arial" w:hAnsi="Arial" w:eastAsia="等线" w:cs="Arial"/>
          <w:b/>
          <w:sz w:val="22"/>
        </w:rPr>
        <w:t>私有部署本地存储、内网离线操作、数据本地化留存</w:t>
      </w:r>
      <w:r>
        <w:rPr>
          <w:rFonts w:ascii="Arial" w:hAnsi="Arial" w:eastAsia="等线" w:cs="Arial"/>
          <w:sz w:val="22"/>
        </w:rPr>
        <w:t>特性，对标金蝶云星空私有部署版出纳全流程体系。基于集团多组织架构，实现集团统一资金制度管控、各法人组织独立资金收付核算、跨组织资金调拨协同、全账户资金闭环监管。完整覆盖出纳初始化、账户管理、日常收付、票据管理、银行对账、资金调拨、期末调汇、资金结账、自动生成资金凭证全流程，无缝联动总账、应收、应付模块，构建集团可监控、可追溯、可统筹的资金管理体系，满足企业资金内控、银企对账、资金盘点、审计合规刚需。</w:t>
      </w:r>
    </w:p>
    <w:p w14:paraId="59C57DC3">
      <w:pPr>
        <w:spacing w:before="320" w:after="120" w:line="288" w:lineRule="auto"/>
        <w:ind w:left="0"/>
        <w:jc w:val="left"/>
        <w:outlineLvl w:val="1"/>
      </w:pPr>
      <w:bookmarkStart w:id="63" w:name="heading_85"/>
      <w:r>
        <w:rPr>
          <w:rFonts w:ascii="Arial" w:hAnsi="Arial" w:eastAsia="等线" w:cs="Arial"/>
          <w:b/>
          <w:sz w:val="32"/>
        </w:rPr>
        <w:t>2. 多组织基础资料与初始化设计</w:t>
      </w:r>
      <w:bookmarkEnd w:id="63"/>
    </w:p>
    <w:p w14:paraId="57C8AEAD">
      <w:pPr>
        <w:spacing w:before="300" w:after="120" w:line="288" w:lineRule="auto"/>
        <w:ind w:left="0"/>
        <w:jc w:val="left"/>
        <w:outlineLvl w:val="2"/>
      </w:pPr>
      <w:bookmarkStart w:id="64" w:name="heading_86"/>
      <w:r>
        <w:rPr>
          <w:rFonts w:ascii="Arial" w:hAnsi="Arial" w:eastAsia="等线" w:cs="Arial"/>
          <w:b/>
          <w:sz w:val="30"/>
        </w:rPr>
        <w:t>2.1 集团统一基础资料（全局锁定、下发管控）</w:t>
      </w:r>
      <w:bookmarkEnd w:id="64"/>
    </w:p>
    <w:p w14:paraId="22568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集团管控组织统一维护、全局下发至所有下属组织，全集团统一标准、禁止下级私自修改，保障资金核算、管控口径统一规范，私有部署本地固化存档：</w:t>
      </w:r>
    </w:p>
    <w:p w14:paraId="27BCE9DB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银行/金融机构档案</w:t>
      </w:r>
      <w:r>
        <w:rPr>
          <w:rFonts w:ascii="Arial" w:hAnsi="Arial" w:eastAsia="等线" w:cs="Arial"/>
          <w:sz w:val="22"/>
        </w:rPr>
        <w:t>：集团统一维护银行名称、银行联行号、账户类型、金融机构分类，全组织共用基础档案，杜绝档案重复、口径混乱。</w:t>
      </w:r>
    </w:p>
    <w:p w14:paraId="4E143576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资金核算参数</w:t>
      </w:r>
      <w:r>
        <w:rPr>
          <w:rFonts w:ascii="Arial" w:hAnsi="Arial" w:eastAsia="等线" w:cs="Arial"/>
          <w:sz w:val="22"/>
        </w:rPr>
        <w:t>：统一资金单据编码规则、收付类型分类、票据管理规则、银行对账匹配规则、资金赤字管控规则、跨组织调拨规则，全集团统一执行。</w:t>
      </w:r>
    </w:p>
    <w:p w14:paraId="59F5ACC2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资金凭证模板</w:t>
      </w:r>
      <w:r>
        <w:rPr>
          <w:rFonts w:ascii="Arial" w:hAnsi="Arial" w:eastAsia="等线" w:cs="Arial"/>
          <w:sz w:val="22"/>
        </w:rPr>
        <w:t>：预置收款、付款、转账、手续费、利息、资金调拨、资金汇兑损益全套凭证模板，核心核算科目、分录规则集团锁定，下级组织仅可微调摘要内容。</w:t>
      </w:r>
    </w:p>
    <w:p w14:paraId="766407E3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资金管控标准</w:t>
      </w:r>
      <w:r>
        <w:rPr>
          <w:rFonts w:ascii="Arial" w:hAnsi="Arial" w:eastAsia="等线" w:cs="Arial"/>
          <w:sz w:val="22"/>
        </w:rPr>
        <w:t>：集团统一资金预算管控规则、大额资金审批阈值、资金支付风控规则、现金限额标准，实现全集团资金风险统一防控。</w:t>
      </w:r>
    </w:p>
    <w:p w14:paraId="2CC114A6">
      <w:pPr>
        <w:spacing w:before="300" w:after="120" w:line="288" w:lineRule="auto"/>
        <w:ind w:left="0"/>
        <w:jc w:val="left"/>
        <w:outlineLvl w:val="2"/>
      </w:pPr>
      <w:bookmarkStart w:id="65" w:name="heading_87"/>
      <w:r>
        <w:rPr>
          <w:rFonts w:ascii="Arial" w:hAnsi="Arial" w:eastAsia="等线" w:cs="Arial"/>
          <w:b/>
          <w:sz w:val="30"/>
        </w:rPr>
        <w:t>2.2 法人组织初始化数据（独立隔离、本地维护）</w:t>
      </w:r>
      <w:bookmarkEnd w:id="65"/>
    </w:p>
    <w:p w14:paraId="02EE7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各独立核算法人组织在集团统一标准框架内，独立完成出纳期初数据初始化，数据按组织隔离存储，集团支持汇总查询与统筹管控，适配新旧账套无缝衔接：</w:t>
      </w:r>
    </w:p>
    <w:p w14:paraId="384736E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资金账户期初档案</w:t>
      </w:r>
      <w:r>
        <w:rPr>
          <w:rFonts w:ascii="Arial" w:hAnsi="Arial" w:eastAsia="等线" w:cs="Arial"/>
          <w:sz w:val="22"/>
        </w:rPr>
        <w:t>：各组织独立维护本单位银行账户、现金账户、支付宝/微信等第三方资金账户，绑定账户属性、开户信息、状态，账户权限独立管控。</w:t>
      </w:r>
    </w:p>
    <w:p w14:paraId="6455057C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账户期初余额</w:t>
      </w:r>
      <w:r>
        <w:rPr>
          <w:rFonts w:ascii="Arial" w:hAnsi="Arial" w:eastAsia="等线" w:cs="Arial"/>
          <w:sz w:val="22"/>
        </w:rPr>
        <w:t>：分别录入现金期初余额、各银行账户期初本位币余额、外币余额、期初汇率，支持手工录入、Excel批量导入，精准承接历史资金数据。</w:t>
      </w:r>
    </w:p>
    <w:p w14:paraId="307143C6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期初未达账项</w:t>
      </w:r>
      <w:r>
        <w:rPr>
          <w:rFonts w:ascii="Arial" w:hAnsi="Arial" w:eastAsia="等线" w:cs="Arial"/>
          <w:sz w:val="22"/>
        </w:rPr>
        <w:t>：完整录入银行已收企业未收、银行已付企业未付、企业已收银行未收、企业已付银行未付四类未达账项，为后期银行对账、余额调节表生成提供期初依据。</w:t>
      </w:r>
    </w:p>
    <w:p w14:paraId="6918501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期初票据数据</w:t>
      </w:r>
      <w:r>
        <w:rPr>
          <w:rFonts w:ascii="Arial" w:hAnsi="Arial" w:eastAsia="等线" w:cs="Arial"/>
          <w:sz w:val="22"/>
        </w:rPr>
        <w:t>：录入期初未到期、未兑付、未背书的应收票据、应付票据明细，延续票据全生命周期管理。</w:t>
      </w:r>
    </w:p>
    <w:p w14:paraId="10099F3F">
      <w:pPr>
        <w:spacing w:before="300" w:after="120" w:line="288" w:lineRule="auto"/>
        <w:ind w:left="0"/>
        <w:jc w:val="left"/>
        <w:outlineLvl w:val="2"/>
      </w:pPr>
      <w:bookmarkStart w:id="66" w:name="heading_88"/>
      <w:r>
        <w:rPr>
          <w:rFonts w:ascii="Arial" w:hAnsi="Arial" w:eastAsia="等线" w:cs="Arial"/>
          <w:b/>
          <w:sz w:val="30"/>
        </w:rPr>
        <w:t>2.3 初始化闭环校验机制</w:t>
      </w:r>
      <w:bookmarkEnd w:id="66"/>
    </w:p>
    <w:p w14:paraId="340FE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专属本地化强校验，杜绝期初数据错乱、账实不符：资金期初余额与总账货币资金科目期初双向对账、外币账户汇率校验、未达账项明细汇总校验、账户余额试算平衡校验，全部校验通过后方可启用日常出纳业务。</w:t>
      </w:r>
    </w:p>
    <w:p w14:paraId="6E5829F9">
      <w:pPr>
        <w:spacing w:before="320" w:after="120" w:line="288" w:lineRule="auto"/>
        <w:ind w:left="0"/>
        <w:jc w:val="left"/>
        <w:outlineLvl w:val="1"/>
      </w:pPr>
      <w:bookmarkStart w:id="67" w:name="heading_89"/>
      <w:r>
        <w:rPr>
          <w:rFonts w:ascii="Arial" w:hAnsi="Arial" w:eastAsia="等线" w:cs="Arial"/>
          <w:b/>
          <w:sz w:val="32"/>
        </w:rPr>
        <w:t>3. 日常核心业务全流程设计</w:t>
      </w:r>
      <w:bookmarkEnd w:id="67"/>
    </w:p>
    <w:p w14:paraId="24F1396B">
      <w:pPr>
        <w:spacing w:before="300" w:after="120" w:line="288" w:lineRule="auto"/>
        <w:ind w:left="0"/>
        <w:jc w:val="left"/>
        <w:outlineLvl w:val="2"/>
      </w:pPr>
      <w:bookmarkStart w:id="68" w:name="heading_90"/>
      <w:r>
        <w:rPr>
          <w:rFonts w:ascii="Arial" w:hAnsi="Arial" w:eastAsia="等线" w:cs="Arial"/>
          <w:b/>
          <w:sz w:val="30"/>
        </w:rPr>
        <w:t>3.1 资金收付单据管理</w:t>
      </w:r>
      <w:bookmarkEnd w:id="68"/>
    </w:p>
    <w:p w14:paraId="126D4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覆盖企业全部资金收支场景，支持单组织独立收付、跨组织协同收付，单据全流程留痕、可追溯、可审计：</w:t>
      </w:r>
    </w:p>
    <w:p w14:paraId="2111859F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收款单管理</w:t>
      </w:r>
      <w:r>
        <w:rPr>
          <w:rFonts w:ascii="Arial" w:hAnsi="Arial" w:eastAsia="等线" w:cs="Arial"/>
          <w:sz w:val="22"/>
        </w:rPr>
        <w:t>：适配客户回款、预收回款、利息收入、其他收款、跨组织代收款场景，支持手工新增、应收核销自动生成收款单；关联往来单据、回款流水、客户信息，明确收款组织、核算组织、资金账户、币别、金额。</w:t>
      </w:r>
    </w:p>
    <w:p w14:paraId="03139D03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付款单管理</w:t>
      </w:r>
      <w:r>
        <w:rPr>
          <w:rFonts w:ascii="Arial" w:hAnsi="Arial" w:eastAsia="等线" w:cs="Arial"/>
          <w:sz w:val="22"/>
        </w:rPr>
        <w:t>：适配供应商付款、预付付款、费用付款、税费缴纳、其他付款、集团代付场景，支持手工新增、应付核销自动生成付款单；关联应付单据、合同、付款计划，支持全额付款、部分付款、分期付款。</w:t>
      </w:r>
    </w:p>
    <w:p w14:paraId="4978215F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资金转账单</w:t>
      </w:r>
      <w:r>
        <w:rPr>
          <w:rFonts w:ascii="Arial" w:hAnsi="Arial" w:eastAsia="等线" w:cs="Arial"/>
          <w:sz w:val="22"/>
        </w:rPr>
        <w:t>：支持同组织账户互转、跨组织资金调拨、资金归集、资金下拨业务，自动记录转出账户、转入账户、调拨金额、手续费、调拨用途。</w:t>
      </w:r>
    </w:p>
    <w:p w14:paraId="37622D1F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单据全生命周期管控</w:t>
      </w:r>
      <w:r>
        <w:rPr>
          <w:rFonts w:ascii="Arial" w:hAnsi="Arial" w:eastAsia="等线" w:cs="Arial"/>
          <w:sz w:val="22"/>
        </w:rPr>
        <w:t>：所有资金单据支持新增、修改、作废、审核、批量审核；未审核单据可修改，已审核单据需反审核操作；所有操作本地日志留存，满足内网内控审计要求。</w:t>
      </w:r>
    </w:p>
    <w:p w14:paraId="34C7D0DC">
      <w:pPr>
        <w:spacing w:before="300" w:after="120" w:line="288" w:lineRule="auto"/>
        <w:ind w:left="0"/>
        <w:jc w:val="left"/>
        <w:outlineLvl w:val="2"/>
      </w:pPr>
      <w:bookmarkStart w:id="69" w:name="heading_91"/>
      <w:r>
        <w:rPr>
          <w:rFonts w:ascii="Arial" w:hAnsi="Arial" w:eastAsia="等线" w:cs="Arial"/>
          <w:b/>
          <w:sz w:val="30"/>
        </w:rPr>
        <w:t>3.2 现金管理</w:t>
      </w:r>
      <w:bookmarkEnd w:id="69"/>
    </w:p>
    <w:p w14:paraId="4F45A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适配企业现金收付、盘点、备用金管理全场景，规范现金内控流程：</w:t>
      </w:r>
    </w:p>
    <w:p w14:paraId="73D9E7C4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现金收付</w:t>
      </w:r>
      <w:r>
        <w:rPr>
          <w:rFonts w:ascii="Arial" w:hAnsi="Arial" w:eastAsia="等线" w:cs="Arial"/>
          <w:sz w:val="22"/>
        </w:rPr>
        <w:t>：日常现金收款、现金费用报销、现金付款单据录入与审核，系统自动更新现金账户余额，严格控制现金赤字。</w:t>
      </w:r>
    </w:p>
    <w:p w14:paraId="3047C039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现金盘点</w:t>
      </w:r>
      <w:r>
        <w:rPr>
          <w:rFonts w:ascii="Arial" w:hAnsi="Arial" w:eastAsia="等线" w:cs="Arial"/>
          <w:sz w:val="22"/>
        </w:rPr>
        <w:t>：支持日盘点、月盘点，录入实盘金额，系统自动对比账面余额，生成盘点差异表，支持差异调整、痕迹留存。</w:t>
      </w:r>
    </w:p>
    <w:p w14:paraId="3DA89738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备用金管理</w:t>
      </w:r>
      <w:r>
        <w:rPr>
          <w:rFonts w:ascii="Arial" w:hAnsi="Arial" w:eastAsia="等线" w:cs="Arial"/>
          <w:sz w:val="22"/>
        </w:rPr>
        <w:t>：支持员工备用金借支、核销、归还全流程，关联人员辅助核算，杜绝备用金长期挂账。</w:t>
      </w:r>
    </w:p>
    <w:p w14:paraId="7967B118">
      <w:pPr>
        <w:spacing w:before="300" w:after="120" w:line="288" w:lineRule="auto"/>
        <w:ind w:left="0"/>
        <w:jc w:val="left"/>
        <w:outlineLvl w:val="2"/>
      </w:pPr>
      <w:bookmarkStart w:id="70" w:name="heading_92"/>
      <w:r>
        <w:rPr>
          <w:rFonts w:ascii="Arial" w:hAnsi="Arial" w:eastAsia="等线" w:cs="Arial"/>
          <w:b/>
          <w:sz w:val="30"/>
        </w:rPr>
        <w:t>3.3 银行对账管理（私有部署核心刚需）</w:t>
      </w:r>
      <w:bookmarkEnd w:id="70"/>
    </w:p>
    <w:p w14:paraId="0D7A53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支持离线银行流水导入、自动对账、手工调账，适配内网私有部署无外网联网场景，完全脱离云端即可闭环：</w:t>
      </w:r>
    </w:p>
    <w:p w14:paraId="5C1E5F9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银行流水导入</w:t>
      </w:r>
      <w:r>
        <w:rPr>
          <w:rFonts w:ascii="Arial" w:hAnsi="Arial" w:eastAsia="等线" w:cs="Arial"/>
          <w:sz w:val="22"/>
        </w:rPr>
        <w:t>：支持Excel模板批量导入银行对账单流水，适配所有银行线下导出文件格式，离线完成数据同步。</w:t>
      </w:r>
    </w:p>
    <w:p w14:paraId="0D4F594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智能自动对账</w:t>
      </w:r>
      <w:r>
        <w:rPr>
          <w:rFonts w:ascii="Arial" w:hAnsi="Arial" w:eastAsia="等线" w:cs="Arial"/>
          <w:sz w:val="22"/>
        </w:rPr>
        <w:t>：按金额、日期、摘要、结算单号双向匹配企业资金单据与银行流水，批量自动对账核销。</w:t>
      </w:r>
    </w:p>
    <w:p w14:paraId="7F338258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手工对账调整</w:t>
      </w:r>
      <w:r>
        <w:rPr>
          <w:rFonts w:ascii="Arial" w:hAnsi="Arial" w:eastAsia="等线" w:cs="Arial"/>
          <w:sz w:val="22"/>
        </w:rPr>
        <w:t>：针对金额尾数差异、摘要不匹配、跨期流水场景，支持人工精准对账、标记未达账项。</w:t>
      </w:r>
    </w:p>
    <w:p w14:paraId="08FC3C33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余额调节表自动生成</w:t>
      </w:r>
      <w:r>
        <w:rPr>
          <w:rFonts w:ascii="Arial" w:hAnsi="Arial" w:eastAsia="等线" w:cs="Arial"/>
          <w:sz w:val="22"/>
        </w:rPr>
        <w:t>：对账完成后系统自动生成银行存款余额调节表，完整展示未达账项明细，支持本地导出打印、归档备查。</w:t>
      </w:r>
    </w:p>
    <w:p w14:paraId="5722D1B1">
      <w:pPr>
        <w:spacing w:before="300" w:after="120" w:line="288" w:lineRule="auto"/>
        <w:ind w:left="0"/>
        <w:jc w:val="left"/>
        <w:outlineLvl w:val="2"/>
      </w:pPr>
      <w:bookmarkStart w:id="71" w:name="heading_93"/>
      <w:r>
        <w:rPr>
          <w:rFonts w:ascii="Arial" w:hAnsi="Arial" w:eastAsia="等线" w:cs="Arial"/>
          <w:b/>
          <w:sz w:val="30"/>
        </w:rPr>
        <w:t>3.4 票据管理全流程</w:t>
      </w:r>
      <w:bookmarkEnd w:id="71"/>
    </w:p>
    <w:p w14:paraId="32872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覆盖应收票据、应付票据全生命周期管理，适配银票、商票场景，支持多组织票据流转：</w:t>
      </w:r>
    </w:p>
    <w:p w14:paraId="251A4290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应收票据</w:t>
      </w:r>
      <w:r>
        <w:rPr>
          <w:rFonts w:ascii="Arial" w:hAnsi="Arial" w:eastAsia="等线" w:cs="Arial"/>
          <w:sz w:val="22"/>
        </w:rPr>
        <w:t>：票据录入、登记、到期托收、贴现、背书转让、退票、核销全流程管控，支持跨组织票据背书流转。</w:t>
      </w:r>
    </w:p>
    <w:p w14:paraId="415CB88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应付票据</w:t>
      </w:r>
      <w:r>
        <w:rPr>
          <w:rFonts w:ascii="Arial" w:hAnsi="Arial" w:eastAsia="等线" w:cs="Arial"/>
          <w:sz w:val="22"/>
        </w:rPr>
        <w:t>：票据开具、登记、到期兑付、作废、核销管理，关联供应商应付业务。</w:t>
      </w:r>
    </w:p>
    <w:p w14:paraId="416CC83A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票据台账</w:t>
      </w:r>
      <w:r>
        <w:rPr>
          <w:rFonts w:ascii="Arial" w:hAnsi="Arial" w:eastAsia="等线" w:cs="Arial"/>
          <w:sz w:val="22"/>
        </w:rPr>
        <w:t>：自动生成多组织汇总票据台账、单组织票据明细台账，实时统计未到期、已兑付、已贴现票据数据。</w:t>
      </w:r>
    </w:p>
    <w:p w14:paraId="2D2E4BF6">
      <w:pPr>
        <w:spacing w:before="300" w:after="120" w:line="288" w:lineRule="auto"/>
        <w:ind w:left="0"/>
        <w:jc w:val="left"/>
        <w:outlineLvl w:val="2"/>
      </w:pPr>
      <w:bookmarkStart w:id="72" w:name="heading_94"/>
      <w:r>
        <w:rPr>
          <w:rFonts w:ascii="Arial" w:hAnsi="Arial" w:eastAsia="等线" w:cs="Arial"/>
          <w:b/>
          <w:sz w:val="30"/>
        </w:rPr>
        <w:t>3.5 跨组织资金协同管理</w:t>
      </w:r>
      <w:bookmarkEnd w:id="72"/>
    </w:p>
    <w:p w14:paraId="7CE08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适配集团资金集中管控模式，解决多组织资金独立运作、统筹困难问题：</w:t>
      </w:r>
    </w:p>
    <w:p w14:paraId="283B8A68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资金归集</w:t>
      </w:r>
      <w:r>
        <w:rPr>
          <w:rFonts w:ascii="Arial" w:hAnsi="Arial" w:eastAsia="等线" w:cs="Arial"/>
          <w:sz w:val="22"/>
        </w:rPr>
        <w:t>：支持下级组织账户资金自动/手动归集至集团资金池，系统自动生成双方转账单据与账务。</w:t>
      </w:r>
    </w:p>
    <w:p w14:paraId="3B43A44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资金下拨</w:t>
      </w:r>
      <w:r>
        <w:rPr>
          <w:rFonts w:ascii="Arial" w:hAnsi="Arial" w:eastAsia="等线" w:cs="Arial"/>
          <w:sz w:val="22"/>
        </w:rPr>
        <w:t>：集团根据各组织资金需求下拨资金，全程留痕、可追溯。</w:t>
      </w:r>
    </w:p>
    <w:p w14:paraId="5798E1ED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跨组织代收付</w:t>
      </w:r>
      <w:r>
        <w:rPr>
          <w:rFonts w:ascii="Arial" w:hAnsi="Arial" w:eastAsia="等线" w:cs="Arial"/>
          <w:sz w:val="22"/>
        </w:rPr>
        <w:t>：支持集团代下级收付、上级代下级收付，实现收付组织与核算组织分离，自动生成对应组织往来与资金单据。</w:t>
      </w:r>
    </w:p>
    <w:p w14:paraId="3B5A1705">
      <w:pPr>
        <w:spacing w:before="320" w:after="120" w:line="288" w:lineRule="auto"/>
        <w:ind w:left="0"/>
        <w:jc w:val="left"/>
        <w:outlineLvl w:val="1"/>
      </w:pPr>
      <w:bookmarkStart w:id="73" w:name="heading_95"/>
      <w:r>
        <w:rPr>
          <w:rFonts w:ascii="Arial" w:hAnsi="Arial" w:eastAsia="等线" w:cs="Arial"/>
          <w:b/>
          <w:sz w:val="32"/>
        </w:rPr>
        <w:t>4. 业财一体化：出纳单据自动生成凭证</w:t>
      </w:r>
      <w:bookmarkEnd w:id="73"/>
    </w:p>
    <w:p w14:paraId="64317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私有部署本地离线自动生成财务凭证，无需云端联动，凭证自动推送总账、支持人工微调与批量修正，完全对标金蝶星空资金业财联动逻辑：</w:t>
      </w:r>
    </w:p>
    <w:p w14:paraId="7440D31F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现金收款凭证</w:t>
      </w:r>
      <w:r>
        <w:rPr>
          <w:rFonts w:ascii="Arial" w:hAnsi="Arial" w:eastAsia="等线" w:cs="Arial"/>
          <w:sz w:val="22"/>
        </w:rPr>
        <w:t>：现金收款单审核后自动生成「借：库存现金 贷：对应收入/往来科目」。</w:t>
      </w:r>
    </w:p>
    <w:p w14:paraId="0276FDD3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现金付款凭证</w:t>
      </w:r>
      <w:r>
        <w:rPr>
          <w:rFonts w:ascii="Arial" w:hAnsi="Arial" w:eastAsia="等线" w:cs="Arial"/>
          <w:sz w:val="22"/>
        </w:rPr>
        <w:t>：现金付款、报销单据自动生成「借：费用/应付账款 贷：库存现金」。</w:t>
      </w:r>
    </w:p>
    <w:p w14:paraId="399D7829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银行收款凭证</w:t>
      </w:r>
      <w:r>
        <w:rPr>
          <w:rFonts w:ascii="Arial" w:hAnsi="Arial" w:eastAsia="等线" w:cs="Arial"/>
          <w:sz w:val="22"/>
        </w:rPr>
        <w:t>：银行回款、利息收入自动生成「借：银行存款 贷：应收账款/财务费用/其他应收款」。</w:t>
      </w:r>
    </w:p>
    <w:p w14:paraId="00466DBC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银行付款凭证</w:t>
      </w:r>
      <w:r>
        <w:rPr>
          <w:rFonts w:ascii="Arial" w:hAnsi="Arial" w:eastAsia="等线" w:cs="Arial"/>
          <w:sz w:val="22"/>
        </w:rPr>
        <w:t>：银行付款、费用支付、税费缴纳自动生成「借：应付账款/费用/应交税费 贷：银行存款」。</w:t>
      </w:r>
    </w:p>
    <w:p w14:paraId="0B2D573B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资金转账凭证</w:t>
      </w:r>
      <w:r>
        <w:rPr>
          <w:rFonts w:ascii="Arial" w:hAnsi="Arial" w:eastAsia="等线" w:cs="Arial"/>
          <w:sz w:val="22"/>
        </w:rPr>
        <w:t>：账户互转、跨组织调拨自动生成对应资金划转凭证。</w:t>
      </w:r>
    </w:p>
    <w:p w14:paraId="3768FD20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手续费凭证</w:t>
      </w:r>
      <w:r>
        <w:rPr>
          <w:rFonts w:ascii="Arial" w:hAnsi="Arial" w:eastAsia="等线" w:cs="Arial"/>
          <w:sz w:val="22"/>
        </w:rPr>
        <w:t>：银行扣除手续费自动生成「借：财务费用-手续费 贷：银行存款」。</w:t>
      </w:r>
    </w:p>
    <w:p w14:paraId="0A0838CB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资金汇兑损益凭证</w:t>
      </w:r>
      <w:r>
        <w:rPr>
          <w:rFonts w:ascii="Arial" w:hAnsi="Arial" w:eastAsia="等线" w:cs="Arial"/>
          <w:sz w:val="22"/>
        </w:rPr>
        <w:t>：期末外币资金账户调汇后自动生成汇兑损益凭证。</w:t>
      </w:r>
    </w:p>
    <w:p w14:paraId="20414ABB">
      <w:pPr>
        <w:spacing w:before="320" w:after="120" w:line="288" w:lineRule="auto"/>
        <w:ind w:left="0"/>
        <w:jc w:val="left"/>
        <w:outlineLvl w:val="1"/>
      </w:pPr>
      <w:bookmarkStart w:id="74" w:name="heading_96"/>
      <w:r>
        <w:rPr>
          <w:rFonts w:ascii="Arial" w:hAnsi="Arial" w:eastAsia="等线" w:cs="Arial"/>
          <w:b/>
          <w:sz w:val="32"/>
        </w:rPr>
        <w:t>5. 期末专项处理功能</w:t>
      </w:r>
      <w:bookmarkEnd w:id="74"/>
    </w:p>
    <w:p w14:paraId="66B1D35B">
      <w:pPr>
        <w:spacing w:before="300" w:after="120" w:line="288" w:lineRule="auto"/>
        <w:ind w:left="0"/>
        <w:jc w:val="left"/>
        <w:outlineLvl w:val="2"/>
      </w:pPr>
      <w:bookmarkStart w:id="75" w:name="heading_97"/>
      <w:r>
        <w:rPr>
          <w:rFonts w:ascii="Arial" w:hAnsi="Arial" w:eastAsia="等线" w:cs="Arial"/>
          <w:b/>
          <w:sz w:val="30"/>
        </w:rPr>
        <w:t>5.1 资金汇兑损益结转</w:t>
      </w:r>
      <w:bookmarkEnd w:id="75"/>
    </w:p>
    <w:p w14:paraId="50048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集团统一汇率体系，各法人组织独立完成外币资金期末调汇：系统自动抓取所有外币银行账户、外币现金账户期末余额，对比账面汇率与集团期末汇率差额，自动计算外币资金汇兑收益或损失，批量生成调汇凭证；支持人工微调差额，所有调汇明细、计算过程本地留存，逐笔可追溯、可审计。</w:t>
      </w:r>
    </w:p>
    <w:p w14:paraId="1EB72354">
      <w:pPr>
        <w:spacing w:before="300" w:after="120" w:line="288" w:lineRule="auto"/>
        <w:ind w:left="0"/>
        <w:jc w:val="left"/>
        <w:outlineLvl w:val="2"/>
      </w:pPr>
      <w:bookmarkStart w:id="76" w:name="heading_98"/>
      <w:r>
        <w:rPr>
          <w:rFonts w:ascii="Arial" w:hAnsi="Arial" w:eastAsia="等线" w:cs="Arial"/>
          <w:b/>
          <w:sz w:val="30"/>
        </w:rPr>
        <w:t>5.2 资金盘点与差异处理</w:t>
      </w:r>
      <w:bookmarkEnd w:id="76"/>
    </w:p>
    <w:p w14:paraId="70223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期末完成现金全盘、银行账户对账核查，系统自动核对账面资金余额与实际资金余额，生成资金盘点报告；针对盘盈、盘亏差异，支持线上审批、差异调整入账，确保期末账实完全一致。</w:t>
      </w:r>
    </w:p>
    <w:p w14:paraId="36B00497">
      <w:pPr>
        <w:spacing w:before="300" w:after="120" w:line="288" w:lineRule="auto"/>
        <w:ind w:left="0"/>
        <w:jc w:val="left"/>
        <w:outlineLvl w:val="2"/>
      </w:pPr>
      <w:bookmarkStart w:id="77" w:name="heading_99"/>
      <w:r>
        <w:rPr>
          <w:rFonts w:ascii="Arial" w:hAnsi="Arial" w:eastAsia="等线" w:cs="Arial"/>
          <w:b/>
          <w:sz w:val="30"/>
        </w:rPr>
        <w:t>5.3 期末资金对账</w:t>
      </w:r>
      <w:bookmarkEnd w:id="77"/>
    </w:p>
    <w:p w14:paraId="3A785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实现三层对账闭环：出纳资金台账与总账货币资金科目对账、企业资金流水与银行流水对账、跨组织资金调拨往来双向对账，自动识别差异、输出差异清单，保障账账、账实相符。</w:t>
      </w:r>
    </w:p>
    <w:p w14:paraId="22238CE2">
      <w:pPr>
        <w:spacing w:before="320" w:after="120" w:line="288" w:lineRule="auto"/>
        <w:ind w:left="0"/>
        <w:jc w:val="left"/>
        <w:outlineLvl w:val="1"/>
      </w:pPr>
      <w:bookmarkStart w:id="78" w:name="heading_100"/>
      <w:r>
        <w:rPr>
          <w:rFonts w:ascii="Arial" w:hAnsi="Arial" w:eastAsia="等线" w:cs="Arial"/>
          <w:b/>
          <w:sz w:val="32"/>
        </w:rPr>
        <w:t>6. 期末结账全流程管控</w:t>
      </w:r>
      <w:bookmarkEnd w:id="78"/>
    </w:p>
    <w:p w14:paraId="59D9B56B">
      <w:pPr>
        <w:spacing w:before="300" w:after="120" w:line="288" w:lineRule="auto"/>
        <w:ind w:left="0"/>
        <w:jc w:val="left"/>
        <w:outlineLvl w:val="2"/>
      </w:pPr>
      <w:bookmarkStart w:id="79" w:name="heading_101"/>
      <w:r>
        <w:rPr>
          <w:rFonts w:ascii="Arial" w:hAnsi="Arial" w:eastAsia="等线" w:cs="Arial"/>
          <w:b/>
          <w:sz w:val="30"/>
        </w:rPr>
        <w:t>6.1 出纳模块结账前置校验</w:t>
      </w:r>
      <w:bookmarkEnd w:id="79"/>
    </w:p>
    <w:p w14:paraId="5DD75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私有部署严格闭环校验，任意项不通过禁止出纳模块结账，同时阻断总账期末结账流程：</w:t>
      </w:r>
    </w:p>
    <w:p w14:paraId="054480C3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当期所有收款、付款、转账、票据单据全部审核完成；</w:t>
      </w:r>
    </w:p>
    <w:p w14:paraId="36C26A1C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当期银行对账全部完成，未达账项清晰备案、差异处理完毕；</w:t>
      </w:r>
    </w:p>
    <w:p w14:paraId="087C558C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现金盘点、资金核查完成，无未处理盘盈盘亏差异；</w:t>
      </w:r>
    </w:p>
    <w:p w14:paraId="4CD7F20A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外币资金汇兑损益全部计提入账；</w:t>
      </w:r>
    </w:p>
    <w:p w14:paraId="4B913660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跨组织资金调拨全部对账一致，无往来差异；</w:t>
      </w:r>
    </w:p>
    <w:p w14:paraId="65AA8553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所有资金业务单据已全部生成财务凭证并推送总账过账；</w:t>
      </w:r>
    </w:p>
    <w:p w14:paraId="122B6D36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资金账户无赤字、无异常挂账数据。</w:t>
      </w:r>
    </w:p>
    <w:p w14:paraId="779AF5F8">
      <w:pPr>
        <w:spacing w:before="300" w:after="120" w:line="288" w:lineRule="auto"/>
        <w:ind w:left="0"/>
        <w:jc w:val="left"/>
        <w:outlineLvl w:val="2"/>
      </w:pPr>
      <w:bookmarkStart w:id="80" w:name="heading_102"/>
      <w:r>
        <w:rPr>
          <w:rFonts w:ascii="Arial" w:hAnsi="Arial" w:eastAsia="等线" w:cs="Arial"/>
          <w:b/>
          <w:sz w:val="30"/>
        </w:rPr>
        <w:t>6.2 多组织结账模式</w:t>
      </w:r>
      <w:bookmarkEnd w:id="80"/>
    </w:p>
    <w:p w14:paraId="2DB9A8A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单组织独立结账</w:t>
      </w:r>
      <w:r>
        <w:rPr>
          <w:rFonts w:ascii="Arial" w:hAnsi="Arial" w:eastAsia="等线" w:cs="Arial"/>
          <w:sz w:val="22"/>
        </w:rPr>
        <w:t>：各法人组织独立完成当期出纳资金结账，结账后锁定当期所有资金单据，禁止新增、修改、作废。</w:t>
      </w:r>
    </w:p>
    <w:p w14:paraId="1D4A63F6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集团批量结账</w:t>
      </w:r>
      <w:r>
        <w:rPr>
          <w:rFonts w:ascii="Arial" w:hAnsi="Arial" w:eastAsia="等线" w:cs="Arial"/>
          <w:sz w:val="22"/>
        </w:rPr>
        <w:t>：集团管控端一键批量完成全下属组织出纳模块统一结账，统一集团财务结账节奏。</w:t>
      </w:r>
    </w:p>
    <w:p w14:paraId="49401F74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权限化反结账</w:t>
      </w:r>
      <w:r>
        <w:rPr>
          <w:rFonts w:ascii="Arial" w:hAnsi="Arial" w:eastAsia="等线" w:cs="Arial"/>
          <w:sz w:val="22"/>
        </w:rPr>
        <w:t>：仅授权管理员可执行出纳反结账、反审核、反对账操作，所有反向操作全程日志留痕，满足内控合规、审计追溯要求。</w:t>
      </w:r>
    </w:p>
    <w:p w14:paraId="1CAA37B7">
      <w:pPr>
        <w:spacing w:before="320" w:after="120" w:line="288" w:lineRule="auto"/>
        <w:ind w:left="0"/>
        <w:jc w:val="left"/>
        <w:outlineLvl w:val="1"/>
      </w:pPr>
      <w:bookmarkStart w:id="81" w:name="heading_103"/>
      <w:r>
        <w:rPr>
          <w:rFonts w:ascii="Arial" w:hAnsi="Arial" w:eastAsia="等线" w:cs="Arial"/>
          <w:b/>
          <w:sz w:val="32"/>
        </w:rPr>
        <w:t>7. 账簿与报表输出</w:t>
      </w:r>
      <w:bookmarkEnd w:id="81"/>
    </w:p>
    <w:p w14:paraId="0D907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私有部署本地离线查询、导出、打印全套出纳资金账簿与报表，支持多组织汇总、单组织明细、多维度穿透查询：现金日记账、银行存款日记账、资金总账、资金明细账、银行余额调节表、资金收支汇总表、跨组织资金调拨明细表、票据台账、资金盘点报告、未达账项明细表，所有报表支持Excel/PDF本地导出、自定义版式打印，适配日常财务归档、月度年审、资金分析、内控审计场景。</w:t>
      </w:r>
    </w:p>
    <w:p w14:paraId="098640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126" w:name="_GoBack"/>
      <w:bookmarkEnd w:id="126"/>
    </w:p>
    <w:p w14:paraId="57B6991A">
      <w:pPr>
        <w:spacing w:before="380" w:after="140" w:line="288" w:lineRule="auto"/>
        <w:ind w:left="0"/>
        <w:jc w:val="left"/>
        <w:outlineLvl w:val="0"/>
      </w:pPr>
      <w:bookmarkStart w:id="82" w:name="heading_61"/>
      <w:r>
        <w:rPr>
          <w:rFonts w:ascii="Arial" w:hAnsi="Arial" w:eastAsia="等线" w:cs="Arial"/>
          <w:b/>
          <w:sz w:val="36"/>
        </w:rPr>
        <w:t>文档五：多组织固定资产管理全流程详细设计（私有部署·全闭环）</w:t>
      </w:r>
      <w:bookmarkEnd w:id="82"/>
    </w:p>
    <w:p w14:paraId="31EE2E35">
      <w:pPr>
        <w:spacing w:before="320" w:after="120" w:line="288" w:lineRule="auto"/>
        <w:ind w:left="0"/>
        <w:jc w:val="left"/>
        <w:outlineLvl w:val="1"/>
      </w:pPr>
      <w:bookmarkStart w:id="83" w:name="heading_62"/>
      <w:r>
        <w:rPr>
          <w:rFonts w:ascii="Arial" w:hAnsi="Arial" w:eastAsia="等线" w:cs="Arial"/>
          <w:b/>
          <w:sz w:val="32"/>
        </w:rPr>
        <w:t>1. 模块定位</w:t>
      </w:r>
      <w:bookmarkEnd w:id="83"/>
    </w:p>
    <w:p w14:paraId="18262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固定资产模块为集团多组织财务资产管控核心模块，完全适配</w:t>
      </w:r>
      <w:r>
        <w:rPr>
          <w:rFonts w:ascii="Arial" w:hAnsi="Arial" w:eastAsia="等线" w:cs="Arial"/>
          <w:b/>
          <w:sz w:val="22"/>
        </w:rPr>
        <w:t>私有部署本地存储、内网离线运行、无云端依赖</w:t>
      </w:r>
      <w:r>
        <w:rPr>
          <w:rFonts w:ascii="Arial" w:hAnsi="Arial" w:eastAsia="等线" w:cs="Arial"/>
          <w:sz w:val="22"/>
        </w:rPr>
        <w:t>架构，对标金蝶云星空私有部署版固定资产全业务体系。基于集团多组织架构，实现集团统一资产标准管控、法人组织独立资产核算、跨组织资产调拨协同、资产全生命周期闭环管理。完整覆盖固定资产初始化、新增、变更、调拨、盘点、减值、折旧计提、期末对账、自动凭证生成、模块期末结账全流程，深度联动总账、应付、成本模块，满足企业资产台账管理、成本分摊、资产内控、年审审计、资产保值管控的合规与经营需求。</w:t>
      </w:r>
    </w:p>
    <w:p w14:paraId="5BF4C7F9">
      <w:pPr>
        <w:spacing w:before="320" w:after="120" w:line="288" w:lineRule="auto"/>
        <w:ind w:left="0"/>
        <w:jc w:val="left"/>
        <w:outlineLvl w:val="1"/>
      </w:pPr>
      <w:bookmarkStart w:id="84" w:name="heading_63"/>
      <w:r>
        <w:rPr>
          <w:rFonts w:ascii="Arial" w:hAnsi="Arial" w:eastAsia="等线" w:cs="Arial"/>
          <w:b/>
          <w:sz w:val="32"/>
        </w:rPr>
        <w:t>2. 多组织基础资料与初始化设计</w:t>
      </w:r>
      <w:bookmarkEnd w:id="84"/>
    </w:p>
    <w:p w14:paraId="3096A180">
      <w:pPr>
        <w:spacing w:before="300" w:after="120" w:line="288" w:lineRule="auto"/>
        <w:ind w:left="0"/>
        <w:jc w:val="left"/>
        <w:outlineLvl w:val="2"/>
      </w:pPr>
      <w:bookmarkStart w:id="85" w:name="heading_64"/>
      <w:r>
        <w:rPr>
          <w:rFonts w:ascii="Arial" w:hAnsi="Arial" w:eastAsia="等线" w:cs="Arial"/>
          <w:b/>
          <w:sz w:val="30"/>
        </w:rPr>
        <w:t>2.1 集团统一基础资料（全局锁定、下发管控）</w:t>
      </w:r>
      <w:bookmarkEnd w:id="85"/>
    </w:p>
    <w:p w14:paraId="57F82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集团管控组织统一维护、全局下发至所有下属组织，全集团统一标准、禁止下级私自修改，保证资产分类、折旧政策、核算口径、凭证规则全局统一，私有部署本地固化存档、不可随意篡改：</w:t>
      </w:r>
    </w:p>
    <w:p w14:paraId="25117377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资产分类体系</w:t>
      </w:r>
      <w:r>
        <w:rPr>
          <w:rFonts w:ascii="Arial" w:hAnsi="Arial" w:eastAsia="等线" w:cs="Arial"/>
          <w:sz w:val="22"/>
        </w:rPr>
        <w:t>：集团统一一级、二级资产分类（房屋建筑物、机器设备、运输设备、电子设备、办公设备、无形资产等），统一分类编码、默认使用年限、残值率区间、折旧方法，下级组织仅可沿用，不可新增一级分类、不可修改核心分类参数。</w:t>
      </w:r>
    </w:p>
    <w:p w14:paraId="3D46D526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折旧政策体系</w:t>
      </w:r>
      <w:r>
        <w:rPr>
          <w:rFonts w:ascii="Arial" w:hAnsi="Arial" w:eastAsia="等线" w:cs="Arial"/>
          <w:sz w:val="22"/>
        </w:rPr>
        <w:t>：集团统一预置平均年限法、工作量法、双倍余额递减法、年数总和法四类折旧政策，统一折旧精度、折旧计算规则、折旧调整规则、到期停止折旧规则，全集团统一执行。</w:t>
      </w:r>
    </w:p>
    <w:p w14:paraId="2FAB478C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资产核算参数</w:t>
      </w:r>
      <w:r>
        <w:rPr>
          <w:rFonts w:ascii="Arial" w:hAnsi="Arial" w:eastAsia="等线" w:cs="Arial"/>
          <w:sz w:val="22"/>
        </w:rPr>
        <w:t>：统一资产单据编码规则、资产状态体系、资产变动类型、盘点规则、减值计提规则、跨组织调拨核算规则，统一资产辅助核算维度（部门、项目、使用人、存放组织）。</w:t>
      </w:r>
    </w:p>
    <w:p w14:paraId="11B1C02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资产凭证模板</w:t>
      </w:r>
      <w:r>
        <w:rPr>
          <w:rFonts w:ascii="Arial" w:hAnsi="Arial" w:eastAsia="等线" w:cs="Arial"/>
          <w:sz w:val="22"/>
        </w:rPr>
        <w:t>：预置资产新增、资产折旧、资产调拨、资产变更、资产盘点盘盈盘亏、资产减值、资产清理处置全套凭证模板，核心科目、分录规则集团锁定，下级仅可微调摘要内容。</w:t>
      </w:r>
    </w:p>
    <w:p w14:paraId="5BE76200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资产管控标准</w:t>
      </w:r>
      <w:r>
        <w:rPr>
          <w:rFonts w:ascii="Arial" w:hAnsi="Arial" w:eastAsia="等线" w:cs="Arial"/>
          <w:sz w:val="22"/>
        </w:rPr>
        <w:t>：统一资产入账标准、低值易耗品界定标准、资产盘点周期、资产报废审批规范，实现全集团资产风控统一。</w:t>
      </w:r>
    </w:p>
    <w:p w14:paraId="70C5BC67">
      <w:pPr>
        <w:spacing w:before="300" w:after="120" w:line="288" w:lineRule="auto"/>
        <w:ind w:left="0"/>
        <w:jc w:val="left"/>
        <w:outlineLvl w:val="2"/>
      </w:pPr>
      <w:bookmarkStart w:id="86" w:name="heading_65"/>
      <w:r>
        <w:rPr>
          <w:rFonts w:ascii="Arial" w:hAnsi="Arial" w:eastAsia="等线" w:cs="Arial"/>
          <w:b/>
          <w:sz w:val="30"/>
        </w:rPr>
        <w:t>2.2 法人组织初始化数据（独立隔离、本地维护）</w:t>
      </w:r>
      <w:bookmarkEnd w:id="86"/>
    </w:p>
    <w:p w14:paraId="579C1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各独立核算法人组织在集团统一标准框架内，独立完成固定资产期初初始化，数据按组织隔离存储、集团可汇总查询，完美适配新旧账套资产数据无缝衔接：</w:t>
      </w:r>
    </w:p>
    <w:p w14:paraId="1558D3AE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期初资产卡片台账</w:t>
      </w:r>
      <w:r>
        <w:rPr>
          <w:rFonts w:ascii="Arial" w:hAnsi="Arial" w:eastAsia="等线" w:cs="Arial"/>
          <w:sz w:val="22"/>
        </w:rPr>
        <w:t>：单资产单卡片精细化初始化，支持批量导入、手工录入；卡片信息包含资产编码、名称、规格型号、分类、原值、累计折旧、残值率、使用年限、已使用期间、剩余使用期间、存放组织、使用部门、使用人、购置日期、入账状态。</w:t>
      </w:r>
    </w:p>
    <w:p w14:paraId="331993B5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期初财务数据</w:t>
      </w:r>
      <w:r>
        <w:rPr>
          <w:rFonts w:ascii="Arial" w:hAnsi="Arial" w:eastAsia="等线" w:cs="Arial"/>
          <w:sz w:val="22"/>
        </w:rPr>
        <w:t>：逐卡片录入期初原值、期初累计折旧、期初减值准备、期初净值，支持外币资产期初原币、本位币、期初汇率录入，适配外币采购资产场景。</w:t>
      </w:r>
    </w:p>
    <w:p w14:paraId="5141361A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期初未完成业务</w:t>
      </w:r>
      <w:r>
        <w:rPr>
          <w:rFonts w:ascii="Arial" w:hAnsi="Arial" w:eastAsia="等线" w:cs="Arial"/>
          <w:sz w:val="22"/>
        </w:rPr>
        <w:t>：录入期初在建工程、期初待清理资产、期初待盘点差异、期初跨组织在途资产，承接历史未闭环业务。</w:t>
      </w:r>
    </w:p>
    <w:p w14:paraId="0377C2AE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期初工作量数据</w:t>
      </w:r>
      <w:r>
        <w:rPr>
          <w:rFonts w:ascii="Arial" w:hAnsi="Arial" w:eastAsia="等线" w:cs="Arial"/>
          <w:sz w:val="22"/>
        </w:rPr>
        <w:t>：针对工作量法折旧资产，录入历史累计工作量、期初剩余工作量，保证后期折旧计提精准连续。</w:t>
      </w:r>
    </w:p>
    <w:p w14:paraId="76BD7797">
      <w:pPr>
        <w:spacing w:before="300" w:after="120" w:line="288" w:lineRule="auto"/>
        <w:ind w:left="0"/>
        <w:jc w:val="left"/>
        <w:outlineLvl w:val="2"/>
      </w:pPr>
      <w:bookmarkStart w:id="87" w:name="heading_66"/>
      <w:r>
        <w:rPr>
          <w:rFonts w:ascii="Arial" w:hAnsi="Arial" w:eastAsia="等线" w:cs="Arial"/>
          <w:b/>
          <w:sz w:val="30"/>
        </w:rPr>
        <w:t>2.3 初始化闭环校验机制</w:t>
      </w:r>
      <w:bookmarkEnd w:id="87"/>
    </w:p>
    <w:p w14:paraId="180BA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化强校验，杜绝账实不符、账账不符：资产卡片原值汇总与总账固定资产科目期初余额对账、累计折旧汇总与总账折旧科目对账、减值准备对账、明细卡片与汇总数据平衡校验、外币资产汇率校验，全部校验通过后方可启用日常资产业务。</w:t>
      </w:r>
    </w:p>
    <w:p w14:paraId="64F0CCB9">
      <w:pPr>
        <w:spacing w:before="320" w:after="120" w:line="288" w:lineRule="auto"/>
        <w:ind w:left="0"/>
        <w:jc w:val="left"/>
        <w:outlineLvl w:val="1"/>
      </w:pPr>
      <w:bookmarkStart w:id="88" w:name="heading_67"/>
      <w:r>
        <w:rPr>
          <w:rFonts w:ascii="Arial" w:hAnsi="Arial" w:eastAsia="等线" w:cs="Arial"/>
          <w:b/>
          <w:sz w:val="32"/>
        </w:rPr>
        <w:t>3. 日常核心业务全流程设计</w:t>
      </w:r>
      <w:bookmarkEnd w:id="88"/>
    </w:p>
    <w:p w14:paraId="10247C29">
      <w:pPr>
        <w:spacing w:before="300" w:after="120" w:line="288" w:lineRule="auto"/>
        <w:ind w:left="0"/>
        <w:jc w:val="left"/>
        <w:outlineLvl w:val="2"/>
      </w:pPr>
      <w:bookmarkStart w:id="89" w:name="heading_68"/>
      <w:r>
        <w:rPr>
          <w:rFonts w:ascii="Arial" w:hAnsi="Arial" w:eastAsia="等线" w:cs="Arial"/>
          <w:b/>
          <w:sz w:val="30"/>
        </w:rPr>
        <w:t>3.1 资产新增管理</w:t>
      </w:r>
      <w:bookmarkEnd w:id="89"/>
    </w:p>
    <w:p w14:paraId="6C242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覆盖外购资产、自建资产、接受投资、捐赠、盘盈、跨组织调入等所有资产入账场景，支持单组织新增、跨组织协同入账，卡片与财务数据一一绑定：</w:t>
      </w:r>
    </w:p>
    <w:p w14:paraId="50AC8A08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外购资产新增</w:t>
      </w:r>
      <w:r>
        <w:rPr>
          <w:rFonts w:ascii="Arial" w:hAnsi="Arial" w:eastAsia="等线" w:cs="Arial"/>
          <w:sz w:val="22"/>
        </w:rPr>
        <w:t>：由采购应付单据关联推送资产入账信息，自动生成资产卡片，关联供应商、采购单据、付款记录，实现采购、应付、资产、账务四流合一。</w:t>
      </w:r>
    </w:p>
    <w:p w14:paraId="5BC9CE98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自建/在建工程转固</w:t>
      </w:r>
      <w:r>
        <w:rPr>
          <w:rFonts w:ascii="Arial" w:hAnsi="Arial" w:eastAsia="等线" w:cs="Arial"/>
          <w:sz w:val="22"/>
        </w:rPr>
        <w:t>：支持在建工程归集成本，完工后一键转固，自动生成资产卡片、结转在建工程账务。</w:t>
      </w:r>
    </w:p>
    <w:p w14:paraId="26498411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其他新增场景</w:t>
      </w:r>
      <w:r>
        <w:rPr>
          <w:rFonts w:ascii="Arial" w:hAnsi="Arial" w:eastAsia="等线" w:cs="Arial"/>
          <w:sz w:val="22"/>
        </w:rPr>
        <w:t>：支持捐赠、盘盈、投资转入资产手工新增卡片，完整录入资产价值与使用信息。</w:t>
      </w:r>
    </w:p>
    <w:p w14:paraId="3A8441F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卡片管控</w:t>
      </w:r>
      <w:r>
        <w:rPr>
          <w:rFonts w:ascii="Arial" w:hAnsi="Arial" w:eastAsia="等线" w:cs="Arial"/>
          <w:sz w:val="22"/>
        </w:rPr>
        <w:t>：资产卡片新增、审核、归档，已入账卡片禁止随意删除，修改留存日志，实现资产终身溯源。</w:t>
      </w:r>
    </w:p>
    <w:p w14:paraId="2BCDF27C">
      <w:pPr>
        <w:spacing w:before="300" w:after="120" w:line="288" w:lineRule="auto"/>
        <w:ind w:left="0"/>
        <w:jc w:val="left"/>
        <w:outlineLvl w:val="2"/>
      </w:pPr>
      <w:bookmarkStart w:id="90" w:name="heading_69"/>
      <w:r>
        <w:rPr>
          <w:rFonts w:ascii="Arial" w:hAnsi="Arial" w:eastAsia="等线" w:cs="Arial"/>
          <w:b/>
          <w:sz w:val="30"/>
        </w:rPr>
        <w:t>3.2 资产变更管理</w:t>
      </w:r>
      <w:bookmarkEnd w:id="90"/>
    </w:p>
    <w:p w14:paraId="3BD71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支持资产全维度信息变更，区分</w:t>
      </w:r>
      <w:r>
        <w:rPr>
          <w:rFonts w:ascii="Arial" w:hAnsi="Arial" w:eastAsia="等线" w:cs="Arial"/>
          <w:b/>
          <w:sz w:val="22"/>
        </w:rPr>
        <w:t>财务变更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业务变更</w:t>
      </w:r>
      <w:r>
        <w:rPr>
          <w:rFonts w:ascii="Arial" w:hAnsi="Arial" w:eastAsia="等线" w:cs="Arial"/>
          <w:sz w:val="22"/>
        </w:rPr>
        <w:t>，变更全程留痕、可追溯：</w:t>
      </w:r>
    </w:p>
    <w:p w14:paraId="5A3810A7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业务属性变更</w:t>
      </w:r>
      <w:r>
        <w:rPr>
          <w:rFonts w:ascii="Arial" w:hAnsi="Arial" w:eastAsia="等线" w:cs="Arial"/>
          <w:sz w:val="22"/>
        </w:rPr>
        <w:t>：存放组织、使用部门、使用人、存放地点、资产状态变更，仅更新台账信息，不影响财务折旧与价值。</w:t>
      </w:r>
    </w:p>
    <w:p w14:paraId="4053C320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财务属性变更</w:t>
      </w:r>
      <w:r>
        <w:rPr>
          <w:rFonts w:ascii="Arial" w:hAnsi="Arial" w:eastAsia="等线" w:cs="Arial"/>
          <w:sz w:val="22"/>
        </w:rPr>
        <w:t>：原值调整、残值率调整、使用年限调整、折旧方法调整、减值调整，系统自动根据变更期间调整后续折旧计提数据，适配会计准则会计估计变更要求。</w:t>
      </w:r>
    </w:p>
    <w:p w14:paraId="0DEBCD90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批量变更</w:t>
      </w:r>
      <w:r>
        <w:rPr>
          <w:rFonts w:ascii="Arial" w:hAnsi="Arial" w:eastAsia="等线" w:cs="Arial"/>
          <w:sz w:val="22"/>
        </w:rPr>
        <w:t>：支持批量调整资产部门、状态、折旧参数，提升集团大批量资产维护效率。</w:t>
      </w:r>
    </w:p>
    <w:p w14:paraId="2D76EB4E">
      <w:pPr>
        <w:spacing w:before="300" w:after="120" w:line="288" w:lineRule="auto"/>
        <w:ind w:left="0"/>
        <w:jc w:val="left"/>
        <w:outlineLvl w:val="2"/>
      </w:pPr>
      <w:bookmarkStart w:id="91" w:name="heading_70"/>
      <w:r>
        <w:rPr>
          <w:rFonts w:ascii="Arial" w:hAnsi="Arial" w:eastAsia="等线" w:cs="Arial"/>
          <w:b/>
          <w:sz w:val="30"/>
        </w:rPr>
        <w:t>3.3 跨组织资产调拨管理（多组织核心场景）</w:t>
      </w:r>
      <w:bookmarkEnd w:id="91"/>
    </w:p>
    <w:p w14:paraId="67C91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适配集团内部资产共享、调拨复用场景，实现调出组织、调入组织双向业务闭环、账务闭环：</w:t>
      </w:r>
    </w:p>
    <w:p w14:paraId="767F4071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资产无偿调拨</w:t>
      </w:r>
      <w:r>
        <w:rPr>
          <w:rFonts w:ascii="Arial" w:hAnsi="Arial" w:eastAsia="等线" w:cs="Arial"/>
          <w:sz w:val="22"/>
        </w:rPr>
        <w:t>：集团内部无偿划转资产，调出组织减少资产、调入组织新增资产，系统自动生成双方调拨单据与对应财务凭证，集团合并层面自动抵消内部资产调拨差异。</w:t>
      </w:r>
    </w:p>
    <w:p w14:paraId="5C47740E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资产有偿调拨</w:t>
      </w:r>
      <w:r>
        <w:rPr>
          <w:rFonts w:ascii="Arial" w:hAnsi="Arial" w:eastAsia="等线" w:cs="Arial"/>
          <w:sz w:val="22"/>
        </w:rPr>
        <w:t>：按内部结算价调拨，自动生成调出方资产处置收入、调入方资产入账价值，联动内部应收应付往来。</w:t>
      </w:r>
    </w:p>
    <w:p w14:paraId="61B8AC5C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调拨跟踪</w:t>
      </w:r>
      <w:r>
        <w:rPr>
          <w:rFonts w:ascii="Arial" w:hAnsi="Arial" w:eastAsia="等线" w:cs="Arial"/>
          <w:sz w:val="22"/>
        </w:rPr>
        <w:t>：全程记录调拨记录、调拨时间、调出调入组织、审批流程，形成资产跨组织流转台账。</w:t>
      </w:r>
    </w:p>
    <w:p w14:paraId="62D20C56">
      <w:pPr>
        <w:spacing w:before="300" w:after="120" w:line="288" w:lineRule="auto"/>
        <w:ind w:left="0"/>
        <w:jc w:val="left"/>
        <w:outlineLvl w:val="2"/>
      </w:pPr>
      <w:bookmarkStart w:id="92" w:name="heading_71"/>
      <w:r>
        <w:rPr>
          <w:rFonts w:ascii="Arial" w:hAnsi="Arial" w:eastAsia="等线" w:cs="Arial"/>
          <w:b/>
          <w:sz w:val="30"/>
        </w:rPr>
        <w:t>3.4 资产盘点管理</w:t>
      </w:r>
      <w:bookmarkEnd w:id="92"/>
    </w:p>
    <w:p w14:paraId="0018E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支持多组织独立盘点、集团批量盘点，适配月度、季度、年度资产清查，闭环处理盘盈盘亏：</w:t>
      </w:r>
    </w:p>
    <w:p w14:paraId="5A9EB120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盘点方案生成</w:t>
      </w:r>
      <w:r>
        <w:rPr>
          <w:rFonts w:ascii="Arial" w:hAnsi="Arial" w:eastAsia="等线" w:cs="Arial"/>
          <w:sz w:val="22"/>
        </w:rPr>
        <w:t>：按组织、部门、资产分类生成盘点表，支持离线盘点、Excel导入盘点结果，适配私有部署无外网现场盘点场景。</w:t>
      </w:r>
    </w:p>
    <w:p w14:paraId="10F1E217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盘盈盘亏处理</w:t>
      </w:r>
      <w:r>
        <w:rPr>
          <w:rFonts w:ascii="Arial" w:hAnsi="Arial" w:eastAsia="等线" w:cs="Arial"/>
          <w:sz w:val="22"/>
        </w:rPr>
        <w:t>：系统自动比对账面数量、账面价值与实盘数据，自动生成盘盈单、盘亏单，支持审批流程流转。</w:t>
      </w:r>
    </w:p>
    <w:p w14:paraId="51DB9B8D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盘点入账闭环</w:t>
      </w:r>
      <w:r>
        <w:rPr>
          <w:rFonts w:ascii="Arial" w:hAnsi="Arial" w:eastAsia="等线" w:cs="Arial"/>
          <w:sz w:val="22"/>
        </w:rPr>
        <w:t>：审批通过后自动更新资产卡片、调整账面数据，同步生成盘盈盘亏财务凭证。</w:t>
      </w:r>
    </w:p>
    <w:p w14:paraId="03D824D7">
      <w:pPr>
        <w:spacing w:before="300" w:after="120" w:line="288" w:lineRule="auto"/>
        <w:ind w:left="0"/>
        <w:jc w:val="left"/>
        <w:outlineLvl w:val="2"/>
      </w:pPr>
      <w:bookmarkStart w:id="93" w:name="heading_72"/>
      <w:r>
        <w:rPr>
          <w:rFonts w:ascii="Arial" w:hAnsi="Arial" w:eastAsia="等线" w:cs="Arial"/>
          <w:b/>
          <w:sz w:val="30"/>
        </w:rPr>
        <w:t>3.5 资产减值与处置清理</w:t>
      </w:r>
      <w:bookmarkEnd w:id="93"/>
    </w:p>
    <w:p w14:paraId="44489B51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资产减值</w:t>
      </w:r>
      <w:r>
        <w:rPr>
          <w:rFonts w:ascii="Arial" w:hAnsi="Arial" w:eastAsia="等线" w:cs="Arial"/>
          <w:sz w:val="22"/>
        </w:rPr>
        <w:t>：支持单项资产减值计提、批量减值计提，录入减值金额、减值原因，系统更新资产减值准备账面数据，生成减值凭证。</w:t>
      </w:r>
    </w:p>
    <w:p w14:paraId="570F1BEF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资产清理处置</w:t>
      </w:r>
      <w:r>
        <w:rPr>
          <w:rFonts w:ascii="Arial" w:hAnsi="Arial" w:eastAsia="等线" w:cs="Arial"/>
          <w:sz w:val="22"/>
        </w:rPr>
        <w:t>：支持资产报废、出售、毁损、闲置处置，录入处置收入、清理费用，系统自动计算资产清理损益，完整结转资产原值、累计折旧、减值准备，生成资产清理全套账务。</w:t>
      </w:r>
    </w:p>
    <w:p w14:paraId="1235ED05">
      <w:pPr>
        <w:spacing w:before="320" w:after="120" w:line="288" w:lineRule="auto"/>
        <w:ind w:left="0"/>
        <w:jc w:val="left"/>
        <w:outlineLvl w:val="1"/>
      </w:pPr>
      <w:bookmarkStart w:id="94" w:name="heading_73"/>
      <w:r>
        <w:rPr>
          <w:rFonts w:ascii="Arial" w:hAnsi="Arial" w:eastAsia="等线" w:cs="Arial"/>
          <w:b/>
          <w:sz w:val="32"/>
        </w:rPr>
        <w:t>4. 期末核心业务：折旧计提与成本分摊</w:t>
      </w:r>
      <w:bookmarkEnd w:id="94"/>
    </w:p>
    <w:p w14:paraId="7FC2F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私有部署本地离线批量折旧，无需云端计算，精准适配会计准则与集团统一折旧政策：</w:t>
      </w:r>
    </w:p>
    <w:p w14:paraId="04FE0EB5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自动折旧计提</w:t>
      </w:r>
      <w:r>
        <w:rPr>
          <w:rFonts w:ascii="Arial" w:hAnsi="Arial" w:eastAsia="等线" w:cs="Arial"/>
          <w:sz w:val="22"/>
        </w:rPr>
        <w:t>：期末一键批量计提全组织/单组织资产折旧，系统根据资产分类、折旧方法、已使用期间自动计算当期折旧额，支持单个资产重算、批量重算。</w:t>
      </w:r>
    </w:p>
    <w:p w14:paraId="5A2DF1B9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折旧成本自动分摊</w:t>
      </w:r>
      <w:r>
        <w:rPr>
          <w:rFonts w:ascii="Arial" w:hAnsi="Arial" w:eastAsia="等线" w:cs="Arial"/>
          <w:sz w:val="22"/>
        </w:rPr>
        <w:t>：根据资产使用部门、项目、生产维度，自动将折旧分摊至管理费用、销售费用、制造费用、研发费用、项目成本。</w:t>
      </w:r>
    </w:p>
    <w:p w14:paraId="3538F70E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折旧异常拦截</w:t>
      </w:r>
      <w:r>
        <w:rPr>
          <w:rFonts w:ascii="Arial" w:hAnsi="Arial" w:eastAsia="等线" w:cs="Arial"/>
          <w:sz w:val="22"/>
        </w:rPr>
        <w:t>：对超期折旧、未到期停止折旧、折旧金额异常、零残值继续折旧等异常自动预警，禁止异常数据入账。</w:t>
      </w:r>
    </w:p>
    <w:p w14:paraId="5AD5ED38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折旧追溯调整</w:t>
      </w:r>
      <w:r>
        <w:rPr>
          <w:rFonts w:ascii="Arial" w:hAnsi="Arial" w:eastAsia="等线" w:cs="Arial"/>
          <w:sz w:val="22"/>
        </w:rPr>
        <w:t>：支持往期折旧差错调整，自动生成补提/冲回折旧凭证，完整留存调整记录。</w:t>
      </w:r>
    </w:p>
    <w:p w14:paraId="3FA5AE49">
      <w:pPr>
        <w:spacing w:before="320" w:after="120" w:line="288" w:lineRule="auto"/>
        <w:ind w:left="0"/>
        <w:jc w:val="left"/>
        <w:outlineLvl w:val="1"/>
      </w:pPr>
      <w:bookmarkStart w:id="95" w:name="heading_74"/>
      <w:r>
        <w:rPr>
          <w:rFonts w:ascii="Arial" w:hAnsi="Arial" w:eastAsia="等线" w:cs="Arial"/>
          <w:b/>
          <w:sz w:val="32"/>
        </w:rPr>
        <w:t>5. 业财一体化：固定资产自动生成凭证</w:t>
      </w:r>
      <w:bookmarkEnd w:id="95"/>
    </w:p>
    <w:p w14:paraId="23B85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所有资产业务单据审核完成后，本地离线自动生成标准财务凭证，推送总账自动过账，支持人工微调摘要与辅助维度，完全对标金蝶星空资产业财联动逻辑：</w:t>
      </w:r>
    </w:p>
    <w:p w14:paraId="14E1670A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资产新增入账凭证</w:t>
      </w:r>
      <w:r>
        <w:rPr>
          <w:rFonts w:ascii="Arial" w:hAnsi="Arial" w:eastAsia="等线" w:cs="Arial"/>
          <w:sz w:val="22"/>
        </w:rPr>
        <w:t>：外购资产自动生成「借：固定资产 借：应交税费-进项税 贷：应付账款/银行存款」。</w:t>
      </w:r>
    </w:p>
    <w:p w14:paraId="64139EF3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在建转固凭证</w:t>
      </w:r>
      <w:r>
        <w:rPr>
          <w:rFonts w:ascii="Arial" w:hAnsi="Arial" w:eastAsia="等线" w:cs="Arial"/>
          <w:sz w:val="22"/>
        </w:rPr>
        <w:t>：自动生成「借：固定资产 贷：在建工程」。</w:t>
      </w:r>
    </w:p>
    <w:p w14:paraId="05791436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月度折旧凭证</w:t>
      </w:r>
      <w:r>
        <w:rPr>
          <w:rFonts w:ascii="Arial" w:hAnsi="Arial" w:eastAsia="等线" w:cs="Arial"/>
          <w:sz w:val="22"/>
        </w:rPr>
        <w:t>：自动生成「借：管理费用/制造费用/研发费用 贷：累计折旧」。</w:t>
      </w:r>
    </w:p>
    <w:p w14:paraId="1B867D75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资产减值凭证</w:t>
      </w:r>
      <w:r>
        <w:rPr>
          <w:rFonts w:ascii="Arial" w:hAnsi="Arial" w:eastAsia="等线" w:cs="Arial"/>
          <w:sz w:val="22"/>
        </w:rPr>
        <w:t>：自动生成「借：资产减值损失 贷：固定资产减值准备」。</w:t>
      </w:r>
    </w:p>
    <w:p w14:paraId="4A9D6BBE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跨组织调拨凭证</w:t>
      </w:r>
      <w:r>
        <w:rPr>
          <w:rFonts w:ascii="Arial" w:hAnsi="Arial" w:eastAsia="等线" w:cs="Arial"/>
          <w:sz w:val="22"/>
        </w:rPr>
        <w:t>：无偿/有偿调拨自动生成双方组织对应资产划转、往来结算凭证。</w:t>
      </w:r>
    </w:p>
    <w:p w14:paraId="7D2DAF61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资产盘盈盘亏凭证</w:t>
      </w:r>
      <w:r>
        <w:rPr>
          <w:rFonts w:ascii="Arial" w:hAnsi="Arial" w:eastAsia="等线" w:cs="Arial"/>
          <w:sz w:val="22"/>
        </w:rPr>
        <w:t>：盘点差异审批后自动生成对应待处理财产损益及结转凭证。</w:t>
      </w:r>
    </w:p>
    <w:p w14:paraId="55FEEA9F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资产清理处置凭证</w:t>
      </w:r>
      <w:r>
        <w:rPr>
          <w:rFonts w:ascii="Arial" w:hAnsi="Arial" w:eastAsia="等线" w:cs="Arial"/>
          <w:sz w:val="22"/>
        </w:rPr>
        <w:t>：自动结转原值、折旧、减值，生成资产清理损益、处置收入凭证。</w:t>
      </w:r>
    </w:p>
    <w:p w14:paraId="16B9522E">
      <w:pPr>
        <w:spacing w:before="320" w:after="120" w:line="288" w:lineRule="auto"/>
        <w:ind w:left="0"/>
        <w:jc w:val="left"/>
        <w:outlineLvl w:val="1"/>
      </w:pPr>
      <w:bookmarkStart w:id="96" w:name="heading_75"/>
      <w:r>
        <w:rPr>
          <w:rFonts w:ascii="Arial" w:hAnsi="Arial" w:eastAsia="等线" w:cs="Arial"/>
          <w:b/>
          <w:sz w:val="32"/>
        </w:rPr>
        <w:t>6. 期末专项处理与对账机制</w:t>
      </w:r>
      <w:bookmarkEnd w:id="96"/>
    </w:p>
    <w:p w14:paraId="05D209B1">
      <w:pPr>
        <w:spacing w:before="300" w:after="120" w:line="288" w:lineRule="auto"/>
        <w:ind w:left="0"/>
        <w:jc w:val="left"/>
        <w:outlineLvl w:val="2"/>
      </w:pPr>
      <w:bookmarkStart w:id="97" w:name="heading_76"/>
      <w:r>
        <w:rPr>
          <w:rFonts w:ascii="Arial" w:hAnsi="Arial" w:eastAsia="等线" w:cs="Arial"/>
          <w:b/>
          <w:sz w:val="30"/>
        </w:rPr>
        <w:t>6.1 资产期末对账</w:t>
      </w:r>
      <w:bookmarkEnd w:id="97"/>
    </w:p>
    <w:p w14:paraId="4046B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四层闭环对账机制，保障期末账账、账实完全一致：资产卡片台账与资产总账对账、资产明细折旧与总账折旧科目对账、减值准备明细与总账对账、跨组织调拨往来双向对账，自动输出对账差异报表，支持差异调整记录留存。</w:t>
      </w:r>
    </w:p>
    <w:p w14:paraId="6E66A4EB">
      <w:pPr>
        <w:spacing w:before="300" w:after="120" w:line="288" w:lineRule="auto"/>
        <w:ind w:left="0"/>
        <w:jc w:val="left"/>
        <w:outlineLvl w:val="2"/>
      </w:pPr>
      <w:bookmarkStart w:id="98" w:name="heading_77"/>
      <w:r>
        <w:rPr>
          <w:rFonts w:ascii="Arial" w:hAnsi="Arial" w:eastAsia="等线" w:cs="Arial"/>
          <w:b/>
          <w:sz w:val="30"/>
        </w:rPr>
        <w:t>6.2 外币资产期末调汇</w:t>
      </w:r>
      <w:bookmarkEnd w:id="98"/>
    </w:p>
    <w:p w14:paraId="7E9FF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针对外币购置固定资产，依托集团统一汇率体系，期末自动计算外币资产账面汇兑差异，生成资产汇兑损益凭证，保证外币资产价值核算精准。</w:t>
      </w:r>
    </w:p>
    <w:p w14:paraId="7F9A5BA3">
      <w:pPr>
        <w:spacing w:before="300" w:after="120" w:line="288" w:lineRule="auto"/>
        <w:ind w:left="0"/>
        <w:jc w:val="left"/>
        <w:outlineLvl w:val="2"/>
      </w:pPr>
      <w:bookmarkStart w:id="99" w:name="heading_78"/>
      <w:r>
        <w:rPr>
          <w:rFonts w:ascii="Arial" w:hAnsi="Arial" w:eastAsia="等线" w:cs="Arial"/>
          <w:b/>
          <w:sz w:val="30"/>
        </w:rPr>
        <w:t>6.3 资产价值重估</w:t>
      </w:r>
      <w:bookmarkEnd w:id="99"/>
    </w:p>
    <w:p w14:paraId="08301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支持年度资产重估增值、减值调整，系统同步更新卡片原值、后续折旧参数，自动适配重估后折旧计提规则，满足企业资产重估核算场景。</w:t>
      </w:r>
    </w:p>
    <w:p w14:paraId="28A2B9E8">
      <w:pPr>
        <w:spacing w:before="320" w:after="120" w:line="288" w:lineRule="auto"/>
        <w:ind w:left="0"/>
        <w:jc w:val="left"/>
        <w:outlineLvl w:val="1"/>
      </w:pPr>
      <w:bookmarkStart w:id="100" w:name="heading_79"/>
      <w:r>
        <w:rPr>
          <w:rFonts w:ascii="Arial" w:hAnsi="Arial" w:eastAsia="等线" w:cs="Arial"/>
          <w:b/>
          <w:sz w:val="32"/>
        </w:rPr>
        <w:t>7. 资产模块期末结账全流程管控</w:t>
      </w:r>
      <w:bookmarkEnd w:id="100"/>
    </w:p>
    <w:p w14:paraId="53749D28">
      <w:pPr>
        <w:spacing w:before="300" w:after="120" w:line="288" w:lineRule="auto"/>
        <w:ind w:left="0"/>
        <w:jc w:val="left"/>
        <w:outlineLvl w:val="2"/>
      </w:pPr>
      <w:bookmarkStart w:id="101" w:name="heading_80"/>
      <w:r>
        <w:rPr>
          <w:rFonts w:ascii="Arial" w:hAnsi="Arial" w:eastAsia="等线" w:cs="Arial"/>
          <w:b/>
          <w:sz w:val="30"/>
        </w:rPr>
        <w:t>7.1 资产模块结账前置校验</w:t>
      </w:r>
      <w:bookmarkEnd w:id="101"/>
    </w:p>
    <w:p w14:paraId="6E548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私有部署强闭环校验，任意项不通过禁止资产模块结账，并阻断总账期末结账：</w:t>
      </w:r>
    </w:p>
    <w:p w14:paraId="4EE68FFA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当期所有资产新增、变更、调拨、盘点、处置、减值单据全部审核完成；</w:t>
      </w:r>
    </w:p>
    <w:p w14:paraId="15D4E015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当期月度折旧全额计提完成，无漏提、错提、异常折旧数据；</w:t>
      </w:r>
    </w:p>
    <w:p w14:paraId="1495118A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外币资产调汇、资产重估、差异调整全部完成；</w:t>
      </w:r>
    </w:p>
    <w:p w14:paraId="6C1BBD33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资产台账与总账科目对账无未处理差异；</w:t>
      </w:r>
    </w:p>
    <w:p w14:paraId="1692E422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跨组织资产调拨双向对账一致，无内部差异；</w:t>
      </w:r>
    </w:p>
    <w:p w14:paraId="758143D4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所有资产业务单据已全部生成财务凭证并推送总账过账。</w:t>
      </w:r>
    </w:p>
    <w:p w14:paraId="62D0FA25">
      <w:pPr>
        <w:spacing w:before="300" w:after="120" w:line="288" w:lineRule="auto"/>
        <w:ind w:left="0"/>
        <w:jc w:val="left"/>
        <w:outlineLvl w:val="2"/>
      </w:pPr>
      <w:bookmarkStart w:id="102" w:name="heading_81"/>
      <w:r>
        <w:rPr>
          <w:rFonts w:ascii="Arial" w:hAnsi="Arial" w:eastAsia="等线" w:cs="Arial"/>
          <w:b/>
          <w:sz w:val="30"/>
        </w:rPr>
        <w:t>7.2 多组织结账模式</w:t>
      </w:r>
      <w:bookmarkEnd w:id="102"/>
    </w:p>
    <w:p w14:paraId="2659532E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单组织独立结账</w:t>
      </w:r>
      <w:r>
        <w:rPr>
          <w:rFonts w:ascii="Arial" w:hAnsi="Arial" w:eastAsia="等线" w:cs="Arial"/>
          <w:sz w:val="22"/>
        </w:rPr>
        <w:t>：各法人组织独立完成当期资产结账，结账后锁定当期资产数据，禁止新增、修改、回溯调整当期单据。</w:t>
      </w:r>
    </w:p>
    <w:p w14:paraId="69FE9D79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集团批量结账</w:t>
      </w:r>
      <w:r>
        <w:rPr>
          <w:rFonts w:ascii="Arial" w:hAnsi="Arial" w:eastAsia="等线" w:cs="Arial"/>
          <w:sz w:val="22"/>
        </w:rPr>
        <w:t>：集团管控端一键批量完成全下属组织资产模块统一结账，统一集团财务结账节奏。</w:t>
      </w:r>
    </w:p>
    <w:p w14:paraId="543F50F8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权限化反结账</w:t>
      </w:r>
      <w:r>
        <w:rPr>
          <w:rFonts w:ascii="Arial" w:hAnsi="Arial" w:eastAsia="等线" w:cs="Arial"/>
          <w:sz w:val="22"/>
        </w:rPr>
        <w:t>：仅授权管理员可执行资产反结账、反折旧、反审核，所有反向操作全程日志留痕，满足内控审计、差错更正合规要求。</w:t>
      </w:r>
    </w:p>
    <w:p w14:paraId="0F7CB1EE">
      <w:pPr>
        <w:spacing w:before="320" w:after="120" w:line="288" w:lineRule="auto"/>
        <w:ind w:left="0"/>
        <w:jc w:val="left"/>
        <w:outlineLvl w:val="1"/>
      </w:pPr>
      <w:bookmarkStart w:id="103" w:name="heading_82"/>
      <w:r>
        <w:rPr>
          <w:rFonts w:ascii="Arial" w:hAnsi="Arial" w:eastAsia="等线" w:cs="Arial"/>
          <w:b/>
          <w:sz w:val="32"/>
        </w:rPr>
        <w:t>8. 资产账簿与报表输出</w:t>
      </w:r>
      <w:bookmarkEnd w:id="103"/>
    </w:p>
    <w:p w14:paraId="11069D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私有部署本地离线查询、导出、打印全套固定资产账簿与报表，支持多组织汇总、单组织明细、多维度穿透查询：固定资产台账、固定资产明细账、折旧明细表、折旧汇总表、资产变动表、资产盘点报告、资产减值明细表、跨组织资产调拨报表、资产到期预警表，所有报表支持Excel/PDF本地导出、自定义版式打印，适配资产年审、税务申报、内控审计、资产经营分析、资产台账归档场景。</w:t>
      </w:r>
    </w:p>
    <w:p w14:paraId="0917D77B">
      <w:pPr>
        <w:spacing w:before="380" w:after="140" w:line="288" w:lineRule="auto"/>
        <w:ind w:left="0"/>
        <w:jc w:val="left"/>
        <w:outlineLvl w:val="0"/>
      </w:pPr>
      <w:bookmarkStart w:id="104" w:name="heading_104"/>
      <w:r>
        <w:rPr>
          <w:rFonts w:ascii="Arial" w:hAnsi="Arial" w:eastAsia="等线" w:cs="Arial"/>
          <w:b/>
          <w:sz w:val="36"/>
        </w:rPr>
        <w:t>文档六：多组织业财一体化自动凭证模块详细设计（私有部署·全闭环终版）</w:t>
      </w:r>
      <w:bookmarkEnd w:id="104"/>
    </w:p>
    <w:p w14:paraId="4B054233">
      <w:pPr>
        <w:spacing w:before="320" w:after="120" w:line="288" w:lineRule="auto"/>
        <w:ind w:left="0"/>
        <w:jc w:val="left"/>
        <w:outlineLvl w:val="1"/>
      </w:pPr>
      <w:bookmarkStart w:id="105" w:name="heading_105"/>
      <w:r>
        <w:rPr>
          <w:rFonts w:ascii="Arial" w:hAnsi="Arial" w:eastAsia="等线" w:cs="Arial"/>
          <w:b/>
          <w:sz w:val="32"/>
        </w:rPr>
        <w:t>1. 模块定位</w:t>
      </w:r>
      <w:bookmarkEnd w:id="105"/>
    </w:p>
    <w:p w14:paraId="0694E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业财一体化自动凭证模块为整套多组织财务系统的</w:t>
      </w:r>
      <w:r>
        <w:rPr>
          <w:rFonts w:ascii="Arial" w:hAnsi="Arial" w:eastAsia="等线" w:cs="Arial"/>
          <w:b/>
          <w:sz w:val="22"/>
        </w:rPr>
        <w:t>核心中枢闭环模块</w:t>
      </w:r>
      <w:r>
        <w:rPr>
          <w:rFonts w:ascii="Arial" w:hAnsi="Arial" w:eastAsia="等线" w:cs="Arial"/>
          <w:sz w:val="22"/>
        </w:rPr>
        <w:t>，完全适配</w:t>
      </w:r>
      <w:r>
        <w:rPr>
          <w:rFonts w:ascii="Arial" w:hAnsi="Arial" w:eastAsia="等线" w:cs="Arial"/>
          <w:b/>
          <w:sz w:val="22"/>
        </w:rPr>
        <w:t>私有部署本地离线运行、无云端依赖、数据本地安全留存</w:t>
      </w:r>
      <w:r>
        <w:rPr>
          <w:rFonts w:ascii="Arial" w:hAnsi="Arial" w:eastAsia="等线" w:cs="Arial"/>
          <w:sz w:val="22"/>
        </w:rPr>
        <w:t>架构，对标金蝶云星空私有部署版业财一体核心能力。模块承接应收、应付、出纳资金、固定资产、存货成本、跨组织交易所有业务单据，实现</w:t>
      </w:r>
      <w:r>
        <w:rPr>
          <w:rFonts w:ascii="Arial" w:hAnsi="Arial" w:eastAsia="等线" w:cs="Arial"/>
          <w:b/>
          <w:sz w:val="22"/>
        </w:rPr>
        <w:t>业务单据一键自动生成财务凭证、统一账务口径、业财数据强校验、批量管控、差错回溯</w:t>
      </w:r>
      <w:r>
        <w:rPr>
          <w:rFonts w:ascii="Arial" w:hAnsi="Arial" w:eastAsia="等线" w:cs="Arial"/>
          <w:sz w:val="22"/>
        </w:rPr>
        <w:t>，解决多组织场景下账务不统一、手工做账效率低、税会口径混乱、业财对账差异大的痛点。作为全系统最后闭环环节，打通所有业务模块与总账模块的数据链路，实现“业务发生即账务落地”的全自动业财一体化体系，完全满足企业会计准则、集团统一管控、审计追溯、税务合规要求。</w:t>
      </w:r>
    </w:p>
    <w:p w14:paraId="73BCDA3D">
      <w:pPr>
        <w:spacing w:before="320" w:after="120" w:line="288" w:lineRule="auto"/>
        <w:ind w:left="0"/>
        <w:jc w:val="left"/>
        <w:outlineLvl w:val="1"/>
      </w:pPr>
      <w:bookmarkStart w:id="106" w:name="heading_106"/>
      <w:r>
        <w:rPr>
          <w:rFonts w:ascii="Arial" w:hAnsi="Arial" w:eastAsia="等线" w:cs="Arial"/>
          <w:b/>
          <w:sz w:val="32"/>
        </w:rPr>
        <w:t>2. 多组织基础资料与凭证模板体系设计</w:t>
      </w:r>
      <w:bookmarkEnd w:id="106"/>
    </w:p>
    <w:p w14:paraId="63CD7BF2">
      <w:pPr>
        <w:spacing w:before="300" w:after="120" w:line="288" w:lineRule="auto"/>
        <w:ind w:left="0"/>
        <w:jc w:val="left"/>
        <w:outlineLvl w:val="2"/>
      </w:pPr>
      <w:bookmarkStart w:id="107" w:name="heading_107"/>
      <w:r>
        <w:rPr>
          <w:rFonts w:ascii="Arial" w:hAnsi="Arial" w:eastAsia="等线" w:cs="Arial"/>
          <w:b/>
          <w:sz w:val="30"/>
        </w:rPr>
        <w:t>2.1 集团统一全局模板（锁定管控、全网统一）</w:t>
      </w:r>
      <w:bookmarkEnd w:id="107"/>
    </w:p>
    <w:p w14:paraId="32AA2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集团管控组织统一维护全品类自动凭证模板，下发所有法人、业务组织统一复用，核心分录、核算科目、借贷规则</w:t>
      </w:r>
      <w:r>
        <w:rPr>
          <w:rFonts w:ascii="Arial" w:hAnsi="Arial" w:eastAsia="等线" w:cs="Arial"/>
          <w:b/>
          <w:sz w:val="22"/>
        </w:rPr>
        <w:t>下级禁止修改</w:t>
      </w:r>
      <w:r>
        <w:rPr>
          <w:rFonts w:ascii="Arial" w:hAnsi="Arial" w:eastAsia="等线" w:cs="Arial"/>
          <w:sz w:val="22"/>
        </w:rPr>
        <w:t>，仅开放摘要自定义权限，彻底统一全集团账务核算口径，私有部署本地固化存档、防篡改：</w:t>
      </w:r>
    </w:p>
    <w:p w14:paraId="52B1E8EB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应付模块全套模板</w:t>
      </w:r>
      <w:r>
        <w:rPr>
          <w:rFonts w:ascii="Arial" w:hAnsi="Arial" w:eastAsia="等线" w:cs="Arial"/>
          <w:sz w:val="22"/>
        </w:rPr>
        <w:t>：采购入库应付、费用应付、资产采购应付、暂估应付、暂估冲回、预付冲应付、付款核销、银行手续费、应付外币汇兑损益、逾期罚息费用模板。</w:t>
      </w:r>
    </w:p>
    <w:p w14:paraId="0860186C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应收模块全套模板</w:t>
      </w:r>
      <w:r>
        <w:rPr>
          <w:rFonts w:ascii="Arial" w:hAnsi="Arial" w:eastAsia="等线" w:cs="Arial"/>
          <w:sz w:val="22"/>
        </w:rPr>
        <w:t>：销售开票应收、未开票暂估收入、劳务服务应收、预收回款、预收冲应收、回款核销、坏账计提、坏账收回、应收外币汇兑损益模板。</w:t>
      </w:r>
    </w:p>
    <w:p w14:paraId="3B2E5A70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出纳资金全套模板</w:t>
      </w:r>
      <w:r>
        <w:rPr>
          <w:rFonts w:ascii="Arial" w:hAnsi="Arial" w:eastAsia="等线" w:cs="Arial"/>
          <w:sz w:val="22"/>
        </w:rPr>
        <w:t>：现金收付、银行收支、账户互转、跨组织资金调拨、资金归集下拨、存款利息、资金手续费、外币资金调汇模板。</w:t>
      </w:r>
    </w:p>
    <w:p w14:paraId="4DB88260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固定资产全套模板</w:t>
      </w:r>
      <w:r>
        <w:rPr>
          <w:rFonts w:ascii="Arial" w:hAnsi="Arial" w:eastAsia="等线" w:cs="Arial"/>
          <w:sz w:val="22"/>
        </w:rPr>
        <w:t>：资产新增、在建转固、月度折旧、资产变更调整、资产无偿/有偿调拨、资产盘点盘盈盘亏、资产减值、资产清理处置损益模板。</w:t>
      </w:r>
    </w:p>
    <w:p w14:paraId="7A73825C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跨组织内部交易模板</w:t>
      </w:r>
      <w:r>
        <w:rPr>
          <w:rFonts w:ascii="Arial" w:hAnsi="Arial" w:eastAsia="等线" w:cs="Arial"/>
          <w:sz w:val="22"/>
        </w:rPr>
        <w:t>：内部物资调拨、内部服务结算、内部代收代付、内部资产划转专属抵消凭证模板，支撑集团合并报表抵消业务。</w:t>
      </w:r>
    </w:p>
    <w:p w14:paraId="0D74EF8E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期末结转通用模板</w:t>
      </w:r>
      <w:r>
        <w:rPr>
          <w:rFonts w:ascii="Arial" w:hAnsi="Arial" w:eastAsia="等线" w:cs="Arial"/>
          <w:sz w:val="22"/>
        </w:rPr>
        <w:t>：汇兑损益统一结转、损益类科目结转、本年利润结转、成本分摊结转通用模板。</w:t>
      </w:r>
    </w:p>
    <w:p w14:paraId="14458561">
      <w:pPr>
        <w:spacing w:before="300" w:after="120" w:line="288" w:lineRule="auto"/>
        <w:ind w:left="0"/>
        <w:jc w:val="left"/>
        <w:outlineLvl w:val="2"/>
      </w:pPr>
      <w:bookmarkStart w:id="108" w:name="heading_108"/>
      <w:r>
        <w:rPr>
          <w:rFonts w:ascii="Arial" w:hAnsi="Arial" w:eastAsia="等线" w:cs="Arial"/>
          <w:b/>
          <w:sz w:val="30"/>
        </w:rPr>
        <w:t>2.2 多组织维度匹配规则（自动适配、隔离核算）</w:t>
      </w:r>
      <w:bookmarkEnd w:id="108"/>
    </w:p>
    <w:p w14:paraId="5E14F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系统内置多组织智能匹配逻辑，自动识别单据所属核算组织、业务组织、往来维度，实现</w:t>
      </w:r>
      <w:r>
        <w:rPr>
          <w:rFonts w:ascii="Arial" w:hAnsi="Arial" w:eastAsia="等线" w:cs="Arial"/>
          <w:b/>
          <w:sz w:val="22"/>
        </w:rPr>
        <w:t>数据隔离、独立入账、集团汇总</w:t>
      </w:r>
      <w:r>
        <w:rPr>
          <w:rFonts w:ascii="Arial" w:hAnsi="Arial" w:eastAsia="等线" w:cs="Arial"/>
          <w:sz w:val="22"/>
        </w:rPr>
        <w:t>，杜绝跨组织账务错乱：</w:t>
      </w:r>
    </w:p>
    <w:p w14:paraId="636F5955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组织维度自动携带</w:t>
      </w:r>
      <w:r>
        <w:rPr>
          <w:rFonts w:ascii="Arial" w:hAnsi="Arial" w:eastAsia="等线" w:cs="Arial"/>
          <w:sz w:val="22"/>
        </w:rPr>
        <w:t>：业务单据生成凭证时，自动锁定核算组织，凭证归属组织不可篡改，各法人组织账务完全隔离。</w:t>
      </w:r>
    </w:p>
    <w:p w14:paraId="60CD220C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辅助维度自动回填</w:t>
      </w:r>
      <w:r>
        <w:rPr>
          <w:rFonts w:ascii="Arial" w:hAnsi="Arial" w:eastAsia="等线" w:cs="Arial"/>
          <w:sz w:val="22"/>
        </w:rPr>
        <w:t>：自动匹配单据自带的客户、供应商、部门、项目、人员、往来组织辅助核算维度，无需手工补录。</w:t>
      </w:r>
    </w:p>
    <w:p w14:paraId="5B18D0ED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币别与汇率自动适配</w:t>
      </w:r>
      <w:r>
        <w:rPr>
          <w:rFonts w:ascii="Arial" w:hAnsi="Arial" w:eastAsia="等线" w:cs="Arial"/>
          <w:sz w:val="22"/>
        </w:rPr>
        <w:t>：外币单据自动携带集团统一汇率，原币、本位币差额自动拆分汇兑损益分录。</w:t>
      </w:r>
    </w:p>
    <w:p w14:paraId="7364BB9C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税会口径自动区分</w:t>
      </w:r>
      <w:r>
        <w:rPr>
          <w:rFonts w:ascii="Arial" w:hAnsi="Arial" w:eastAsia="等线" w:cs="Arial"/>
          <w:sz w:val="22"/>
        </w:rPr>
        <w:t>：区分开票业务、未开票暂估业务、含税/不含税金额，自动拆分收入、成本、税费分录。</w:t>
      </w:r>
    </w:p>
    <w:p w14:paraId="6A39F4ED">
      <w:pPr>
        <w:spacing w:before="300" w:after="120" w:line="288" w:lineRule="auto"/>
        <w:ind w:left="0"/>
        <w:jc w:val="left"/>
        <w:outlineLvl w:val="2"/>
      </w:pPr>
      <w:bookmarkStart w:id="109" w:name="heading_109"/>
      <w:r>
        <w:rPr>
          <w:rFonts w:ascii="Arial" w:hAnsi="Arial" w:eastAsia="等线" w:cs="Arial"/>
          <w:b/>
          <w:sz w:val="30"/>
        </w:rPr>
        <w:t>2.3 凭证编码与规则管控</w:t>
      </w:r>
      <w:bookmarkEnd w:id="109"/>
    </w:p>
    <w:p w14:paraId="5BAB8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统一配置自动凭证编码规则、凭证字归属、凭证摘要生成规则，支持固定模板摘要+自定义后缀，所有自动生成凭证统一规范、便于归档查询；支持配置“业务单据未审核禁止生成凭证”“重复生成凭证拦截”机制，杜绝重复入账、错入账问题。</w:t>
      </w:r>
    </w:p>
    <w:p w14:paraId="4B655BD8">
      <w:pPr>
        <w:spacing w:before="320" w:after="120" w:line="288" w:lineRule="auto"/>
        <w:ind w:left="0"/>
        <w:jc w:val="left"/>
        <w:outlineLvl w:val="1"/>
      </w:pPr>
      <w:bookmarkStart w:id="110" w:name="heading_110"/>
      <w:r>
        <w:rPr>
          <w:rFonts w:ascii="Arial" w:hAnsi="Arial" w:eastAsia="等线" w:cs="Arial"/>
          <w:b/>
          <w:sz w:val="32"/>
        </w:rPr>
        <w:t>3. 核心自动凭证生成模式（私有部署离线闭环）</w:t>
      </w:r>
      <w:bookmarkEnd w:id="110"/>
    </w:p>
    <w:p w14:paraId="67389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所有凭证生成逻辑</w:t>
      </w:r>
      <w:r>
        <w:rPr>
          <w:rFonts w:ascii="Arial" w:hAnsi="Arial" w:eastAsia="等线" w:cs="Arial"/>
          <w:b/>
          <w:sz w:val="22"/>
        </w:rPr>
        <w:t>本地离线运算、无需云端服务器、内网独立闭环</w:t>
      </w:r>
      <w:r>
        <w:rPr>
          <w:rFonts w:ascii="Arial" w:hAnsi="Arial" w:eastAsia="等线" w:cs="Arial"/>
          <w:sz w:val="22"/>
        </w:rPr>
        <w:t>，适配私有部署核心特性，支持单张生成、批量生成、定时自动生成三种模式，适配不同业务场景：</w:t>
      </w:r>
    </w:p>
    <w:p w14:paraId="630CC46B">
      <w:pPr>
        <w:spacing w:before="300" w:after="120" w:line="288" w:lineRule="auto"/>
        <w:ind w:left="0"/>
        <w:jc w:val="left"/>
        <w:outlineLvl w:val="2"/>
      </w:pPr>
      <w:bookmarkStart w:id="111" w:name="heading_111"/>
      <w:r>
        <w:rPr>
          <w:rFonts w:ascii="Arial" w:hAnsi="Arial" w:eastAsia="等线" w:cs="Arial"/>
          <w:b/>
          <w:sz w:val="30"/>
        </w:rPr>
        <w:t>3.1 单张单据即时生成凭证</w:t>
      </w:r>
      <w:bookmarkEnd w:id="111"/>
    </w:p>
    <w:p w14:paraId="0442D5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适用于单笔关键业务即时入账场景，单据审核完成后，支持一键手动生成凭证，实时推送总账过账，生成后即时展示凭证完整分录、关联源业务单据，支持穿透溯源查询。</w:t>
      </w:r>
    </w:p>
    <w:p w14:paraId="0E448063">
      <w:pPr>
        <w:spacing w:before="300" w:after="120" w:line="288" w:lineRule="auto"/>
        <w:ind w:left="0"/>
        <w:jc w:val="left"/>
        <w:outlineLvl w:val="2"/>
      </w:pPr>
      <w:bookmarkStart w:id="112" w:name="heading_112"/>
      <w:r>
        <w:rPr>
          <w:rFonts w:ascii="Arial" w:hAnsi="Arial" w:eastAsia="等线" w:cs="Arial"/>
          <w:b/>
          <w:sz w:val="30"/>
        </w:rPr>
        <w:t>3.2 批量批量生成凭证（期末核心场景）</w:t>
      </w:r>
      <w:bookmarkEnd w:id="112"/>
    </w:p>
    <w:p w14:paraId="341C3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组织、业务模块、单据期间、单据类型筛选，批量勾选未生成凭证的业务单据，一键批量生成全套财务凭证，大幅减少期末手工做账工作量；系统自动校验单据状态，已生成凭证的单据自动过滤，杜绝重复生成。</w:t>
      </w:r>
    </w:p>
    <w:p w14:paraId="4DF3F732">
      <w:pPr>
        <w:spacing w:before="300" w:after="120" w:line="288" w:lineRule="auto"/>
        <w:ind w:left="0"/>
        <w:jc w:val="left"/>
        <w:outlineLvl w:val="2"/>
      </w:pPr>
      <w:bookmarkStart w:id="113" w:name="heading_113"/>
      <w:r>
        <w:rPr>
          <w:rFonts w:ascii="Arial" w:hAnsi="Arial" w:eastAsia="等线" w:cs="Arial"/>
          <w:b/>
          <w:sz w:val="30"/>
        </w:rPr>
        <w:t>3.3 后台定时自动生成凭证</w:t>
      </w:r>
      <w:bookmarkEnd w:id="113"/>
    </w:p>
    <w:p w14:paraId="173B0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私有部署本地后台支持定时任务配置，可设置每日/月末自动扫描当期合规业务单据，自动批量生成凭证、自动推送总账过账，实现无人值守业财入账，适配标准化、常态化业务场景。</w:t>
      </w:r>
    </w:p>
    <w:p w14:paraId="7EAA1C47">
      <w:pPr>
        <w:spacing w:before="320" w:after="120" w:line="288" w:lineRule="auto"/>
        <w:ind w:left="0"/>
        <w:jc w:val="left"/>
        <w:outlineLvl w:val="1"/>
      </w:pPr>
      <w:bookmarkStart w:id="114" w:name="heading_114"/>
      <w:r>
        <w:rPr>
          <w:rFonts w:ascii="Arial" w:hAnsi="Arial" w:eastAsia="等线" w:cs="Arial"/>
          <w:b/>
          <w:sz w:val="32"/>
        </w:rPr>
        <w:t>4. 全模块业财凭证分录明细（标准统一）</w:t>
      </w:r>
      <w:bookmarkEnd w:id="114"/>
    </w:p>
    <w:p w14:paraId="16E4142E">
      <w:pPr>
        <w:spacing w:before="300" w:after="120" w:line="288" w:lineRule="auto"/>
        <w:ind w:left="0"/>
        <w:jc w:val="left"/>
        <w:outlineLvl w:val="2"/>
      </w:pPr>
      <w:bookmarkStart w:id="115" w:name="heading_115"/>
      <w:r>
        <w:rPr>
          <w:rFonts w:ascii="Arial" w:hAnsi="Arial" w:eastAsia="等线" w:cs="Arial"/>
          <w:b/>
          <w:sz w:val="30"/>
        </w:rPr>
        <w:t>4.1 应付业务凭证体系</w:t>
      </w:r>
      <w:bookmarkEnd w:id="115"/>
    </w:p>
    <w:p w14:paraId="60A99B15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采购入库应付（含税开票）</w:t>
      </w:r>
      <w:r>
        <w:rPr>
          <w:rFonts w:ascii="Arial" w:hAnsi="Arial" w:eastAsia="等线" w:cs="Arial"/>
          <w:sz w:val="22"/>
        </w:rPr>
        <w:t>：借：原材料/库存商品、应交税费-应交增值税（进项税额），贷：应付账款-外部供应商/内部组织</w:t>
      </w:r>
    </w:p>
    <w:p w14:paraId="3DD8642D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期末采购暂估应付</w:t>
      </w:r>
      <w:r>
        <w:rPr>
          <w:rFonts w:ascii="Arial" w:hAnsi="Arial" w:eastAsia="等线" w:cs="Arial"/>
          <w:sz w:val="22"/>
        </w:rPr>
        <w:t>：借：原材料/库存商品，贷：应付账款-暂估应付款</w:t>
      </w:r>
    </w:p>
    <w:p w14:paraId="2088AF62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次月暂估红字冲回</w:t>
      </w:r>
      <w:r>
        <w:rPr>
          <w:rFonts w:ascii="Arial" w:hAnsi="Arial" w:eastAsia="等线" w:cs="Arial"/>
          <w:sz w:val="22"/>
        </w:rPr>
        <w:t>：借：原材料/库存商品（红字），贷：应付账款-暂估应付款（红字）</w:t>
      </w:r>
    </w:p>
    <w:p w14:paraId="4D33CBAD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供应商付款核销</w:t>
      </w:r>
      <w:r>
        <w:rPr>
          <w:rFonts w:ascii="Arial" w:hAnsi="Arial" w:eastAsia="等线" w:cs="Arial"/>
          <w:sz w:val="22"/>
        </w:rPr>
        <w:t>：借：应付账款，贷：银行存款/预付账款</w:t>
      </w:r>
    </w:p>
    <w:p w14:paraId="12BC2DE1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外币应付期末调汇</w:t>
      </w:r>
      <w:r>
        <w:rPr>
          <w:rFonts w:ascii="Arial" w:hAnsi="Arial" w:eastAsia="等线" w:cs="Arial"/>
          <w:sz w:val="22"/>
        </w:rPr>
        <w:t>：借/贷：财务费用-汇兑损益，贷/借：应付账款</w:t>
      </w:r>
    </w:p>
    <w:p w14:paraId="7D1A9A34">
      <w:pPr>
        <w:spacing w:before="300" w:after="120" w:line="288" w:lineRule="auto"/>
        <w:ind w:left="0"/>
        <w:jc w:val="left"/>
        <w:outlineLvl w:val="2"/>
      </w:pPr>
      <w:bookmarkStart w:id="116" w:name="heading_116"/>
      <w:r>
        <w:rPr>
          <w:rFonts w:ascii="Arial" w:hAnsi="Arial" w:eastAsia="等线" w:cs="Arial"/>
          <w:b/>
          <w:sz w:val="30"/>
        </w:rPr>
        <w:t>4.2 应收业务凭证体系</w:t>
      </w:r>
      <w:bookmarkEnd w:id="116"/>
    </w:p>
    <w:p w14:paraId="5A163F23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销售开票应收</w:t>
      </w:r>
      <w:r>
        <w:rPr>
          <w:rFonts w:ascii="Arial" w:hAnsi="Arial" w:eastAsia="等线" w:cs="Arial"/>
          <w:sz w:val="22"/>
        </w:rPr>
        <w:t>：借：应收账款-客户/内部组织，贷：主营业务收入、应交税费-应交增值税（销项税额）</w:t>
      </w:r>
    </w:p>
    <w:p w14:paraId="664BD054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未开票收入暂估</w:t>
      </w:r>
      <w:r>
        <w:rPr>
          <w:rFonts w:ascii="Arial" w:hAnsi="Arial" w:eastAsia="等线" w:cs="Arial"/>
          <w:sz w:val="22"/>
        </w:rPr>
        <w:t>：借：应收账款，贷：主营业务收入-未开票收入</w:t>
      </w:r>
    </w:p>
    <w:p w14:paraId="736E62E4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客户预收回款</w:t>
      </w:r>
      <w:r>
        <w:rPr>
          <w:rFonts w:ascii="Arial" w:hAnsi="Arial" w:eastAsia="等线" w:cs="Arial"/>
          <w:sz w:val="22"/>
        </w:rPr>
        <w:t>：借：银行存款，贷：预收账款</w:t>
      </w:r>
    </w:p>
    <w:p w14:paraId="17A2F08D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预收冲应收</w:t>
      </w:r>
      <w:r>
        <w:rPr>
          <w:rFonts w:ascii="Arial" w:hAnsi="Arial" w:eastAsia="等线" w:cs="Arial"/>
          <w:sz w:val="22"/>
        </w:rPr>
        <w:t>：借：预收账款，贷：应收账款</w:t>
      </w:r>
    </w:p>
    <w:p w14:paraId="381AEEF3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坏账计提/收回</w:t>
      </w:r>
      <w:r>
        <w:rPr>
          <w:rFonts w:ascii="Arial" w:hAnsi="Arial" w:eastAsia="等线" w:cs="Arial"/>
          <w:sz w:val="22"/>
        </w:rPr>
        <w:t>：计提：借：信用减值损失，贷：坏账准备；收回：借：银行存款，贷：坏账准备</w:t>
      </w:r>
    </w:p>
    <w:p w14:paraId="1F8409AF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外币应收期末调汇</w:t>
      </w:r>
      <w:r>
        <w:rPr>
          <w:rFonts w:ascii="Arial" w:hAnsi="Arial" w:eastAsia="等线" w:cs="Arial"/>
          <w:sz w:val="22"/>
        </w:rPr>
        <w:t>：借/贷：财务费用-汇兑损益，贷/借：应收账款</w:t>
      </w:r>
    </w:p>
    <w:p w14:paraId="0176EABB">
      <w:pPr>
        <w:spacing w:before="300" w:after="120" w:line="288" w:lineRule="auto"/>
        <w:ind w:left="0"/>
        <w:jc w:val="left"/>
        <w:outlineLvl w:val="2"/>
      </w:pPr>
      <w:bookmarkStart w:id="117" w:name="heading_117"/>
      <w:r>
        <w:rPr>
          <w:rFonts w:ascii="Arial" w:hAnsi="Arial" w:eastAsia="等线" w:cs="Arial"/>
          <w:b/>
          <w:sz w:val="30"/>
        </w:rPr>
        <w:t>4.3 出纳资金凭证体系</w:t>
      </w:r>
      <w:bookmarkEnd w:id="117"/>
    </w:p>
    <w:p w14:paraId="32F2D5D7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银行/现金收款</w:t>
      </w:r>
      <w:r>
        <w:rPr>
          <w:rFonts w:ascii="Arial" w:hAnsi="Arial" w:eastAsia="等线" w:cs="Arial"/>
          <w:sz w:val="22"/>
        </w:rPr>
        <w:t>：借：银行存款/库存现金，贷：应收账款/其他应收款/财务费用-利息收入</w:t>
      </w:r>
    </w:p>
    <w:p w14:paraId="6D019E56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银行/现金付款</w:t>
      </w:r>
      <w:r>
        <w:rPr>
          <w:rFonts w:ascii="Arial" w:hAnsi="Arial" w:eastAsia="等线" w:cs="Arial"/>
          <w:sz w:val="22"/>
        </w:rPr>
        <w:t>：借：应付账款/费用类科目/应交税费，贷：银行存款/库存现金</w:t>
      </w:r>
    </w:p>
    <w:p w14:paraId="5256F016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账户互转/跨组织调拨</w:t>
      </w:r>
      <w:r>
        <w:rPr>
          <w:rFonts w:ascii="Arial" w:hAnsi="Arial" w:eastAsia="等线" w:cs="Arial"/>
          <w:sz w:val="22"/>
        </w:rPr>
        <w:t>：同组织互转：借：转入账户，贷：转出账户；跨组织调拨自动生成双方组织对应资金划转分录</w:t>
      </w:r>
    </w:p>
    <w:p w14:paraId="3677FDEC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手续费支出</w:t>
      </w:r>
      <w:r>
        <w:rPr>
          <w:rFonts w:ascii="Arial" w:hAnsi="Arial" w:eastAsia="等线" w:cs="Arial"/>
          <w:sz w:val="22"/>
        </w:rPr>
        <w:t>：借：财务费用-手续费，贷：银行存款</w:t>
      </w:r>
    </w:p>
    <w:p w14:paraId="3B375821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外币资金调汇</w:t>
      </w:r>
      <w:r>
        <w:rPr>
          <w:rFonts w:ascii="Arial" w:hAnsi="Arial" w:eastAsia="等线" w:cs="Arial"/>
          <w:sz w:val="22"/>
        </w:rPr>
        <w:t>：借/贷：财务费用-汇兑损益，贷/借：银行存款（外币户）</w:t>
      </w:r>
    </w:p>
    <w:p w14:paraId="00338E92">
      <w:pPr>
        <w:spacing w:before="300" w:after="120" w:line="288" w:lineRule="auto"/>
        <w:ind w:left="0"/>
        <w:jc w:val="left"/>
        <w:outlineLvl w:val="2"/>
      </w:pPr>
      <w:bookmarkStart w:id="118" w:name="heading_118"/>
      <w:r>
        <w:rPr>
          <w:rFonts w:ascii="Arial" w:hAnsi="Arial" w:eastAsia="等线" w:cs="Arial"/>
          <w:b/>
          <w:sz w:val="30"/>
        </w:rPr>
        <w:t>4.4 固定资产凭证体系</w:t>
      </w:r>
      <w:bookmarkEnd w:id="118"/>
    </w:p>
    <w:p w14:paraId="278A02D2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资产新增入账</w:t>
      </w:r>
      <w:r>
        <w:rPr>
          <w:rFonts w:ascii="Arial" w:hAnsi="Arial" w:eastAsia="等线" w:cs="Arial"/>
          <w:sz w:val="22"/>
        </w:rPr>
        <w:t>：借：固定资产、应交税费-进项税，贷：应付账款/银行存款/在建工程</w:t>
      </w:r>
    </w:p>
    <w:p w14:paraId="55FD24F3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月度折旧计提</w:t>
      </w:r>
      <w:r>
        <w:rPr>
          <w:rFonts w:ascii="Arial" w:hAnsi="Arial" w:eastAsia="等线" w:cs="Arial"/>
          <w:sz w:val="22"/>
        </w:rPr>
        <w:t>：借：管理费用/制造费用/研发费用，贷：累计折旧</w:t>
      </w:r>
    </w:p>
    <w:p w14:paraId="7F291AD4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资产减值计提</w:t>
      </w:r>
      <w:r>
        <w:rPr>
          <w:rFonts w:ascii="Arial" w:hAnsi="Arial" w:eastAsia="等线" w:cs="Arial"/>
          <w:sz w:val="22"/>
        </w:rPr>
        <w:t>：借：资产减值损失，贷：固定资产减值准备</w:t>
      </w:r>
    </w:p>
    <w:p w14:paraId="0E3693D4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资产处置清理</w:t>
      </w:r>
      <w:r>
        <w:rPr>
          <w:rFonts w:ascii="Arial" w:hAnsi="Arial" w:eastAsia="等线" w:cs="Arial"/>
          <w:sz w:val="22"/>
        </w:rPr>
        <w:t>：结转原值折旧、确认清理收支、结转资产处置损益全套自动分录</w:t>
      </w:r>
    </w:p>
    <w:p w14:paraId="5174806F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资产盘点盘盈盘亏</w:t>
      </w:r>
      <w:r>
        <w:rPr>
          <w:rFonts w:ascii="Arial" w:hAnsi="Arial" w:eastAsia="等线" w:cs="Arial"/>
          <w:sz w:val="22"/>
        </w:rPr>
        <w:t>：自动生成待处理财产损益及期末结转凭证</w:t>
      </w:r>
    </w:p>
    <w:p w14:paraId="46B5BA6A">
      <w:pPr>
        <w:spacing w:before="300" w:after="120" w:line="288" w:lineRule="auto"/>
        <w:ind w:left="0"/>
        <w:jc w:val="left"/>
        <w:outlineLvl w:val="2"/>
      </w:pPr>
      <w:bookmarkStart w:id="119" w:name="heading_119"/>
      <w:r>
        <w:rPr>
          <w:rFonts w:ascii="Arial" w:hAnsi="Arial" w:eastAsia="等线" w:cs="Arial"/>
          <w:b/>
          <w:sz w:val="30"/>
        </w:rPr>
        <w:t>4.5 跨组织内部交易专属凭证</w:t>
      </w:r>
      <w:bookmarkEnd w:id="119"/>
    </w:p>
    <w:p w14:paraId="3574E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针对集团内部组织交易，系统</w:t>
      </w:r>
      <w:r>
        <w:rPr>
          <w:rFonts w:ascii="Arial" w:hAnsi="Arial" w:eastAsia="等线" w:cs="Arial"/>
          <w:b/>
          <w:sz w:val="22"/>
        </w:rPr>
        <w:t>双向成对生成凭证</w:t>
      </w:r>
      <w:r>
        <w:rPr>
          <w:rFonts w:ascii="Arial" w:hAnsi="Arial" w:eastAsia="等线" w:cs="Arial"/>
          <w:sz w:val="22"/>
        </w:rPr>
        <w:t>，自动平衡双方往来账务，为合并抵消提供精准数据：内部销售采购双向应收应付、内部资产调拨双向资产增减、内部资金代收代付双向往来结算凭证。</w:t>
      </w:r>
    </w:p>
    <w:p w14:paraId="4B32D6E5">
      <w:pPr>
        <w:spacing w:before="320" w:after="120" w:line="288" w:lineRule="auto"/>
        <w:ind w:left="0"/>
        <w:jc w:val="left"/>
        <w:outlineLvl w:val="1"/>
      </w:pPr>
      <w:bookmarkStart w:id="120" w:name="heading_120"/>
      <w:r>
        <w:rPr>
          <w:rFonts w:ascii="Arial" w:hAnsi="Arial" w:eastAsia="等线" w:cs="Arial"/>
          <w:b/>
          <w:sz w:val="32"/>
        </w:rPr>
        <w:t>5. 凭证管控与修正机制（内控合规）</w:t>
      </w:r>
      <w:bookmarkEnd w:id="120"/>
    </w:p>
    <w:p w14:paraId="134EBAD3">
      <w:pPr>
        <w:spacing w:before="300" w:after="120" w:line="288" w:lineRule="auto"/>
        <w:ind w:left="0"/>
        <w:jc w:val="left"/>
        <w:outlineLvl w:val="2"/>
      </w:pPr>
      <w:bookmarkStart w:id="121" w:name="heading_121"/>
      <w:r>
        <w:rPr>
          <w:rFonts w:ascii="Arial" w:hAnsi="Arial" w:eastAsia="等线" w:cs="Arial"/>
          <w:b/>
          <w:sz w:val="30"/>
        </w:rPr>
        <w:t>5.1 凭证生成校验规则</w:t>
      </w:r>
      <w:bookmarkEnd w:id="121"/>
    </w:p>
    <w:p w14:paraId="4489A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私有部署本地强校验，规避错误凭证入账，所有校验不通过直接拦截并输出异常日志：</w:t>
      </w:r>
    </w:p>
    <w:p w14:paraId="41F19E1E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单据状态校验：未审核、作废、关闭单据禁止生成凭证；</w:t>
      </w:r>
    </w:p>
    <w:p w14:paraId="16EDA0B4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重复生成校验：已生成凭证的单据禁止二次生成；</w:t>
      </w:r>
    </w:p>
    <w:p w14:paraId="0C495859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维度完整性校验：缺失部门、项目、往来单位等必填维度拦截提醒；</w:t>
      </w:r>
    </w:p>
    <w:p w14:paraId="0E1364FE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借贷平衡校验：自动凭证强制借贷平衡，不平衡禁止入账；</w:t>
      </w:r>
    </w:p>
    <w:p w14:paraId="3A5DE1C5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科目合规校验：禁止使用禁用科目、跨组织非法科目匹配。</w:t>
      </w:r>
    </w:p>
    <w:p w14:paraId="770A3BB1">
      <w:pPr>
        <w:spacing w:before="300" w:after="120" w:line="288" w:lineRule="auto"/>
        <w:ind w:left="0"/>
        <w:jc w:val="left"/>
        <w:outlineLvl w:val="2"/>
      </w:pPr>
      <w:bookmarkStart w:id="122" w:name="heading_122"/>
      <w:r>
        <w:rPr>
          <w:rFonts w:ascii="Arial" w:hAnsi="Arial" w:eastAsia="等线" w:cs="Arial"/>
          <w:b/>
          <w:sz w:val="30"/>
        </w:rPr>
        <w:t>5.2 凭证修改与回溯机制</w:t>
      </w:r>
      <w:bookmarkEnd w:id="122"/>
    </w:p>
    <w:p w14:paraId="74D2E3D2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凭证微调权限</w:t>
      </w:r>
      <w:r>
        <w:rPr>
          <w:rFonts w:ascii="Arial" w:hAnsi="Arial" w:eastAsia="等线" w:cs="Arial"/>
          <w:sz w:val="22"/>
        </w:rPr>
        <w:t>：自动生成凭证允许财务人员微调摘要、辅助维度，禁止修改核心借贷科目与金额；</w:t>
      </w:r>
    </w:p>
    <w:p w14:paraId="1FD99F1D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凭证重新生成</w:t>
      </w:r>
      <w:r>
        <w:rPr>
          <w:rFonts w:ascii="Arial" w:hAnsi="Arial" w:eastAsia="等线" w:cs="Arial"/>
          <w:sz w:val="22"/>
        </w:rPr>
        <w:t>：业务单据变更后，支持删除原凭证、重新生成最新凭证，全程留存修改日志；</w:t>
      </w:r>
    </w:p>
    <w:p w14:paraId="74E2418A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单据凭证溯源</w:t>
      </w:r>
      <w:r>
        <w:rPr>
          <w:rFonts w:ascii="Arial" w:hAnsi="Arial" w:eastAsia="等线" w:cs="Arial"/>
          <w:sz w:val="22"/>
        </w:rPr>
        <w:t>：支持从凭证穿透查询源业务单据，从业务单据反向查询对应凭证，双向溯源、全程可审计。</w:t>
      </w:r>
    </w:p>
    <w:p w14:paraId="09795DD9">
      <w:pPr>
        <w:spacing w:before="320" w:after="120" w:line="288" w:lineRule="auto"/>
        <w:ind w:left="0"/>
        <w:jc w:val="left"/>
        <w:outlineLvl w:val="1"/>
      </w:pPr>
      <w:bookmarkStart w:id="123" w:name="heading_123"/>
      <w:r>
        <w:rPr>
          <w:rFonts w:ascii="Arial" w:hAnsi="Arial" w:eastAsia="等线" w:cs="Arial"/>
          <w:b/>
          <w:sz w:val="32"/>
        </w:rPr>
        <w:t>6. 期末业财对账闭环（全模块统一校验）</w:t>
      </w:r>
      <w:bookmarkEnd w:id="123"/>
    </w:p>
    <w:p w14:paraId="0B269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作为全系统最终闭环，期末自动执行</w:t>
      </w:r>
      <w:r>
        <w:rPr>
          <w:rFonts w:ascii="Arial" w:hAnsi="Arial" w:eastAsia="等线" w:cs="Arial"/>
          <w:b/>
          <w:sz w:val="22"/>
        </w:rPr>
        <w:t>业财数据双向对账</w:t>
      </w:r>
      <w:r>
        <w:rPr>
          <w:rFonts w:ascii="Arial" w:hAnsi="Arial" w:eastAsia="等线" w:cs="Arial"/>
          <w:sz w:val="22"/>
        </w:rPr>
        <w:t>，校验所有业务模块台账与总账账务一致性，适配私有部署离线对账场景：</w:t>
      </w:r>
    </w:p>
    <w:p w14:paraId="4BD6980E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应收台账明细 VS 总账应收账款、预收账款科目明细对账；</w:t>
      </w:r>
    </w:p>
    <w:p w14:paraId="441277F4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应付台账明细 VS 总账应付账款、预付账款科目明细对账；</w:t>
      </w:r>
    </w:p>
    <w:p w14:paraId="7BEF4996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资金日记账明细 VS 总账货币资金科目对账；</w:t>
      </w:r>
    </w:p>
    <w:p w14:paraId="2E4FA3C3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资产卡片台账、折旧明细 VS 总账固定资产、累计折旧、减值准备对账；</w:t>
      </w:r>
    </w:p>
    <w:p w14:paraId="4D5B228C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跨组织内部往来双向对账，自动核对双方凭证与单据数据；</w:t>
      </w:r>
    </w:p>
    <w:p w14:paraId="5886BF13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输出业财对账差异报表，精准定位未生成凭证、金额差异、维度差异单据，支持一键修正重生成。</w:t>
      </w:r>
    </w:p>
    <w:p w14:paraId="09EA9352">
      <w:pPr>
        <w:spacing w:before="320" w:after="120" w:line="288" w:lineRule="auto"/>
        <w:ind w:left="0"/>
        <w:jc w:val="left"/>
        <w:outlineLvl w:val="1"/>
      </w:pPr>
      <w:bookmarkStart w:id="124" w:name="heading_124"/>
      <w:r>
        <w:rPr>
          <w:rFonts w:ascii="Arial" w:hAnsi="Arial" w:eastAsia="等线" w:cs="Arial"/>
          <w:b/>
          <w:sz w:val="32"/>
        </w:rPr>
        <w:t>7. 凭证报表与归档输出（私有部署离线）</w:t>
      </w:r>
      <w:bookmarkEnd w:id="124"/>
    </w:p>
    <w:p w14:paraId="54CE7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本地离线查询、导出、打印全套业财凭证相关报表，无需云端加载，适配审计归档、税务备查、内部核查场景：自动凭证汇总表、业务单据凭证对应明细表、业财对账差异表、跨组织凭证抵消明细表、凭证生成日志报表、异常凭证清单，所有报表支持Excel/PDF本地导出、版式自定义、批量打印归档。</w:t>
      </w:r>
    </w:p>
    <w:p w14:paraId="27A027E4">
      <w:pPr>
        <w:spacing w:before="380" w:after="140" w:line="288" w:lineRule="auto"/>
        <w:ind w:left="0"/>
        <w:jc w:val="left"/>
        <w:outlineLvl w:val="0"/>
      </w:pPr>
      <w:bookmarkStart w:id="125" w:name="heading_125"/>
      <w:r>
        <w:rPr>
          <w:rFonts w:ascii="Arial" w:hAnsi="Arial" w:eastAsia="等线" w:cs="Arial"/>
          <w:b/>
          <w:sz w:val="36"/>
        </w:rPr>
        <w:t>终章：整套多组织财务系统（私有部署）整体闭环总结</w:t>
      </w:r>
      <w:bookmarkEnd w:id="125"/>
    </w:p>
    <w:p w14:paraId="3B86F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本合集文档完整覆盖</w:t>
      </w:r>
      <w:r>
        <w:rPr>
          <w:rFonts w:ascii="Arial" w:hAnsi="Arial" w:eastAsia="等线" w:cs="Arial"/>
          <w:b/>
          <w:sz w:val="22"/>
        </w:rPr>
        <w:t>总账、应付、应收、出纳资金、固定资产、业财一体化自动凭证</w:t>
      </w:r>
      <w:r>
        <w:rPr>
          <w:rFonts w:ascii="Arial" w:hAnsi="Arial" w:eastAsia="等线" w:cs="Arial"/>
          <w:sz w:val="22"/>
        </w:rPr>
        <w:t>六大核心模块，完全基于</w:t>
      </w:r>
      <w:r>
        <w:rPr>
          <w:rFonts w:ascii="Arial" w:hAnsi="Arial" w:eastAsia="等线" w:cs="Arial"/>
          <w:b/>
          <w:sz w:val="22"/>
        </w:rPr>
        <w:t>私有部署内网本地化、数据本地存储、离线业务闭环、多组织集团管控</w:t>
      </w:r>
      <w:r>
        <w:rPr>
          <w:rFonts w:ascii="Arial" w:hAnsi="Arial" w:eastAsia="等线" w:cs="Arial"/>
          <w:sz w:val="22"/>
        </w:rPr>
        <w:t>架构设计，全面对标金蝶云星空私有部署版财务核心流程。整套体系实现了“集团统一标准、法人独立核算、业务自动入账、期末闭环校验、全程审计追溯”的完整业财一体化闭环，解决了多组织企业账务不统一、业务财务脱节、内控薄弱、对账困难、人工工作量大的核心痛点，完全满足企业日常财务核算、资金管控、资产管控、税务申报、年审审计、集团合并报表、内部经营分析的全部业务需求。</w:t>
      </w:r>
    </w:p>
    <w:p w14:paraId="3E131DFC">
      <w:pPr>
        <w:spacing w:before="120" w:after="120" w:line="288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D3FF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1CD1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7"/>
  </w:num>
  <w:num w:numId="2">
    <w:abstractNumId w:val="78"/>
  </w:num>
  <w:num w:numId="3">
    <w:abstractNumId w:val="206"/>
  </w:num>
  <w:num w:numId="4">
    <w:abstractNumId w:val="65"/>
  </w:num>
  <w:num w:numId="5">
    <w:abstractNumId w:val="54"/>
  </w:num>
  <w:num w:numId="6">
    <w:abstractNumId w:val="124"/>
  </w:num>
  <w:num w:numId="7">
    <w:abstractNumId w:val="158"/>
  </w:num>
  <w:num w:numId="8">
    <w:abstractNumId w:val="227"/>
  </w:num>
  <w:num w:numId="9">
    <w:abstractNumId w:val="120"/>
  </w:num>
  <w:num w:numId="10">
    <w:abstractNumId w:val="12"/>
  </w:num>
  <w:num w:numId="11">
    <w:abstractNumId w:val="161"/>
  </w:num>
  <w:num w:numId="12">
    <w:abstractNumId w:val="208"/>
  </w:num>
  <w:num w:numId="13">
    <w:abstractNumId w:val="71"/>
  </w:num>
  <w:num w:numId="14">
    <w:abstractNumId w:val="194"/>
  </w:num>
  <w:num w:numId="15">
    <w:abstractNumId w:val="109"/>
  </w:num>
  <w:num w:numId="16">
    <w:abstractNumId w:val="155"/>
  </w:num>
  <w:num w:numId="17">
    <w:abstractNumId w:val="87"/>
  </w:num>
  <w:num w:numId="18">
    <w:abstractNumId w:val="83"/>
  </w:num>
  <w:num w:numId="19">
    <w:abstractNumId w:val="26"/>
  </w:num>
  <w:num w:numId="20">
    <w:abstractNumId w:val="191"/>
  </w:num>
  <w:num w:numId="21">
    <w:abstractNumId w:val="213"/>
  </w:num>
  <w:num w:numId="22">
    <w:abstractNumId w:val="132"/>
  </w:num>
  <w:num w:numId="23">
    <w:abstractNumId w:val="188"/>
  </w:num>
  <w:num w:numId="24">
    <w:abstractNumId w:val="46"/>
  </w:num>
  <w:num w:numId="25">
    <w:abstractNumId w:val="235"/>
  </w:num>
  <w:num w:numId="26">
    <w:abstractNumId w:val="232"/>
  </w:num>
  <w:num w:numId="27">
    <w:abstractNumId w:val="64"/>
  </w:num>
  <w:num w:numId="28">
    <w:abstractNumId w:val="215"/>
  </w:num>
  <w:num w:numId="29">
    <w:abstractNumId w:val="13"/>
  </w:num>
  <w:num w:numId="30">
    <w:abstractNumId w:val="176"/>
  </w:num>
  <w:num w:numId="31">
    <w:abstractNumId w:val="4"/>
  </w:num>
  <w:num w:numId="32">
    <w:abstractNumId w:val="204"/>
  </w:num>
  <w:num w:numId="33">
    <w:abstractNumId w:val="236"/>
  </w:num>
  <w:num w:numId="34">
    <w:abstractNumId w:val="1"/>
  </w:num>
  <w:num w:numId="35">
    <w:abstractNumId w:val="154"/>
  </w:num>
  <w:num w:numId="36">
    <w:abstractNumId w:val="196"/>
  </w:num>
  <w:num w:numId="37">
    <w:abstractNumId w:val="112"/>
  </w:num>
  <w:num w:numId="38">
    <w:abstractNumId w:val="89"/>
  </w:num>
  <w:num w:numId="39">
    <w:abstractNumId w:val="165"/>
  </w:num>
  <w:num w:numId="40">
    <w:abstractNumId w:val="233"/>
  </w:num>
  <w:num w:numId="41">
    <w:abstractNumId w:val="59"/>
  </w:num>
  <w:num w:numId="42">
    <w:abstractNumId w:val="10"/>
  </w:num>
  <w:num w:numId="43">
    <w:abstractNumId w:val="56"/>
  </w:num>
  <w:num w:numId="44">
    <w:abstractNumId w:val="210"/>
  </w:num>
  <w:num w:numId="45">
    <w:abstractNumId w:val="3"/>
  </w:num>
  <w:num w:numId="46">
    <w:abstractNumId w:val="143"/>
  </w:num>
  <w:num w:numId="47">
    <w:abstractNumId w:val="8"/>
  </w:num>
  <w:num w:numId="48">
    <w:abstractNumId w:val="212"/>
  </w:num>
  <w:num w:numId="49">
    <w:abstractNumId w:val="230"/>
  </w:num>
  <w:num w:numId="50">
    <w:abstractNumId w:val="192"/>
  </w:num>
  <w:num w:numId="51">
    <w:abstractNumId w:val="167"/>
  </w:num>
  <w:num w:numId="52">
    <w:abstractNumId w:val="220"/>
  </w:num>
  <w:num w:numId="53">
    <w:abstractNumId w:val="125"/>
  </w:num>
  <w:num w:numId="54">
    <w:abstractNumId w:val="130"/>
  </w:num>
  <w:num w:numId="55">
    <w:abstractNumId w:val="82"/>
  </w:num>
  <w:num w:numId="56">
    <w:abstractNumId w:val="170"/>
  </w:num>
  <w:num w:numId="57">
    <w:abstractNumId w:val="148"/>
  </w:num>
  <w:num w:numId="58">
    <w:abstractNumId w:val="100"/>
  </w:num>
  <w:num w:numId="59">
    <w:abstractNumId w:val="153"/>
  </w:num>
  <w:num w:numId="60">
    <w:abstractNumId w:val="51"/>
  </w:num>
  <w:num w:numId="61">
    <w:abstractNumId w:val="182"/>
  </w:num>
  <w:num w:numId="62">
    <w:abstractNumId w:val="134"/>
  </w:num>
  <w:num w:numId="63">
    <w:abstractNumId w:val="172"/>
  </w:num>
  <w:num w:numId="64">
    <w:abstractNumId w:val="122"/>
  </w:num>
  <w:num w:numId="65">
    <w:abstractNumId w:val="68"/>
  </w:num>
  <w:num w:numId="66">
    <w:abstractNumId w:val="137"/>
  </w:num>
  <w:num w:numId="67">
    <w:abstractNumId w:val="49"/>
  </w:num>
  <w:num w:numId="68">
    <w:abstractNumId w:val="178"/>
  </w:num>
  <w:num w:numId="69">
    <w:abstractNumId w:val="36"/>
  </w:num>
  <w:num w:numId="70">
    <w:abstractNumId w:val="111"/>
  </w:num>
  <w:num w:numId="71">
    <w:abstractNumId w:val="164"/>
  </w:num>
  <w:num w:numId="72">
    <w:abstractNumId w:val="116"/>
  </w:num>
  <w:num w:numId="73">
    <w:abstractNumId w:val="141"/>
  </w:num>
  <w:num w:numId="74">
    <w:abstractNumId w:val="225"/>
  </w:num>
  <w:num w:numId="75">
    <w:abstractNumId w:val="92"/>
  </w:num>
  <w:num w:numId="76">
    <w:abstractNumId w:val="69"/>
  </w:num>
  <w:num w:numId="77">
    <w:abstractNumId w:val="35"/>
  </w:num>
  <w:num w:numId="78">
    <w:abstractNumId w:val="231"/>
  </w:num>
  <w:num w:numId="79">
    <w:abstractNumId w:val="84"/>
  </w:num>
  <w:num w:numId="80">
    <w:abstractNumId w:val="55"/>
  </w:num>
  <w:num w:numId="81">
    <w:abstractNumId w:val="163"/>
  </w:num>
  <w:num w:numId="82">
    <w:abstractNumId w:val="95"/>
  </w:num>
  <w:num w:numId="83">
    <w:abstractNumId w:val="22"/>
  </w:num>
  <w:num w:numId="84">
    <w:abstractNumId w:val="207"/>
  </w:num>
  <w:num w:numId="85">
    <w:abstractNumId w:val="62"/>
  </w:num>
  <w:num w:numId="86">
    <w:abstractNumId w:val="45"/>
  </w:num>
  <w:num w:numId="87">
    <w:abstractNumId w:val="16"/>
  </w:num>
  <w:num w:numId="88">
    <w:abstractNumId w:val="29"/>
  </w:num>
  <w:num w:numId="89">
    <w:abstractNumId w:val="41"/>
  </w:num>
  <w:num w:numId="90">
    <w:abstractNumId w:val="11"/>
  </w:num>
  <w:num w:numId="91">
    <w:abstractNumId w:val="146"/>
  </w:num>
  <w:num w:numId="92">
    <w:abstractNumId w:val="63"/>
  </w:num>
  <w:num w:numId="93">
    <w:abstractNumId w:val="139"/>
  </w:num>
  <w:num w:numId="94">
    <w:abstractNumId w:val="79"/>
  </w:num>
  <w:num w:numId="95">
    <w:abstractNumId w:val="221"/>
  </w:num>
  <w:num w:numId="96">
    <w:abstractNumId w:val="0"/>
  </w:num>
  <w:num w:numId="97">
    <w:abstractNumId w:val="61"/>
  </w:num>
  <w:num w:numId="98">
    <w:abstractNumId w:val="110"/>
  </w:num>
  <w:num w:numId="99">
    <w:abstractNumId w:val="193"/>
  </w:num>
  <w:num w:numId="100">
    <w:abstractNumId w:val="135"/>
  </w:num>
  <w:num w:numId="101">
    <w:abstractNumId w:val="24"/>
  </w:num>
  <w:num w:numId="102">
    <w:abstractNumId w:val="88"/>
  </w:num>
  <w:num w:numId="103">
    <w:abstractNumId w:val="144"/>
  </w:num>
  <w:num w:numId="104">
    <w:abstractNumId w:val="189"/>
  </w:num>
  <w:num w:numId="105">
    <w:abstractNumId w:val="40"/>
  </w:num>
  <w:num w:numId="106">
    <w:abstractNumId w:val="214"/>
  </w:num>
  <w:num w:numId="107">
    <w:abstractNumId w:val="85"/>
  </w:num>
  <w:num w:numId="108">
    <w:abstractNumId w:val="39"/>
  </w:num>
  <w:num w:numId="109">
    <w:abstractNumId w:val="6"/>
  </w:num>
  <w:num w:numId="110">
    <w:abstractNumId w:val="44"/>
  </w:num>
  <w:num w:numId="111">
    <w:abstractNumId w:val="127"/>
  </w:num>
  <w:num w:numId="112">
    <w:abstractNumId w:val="50"/>
  </w:num>
  <w:num w:numId="113">
    <w:abstractNumId w:val="103"/>
  </w:num>
  <w:num w:numId="114">
    <w:abstractNumId w:val="157"/>
  </w:num>
  <w:num w:numId="115">
    <w:abstractNumId w:val="190"/>
  </w:num>
  <w:num w:numId="116">
    <w:abstractNumId w:val="48"/>
  </w:num>
  <w:num w:numId="117">
    <w:abstractNumId w:val="179"/>
  </w:num>
  <w:num w:numId="118">
    <w:abstractNumId w:val="145"/>
  </w:num>
  <w:num w:numId="119">
    <w:abstractNumId w:val="140"/>
  </w:num>
  <w:num w:numId="120">
    <w:abstractNumId w:val="113"/>
  </w:num>
  <w:num w:numId="121">
    <w:abstractNumId w:val="173"/>
  </w:num>
  <w:num w:numId="122">
    <w:abstractNumId w:val="67"/>
  </w:num>
  <w:num w:numId="123">
    <w:abstractNumId w:val="200"/>
  </w:num>
  <w:num w:numId="124">
    <w:abstractNumId w:val="181"/>
  </w:num>
  <w:num w:numId="125">
    <w:abstractNumId w:val="160"/>
  </w:num>
  <w:num w:numId="126">
    <w:abstractNumId w:val="99"/>
  </w:num>
  <w:num w:numId="127">
    <w:abstractNumId w:val="38"/>
  </w:num>
  <w:num w:numId="128">
    <w:abstractNumId w:val="229"/>
  </w:num>
  <w:num w:numId="129">
    <w:abstractNumId w:val="159"/>
  </w:num>
  <w:num w:numId="130">
    <w:abstractNumId w:val="223"/>
  </w:num>
  <w:num w:numId="131">
    <w:abstractNumId w:val="17"/>
  </w:num>
  <w:num w:numId="132">
    <w:abstractNumId w:val="219"/>
  </w:num>
  <w:num w:numId="133">
    <w:abstractNumId w:val="76"/>
  </w:num>
  <w:num w:numId="134">
    <w:abstractNumId w:val="216"/>
  </w:num>
  <w:num w:numId="135">
    <w:abstractNumId w:val="169"/>
  </w:num>
  <w:num w:numId="136">
    <w:abstractNumId w:val="228"/>
  </w:num>
  <w:num w:numId="137">
    <w:abstractNumId w:val="226"/>
  </w:num>
  <w:num w:numId="138">
    <w:abstractNumId w:val="80"/>
  </w:num>
  <w:num w:numId="139">
    <w:abstractNumId w:val="104"/>
  </w:num>
  <w:num w:numId="140">
    <w:abstractNumId w:val="115"/>
  </w:num>
  <w:num w:numId="141">
    <w:abstractNumId w:val="15"/>
  </w:num>
  <w:num w:numId="142">
    <w:abstractNumId w:val="52"/>
  </w:num>
  <w:num w:numId="143">
    <w:abstractNumId w:val="185"/>
  </w:num>
  <w:num w:numId="144">
    <w:abstractNumId w:val="53"/>
  </w:num>
  <w:num w:numId="145">
    <w:abstractNumId w:val="217"/>
  </w:num>
  <w:num w:numId="146">
    <w:abstractNumId w:val="199"/>
  </w:num>
  <w:num w:numId="147">
    <w:abstractNumId w:val="209"/>
  </w:num>
  <w:num w:numId="148">
    <w:abstractNumId w:val="60"/>
  </w:num>
  <w:num w:numId="149">
    <w:abstractNumId w:val="2"/>
  </w:num>
  <w:num w:numId="150">
    <w:abstractNumId w:val="7"/>
  </w:num>
  <w:num w:numId="151">
    <w:abstractNumId w:val="118"/>
  </w:num>
  <w:num w:numId="152">
    <w:abstractNumId w:val="33"/>
  </w:num>
  <w:num w:numId="153">
    <w:abstractNumId w:val="66"/>
  </w:num>
  <w:num w:numId="154">
    <w:abstractNumId w:val="72"/>
  </w:num>
  <w:num w:numId="155">
    <w:abstractNumId w:val="108"/>
  </w:num>
  <w:num w:numId="156">
    <w:abstractNumId w:val="211"/>
  </w:num>
  <w:num w:numId="157">
    <w:abstractNumId w:val="105"/>
  </w:num>
  <w:num w:numId="158">
    <w:abstractNumId w:val="203"/>
  </w:num>
  <w:num w:numId="159">
    <w:abstractNumId w:val="151"/>
  </w:num>
  <w:num w:numId="160">
    <w:abstractNumId w:val="21"/>
  </w:num>
  <w:num w:numId="161">
    <w:abstractNumId w:val="123"/>
  </w:num>
  <w:num w:numId="162">
    <w:abstractNumId w:val="32"/>
  </w:num>
  <w:num w:numId="163">
    <w:abstractNumId w:val="162"/>
  </w:num>
  <w:num w:numId="164">
    <w:abstractNumId w:val="202"/>
  </w:num>
  <w:num w:numId="165">
    <w:abstractNumId w:val="77"/>
  </w:num>
  <w:num w:numId="166">
    <w:abstractNumId w:val="25"/>
  </w:num>
  <w:num w:numId="167">
    <w:abstractNumId w:val="156"/>
  </w:num>
  <w:num w:numId="168">
    <w:abstractNumId w:val="183"/>
  </w:num>
  <w:num w:numId="169">
    <w:abstractNumId w:val="136"/>
  </w:num>
  <w:num w:numId="170">
    <w:abstractNumId w:val="195"/>
  </w:num>
  <w:num w:numId="171">
    <w:abstractNumId w:val="201"/>
  </w:num>
  <w:num w:numId="172">
    <w:abstractNumId w:val="152"/>
  </w:num>
  <w:num w:numId="173">
    <w:abstractNumId w:val="93"/>
  </w:num>
  <w:num w:numId="174">
    <w:abstractNumId w:val="30"/>
  </w:num>
  <w:num w:numId="175">
    <w:abstractNumId w:val="177"/>
  </w:num>
  <w:num w:numId="176">
    <w:abstractNumId w:val="180"/>
  </w:num>
  <w:num w:numId="177">
    <w:abstractNumId w:val="131"/>
  </w:num>
  <w:num w:numId="178">
    <w:abstractNumId w:val="224"/>
  </w:num>
  <w:num w:numId="179">
    <w:abstractNumId w:val="90"/>
  </w:num>
  <w:num w:numId="180">
    <w:abstractNumId w:val="150"/>
  </w:num>
  <w:num w:numId="181">
    <w:abstractNumId w:val="128"/>
  </w:num>
  <w:num w:numId="182">
    <w:abstractNumId w:val="97"/>
  </w:num>
  <w:num w:numId="183">
    <w:abstractNumId w:val="102"/>
  </w:num>
  <w:num w:numId="184">
    <w:abstractNumId w:val="81"/>
  </w:num>
  <w:num w:numId="185">
    <w:abstractNumId w:val="184"/>
  </w:num>
  <w:num w:numId="186">
    <w:abstractNumId w:val="107"/>
  </w:num>
  <w:num w:numId="187">
    <w:abstractNumId w:val="19"/>
  </w:num>
  <w:num w:numId="188">
    <w:abstractNumId w:val="101"/>
  </w:num>
  <w:num w:numId="189">
    <w:abstractNumId w:val="119"/>
  </w:num>
  <w:num w:numId="190">
    <w:abstractNumId w:val="73"/>
  </w:num>
  <w:num w:numId="191">
    <w:abstractNumId w:val="175"/>
  </w:num>
  <w:num w:numId="192">
    <w:abstractNumId w:val="222"/>
  </w:num>
  <w:num w:numId="193">
    <w:abstractNumId w:val="171"/>
  </w:num>
  <w:num w:numId="194">
    <w:abstractNumId w:val="96"/>
  </w:num>
  <w:num w:numId="195">
    <w:abstractNumId w:val="147"/>
  </w:num>
  <w:num w:numId="196">
    <w:abstractNumId w:val="5"/>
  </w:num>
  <w:num w:numId="197">
    <w:abstractNumId w:val="43"/>
  </w:num>
  <w:num w:numId="198">
    <w:abstractNumId w:val="138"/>
  </w:num>
  <w:num w:numId="199">
    <w:abstractNumId w:val="198"/>
  </w:num>
  <w:num w:numId="200">
    <w:abstractNumId w:val="218"/>
  </w:num>
  <w:num w:numId="201">
    <w:abstractNumId w:val="57"/>
  </w:num>
  <w:num w:numId="202">
    <w:abstractNumId w:val="31"/>
  </w:num>
  <w:num w:numId="203">
    <w:abstractNumId w:val="142"/>
  </w:num>
  <w:num w:numId="204">
    <w:abstractNumId w:val="114"/>
  </w:num>
  <w:num w:numId="205">
    <w:abstractNumId w:val="58"/>
  </w:num>
  <w:num w:numId="206">
    <w:abstractNumId w:val="47"/>
  </w:num>
  <w:num w:numId="207">
    <w:abstractNumId w:val="129"/>
  </w:num>
  <w:num w:numId="208">
    <w:abstractNumId w:val="133"/>
  </w:num>
  <w:num w:numId="209">
    <w:abstractNumId w:val="174"/>
  </w:num>
  <w:num w:numId="210">
    <w:abstractNumId w:val="121"/>
  </w:num>
  <w:num w:numId="211">
    <w:abstractNumId w:val="23"/>
  </w:num>
  <w:num w:numId="212">
    <w:abstractNumId w:val="205"/>
  </w:num>
  <w:num w:numId="213">
    <w:abstractNumId w:val="34"/>
  </w:num>
  <w:num w:numId="214">
    <w:abstractNumId w:val="9"/>
  </w:num>
  <w:num w:numId="215">
    <w:abstractNumId w:val="197"/>
  </w:num>
  <w:num w:numId="216">
    <w:abstractNumId w:val="28"/>
  </w:num>
  <w:num w:numId="217">
    <w:abstractNumId w:val="126"/>
  </w:num>
  <w:num w:numId="218">
    <w:abstractNumId w:val="98"/>
  </w:num>
  <w:num w:numId="219">
    <w:abstractNumId w:val="27"/>
  </w:num>
  <w:num w:numId="220">
    <w:abstractNumId w:val="18"/>
  </w:num>
  <w:num w:numId="221">
    <w:abstractNumId w:val="75"/>
  </w:num>
  <w:num w:numId="222">
    <w:abstractNumId w:val="20"/>
  </w:num>
  <w:num w:numId="223">
    <w:abstractNumId w:val="42"/>
  </w:num>
  <w:num w:numId="224">
    <w:abstractNumId w:val="187"/>
  </w:num>
  <w:num w:numId="225">
    <w:abstractNumId w:val="70"/>
  </w:num>
  <w:num w:numId="226">
    <w:abstractNumId w:val="149"/>
  </w:num>
  <w:num w:numId="227">
    <w:abstractNumId w:val="91"/>
  </w:num>
  <w:num w:numId="228">
    <w:abstractNumId w:val="94"/>
  </w:num>
  <w:num w:numId="229">
    <w:abstractNumId w:val="168"/>
  </w:num>
  <w:num w:numId="230">
    <w:abstractNumId w:val="106"/>
  </w:num>
  <w:num w:numId="231">
    <w:abstractNumId w:val="37"/>
  </w:num>
  <w:num w:numId="232">
    <w:abstractNumId w:val="186"/>
  </w:num>
  <w:num w:numId="233">
    <w:abstractNumId w:val="74"/>
  </w:num>
  <w:num w:numId="234">
    <w:abstractNumId w:val="234"/>
  </w:num>
  <w:num w:numId="235">
    <w:abstractNumId w:val="86"/>
  </w:num>
  <w:num w:numId="236">
    <w:abstractNumId w:val="14"/>
  </w:num>
  <w:num w:numId="237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9E00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19804</Words>
  <Characters>20074</Characters>
  <TotalTime>2</TotalTime>
  <ScaleCrop>false</ScaleCrop>
  <LinksUpToDate>false</LinksUpToDate>
  <CharactersWithSpaces>20221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2026-07-18T11:22:00Z</dcterms:created>
  <dc:creator>Apache POI</dc:creator>
  <cp:lastModifiedBy>麒麟甲</cp:lastModifiedBy>
  <dcterms:modified xsi:type="dcterms:W3CDTF">2026-07-18T12:58:41Z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{"Label":"1","ContentProducer":"001191110102MACQD9K64010000","ProduceID":"7663826774094990265","ReservedCode1":"","ContentPropagator":"","PropagateID":"","ReservedCode2":""}</vt:lpwstr>
  </property>
  <property fmtid="{D5CDD505-2E9C-101B-9397-08002B2CF9AE}" pid="3" name="KSOTemplateDocerSaveRecord">
    <vt:lpwstr>eyJoZGlkIjoiZDJkOGQyYzRiNWFiOTVjNDk3MWI0YmFjNTYxZWZmODciLCJ1c2VySWQiOiIzNDQ2NjcxMDYifQ==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4C6589EFE65342829BD743A42D4FCB74_12</vt:lpwstr>
  </property>
</Properties>
</file>