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A9D5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ERP/MES/PLM/WMS/HR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/OA</w:t>
      </w:r>
      <w:r>
        <w:rPr>
          <w:rFonts w:ascii="Arial" w:hAnsi="Arial" w:eastAsia="等线" w:cs="Arial"/>
          <w:b/>
          <w:sz w:val="52"/>
        </w:rPr>
        <w:t>一体化数字智能平台架构方案</w:t>
      </w:r>
    </w:p>
    <w:p w14:paraId="549FC44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一、方案核心定位与建设原则</w:t>
      </w:r>
      <w:bookmarkEnd w:id="0"/>
    </w:p>
    <w:p w14:paraId="5D588D82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核心定位</w:t>
      </w:r>
      <w:bookmarkEnd w:id="1"/>
    </w:p>
    <w:p w14:paraId="2221A7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</w:t>
      </w:r>
      <w:r>
        <w:rPr>
          <w:rFonts w:ascii="Arial" w:hAnsi="Arial" w:eastAsia="等线" w:cs="Arial"/>
          <w:b/>
          <w:sz w:val="22"/>
        </w:rPr>
        <w:t>多系统业务一体化+数据一体化+AI智能化</w:t>
      </w:r>
      <w:r>
        <w:rPr>
          <w:rFonts w:ascii="Arial" w:hAnsi="Arial" w:eastAsia="等线" w:cs="Arial"/>
          <w:sz w:val="22"/>
        </w:rPr>
        <w:t>企业数字平台，打通ERP、MES、PLM、WMS、HR五大核心业务系统，彻底消除信息孤岛。大模型不自建算力、不部署本地模型，全程通过</w:t>
      </w:r>
      <w:r>
        <w:rPr>
          <w:rFonts w:ascii="Arial" w:hAnsi="Arial" w:eastAsia="等线" w:cs="Arial"/>
          <w:b/>
          <w:sz w:val="22"/>
        </w:rPr>
        <w:t>API Key远程调用云端大模型服务</w:t>
      </w:r>
      <w:r>
        <w:rPr>
          <w:rFonts w:ascii="Arial" w:hAnsi="Arial" w:eastAsia="等线" w:cs="Arial"/>
          <w:sz w:val="22"/>
        </w:rPr>
        <w:t>，依托轻量化算力中台完成数据整合、智能体编排、业务调度与结果输出，兼顾低成本、易落地、高安全、可迭代，完全适配制造业数字化转型测评及政策申报要求。</w:t>
      </w:r>
    </w:p>
    <w:p w14:paraId="09E1DA5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核心建设原则</w:t>
      </w:r>
      <w:bookmarkEnd w:id="2"/>
    </w:p>
    <w:p w14:paraId="0C903CC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轻量化架构</w:t>
      </w:r>
      <w:r>
        <w:rPr>
          <w:rFonts w:ascii="Arial" w:hAnsi="Arial" w:eastAsia="等线" w:cs="Arial"/>
          <w:sz w:val="22"/>
        </w:rPr>
        <w:t>：无需GPU集群、无需本地模型训练与推理，仅通过API对接通用/行业大模型，大幅降低建设与运维成本；</w:t>
      </w:r>
    </w:p>
    <w:p w14:paraId="45D830B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系统全贯通</w:t>
      </w:r>
      <w:r>
        <w:rPr>
          <w:rFonts w:ascii="Arial" w:hAnsi="Arial" w:eastAsia="等线" w:cs="Arial"/>
          <w:sz w:val="22"/>
        </w:rPr>
        <w:t>：实现ERP、MES、PLM、WMS、HR接口互通、数据同源、流程联动、业务闭环；</w:t>
      </w:r>
    </w:p>
    <w:p w14:paraId="5E36C01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AI赋能业务</w:t>
      </w:r>
      <w:r>
        <w:rPr>
          <w:rFonts w:ascii="Arial" w:hAnsi="Arial" w:eastAsia="等线" w:cs="Arial"/>
          <w:sz w:val="22"/>
        </w:rPr>
        <w:t>：以中台智能体为核心，调用大模型实现数据分析、智能问答、流程优化、风险预警、报告自动生成；</w:t>
      </w:r>
    </w:p>
    <w:p w14:paraId="432034C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安全可控</w:t>
      </w:r>
      <w:r>
        <w:rPr>
          <w:rFonts w:ascii="Arial" w:hAnsi="Arial" w:eastAsia="等线" w:cs="Arial"/>
          <w:sz w:val="22"/>
        </w:rPr>
        <w:t>：本地数据不出企业内网，仅脱敏后结构化数据调用外部大模型API，保障生产、工艺、经营数据安全；</w:t>
      </w:r>
    </w:p>
    <w:p w14:paraId="684F781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适配测评申报</w:t>
      </w:r>
      <w:r>
        <w:rPr>
          <w:rFonts w:ascii="Arial" w:hAnsi="Arial" w:eastAsia="等线" w:cs="Arial"/>
          <w:sz w:val="22"/>
        </w:rPr>
        <w:t>：架构与功能完全匹配内蒙古制造业数字化转型4大一级指标、16项二级指标，满足L2-L3成熟度贯标、上云用数赋智、典型场景建设等政策要求。</w:t>
      </w:r>
    </w:p>
    <w:p w14:paraId="7B4AF9C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二、整体技术架构（三层标准架构·API大模型版）</w:t>
      </w:r>
      <w:bookmarkEnd w:id="3"/>
    </w:p>
    <w:p w14:paraId="78F57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整体采用</w:t>
      </w:r>
      <w:r>
        <w:rPr>
          <w:rFonts w:ascii="Arial" w:hAnsi="Arial" w:eastAsia="等线" w:cs="Arial"/>
          <w:b/>
          <w:sz w:val="22"/>
        </w:rPr>
        <w:t>用户端（多端统一门户）→ 企业算力中台（核心枢纽）→ 云端大模型API服务层</w:t>
      </w:r>
      <w:r>
        <w:rPr>
          <w:rFonts w:ascii="Arial" w:hAnsi="Arial" w:eastAsia="等线" w:cs="Arial"/>
          <w:sz w:val="22"/>
        </w:rPr>
        <w:t>轻量化三层架构，替代传统自建大模型集群模式，架构简洁、落地性极强。</w:t>
      </w:r>
    </w:p>
    <w:p w14:paraId="25FFAF6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2.1 架构层级逻辑说明</w:t>
      </w:r>
      <w:bookmarkEnd w:id="4"/>
    </w:p>
    <w:p w14:paraId="5C08D08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第一层：用户端（多端统一接入层）</w:t>
      </w:r>
      <w:r>
        <w:rPr>
          <w:rFonts w:ascii="Arial" w:hAnsi="Arial" w:eastAsia="等线" w:cs="Arial"/>
          <w:sz w:val="22"/>
        </w:rPr>
        <w:t>：统一操作入口，承载所有业务交互、数据展示、指令下发，无复杂计算与模型运行；</w:t>
      </w:r>
    </w:p>
    <w:p w14:paraId="3721F38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第二层：企业算力中台（本地核心层）</w:t>
      </w:r>
      <w:r>
        <w:rPr>
          <w:rFonts w:ascii="Arial" w:hAnsi="Arial" w:eastAsia="等线" w:cs="Arial"/>
          <w:sz w:val="22"/>
        </w:rPr>
        <w:t>：部署企业内网，负责五大系统集成、数据治理、智能体编排、权限管控、任务调度、数据脱敏，是业务与AI的中转核心；</w:t>
      </w:r>
    </w:p>
    <w:p w14:paraId="3524B28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第三层：云端大模型API层（外部服务层）</w:t>
      </w:r>
      <w:r>
        <w:rPr>
          <w:rFonts w:ascii="Arial" w:hAnsi="Arial" w:eastAsia="等线" w:cs="Arial"/>
          <w:sz w:val="22"/>
        </w:rPr>
        <w:t>：依托公有云/行业大模型API服务，通过API Key鉴权调用，仅提供推理能力，企业无需搭建、运维模型算力。</w:t>
      </w:r>
    </w:p>
    <w:p w14:paraId="3063C6F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2.2 可视化架构流程图</w:t>
      </w:r>
      <w:bookmarkEnd w:id="5"/>
    </w:p>
    <w:p w14:paraId="3DBD8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多端用户端（PC门户/车间看板/移动端/工控屏）↓ 内网加密传输企业算力中台（集成总线+数据中台+智能体引擎+安全审计）↓ 脱敏结构化数据+标准化Prompt云端大模型API服务（远程推理）↓ 结构化智能结果回传算力中台↓ 前端用户端展示/落地执行</w:t>
      </w:r>
    </w:p>
    <w:p w14:paraId="768342B9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2.3 各层级详细架构设计</w:t>
      </w:r>
      <w:bookmarkEnd w:id="6"/>
    </w:p>
    <w:p w14:paraId="0A2E3241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2.3.1 第一层：用户端多端统一门户</w:t>
      </w:r>
      <w:bookmarkEnd w:id="7"/>
    </w:p>
    <w:p w14:paraId="69E17D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实现五大系统</w:t>
      </w:r>
      <w:r>
        <w:rPr>
          <w:rFonts w:ascii="Arial" w:hAnsi="Arial" w:eastAsia="等线" w:cs="Arial"/>
          <w:b/>
          <w:sz w:val="22"/>
        </w:rPr>
        <w:t>统一入口、统一账号、统一权限、统一消息、统一看板</w:t>
      </w:r>
      <w:r>
        <w:rPr>
          <w:rFonts w:ascii="Arial" w:hAnsi="Arial" w:eastAsia="等线" w:cs="Arial"/>
          <w:sz w:val="22"/>
        </w:rPr>
        <w:t>，摒弃各系统独立登录、数据割裂问题。</w:t>
      </w:r>
    </w:p>
    <w:p w14:paraId="7968F8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包含终端类型</w:t>
      </w:r>
      <w:r>
        <w:rPr>
          <w:rFonts w:ascii="Arial" w:hAnsi="Arial" w:eastAsia="等线" w:cs="Arial"/>
          <w:sz w:val="22"/>
        </w:rPr>
        <w:t>：企业管理PC端、车间生产看板、员工移动端APP、现场工控触摸屏、运维监控端。</w:t>
      </w:r>
    </w:p>
    <w:p w14:paraId="6D5EB3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核心能力</w:t>
      </w:r>
      <w:r>
        <w:rPr>
          <w:rFonts w:ascii="Arial" w:hAnsi="Arial" w:eastAsia="等线" w:cs="Arial"/>
          <w:sz w:val="22"/>
        </w:rPr>
        <w:t>：业务操作、数据查询、流程审批、异常预警、AI智能问答、可视化报表、生产/库存/人力/经营全景驾驶舱。</w:t>
      </w:r>
    </w:p>
    <w:p w14:paraId="2D9B6EAB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2.3.2 第二层：企业算力中台（本地核心，全程内网部署）</w:t>
      </w:r>
      <w:bookmarkEnd w:id="8"/>
    </w:p>
    <w:p w14:paraId="0760D2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中台为平台核心，承载所有本地化业务能力、数据能力、AI调度能力，分为六大核心模块，完成五大系统一体化融合与大模型调用前置处理。</w:t>
      </w:r>
    </w:p>
    <w:p w14:paraId="643834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模块1：统一网关与集成总线</w:t>
      </w:r>
    </w:p>
    <w:p w14:paraId="5D2478F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对接ERP、MES、PLM、WMS、HR五大系统各类接口，支持HTTP、WebService、MQ、数据库直连等协议；</w:t>
      </w:r>
    </w:p>
    <w:p w14:paraId="7A79829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实现跨系统数据实时同步、消息推送、流程联动，解决系统孤岛；</w:t>
      </w:r>
    </w:p>
    <w:p w14:paraId="1705E8C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统一请求鉴权、限流、负载均衡、日志追踪，保障平台稳定运行。</w:t>
      </w:r>
    </w:p>
    <w:p w14:paraId="76A6C4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模块2：统一身份与权限中台</w:t>
      </w:r>
    </w:p>
    <w:p w14:paraId="1B682B9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搭建企业统一组织、岗位、用户、角色体系，RBAC精细化权限管控；</w:t>
      </w:r>
    </w:p>
    <w:p w14:paraId="12651DE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实现五大系统账号单点登录、权限互通、操作留痕，满足合规审计要求。</w:t>
      </w:r>
    </w:p>
    <w:p w14:paraId="315057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模块3：业务流程中台</w:t>
      </w:r>
    </w:p>
    <w:p w14:paraId="70D5DB9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统一流程引擎，搭建跨系统业务流程：研发变更、订单评审、生产领料、完工入库、绩效核算、采购结算等；</w:t>
      </w:r>
    </w:p>
    <w:p w14:paraId="1026E4F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实现流程自动化流转、自动审批、异常拦截、节点提醒。</w:t>
      </w:r>
    </w:p>
    <w:p w14:paraId="10B4C3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模块4：企业数据中台（核心得分模块）</w:t>
      </w:r>
    </w:p>
    <w:p w14:paraId="4282C31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主数据管理：统一物料、客户、供应商、设备、人员、工艺主数据，实现五系统数据同源；</w:t>
      </w:r>
    </w:p>
    <w:p w14:paraId="5F21693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数据治理：数据清洗、去重、标准化、分类归档，形成生产、库存、经营、人力、工艺统一数据资产；</w:t>
      </w:r>
    </w:p>
    <w:p w14:paraId="78D0DF4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数据脱敏：对工艺机密、客户信息、财务数据自动脱敏，仅推送结构化无害数据至大模型API；</w:t>
      </w:r>
    </w:p>
    <w:p w14:paraId="39AA791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数据存储：业务数据库、时序数据库、文件数据库协同存储，支撑报表统计与AI分析。</w:t>
      </w:r>
    </w:p>
    <w:p w14:paraId="6957A0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模块5：AI智能体调度引擎（核心智能模块）</w:t>
      </w:r>
    </w:p>
    <w:p w14:paraId="76BA3C1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任务拆解：将用户复杂业务需求拆解为多系统查询、数据分析、逻辑推理子任务；</w:t>
      </w:r>
    </w:p>
    <w:p w14:paraId="462E721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工具调用：自动调用ERP/MES/PLM/WMS/HR业务接口，获取对应业务数据；</w:t>
      </w:r>
    </w:p>
    <w:p w14:paraId="039D99F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Prompt组装：基于业务场景自动生成标准化提问指令，适配大模型API调用规范；</w:t>
      </w:r>
    </w:p>
    <w:p w14:paraId="757A31B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结果解析：接收大模型返回数据，校验合规性、结构化整理，适配企业业务展示场景；</w:t>
      </w:r>
    </w:p>
    <w:p w14:paraId="49F6A24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本地RAG知识库：本地存储工艺文档、SOP、设备手册、制度规范，结合业务数据辅助大模型精准推理，降低幻觉。</w:t>
      </w:r>
    </w:p>
    <w:p w14:paraId="578586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模块6：安全审计与运维监控模块</w:t>
      </w:r>
    </w:p>
    <w:p w14:paraId="384CBD7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全链路操作日志、模型调用日志、数据访问日志留存；</w:t>
      </w:r>
    </w:p>
    <w:p w14:paraId="188A13B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平台运行状态、接口调用状态、数据同步状态实时监控；</w:t>
      </w:r>
    </w:p>
    <w:p w14:paraId="24B8D28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异常告警、风险拦截、合规自查，适配数字化转型绩效验收。</w:t>
      </w:r>
    </w:p>
    <w:p w14:paraId="05C1B0C0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2.3.3 第三层：云端大模型API服务层（无本地部署）</w:t>
      </w:r>
      <w:bookmarkEnd w:id="9"/>
    </w:p>
    <w:p w14:paraId="67142A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企业无需采购GPU、无需部署模型、无需运维推理服务，仅通过</w:t>
      </w:r>
      <w:r>
        <w:rPr>
          <w:rFonts w:ascii="Arial" w:hAnsi="Arial" w:eastAsia="等线" w:cs="Arial"/>
          <w:b/>
          <w:sz w:val="22"/>
        </w:rPr>
        <w:t>专属API Key</w:t>
      </w:r>
      <w:r>
        <w:rPr>
          <w:rFonts w:ascii="Arial" w:hAnsi="Arial" w:eastAsia="等线" w:cs="Arial"/>
          <w:sz w:val="22"/>
        </w:rPr>
        <w:t>加密调用云端通用/工业大模型能力，所有核心业务数据、原始数据留存本地，仅脱敏结构化数据外发调用。</w:t>
      </w:r>
    </w:p>
    <w:p w14:paraId="5BE41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核心调用能力</w:t>
      </w:r>
      <w:r>
        <w:rPr>
          <w:rFonts w:ascii="Arial" w:hAnsi="Arial" w:eastAsia="等线" w:cs="Arial"/>
          <w:sz w:val="22"/>
        </w:rPr>
        <w:t>：自然语言问答、数据智能分析、故障原因诊断、工艺优化建议、流程风险预警、自动生成各类业务报表、文档解析与总结、异常溯源分析。</w:t>
      </w:r>
    </w:p>
    <w:p w14:paraId="52254E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调用机制</w:t>
      </w:r>
      <w:r>
        <w:rPr>
          <w:rFonts w:ascii="Arial" w:hAnsi="Arial" w:eastAsia="等线" w:cs="Arial"/>
          <w:sz w:val="22"/>
        </w:rPr>
        <w:t>：API Key唯一鉴权、HTTPS加密传输、调用频次限流、请求日志留存、失败自动重试、异常熔断兜底。</w:t>
      </w:r>
    </w:p>
    <w:p w14:paraId="00BB77A9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三、五大系统一体化业务闭环逻辑</w:t>
      </w:r>
      <w:bookmarkEnd w:id="10"/>
    </w:p>
    <w:p w14:paraId="4E63DA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依托算力中台集成能力，实现五系统深度联动，形成全业务闭环，是数字化转型业务维度核心得分点。</w:t>
      </w:r>
    </w:p>
    <w:p w14:paraId="24F95B0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PLM→ERP</w:t>
      </w:r>
      <w:r>
        <w:rPr>
          <w:rFonts w:ascii="Arial" w:hAnsi="Arial" w:eastAsia="等线" w:cs="Arial"/>
          <w:sz w:val="22"/>
        </w:rPr>
        <w:t>：研发BOM、工艺路线、物料参数、版本变更自动同步ERP，自动更新物料清单、生产成本参数，杜绝手工录入误差；</w:t>
      </w:r>
    </w:p>
    <w:p w14:paraId="3F9BCE2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ERP→MES</w:t>
      </w:r>
      <w:r>
        <w:rPr>
          <w:rFonts w:ascii="Arial" w:hAnsi="Arial" w:eastAsia="等线" w:cs="Arial"/>
          <w:sz w:val="22"/>
        </w:rPr>
        <w:t>：销售订单、生产计划、物料需求、工艺标准自动下发MES，驱动车间生产执行；</w:t>
      </w:r>
    </w:p>
    <w:p w14:paraId="6CA3CD2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MES→WMS</w:t>
      </w:r>
      <w:r>
        <w:rPr>
          <w:rFonts w:ascii="Arial" w:hAnsi="Arial" w:eastAsia="等线" w:cs="Arial"/>
          <w:sz w:val="22"/>
        </w:rPr>
        <w:t>：生产领料、退料、工序完工、质检合格数据自动同步WMS，触发库存增减、批次追溯、库位变更；</w:t>
      </w:r>
    </w:p>
    <w:p w14:paraId="2A5ABE9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WMS→ERP</w:t>
      </w:r>
      <w:r>
        <w:rPr>
          <w:rFonts w:ascii="Arial" w:hAnsi="Arial" w:eastAsia="等线" w:cs="Arial"/>
          <w:sz w:val="22"/>
        </w:rPr>
        <w:t>：实时库存数据、物料消耗数据、入库出库数据回传ERP，自动核算物料成本、库存资金；</w:t>
      </w:r>
    </w:p>
    <w:p w14:paraId="0372F51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MES→HR</w:t>
      </w:r>
      <w:r>
        <w:rPr>
          <w:rFonts w:ascii="Arial" w:hAnsi="Arial" w:eastAsia="等线" w:cs="Arial"/>
          <w:sz w:val="22"/>
        </w:rPr>
        <w:t>：车间报工、工序工时、产量绩效数据同步HR，自动统计员工计件工资、生产绩效；</w:t>
      </w:r>
    </w:p>
    <w:p w14:paraId="45F099C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全系统联动AI</w:t>
      </w:r>
      <w:r>
        <w:rPr>
          <w:rFonts w:ascii="Arial" w:hAnsi="Arial" w:eastAsia="等线" w:cs="Arial"/>
          <w:sz w:val="22"/>
        </w:rPr>
        <w:t>：中台汇总五系统全量数据，通过API调用大模型，实现全业务智能分析与优化。</w:t>
      </w:r>
    </w:p>
    <w:p w14:paraId="54D40549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四、平台全模块功能清单（无遗漏完整版）</w:t>
      </w:r>
      <w:bookmarkEnd w:id="11"/>
    </w:p>
    <w:p w14:paraId="291E45B2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4.1 统一门户与基础功能模块</w:t>
      </w:r>
      <w:bookmarkEnd w:id="12"/>
    </w:p>
    <w:p w14:paraId="7B2D6D9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多端统一登录、单点登录、权限分级管控</w:t>
      </w:r>
    </w:p>
    <w:p w14:paraId="33BD4A0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个性化工作台、待办审批、消息通知、任务提醒</w:t>
      </w:r>
    </w:p>
    <w:p w14:paraId="2CB7D18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企业全景驾驶舱、生产/库存/人力/财务/质量可视化看板</w:t>
      </w:r>
    </w:p>
    <w:p w14:paraId="5DE5F0A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操作日志、审计日志、系统监控、异常告警</w:t>
      </w:r>
    </w:p>
    <w:p w14:paraId="57B3B7A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4.2 PLM研发管理一体化功能</w:t>
      </w:r>
      <w:bookmarkEnd w:id="13"/>
    </w:p>
    <w:p w14:paraId="1D10BFD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产品图纸、文档、配方资料上传、版本管理、权限管控</w:t>
      </w:r>
    </w:p>
    <w:p w14:paraId="73387D1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BOM清单编制、审核、变更、追溯、自动同步ERP</w:t>
      </w:r>
    </w:p>
    <w:p w14:paraId="2AAF417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工艺路线设计、工序标准、工艺参数管理、工艺变更联动生产</w:t>
      </w:r>
    </w:p>
    <w:p w14:paraId="3F75D11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研发项目管理、研发进度跟踪、研发资料归档</w:t>
      </w:r>
    </w:p>
    <w:p w14:paraId="4E7BB5C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AI能力：图纸文档智能解析、工艺合理性分析、变更风险预警</w:t>
      </w:r>
    </w:p>
    <w:p w14:paraId="2C8A12CD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4.3 ERP经营供应链一体化功能</w:t>
      </w:r>
      <w:bookmarkEnd w:id="14"/>
    </w:p>
    <w:p w14:paraId="1632DE4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客户管理、销售订单、销售出库、应收款管理</w:t>
      </w:r>
    </w:p>
    <w:p w14:paraId="158DEAA5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供应商管理、采购订单、来料入库、应付款管理</w:t>
      </w:r>
    </w:p>
    <w:p w14:paraId="694D5D9D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物料主数据、物料需求计划、库存资金核算、成本管理</w:t>
      </w:r>
    </w:p>
    <w:p w14:paraId="7EE6055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财务总账、费用核算、经营数据统计</w:t>
      </w:r>
    </w:p>
    <w:p w14:paraId="7FB62880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AI能力：经营数据分析、成本波动预警、采购风险预判、营收报表自动生成</w:t>
      </w:r>
    </w:p>
    <w:p w14:paraId="6627A8ED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4.4 MES生产制造一体化功能</w:t>
      </w:r>
      <w:bookmarkEnd w:id="15"/>
    </w:p>
    <w:p w14:paraId="1E76D78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生产订单接收、排产管理、工序派工、生产进度跟踪</w:t>
      </w:r>
    </w:p>
    <w:p w14:paraId="7D8DD51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车间报工、工时统计、设备状态监控、生产异常上报</w:t>
      </w:r>
    </w:p>
    <w:p w14:paraId="4A34E26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来料质检、工序质检、成品质检、质量缺陷记录、质量追溯</w:t>
      </w:r>
    </w:p>
    <w:p w14:paraId="4A510B19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工艺执行管控、生产数据实时采集、产能统计分析</w:t>
      </w:r>
    </w:p>
    <w:p w14:paraId="1A0F8C0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AI能力：生产瓶颈分析、质量缺陷溯源、设备异常预判、产能优化建议</w:t>
      </w:r>
    </w:p>
    <w:p w14:paraId="2BF8F13E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4.5 WMS仓储物流一体化功能</w:t>
      </w:r>
      <w:bookmarkEnd w:id="16"/>
    </w:p>
    <w:p w14:paraId="0C7F0706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原料入库、成品入库、退货入库、批次管理、条码管理</w:t>
      </w:r>
    </w:p>
    <w:p w14:paraId="496C5E1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生产领料、补料、退料、销售出库、调拨出库</w:t>
      </w:r>
    </w:p>
    <w:p w14:paraId="25F50C94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库位管理、库存盘点、呆滞料统计、库存预警</w:t>
      </w:r>
    </w:p>
    <w:p w14:paraId="7BD97B6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物料追溯、仓储作业记录、库存数据实时同步ERP/MES</w:t>
      </w:r>
    </w:p>
    <w:p w14:paraId="615A780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AI能力：库存积压预警、缺料风险预判、仓储周转效率分析</w:t>
      </w:r>
    </w:p>
    <w:p w14:paraId="0A047428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4.6 HR人力资源一体化功能</w:t>
      </w:r>
      <w:bookmarkEnd w:id="17"/>
    </w:p>
    <w:p w14:paraId="459407A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员工档案、组织架构、岗位管理、人员异动管理</w:t>
      </w:r>
    </w:p>
    <w:p w14:paraId="2224CAC6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考勤管理、排班管理、请假加班统计</w:t>
      </w:r>
    </w:p>
    <w:p w14:paraId="7857FEFE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生产绩效、计件工资核算、绩效考核管理</w:t>
      </w:r>
    </w:p>
    <w:p w14:paraId="27B6EE37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员工培训、技能档案、数字化培训记录</w:t>
      </w:r>
    </w:p>
    <w:p w14:paraId="6DFAAB08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AI能力：人力负荷分析、人效统计、岗位匹配优化分析</w:t>
      </w:r>
    </w:p>
    <w:p w14:paraId="6151C8E4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4.7 AI智能体核心功能（API调用版）</w:t>
      </w:r>
      <w:bookmarkEnd w:id="18"/>
    </w:p>
    <w:p w14:paraId="043890C7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企业专属智能问答：自然语言查询生产、库存、工艺、人力、经营数据</w:t>
      </w:r>
    </w:p>
    <w:p w14:paraId="6044D76B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全业务智能分析：自动汇总五系统数据，输出生产、质量、成本、库存分析报告</w:t>
      </w:r>
    </w:p>
    <w:p w14:paraId="44555CC3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风险智能预警：缺料、积压、质量异常、成本波动、人力冗余/短缺预警</w:t>
      </w:r>
    </w:p>
    <w:p w14:paraId="5CBEDB0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流程优化建议：基于历史数据，输出生产排产、仓储管理、工艺优化、人员调配建议</w:t>
      </w:r>
    </w:p>
    <w:p w14:paraId="467462AD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文档智能处理：工艺文件、制度、报表自动解析、总结、纠错</w:t>
      </w:r>
    </w:p>
    <w:p w14:paraId="7D28EC76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本地RAG知识库赋能：结合企业私有工艺、设备资料，提升AI分析精准度，减少幻觉</w:t>
      </w:r>
    </w:p>
    <w:p w14:paraId="2EF45DE4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五、核心数据流转全流程（API调用闭环）</w:t>
      </w:r>
      <w:bookmarkEnd w:id="19"/>
    </w:p>
    <w:p w14:paraId="25687260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用户在前端发起查询/分析/问答需求，指令传输至算力中台；</w:t>
      </w:r>
    </w:p>
    <w:p w14:paraId="02F2CFD0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中台智能体拆解需求，自动调用ERP/MES/PLM/WMS/HR对应接口，抓取业务数据；</w:t>
      </w:r>
    </w:p>
    <w:p w14:paraId="1F75968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中台对原始数据进行清洗、脱敏、标准化处理，生成可对外传输的结构化数据；</w:t>
      </w:r>
    </w:p>
    <w:p w14:paraId="10416398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智能体组装标准化Prompt，通过API Key加密调用云端大模型推理服务；</w:t>
      </w:r>
    </w:p>
    <w:p w14:paraId="0A62C3A9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云端大模型完成数据分析、逻辑推理、内容生成，返回结构化结果；</w:t>
      </w:r>
    </w:p>
    <w:p w14:paraId="3BDA8211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中台校验结果合规性，结合本地知识库优化输出内容；</w:t>
      </w:r>
    </w:p>
    <w:p w14:paraId="136BF3F1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最终智能分析结果、报表、优化建议推送至前端门户展示，同步留存日志；</w:t>
      </w:r>
    </w:p>
    <w:p w14:paraId="75E96ABD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全程原始业务、工艺、经营数据留存企业内网，无外泄风险。</w:t>
      </w:r>
    </w:p>
    <w:p w14:paraId="0E02C2E0">
      <w:pPr>
        <w:spacing w:before="320" w:after="120" w:line="288" w:lineRule="auto"/>
        <w:ind w:left="0"/>
        <w:jc w:val="left"/>
        <w:outlineLvl w:val="1"/>
        <w:rPr>
          <w:rFonts w:hint="default" w:eastAsia="等线"/>
          <w:lang w:val="en-US" w:eastAsia="zh-CN"/>
        </w:rPr>
      </w:pPr>
      <w:bookmarkStart w:id="20" w:name="heading_20"/>
      <w:r>
        <w:rPr>
          <w:rFonts w:ascii="Arial" w:hAnsi="Arial" w:eastAsia="等线" w:cs="Arial"/>
          <w:b/>
          <w:sz w:val="32"/>
        </w:rPr>
        <w:t>六、</w:t>
      </w:r>
      <w:bookmarkEnd w:id="20"/>
      <w:r>
        <w:rPr>
          <w:rFonts w:hint="eastAsia" w:ascii="Arial" w:hAnsi="Arial" w:eastAsia="等线" w:cs="Arial"/>
          <w:b/>
          <w:sz w:val="32"/>
          <w:lang w:val="en-US" w:eastAsia="zh-CN"/>
        </w:rPr>
        <w:t>管理与应用分离架构</w:t>
      </w:r>
    </w:p>
    <w:p w14:paraId="52F51EBA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管理中心进行多数据中心、多用户、多组织管理，以及进行低代码表单、流程设计等；</w:t>
      </w:r>
    </w:p>
    <w:p w14:paraId="006BBF51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应用端实现所有功能操作，分数据中心登录，登录后可切换该数据中心的组织机构进行业务功能使用。</w:t>
      </w:r>
    </w:p>
    <w:p w14:paraId="162FDDF6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用户登录后的页面，顶部显示大模块导航；左侧为二级可收缩展开的菜单，右侧主页面为具体的应用功能。</w:t>
      </w:r>
      <w:bookmarkStart w:id="21" w:name="_GoBack"/>
      <w:bookmarkEnd w:id="2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BBF1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D0E7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4E0D24A"/>
    <w:multiLevelType w:val="singleLevel"/>
    <w:tmpl w:val="C4E0D24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504947C"/>
    <w:multiLevelType w:val="singleLevel"/>
    <w:tmpl w:val="E504947C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6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689643B"/>
    <w:multiLevelType w:val="singleLevel"/>
    <w:tmpl w:val="F68964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EC2EA36"/>
    <w:multiLevelType w:val="singleLevel"/>
    <w:tmpl w:val="FEC2EA3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8F74015"/>
    <w:multiLevelType w:val="singleLevel"/>
    <w:tmpl w:val="18F740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1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0A0AC00"/>
    <w:multiLevelType w:val="singleLevel"/>
    <w:tmpl w:val="30A0AC0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00FDCEF"/>
    <w:multiLevelType w:val="singleLevel"/>
    <w:tmpl w:val="700FDC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7DEC2089"/>
    <w:multiLevelType w:val="singleLevel"/>
    <w:tmpl w:val="7DEC2089"/>
    <w:lvl w:ilvl="0" w:tentative="0">
      <w:start w:val="6"/>
      <w:numFmt w:val="decimal"/>
      <w:lvlText w:val="%1."/>
      <w:lvlJc w:val="left"/>
      <w:rPr>
        <w:color w:val="3370FF"/>
      </w:rPr>
    </w:lvl>
  </w:abstractNum>
  <w:num w:numId="1">
    <w:abstractNumId w:val="31"/>
  </w:num>
  <w:num w:numId="2">
    <w:abstractNumId w:val="20"/>
  </w:num>
  <w:num w:numId="3">
    <w:abstractNumId w:val="62"/>
  </w:num>
  <w:num w:numId="4">
    <w:abstractNumId w:val="16"/>
  </w:num>
  <w:num w:numId="5">
    <w:abstractNumId w:val="12"/>
  </w:num>
  <w:num w:numId="6">
    <w:abstractNumId w:val="34"/>
  </w:num>
  <w:num w:numId="7">
    <w:abstractNumId w:val="46"/>
  </w:num>
  <w:num w:numId="8">
    <w:abstractNumId w:val="70"/>
  </w:num>
  <w:num w:numId="9">
    <w:abstractNumId w:val="32"/>
  </w:num>
  <w:num w:numId="10">
    <w:abstractNumId w:val="5"/>
  </w:num>
  <w:num w:numId="11">
    <w:abstractNumId w:val="47"/>
  </w:num>
  <w:num w:numId="12">
    <w:abstractNumId w:val="63"/>
  </w:num>
  <w:num w:numId="13">
    <w:abstractNumId w:val="19"/>
  </w:num>
  <w:num w:numId="14">
    <w:abstractNumId w:val="59"/>
  </w:num>
  <w:num w:numId="15">
    <w:abstractNumId w:val="27"/>
  </w:num>
  <w:num w:numId="16">
    <w:abstractNumId w:val="45"/>
  </w:num>
  <w:num w:numId="17">
    <w:abstractNumId w:val="23"/>
  </w:num>
  <w:num w:numId="18">
    <w:abstractNumId w:val="22"/>
  </w:num>
  <w:num w:numId="19">
    <w:abstractNumId w:val="7"/>
  </w:num>
  <w:num w:numId="20">
    <w:abstractNumId w:val="57"/>
  </w:num>
  <w:num w:numId="21">
    <w:abstractNumId w:val="66"/>
  </w:num>
  <w:num w:numId="22">
    <w:abstractNumId w:val="37"/>
  </w:num>
  <w:num w:numId="23">
    <w:abstractNumId w:val="56"/>
  </w:num>
  <w:num w:numId="24">
    <w:abstractNumId w:val="9"/>
  </w:num>
  <w:num w:numId="25">
    <w:abstractNumId w:val="74"/>
  </w:num>
  <w:num w:numId="26">
    <w:abstractNumId w:val="72"/>
  </w:num>
  <w:num w:numId="27">
    <w:abstractNumId w:val="15"/>
  </w:num>
  <w:num w:numId="28">
    <w:abstractNumId w:val="67"/>
  </w:num>
  <w:num w:numId="29">
    <w:abstractNumId w:val="6"/>
  </w:num>
  <w:num w:numId="30">
    <w:abstractNumId w:val="53"/>
  </w:num>
  <w:num w:numId="31">
    <w:abstractNumId w:val="2"/>
  </w:num>
  <w:num w:numId="32">
    <w:abstractNumId w:val="61"/>
  </w:num>
  <w:num w:numId="33">
    <w:abstractNumId w:val="75"/>
  </w:num>
  <w:num w:numId="34">
    <w:abstractNumId w:val="0"/>
  </w:num>
  <w:num w:numId="35">
    <w:abstractNumId w:val="44"/>
  </w:num>
  <w:num w:numId="36">
    <w:abstractNumId w:val="60"/>
  </w:num>
  <w:num w:numId="37">
    <w:abstractNumId w:val="29"/>
  </w:num>
  <w:num w:numId="38">
    <w:abstractNumId w:val="24"/>
  </w:num>
  <w:num w:numId="39">
    <w:abstractNumId w:val="49"/>
  </w:num>
  <w:num w:numId="40">
    <w:abstractNumId w:val="73"/>
  </w:num>
  <w:num w:numId="41">
    <w:abstractNumId w:val="14"/>
  </w:num>
  <w:num w:numId="42">
    <w:abstractNumId w:val="4"/>
  </w:num>
  <w:num w:numId="43">
    <w:abstractNumId w:val="13"/>
  </w:num>
  <w:num w:numId="44">
    <w:abstractNumId w:val="64"/>
  </w:num>
  <w:num w:numId="45">
    <w:abstractNumId w:val="1"/>
  </w:num>
  <w:num w:numId="46">
    <w:abstractNumId w:val="41"/>
  </w:num>
  <w:num w:numId="47">
    <w:abstractNumId w:val="3"/>
  </w:num>
  <w:num w:numId="48">
    <w:abstractNumId w:val="65"/>
  </w:num>
  <w:num w:numId="49">
    <w:abstractNumId w:val="71"/>
  </w:num>
  <w:num w:numId="50">
    <w:abstractNumId w:val="58"/>
  </w:num>
  <w:num w:numId="51">
    <w:abstractNumId w:val="50"/>
  </w:num>
  <w:num w:numId="52">
    <w:abstractNumId w:val="68"/>
  </w:num>
  <w:num w:numId="53">
    <w:abstractNumId w:val="35"/>
  </w:num>
  <w:num w:numId="54">
    <w:abstractNumId w:val="36"/>
  </w:num>
  <w:num w:numId="55">
    <w:abstractNumId w:val="21"/>
  </w:num>
  <w:num w:numId="56">
    <w:abstractNumId w:val="51"/>
  </w:num>
  <w:num w:numId="57">
    <w:abstractNumId w:val="42"/>
  </w:num>
  <w:num w:numId="58">
    <w:abstractNumId w:val="26"/>
  </w:num>
  <w:num w:numId="59">
    <w:abstractNumId w:val="43"/>
  </w:num>
  <w:num w:numId="60">
    <w:abstractNumId w:val="11"/>
  </w:num>
  <w:num w:numId="61">
    <w:abstractNumId w:val="55"/>
  </w:num>
  <w:num w:numId="62">
    <w:abstractNumId w:val="38"/>
  </w:num>
  <w:num w:numId="63">
    <w:abstractNumId w:val="52"/>
  </w:num>
  <w:num w:numId="64">
    <w:abstractNumId w:val="33"/>
  </w:num>
  <w:num w:numId="65">
    <w:abstractNumId w:val="17"/>
  </w:num>
  <w:num w:numId="66">
    <w:abstractNumId w:val="39"/>
  </w:num>
  <w:num w:numId="67">
    <w:abstractNumId w:val="10"/>
  </w:num>
  <w:num w:numId="68">
    <w:abstractNumId w:val="54"/>
  </w:num>
  <w:num w:numId="69">
    <w:abstractNumId w:val="8"/>
  </w:num>
  <w:num w:numId="70">
    <w:abstractNumId w:val="28"/>
  </w:num>
  <w:num w:numId="71">
    <w:abstractNumId w:val="48"/>
  </w:num>
  <w:num w:numId="72">
    <w:abstractNumId w:val="30"/>
  </w:num>
  <w:num w:numId="73">
    <w:abstractNumId w:val="40"/>
  </w:num>
  <w:num w:numId="74">
    <w:abstractNumId w:val="69"/>
  </w:num>
  <w:num w:numId="75">
    <w:abstractNumId w:val="25"/>
  </w:num>
  <w:num w:numId="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3A0CD1"/>
    <w:rsid w:val="73CA05CF"/>
    <w:rsid w:val="7B7517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3898</Words>
  <Characters>4205</Characters>
  <TotalTime>6</TotalTime>
  <ScaleCrop>false</ScaleCrop>
  <LinksUpToDate>false</LinksUpToDate>
  <CharactersWithSpaces>4235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2026-07-09T13:09:00Z</dcterms:created>
  <dc:creator>Apache POI</dc:creator>
  <cp:lastModifiedBy>麒麟甲</cp:lastModifiedBy>
  <dcterms:modified xsi:type="dcterms:W3CDTF">2026-07-09T13:16:27Z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{"Label":"1","ContentProducer":"001191110102MACQD9K64010000","ProduceID":"7660514569261403092","ReservedCode1":"","ContentPropagator":"","PropagateID":"","ReservedCode2":""}</vt:lpwstr>
  </property>
  <property fmtid="{D5CDD505-2E9C-101B-9397-08002B2CF9AE}" pid="3" name="KSOTemplateDocerSaveRecord">
    <vt:lpwstr>eyJoZGlkIjoiZDJkOGQyYzRiNWFiOTVjNDk3MWI0YmFjNTYxZWZmODciLCJ1c2VySWQiOiIzNDQ2NjcxMDYifQ==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73E7D262B5904AF39AEC87C4804B0C8D_13</vt:lpwstr>
  </property>
</Properties>
</file>