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7B30E115" w:rsidR="00E66A22" w:rsidRPr="00B81F61" w:rsidRDefault="009E64D0" w:rsidP="00E66A22">
      <w:pPr>
        <w:pStyle w:val="Ttulo"/>
        <w:rPr>
          <w:b/>
          <w:bCs/>
          <w:sz w:val="48"/>
          <w:szCs w:val="48"/>
        </w:rPr>
      </w:pPr>
      <w:r w:rsidRPr="009E64D0">
        <w:rPr>
          <w:b/>
          <w:bCs/>
          <w:sz w:val="48"/>
          <w:szCs w:val="48"/>
        </w:rPr>
        <w:t>4. VARIABLES. VAR, LET, CONST</w:t>
      </w:r>
    </w:p>
    <w:p w14:paraId="4B264C3B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🧩</w:t>
      </w:r>
      <w:r w:rsidRPr="009E64D0">
        <w:rPr>
          <w:b/>
          <w:bCs/>
        </w:rPr>
        <w:t xml:space="preserve"> Qué es una variable en JavaScript</w:t>
      </w:r>
    </w:p>
    <w:p w14:paraId="1747501F" w14:textId="77777777" w:rsidR="009E64D0" w:rsidRPr="009E64D0" w:rsidRDefault="009E64D0" w:rsidP="009E64D0">
      <w:r w:rsidRPr="009E64D0">
        <w:t xml:space="preserve">Una variable es un </w:t>
      </w:r>
      <w:r w:rsidRPr="009E64D0">
        <w:rPr>
          <w:b/>
          <w:bCs/>
        </w:rPr>
        <w:t>identificador que almacena un valor</w:t>
      </w:r>
      <w:r w:rsidRPr="009E64D0">
        <w:t>. Ese valor puede cambiar o no según cómo se haya declarado. JavaScript permite declarar variables de tres formas modernas:</w:t>
      </w:r>
    </w:p>
    <w:p w14:paraId="25D98330" w14:textId="77777777" w:rsidR="009E64D0" w:rsidRPr="009E64D0" w:rsidRDefault="009E64D0" w:rsidP="009E64D0">
      <w:pPr>
        <w:numPr>
          <w:ilvl w:val="0"/>
          <w:numId w:val="25"/>
        </w:numPr>
      </w:pPr>
      <w:r w:rsidRPr="009E64D0">
        <w:rPr>
          <w:b/>
          <w:bCs/>
        </w:rPr>
        <w:t>var</w:t>
      </w:r>
      <w:r w:rsidRPr="009E64D0">
        <w:t xml:space="preserve"> — la forma antigua, con alcance amplio.</w:t>
      </w:r>
    </w:p>
    <w:p w14:paraId="248A9EAF" w14:textId="77777777" w:rsidR="009E64D0" w:rsidRPr="009E64D0" w:rsidRDefault="009E64D0" w:rsidP="009E64D0">
      <w:pPr>
        <w:numPr>
          <w:ilvl w:val="0"/>
          <w:numId w:val="25"/>
        </w:numPr>
      </w:pPr>
      <w:r w:rsidRPr="009E64D0">
        <w:rPr>
          <w:b/>
          <w:bCs/>
        </w:rPr>
        <w:t>let</w:t>
      </w:r>
      <w:r w:rsidRPr="009E64D0">
        <w:t xml:space="preserve"> — introducida en ES6, con alcance de bloque.</w:t>
      </w:r>
    </w:p>
    <w:p w14:paraId="74F655AB" w14:textId="77777777" w:rsidR="009E64D0" w:rsidRPr="009E64D0" w:rsidRDefault="009E64D0" w:rsidP="009E64D0">
      <w:pPr>
        <w:numPr>
          <w:ilvl w:val="0"/>
          <w:numId w:val="25"/>
        </w:numPr>
      </w:pPr>
      <w:r w:rsidRPr="009E64D0">
        <w:rPr>
          <w:b/>
          <w:bCs/>
        </w:rPr>
        <w:t>const</w:t>
      </w:r>
      <w:r w:rsidRPr="009E64D0">
        <w:t xml:space="preserve"> — también de ES6, para valores que no deben reasignarse.</w:t>
      </w:r>
    </w:p>
    <w:p w14:paraId="294186DF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🧱</w:t>
      </w:r>
      <w:r w:rsidRPr="009E64D0">
        <w:rPr>
          <w:b/>
          <w:bCs/>
        </w:rPr>
        <w:t xml:space="preserve"> var: alcance amplio y comportamiento tradicional</w:t>
      </w:r>
    </w:p>
    <w:p w14:paraId="51DFD554" w14:textId="77777777" w:rsidR="009E64D0" w:rsidRPr="009E64D0" w:rsidRDefault="009E64D0" w:rsidP="009E64D0">
      <w:r w:rsidRPr="009E64D0">
        <w:t>var fue la única forma de declarar variables hasta ES6. Su comportamiento es más permisivo, pero también más propenso a errores.</w:t>
      </w:r>
    </w:p>
    <w:p w14:paraId="1307D9D3" w14:textId="77777777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t>Características</w:t>
      </w:r>
    </w:p>
    <w:p w14:paraId="2F3C331E" w14:textId="77777777" w:rsidR="009E64D0" w:rsidRPr="009E64D0" w:rsidRDefault="009E64D0" w:rsidP="009E64D0">
      <w:pPr>
        <w:numPr>
          <w:ilvl w:val="0"/>
          <w:numId w:val="26"/>
        </w:numPr>
      </w:pPr>
      <w:r w:rsidRPr="009E64D0">
        <w:rPr>
          <w:b/>
          <w:bCs/>
        </w:rPr>
        <w:t>Ámbito de función o global</w:t>
      </w:r>
      <w:r w:rsidRPr="009E64D0">
        <w:t>, nunca de bloque.</w:t>
      </w:r>
    </w:p>
    <w:p w14:paraId="3381D9F8" w14:textId="77777777" w:rsidR="009E64D0" w:rsidRPr="009E64D0" w:rsidRDefault="009E64D0" w:rsidP="009E64D0">
      <w:pPr>
        <w:numPr>
          <w:ilvl w:val="0"/>
          <w:numId w:val="26"/>
        </w:numPr>
      </w:pPr>
      <w:r w:rsidRPr="009E64D0">
        <w:rPr>
          <w:b/>
          <w:bCs/>
        </w:rPr>
        <w:t>Permite redeclaración</w:t>
      </w:r>
      <w:r w:rsidRPr="009E64D0">
        <w:t xml:space="preserve"> dentro del mismo ámbito.</w:t>
      </w:r>
    </w:p>
    <w:p w14:paraId="1793D14B" w14:textId="77777777" w:rsidR="009E64D0" w:rsidRPr="009E64D0" w:rsidRDefault="009E64D0" w:rsidP="009E64D0">
      <w:pPr>
        <w:numPr>
          <w:ilvl w:val="0"/>
          <w:numId w:val="26"/>
        </w:numPr>
      </w:pPr>
      <w:r w:rsidRPr="009E64D0">
        <w:rPr>
          <w:b/>
          <w:bCs/>
        </w:rPr>
        <w:t>Permite reasignación</w:t>
      </w:r>
      <w:r w:rsidRPr="009E64D0">
        <w:t>.</w:t>
      </w:r>
    </w:p>
    <w:p w14:paraId="1CD0E7B1" w14:textId="77777777" w:rsidR="009E64D0" w:rsidRPr="009E64D0" w:rsidRDefault="009E64D0" w:rsidP="009E64D0">
      <w:pPr>
        <w:numPr>
          <w:ilvl w:val="0"/>
          <w:numId w:val="26"/>
        </w:numPr>
      </w:pPr>
      <w:r w:rsidRPr="009E64D0">
        <w:t xml:space="preserve">Se ve afectada por el </w:t>
      </w:r>
      <w:r w:rsidRPr="009E64D0">
        <w:rPr>
          <w:b/>
          <w:bCs/>
        </w:rPr>
        <w:t>hoisting</w:t>
      </w:r>
      <w:r w:rsidRPr="009E64D0">
        <w:t>, quedando declarada al inicio del ámbito.</w:t>
      </w:r>
    </w:p>
    <w:p w14:paraId="155522AE" w14:textId="77777777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t>Ejemplo</w:t>
      </w:r>
    </w:p>
    <w:p w14:paraId="7EB7F442" w14:textId="6352C945" w:rsidR="00B81F61" w:rsidRDefault="009E64D0" w:rsidP="00C4261C">
      <w:r w:rsidRPr="009E64D0">
        <w:rPr>
          <w:noProof/>
        </w:rPr>
        <w:drawing>
          <wp:inline distT="0" distB="0" distL="0" distR="0" wp14:anchorId="7A003A06" wp14:editId="75BEEFD6">
            <wp:extent cx="4410691" cy="111458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AFB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🧱</w:t>
      </w:r>
      <w:r w:rsidRPr="009E64D0">
        <w:rPr>
          <w:b/>
          <w:bCs/>
        </w:rPr>
        <w:t xml:space="preserve"> let: alcance de bloque y mayor control</w:t>
      </w:r>
    </w:p>
    <w:p w14:paraId="4915E529" w14:textId="77777777" w:rsidR="009E64D0" w:rsidRPr="009E64D0" w:rsidRDefault="009E64D0" w:rsidP="009E64D0">
      <w:r w:rsidRPr="009E64D0">
        <w:t xml:space="preserve">let es la forma recomendada para variables que cambiarán, pero que deben estar </w:t>
      </w:r>
      <w:r w:rsidRPr="009E64D0">
        <w:rPr>
          <w:b/>
          <w:bCs/>
        </w:rPr>
        <w:t>limitadas al bloque donde se declaran</w:t>
      </w:r>
      <w:r w:rsidRPr="009E64D0">
        <w:t>.</w:t>
      </w:r>
    </w:p>
    <w:p w14:paraId="680537E6" w14:textId="77777777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t>Características</w:t>
      </w:r>
    </w:p>
    <w:p w14:paraId="2B3E62E0" w14:textId="77777777" w:rsidR="009E64D0" w:rsidRPr="009E64D0" w:rsidRDefault="009E64D0" w:rsidP="009E64D0">
      <w:pPr>
        <w:numPr>
          <w:ilvl w:val="0"/>
          <w:numId w:val="27"/>
        </w:numPr>
      </w:pPr>
      <w:r w:rsidRPr="009E64D0">
        <w:rPr>
          <w:b/>
          <w:bCs/>
        </w:rPr>
        <w:t>Ámbito de bloque</w:t>
      </w:r>
      <w:r w:rsidRPr="009E64D0">
        <w:t xml:space="preserve"> (entre llaves { }).</w:t>
      </w:r>
    </w:p>
    <w:p w14:paraId="1363E992" w14:textId="77777777" w:rsidR="009E64D0" w:rsidRPr="009E64D0" w:rsidRDefault="009E64D0" w:rsidP="009E64D0">
      <w:pPr>
        <w:numPr>
          <w:ilvl w:val="0"/>
          <w:numId w:val="27"/>
        </w:numPr>
      </w:pPr>
      <w:r w:rsidRPr="009E64D0">
        <w:rPr>
          <w:b/>
          <w:bCs/>
        </w:rPr>
        <w:t>No permite redeclaración</w:t>
      </w:r>
      <w:r w:rsidRPr="009E64D0">
        <w:t xml:space="preserve"> en el mismo bloque.</w:t>
      </w:r>
    </w:p>
    <w:p w14:paraId="7B04305F" w14:textId="77777777" w:rsidR="009E64D0" w:rsidRPr="009E64D0" w:rsidRDefault="009E64D0" w:rsidP="009E64D0">
      <w:pPr>
        <w:numPr>
          <w:ilvl w:val="0"/>
          <w:numId w:val="27"/>
        </w:numPr>
      </w:pPr>
      <w:r w:rsidRPr="009E64D0">
        <w:rPr>
          <w:b/>
          <w:bCs/>
        </w:rPr>
        <w:t>Permite reasignación</w:t>
      </w:r>
      <w:r w:rsidRPr="009E64D0">
        <w:t>.</w:t>
      </w:r>
    </w:p>
    <w:p w14:paraId="6AC09E67" w14:textId="77777777" w:rsidR="009E64D0" w:rsidRPr="009E64D0" w:rsidRDefault="009E64D0" w:rsidP="009E64D0">
      <w:pPr>
        <w:numPr>
          <w:ilvl w:val="0"/>
          <w:numId w:val="27"/>
        </w:numPr>
      </w:pPr>
      <w:r w:rsidRPr="009E64D0">
        <w:t xml:space="preserve">Tiene </w:t>
      </w:r>
      <w:r w:rsidRPr="009E64D0">
        <w:rPr>
          <w:b/>
          <w:bCs/>
        </w:rPr>
        <w:t>zona muerta temporal</w:t>
      </w:r>
      <w:r w:rsidRPr="009E64D0">
        <w:t xml:space="preserve">, evitando usarla antes de declararla. </w:t>
      </w:r>
    </w:p>
    <w:p w14:paraId="667C67D2" w14:textId="77777777" w:rsidR="00C50A55" w:rsidRDefault="00C50A55" w:rsidP="009E64D0">
      <w:pPr>
        <w:rPr>
          <w:b/>
          <w:bCs/>
        </w:rPr>
      </w:pPr>
    </w:p>
    <w:p w14:paraId="37AD858C" w14:textId="77777777" w:rsidR="00C50A55" w:rsidRDefault="00C50A55" w:rsidP="009E64D0">
      <w:pPr>
        <w:rPr>
          <w:b/>
          <w:bCs/>
        </w:rPr>
      </w:pPr>
    </w:p>
    <w:p w14:paraId="09CDF067" w14:textId="77777777" w:rsidR="00C50A55" w:rsidRDefault="00C50A55" w:rsidP="009E64D0">
      <w:pPr>
        <w:rPr>
          <w:b/>
          <w:bCs/>
        </w:rPr>
      </w:pPr>
    </w:p>
    <w:p w14:paraId="6BF0A868" w14:textId="77777777" w:rsidR="00C50A55" w:rsidRDefault="00C50A55" w:rsidP="009E64D0">
      <w:pPr>
        <w:rPr>
          <w:b/>
          <w:bCs/>
        </w:rPr>
      </w:pPr>
    </w:p>
    <w:p w14:paraId="7A89B2DA" w14:textId="3C8C42EF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lastRenderedPageBreak/>
        <w:t>Ejemplo</w:t>
      </w:r>
    </w:p>
    <w:p w14:paraId="65EBA43A" w14:textId="6A677F58" w:rsidR="009E64D0" w:rsidRDefault="009E64D0" w:rsidP="00C4261C">
      <w:r w:rsidRPr="009E64D0">
        <w:rPr>
          <w:noProof/>
        </w:rPr>
        <w:drawing>
          <wp:inline distT="0" distB="0" distL="0" distR="0" wp14:anchorId="1F8D495C" wp14:editId="0A44019A">
            <wp:extent cx="4210638" cy="110505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611A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🧱</w:t>
      </w:r>
      <w:r w:rsidRPr="009E64D0">
        <w:rPr>
          <w:b/>
          <w:bCs/>
        </w:rPr>
        <w:t xml:space="preserve"> const: valores constantes (pero objetos mutables)</w:t>
      </w:r>
    </w:p>
    <w:p w14:paraId="23D3D2C7" w14:textId="77777777" w:rsidR="009E64D0" w:rsidRPr="009E64D0" w:rsidRDefault="009E64D0" w:rsidP="009E64D0">
      <w:r w:rsidRPr="009E64D0">
        <w:t xml:space="preserve">const se usa para valores que </w:t>
      </w:r>
      <w:r w:rsidRPr="009E64D0">
        <w:rPr>
          <w:b/>
          <w:bCs/>
        </w:rPr>
        <w:t>no deben reasignarse</w:t>
      </w:r>
      <w:r w:rsidRPr="009E64D0">
        <w:t>, aunque el contenido interno de objetos y arrays sí puede cambiar.</w:t>
      </w:r>
    </w:p>
    <w:p w14:paraId="1049D5D7" w14:textId="77777777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t>Características</w:t>
      </w:r>
    </w:p>
    <w:p w14:paraId="7B9D5FC2" w14:textId="77777777" w:rsidR="009E64D0" w:rsidRPr="009E64D0" w:rsidRDefault="009E64D0" w:rsidP="009E64D0">
      <w:pPr>
        <w:numPr>
          <w:ilvl w:val="0"/>
          <w:numId w:val="28"/>
        </w:numPr>
      </w:pPr>
      <w:r w:rsidRPr="009E64D0">
        <w:rPr>
          <w:b/>
          <w:bCs/>
        </w:rPr>
        <w:t>Ámbito de bloque</w:t>
      </w:r>
      <w:r w:rsidRPr="009E64D0">
        <w:t>.</w:t>
      </w:r>
    </w:p>
    <w:p w14:paraId="5F6FA0B1" w14:textId="77777777" w:rsidR="009E64D0" w:rsidRPr="009E64D0" w:rsidRDefault="009E64D0" w:rsidP="009E64D0">
      <w:pPr>
        <w:numPr>
          <w:ilvl w:val="0"/>
          <w:numId w:val="28"/>
        </w:numPr>
      </w:pPr>
      <w:r w:rsidRPr="009E64D0">
        <w:rPr>
          <w:b/>
          <w:bCs/>
        </w:rPr>
        <w:t>No permite redeclaración</w:t>
      </w:r>
      <w:r w:rsidRPr="009E64D0">
        <w:t>.</w:t>
      </w:r>
    </w:p>
    <w:p w14:paraId="58749305" w14:textId="77777777" w:rsidR="009E64D0" w:rsidRPr="009E64D0" w:rsidRDefault="009E64D0" w:rsidP="009E64D0">
      <w:pPr>
        <w:numPr>
          <w:ilvl w:val="0"/>
          <w:numId w:val="28"/>
        </w:numPr>
      </w:pPr>
      <w:r w:rsidRPr="009E64D0">
        <w:rPr>
          <w:b/>
          <w:bCs/>
        </w:rPr>
        <w:t>No permite reasignación</w:t>
      </w:r>
      <w:r w:rsidRPr="009E64D0">
        <w:t>.</w:t>
      </w:r>
    </w:p>
    <w:p w14:paraId="0B39162A" w14:textId="77777777" w:rsidR="009E64D0" w:rsidRPr="009E64D0" w:rsidRDefault="009E64D0" w:rsidP="009E64D0">
      <w:pPr>
        <w:numPr>
          <w:ilvl w:val="0"/>
          <w:numId w:val="28"/>
        </w:numPr>
      </w:pPr>
      <w:r w:rsidRPr="009E64D0">
        <w:t xml:space="preserve">Ideal para valores fijos o referencias que no deben cambiar. </w:t>
      </w:r>
    </w:p>
    <w:p w14:paraId="2813F997" w14:textId="77777777" w:rsidR="009E64D0" w:rsidRPr="009E64D0" w:rsidRDefault="009E64D0" w:rsidP="009E64D0">
      <w:pPr>
        <w:rPr>
          <w:b/>
          <w:bCs/>
        </w:rPr>
      </w:pPr>
      <w:r w:rsidRPr="009E64D0">
        <w:rPr>
          <w:b/>
          <w:bCs/>
        </w:rPr>
        <w:t>Ejemplo</w:t>
      </w:r>
    </w:p>
    <w:p w14:paraId="4A2130E6" w14:textId="261AC503" w:rsidR="009E64D0" w:rsidRDefault="009E64D0" w:rsidP="00C4261C">
      <w:r w:rsidRPr="009E64D0">
        <w:rPr>
          <w:noProof/>
        </w:rPr>
        <w:drawing>
          <wp:inline distT="0" distB="0" distL="0" distR="0" wp14:anchorId="6C04B923" wp14:editId="0C3F64A3">
            <wp:extent cx="4696480" cy="135273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4BD6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🔍</w:t>
      </w:r>
      <w:r w:rsidRPr="009E64D0">
        <w:rPr>
          <w:b/>
          <w:bCs/>
        </w:rPr>
        <w:t xml:space="preserve"> Comparación clara entre var, let y const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0"/>
        <w:gridCol w:w="2208"/>
        <w:gridCol w:w="2575"/>
        <w:gridCol w:w="2860"/>
      </w:tblGrid>
      <w:tr w:rsidR="009E64D0" w:rsidRPr="009E64D0" w14:paraId="3F04B538" w14:textId="77777777" w:rsidTr="009E64D0">
        <w:tc>
          <w:tcPr>
            <w:tcW w:w="0" w:type="auto"/>
            <w:hideMark/>
          </w:tcPr>
          <w:p w14:paraId="5CD63D9D" w14:textId="77777777" w:rsidR="009E64D0" w:rsidRPr="009E64D0" w:rsidRDefault="009E64D0" w:rsidP="009E64D0">
            <w:pPr>
              <w:spacing w:after="160" w:line="278" w:lineRule="auto"/>
              <w:rPr>
                <w:b/>
                <w:bCs/>
              </w:rPr>
            </w:pPr>
            <w:r w:rsidRPr="009E64D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220686F4" w14:textId="77777777" w:rsidR="009E64D0" w:rsidRPr="009E64D0" w:rsidRDefault="009E64D0" w:rsidP="009E64D0">
            <w:pPr>
              <w:spacing w:after="160" w:line="278" w:lineRule="auto"/>
              <w:rPr>
                <w:b/>
                <w:bCs/>
              </w:rPr>
            </w:pPr>
            <w:r w:rsidRPr="009E64D0">
              <w:rPr>
                <w:b/>
                <w:bCs/>
              </w:rPr>
              <w:t>var</w:t>
            </w:r>
          </w:p>
        </w:tc>
        <w:tc>
          <w:tcPr>
            <w:tcW w:w="0" w:type="auto"/>
            <w:hideMark/>
          </w:tcPr>
          <w:p w14:paraId="6F740D17" w14:textId="77777777" w:rsidR="009E64D0" w:rsidRPr="009E64D0" w:rsidRDefault="009E64D0" w:rsidP="009E64D0">
            <w:pPr>
              <w:spacing w:after="160" w:line="278" w:lineRule="auto"/>
              <w:rPr>
                <w:b/>
                <w:bCs/>
              </w:rPr>
            </w:pPr>
            <w:r w:rsidRPr="009E64D0">
              <w:rPr>
                <w:b/>
                <w:bCs/>
              </w:rPr>
              <w:t>let</w:t>
            </w:r>
          </w:p>
        </w:tc>
        <w:tc>
          <w:tcPr>
            <w:tcW w:w="0" w:type="auto"/>
            <w:hideMark/>
          </w:tcPr>
          <w:p w14:paraId="52270C03" w14:textId="77777777" w:rsidR="009E64D0" w:rsidRPr="009E64D0" w:rsidRDefault="009E64D0" w:rsidP="009E64D0">
            <w:pPr>
              <w:spacing w:after="160" w:line="278" w:lineRule="auto"/>
              <w:rPr>
                <w:b/>
                <w:bCs/>
              </w:rPr>
            </w:pPr>
            <w:r w:rsidRPr="009E64D0">
              <w:rPr>
                <w:b/>
                <w:bCs/>
              </w:rPr>
              <w:t>const</w:t>
            </w:r>
          </w:p>
        </w:tc>
      </w:tr>
      <w:tr w:rsidR="009E64D0" w:rsidRPr="009E64D0" w14:paraId="4201FDFF" w14:textId="77777777" w:rsidTr="009E64D0">
        <w:tc>
          <w:tcPr>
            <w:tcW w:w="0" w:type="auto"/>
            <w:hideMark/>
          </w:tcPr>
          <w:p w14:paraId="32A8EEED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Ámbito</w:t>
            </w:r>
          </w:p>
        </w:tc>
        <w:tc>
          <w:tcPr>
            <w:tcW w:w="0" w:type="auto"/>
            <w:hideMark/>
          </w:tcPr>
          <w:p w14:paraId="15E2BBD0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Función / global</w:t>
            </w:r>
          </w:p>
        </w:tc>
        <w:tc>
          <w:tcPr>
            <w:tcW w:w="0" w:type="auto"/>
            <w:hideMark/>
          </w:tcPr>
          <w:p w14:paraId="364BD981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Bloque</w:t>
            </w:r>
          </w:p>
        </w:tc>
        <w:tc>
          <w:tcPr>
            <w:tcW w:w="0" w:type="auto"/>
            <w:hideMark/>
          </w:tcPr>
          <w:p w14:paraId="16E3F385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Bloque</w:t>
            </w:r>
          </w:p>
        </w:tc>
      </w:tr>
      <w:tr w:rsidR="009E64D0" w:rsidRPr="009E64D0" w14:paraId="2E1B8376" w14:textId="77777777" w:rsidTr="009E64D0">
        <w:tc>
          <w:tcPr>
            <w:tcW w:w="0" w:type="auto"/>
            <w:hideMark/>
          </w:tcPr>
          <w:p w14:paraId="617A00D1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Redeclaración</w:t>
            </w:r>
          </w:p>
        </w:tc>
        <w:tc>
          <w:tcPr>
            <w:tcW w:w="0" w:type="auto"/>
            <w:hideMark/>
          </w:tcPr>
          <w:p w14:paraId="207E4252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</w:t>
            </w:r>
          </w:p>
        </w:tc>
        <w:tc>
          <w:tcPr>
            <w:tcW w:w="0" w:type="auto"/>
            <w:hideMark/>
          </w:tcPr>
          <w:p w14:paraId="26C308F3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No</w:t>
            </w:r>
          </w:p>
        </w:tc>
        <w:tc>
          <w:tcPr>
            <w:tcW w:w="0" w:type="auto"/>
            <w:hideMark/>
          </w:tcPr>
          <w:p w14:paraId="233B1EDB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No</w:t>
            </w:r>
          </w:p>
        </w:tc>
      </w:tr>
      <w:tr w:rsidR="009E64D0" w:rsidRPr="009E64D0" w14:paraId="58F645E0" w14:textId="77777777" w:rsidTr="009E64D0">
        <w:tc>
          <w:tcPr>
            <w:tcW w:w="0" w:type="auto"/>
            <w:hideMark/>
          </w:tcPr>
          <w:p w14:paraId="708F1FC7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Reasignación</w:t>
            </w:r>
          </w:p>
        </w:tc>
        <w:tc>
          <w:tcPr>
            <w:tcW w:w="0" w:type="auto"/>
            <w:hideMark/>
          </w:tcPr>
          <w:p w14:paraId="3DC3144C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</w:t>
            </w:r>
          </w:p>
        </w:tc>
        <w:tc>
          <w:tcPr>
            <w:tcW w:w="0" w:type="auto"/>
            <w:hideMark/>
          </w:tcPr>
          <w:p w14:paraId="7FEE7CF3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</w:t>
            </w:r>
          </w:p>
        </w:tc>
        <w:tc>
          <w:tcPr>
            <w:tcW w:w="0" w:type="auto"/>
            <w:hideMark/>
          </w:tcPr>
          <w:p w14:paraId="7B3C7235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No</w:t>
            </w:r>
          </w:p>
        </w:tc>
      </w:tr>
      <w:tr w:rsidR="009E64D0" w:rsidRPr="009E64D0" w14:paraId="7340F26A" w14:textId="77777777" w:rsidTr="009E64D0">
        <w:tc>
          <w:tcPr>
            <w:tcW w:w="0" w:type="auto"/>
            <w:hideMark/>
          </w:tcPr>
          <w:p w14:paraId="7AE38E7E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Hoisting</w:t>
            </w:r>
          </w:p>
        </w:tc>
        <w:tc>
          <w:tcPr>
            <w:tcW w:w="0" w:type="auto"/>
            <w:hideMark/>
          </w:tcPr>
          <w:p w14:paraId="06DE7C1A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 (valor undefined)</w:t>
            </w:r>
          </w:p>
        </w:tc>
        <w:tc>
          <w:tcPr>
            <w:tcW w:w="0" w:type="auto"/>
            <w:hideMark/>
          </w:tcPr>
          <w:p w14:paraId="204B9C88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 (zona muerta)</w:t>
            </w:r>
          </w:p>
        </w:tc>
        <w:tc>
          <w:tcPr>
            <w:tcW w:w="0" w:type="auto"/>
            <w:hideMark/>
          </w:tcPr>
          <w:p w14:paraId="0FC0D1E5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Sí (zona muerta)</w:t>
            </w:r>
          </w:p>
        </w:tc>
      </w:tr>
      <w:tr w:rsidR="009E64D0" w:rsidRPr="009E64D0" w14:paraId="432DE161" w14:textId="77777777" w:rsidTr="009E64D0">
        <w:tc>
          <w:tcPr>
            <w:tcW w:w="0" w:type="auto"/>
            <w:hideMark/>
          </w:tcPr>
          <w:p w14:paraId="1DA0BD81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Uso recomendado</w:t>
            </w:r>
          </w:p>
        </w:tc>
        <w:tc>
          <w:tcPr>
            <w:tcW w:w="0" w:type="auto"/>
            <w:hideMark/>
          </w:tcPr>
          <w:p w14:paraId="3A92AE0B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Evitar</w:t>
            </w:r>
          </w:p>
        </w:tc>
        <w:tc>
          <w:tcPr>
            <w:tcW w:w="0" w:type="auto"/>
            <w:hideMark/>
          </w:tcPr>
          <w:p w14:paraId="282BADF8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Variables que cambian</w:t>
            </w:r>
          </w:p>
        </w:tc>
        <w:tc>
          <w:tcPr>
            <w:tcW w:w="0" w:type="auto"/>
            <w:hideMark/>
          </w:tcPr>
          <w:p w14:paraId="2EBDD1FF" w14:textId="77777777" w:rsidR="009E64D0" w:rsidRPr="009E64D0" w:rsidRDefault="009E64D0" w:rsidP="009E64D0">
            <w:pPr>
              <w:spacing w:after="160" w:line="278" w:lineRule="auto"/>
            </w:pPr>
            <w:r w:rsidRPr="009E64D0">
              <w:t>Valores fijos o referencias</w:t>
            </w:r>
          </w:p>
        </w:tc>
      </w:tr>
    </w:tbl>
    <w:p w14:paraId="522C137D" w14:textId="77777777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t>🧠</w:t>
      </w:r>
      <w:r w:rsidRPr="009E64D0">
        <w:rPr>
          <w:b/>
          <w:bCs/>
        </w:rPr>
        <w:t xml:space="preserve"> Cómo elegir entre var, let y const</w:t>
      </w:r>
    </w:p>
    <w:p w14:paraId="7FF486A9" w14:textId="77777777" w:rsidR="009E64D0" w:rsidRPr="009E64D0" w:rsidRDefault="009E64D0" w:rsidP="009E64D0">
      <w:r w:rsidRPr="009E64D0">
        <w:t>Las guías modernas recomiendan:</w:t>
      </w:r>
    </w:p>
    <w:p w14:paraId="62DF02F2" w14:textId="77777777" w:rsidR="009E64D0" w:rsidRPr="009E64D0" w:rsidRDefault="009E64D0" w:rsidP="009E64D0">
      <w:pPr>
        <w:numPr>
          <w:ilvl w:val="0"/>
          <w:numId w:val="29"/>
        </w:numPr>
      </w:pPr>
      <w:r w:rsidRPr="009E64D0">
        <w:rPr>
          <w:b/>
          <w:bCs/>
        </w:rPr>
        <w:t>Usar const por defecto</w:t>
      </w:r>
      <w:r w:rsidRPr="009E64D0">
        <w:t xml:space="preserve"> para evitar cambios accidentales.</w:t>
      </w:r>
    </w:p>
    <w:p w14:paraId="2080DA01" w14:textId="77777777" w:rsidR="009E64D0" w:rsidRPr="009E64D0" w:rsidRDefault="009E64D0" w:rsidP="009E64D0">
      <w:pPr>
        <w:numPr>
          <w:ilvl w:val="0"/>
          <w:numId w:val="29"/>
        </w:numPr>
      </w:pPr>
      <w:r w:rsidRPr="009E64D0">
        <w:rPr>
          <w:b/>
          <w:bCs/>
        </w:rPr>
        <w:t>Usar let solo cuando el valor vaya a cambiar</w:t>
      </w:r>
      <w:r w:rsidRPr="009E64D0">
        <w:t>.</w:t>
      </w:r>
    </w:p>
    <w:p w14:paraId="0A3814E9" w14:textId="77777777" w:rsidR="009E64D0" w:rsidRPr="009E64D0" w:rsidRDefault="009E64D0" w:rsidP="009E64D0">
      <w:pPr>
        <w:numPr>
          <w:ilvl w:val="0"/>
          <w:numId w:val="29"/>
        </w:numPr>
      </w:pPr>
      <w:r w:rsidRPr="009E64D0">
        <w:rPr>
          <w:b/>
          <w:bCs/>
        </w:rPr>
        <w:t>Evitar var</w:t>
      </w:r>
      <w:r w:rsidRPr="009E64D0">
        <w:t xml:space="preserve"> porque su alcance amplio y su hoisting pueden generar errores difíciles de detectar. </w:t>
      </w:r>
    </w:p>
    <w:p w14:paraId="75EE06E1" w14:textId="77777777" w:rsidR="00C50A55" w:rsidRDefault="00C50A55" w:rsidP="009E64D0">
      <w:pPr>
        <w:rPr>
          <w:rFonts w:ascii="Segoe UI Emoji" w:hAnsi="Segoe UI Emoji" w:cs="Segoe UI Emoji"/>
          <w:b/>
          <w:bCs/>
        </w:rPr>
      </w:pPr>
    </w:p>
    <w:p w14:paraId="2486D922" w14:textId="0A7998F8" w:rsidR="009E64D0" w:rsidRPr="009E64D0" w:rsidRDefault="009E64D0" w:rsidP="009E64D0">
      <w:pPr>
        <w:rPr>
          <w:b/>
          <w:bCs/>
        </w:rPr>
      </w:pPr>
      <w:r w:rsidRPr="009E64D0">
        <w:rPr>
          <w:rFonts w:ascii="Segoe UI Emoji" w:hAnsi="Segoe UI Emoji" w:cs="Segoe UI Emoji"/>
          <w:b/>
          <w:bCs/>
        </w:rPr>
        <w:lastRenderedPageBreak/>
        <w:t>📝</w:t>
      </w:r>
      <w:r w:rsidRPr="009E64D0">
        <w:rPr>
          <w:b/>
          <w:bCs/>
        </w:rPr>
        <w:t xml:space="preserve"> Resumen para estudiar</w:t>
      </w:r>
    </w:p>
    <w:p w14:paraId="6444A073" w14:textId="77777777" w:rsidR="009E64D0" w:rsidRPr="009E64D0" w:rsidRDefault="009E64D0" w:rsidP="009E64D0">
      <w:pPr>
        <w:numPr>
          <w:ilvl w:val="0"/>
          <w:numId w:val="30"/>
        </w:numPr>
      </w:pPr>
      <w:r w:rsidRPr="009E64D0">
        <w:t>var tiene alcance de función y permite redeclaración; es la opción menos segura.</w:t>
      </w:r>
    </w:p>
    <w:p w14:paraId="37CC5756" w14:textId="77777777" w:rsidR="009E64D0" w:rsidRPr="009E64D0" w:rsidRDefault="009E64D0" w:rsidP="009E64D0">
      <w:pPr>
        <w:numPr>
          <w:ilvl w:val="0"/>
          <w:numId w:val="30"/>
        </w:numPr>
      </w:pPr>
      <w:r w:rsidRPr="009E64D0">
        <w:t>let tiene alcance de bloque y permite reasignación, pero no redeclaración.</w:t>
      </w:r>
    </w:p>
    <w:p w14:paraId="353F45E0" w14:textId="77777777" w:rsidR="009E64D0" w:rsidRPr="009E64D0" w:rsidRDefault="009E64D0" w:rsidP="009E64D0">
      <w:pPr>
        <w:numPr>
          <w:ilvl w:val="0"/>
          <w:numId w:val="30"/>
        </w:numPr>
      </w:pPr>
      <w:r w:rsidRPr="009E64D0">
        <w:t>const también es de bloque, pero no permite reasignación.</w:t>
      </w:r>
    </w:p>
    <w:p w14:paraId="57686EBA" w14:textId="77777777" w:rsidR="009E64D0" w:rsidRPr="009E64D0" w:rsidRDefault="009E64D0" w:rsidP="009E64D0">
      <w:pPr>
        <w:numPr>
          <w:ilvl w:val="0"/>
          <w:numId w:val="30"/>
        </w:numPr>
      </w:pPr>
      <w:r w:rsidRPr="009E64D0">
        <w:t>La elección correcta mejora la legibilidad, evita errores y hace el código más predecible.</w:t>
      </w:r>
    </w:p>
    <w:p w14:paraId="7F768D8F" w14:textId="77777777" w:rsidR="009E64D0" w:rsidRPr="00B81F61" w:rsidRDefault="009E64D0" w:rsidP="00C4261C"/>
    <w:p w14:paraId="1A83512C" w14:textId="77777777" w:rsidR="00D164F7" w:rsidRDefault="00D164F7"/>
    <w:sectPr w:rsidR="00D164F7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EA5"/>
    <w:multiLevelType w:val="multilevel"/>
    <w:tmpl w:val="9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3B57"/>
    <w:multiLevelType w:val="multilevel"/>
    <w:tmpl w:val="65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0681"/>
    <w:multiLevelType w:val="multilevel"/>
    <w:tmpl w:val="66D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F665B"/>
    <w:multiLevelType w:val="multilevel"/>
    <w:tmpl w:val="202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B0839"/>
    <w:multiLevelType w:val="multilevel"/>
    <w:tmpl w:val="23F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73A3E"/>
    <w:multiLevelType w:val="multilevel"/>
    <w:tmpl w:val="57E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D032F9"/>
    <w:multiLevelType w:val="multilevel"/>
    <w:tmpl w:val="67C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77E92"/>
    <w:multiLevelType w:val="multilevel"/>
    <w:tmpl w:val="1C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06FD1"/>
    <w:multiLevelType w:val="multilevel"/>
    <w:tmpl w:val="055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15D9A"/>
    <w:multiLevelType w:val="multilevel"/>
    <w:tmpl w:val="567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E7CC0"/>
    <w:multiLevelType w:val="multilevel"/>
    <w:tmpl w:val="51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26"/>
  </w:num>
  <w:num w:numId="2" w16cid:durableId="607082112">
    <w:abstractNumId w:val="12"/>
  </w:num>
  <w:num w:numId="3" w16cid:durableId="1751197882">
    <w:abstractNumId w:val="10"/>
  </w:num>
  <w:num w:numId="4" w16cid:durableId="1281186402">
    <w:abstractNumId w:val="0"/>
  </w:num>
  <w:num w:numId="5" w16cid:durableId="1718317943">
    <w:abstractNumId w:val="15"/>
  </w:num>
  <w:num w:numId="6" w16cid:durableId="1672875754">
    <w:abstractNumId w:val="16"/>
  </w:num>
  <w:num w:numId="7" w16cid:durableId="319427926">
    <w:abstractNumId w:val="19"/>
  </w:num>
  <w:num w:numId="8" w16cid:durableId="299386453">
    <w:abstractNumId w:val="7"/>
  </w:num>
  <w:num w:numId="9" w16cid:durableId="1577669859">
    <w:abstractNumId w:val="21"/>
  </w:num>
  <w:num w:numId="10" w16cid:durableId="374356512">
    <w:abstractNumId w:val="3"/>
  </w:num>
  <w:num w:numId="11" w16cid:durableId="1006635139">
    <w:abstractNumId w:val="4"/>
  </w:num>
  <w:num w:numId="12" w16cid:durableId="158859854">
    <w:abstractNumId w:val="9"/>
  </w:num>
  <w:num w:numId="13" w16cid:durableId="1111509269">
    <w:abstractNumId w:val="8"/>
  </w:num>
  <w:num w:numId="14" w16cid:durableId="141239986">
    <w:abstractNumId w:val="25"/>
  </w:num>
  <w:num w:numId="15" w16cid:durableId="508714470">
    <w:abstractNumId w:val="14"/>
  </w:num>
  <w:num w:numId="16" w16cid:durableId="234364464">
    <w:abstractNumId w:val="1"/>
  </w:num>
  <w:num w:numId="17" w16cid:durableId="1323705791">
    <w:abstractNumId w:val="28"/>
  </w:num>
  <w:num w:numId="18" w16cid:durableId="1742749642">
    <w:abstractNumId w:val="13"/>
  </w:num>
  <w:num w:numId="19" w16cid:durableId="1103643824">
    <w:abstractNumId w:val="22"/>
  </w:num>
  <w:num w:numId="20" w16cid:durableId="1410930292">
    <w:abstractNumId w:val="23"/>
  </w:num>
  <w:num w:numId="21" w16cid:durableId="1009451403">
    <w:abstractNumId w:val="29"/>
  </w:num>
  <w:num w:numId="22" w16cid:durableId="1893878548">
    <w:abstractNumId w:val="18"/>
  </w:num>
  <w:num w:numId="23" w16cid:durableId="1263537961">
    <w:abstractNumId w:val="2"/>
  </w:num>
  <w:num w:numId="24" w16cid:durableId="140313119">
    <w:abstractNumId w:val="11"/>
  </w:num>
  <w:num w:numId="25" w16cid:durableId="1135180133">
    <w:abstractNumId w:val="27"/>
  </w:num>
  <w:num w:numId="26" w16cid:durableId="65032239">
    <w:abstractNumId w:val="24"/>
  </w:num>
  <w:num w:numId="27" w16cid:durableId="1204370314">
    <w:abstractNumId w:val="20"/>
  </w:num>
  <w:num w:numId="28" w16cid:durableId="911043325">
    <w:abstractNumId w:val="17"/>
  </w:num>
  <w:num w:numId="29" w16cid:durableId="2045128183">
    <w:abstractNumId w:val="6"/>
  </w:num>
  <w:num w:numId="30" w16cid:durableId="364674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5D4F92"/>
    <w:rsid w:val="00765A42"/>
    <w:rsid w:val="008130CB"/>
    <w:rsid w:val="008E7254"/>
    <w:rsid w:val="009E64D0"/>
    <w:rsid w:val="00B81F61"/>
    <w:rsid w:val="00C4261C"/>
    <w:rsid w:val="00C50A55"/>
    <w:rsid w:val="00C91D84"/>
    <w:rsid w:val="00CA192F"/>
    <w:rsid w:val="00D164F7"/>
    <w:rsid w:val="00D55F34"/>
    <w:rsid w:val="00E60AA4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1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2026-03-14T18:49:00Z</dcterms:created>
  <dcterms:modified xsi:type="dcterms:W3CDTF">2026-03-14T18:49:00Z</dcterms:modified>
</cp:coreProperties>
</file>