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40" w:lineRule="auto"/>
      </w:pPr>
      <w:r>
        <w:rPr>
          <w:rFonts w:ascii="微軟正黑體" w:hAnsi="微軟正黑體" w:eastAsia="微軟正黑體"/>
          <w:b/>
          <w:color w:val="334E6F"/>
          <w:sz w:val="32"/>
        </w:rPr>
        <w:t>CMoney 人資・週報(務實版)</w:t>
      </w:r>
    </w:p>
    <w:p>
      <w:pPr>
        <w:spacing w:after="60" w:before="0" w:line="240" w:lineRule="auto"/>
      </w:pPr>
      <w:r>
        <w:rPr>
          <w:rFonts w:ascii="微軟正黑體" w:hAnsi="微軟正黑體" w:eastAsia="微軟正黑體"/>
          <w:b w:val="0"/>
          <w:color w:val="666666"/>
          <w:sz w:val="18"/>
        </w:rPr>
        <w:t>致 CHRO　|　人資經理：＿＿＿　|　2026/06/＿＿　|　一頁版</w:t>
      </w:r>
    </w:p>
    <w:p>
      <w:pPr>
        <w:spacing w:after="120" w:before="0" w:line="240" w:lineRule="auto"/>
      </w:pPr>
      <w:r>
        <w:rPr>
          <w:rFonts w:ascii="微軟正黑體" w:hAnsi="微軟正黑體" w:eastAsia="微軟正黑體"/>
          <w:b w:val="0"/>
          <w:color w:val="888888"/>
          <w:sz w:val="17"/>
        </w:rPr>
        <w:t>（本版只陳述事實與進度，不宣稱戰略命題；待證據齊備再升級最高維度版。）</w:t>
      </w:r>
    </w:p>
    <w:p>
      <w:pPr>
        <w:spacing w:after="20" w:before="80" w:line="240" w:lineRule="auto"/>
      </w:pPr>
      <w:r>
        <w:rPr>
          <w:rFonts w:ascii="微軟正黑體" w:hAnsi="微軟正黑體" w:eastAsia="微軟正黑體"/>
          <w:b/>
          <w:color w:val="334E6F"/>
          <w:sz w:val="22"/>
        </w:rPr>
        <w:t>1. 本期重點</w:t>
      </w:r>
    </w:p>
    <w:p>
      <w:pPr>
        <w:spacing w:after="40" w:before="0" w:line="240" w:lineRule="auto"/>
      </w:pPr>
      <w:r>
        <w:rPr>
          <w:rFonts w:ascii="微軟正黑體" w:hAnsi="微軟正黑體" w:eastAsia="微軟正黑體"/>
          <w:b w:val="0"/>
          <w:sz w:val="20"/>
        </w:rPr>
        <w:t>• Talent Connections：推進「內容驅動的人才樞紐」規劃；以 SQL 分析發現「內推」為轉換率較高之招募管道。</w:t>
      </w:r>
    </w:p>
    <w:p>
      <w:pPr>
        <w:spacing w:after="40" w:before="0" w:line="240" w:lineRule="auto"/>
      </w:pPr>
      <w:r>
        <w:rPr>
          <w:rFonts w:ascii="微軟正黑體" w:hAnsi="微軟正黑體" w:eastAsia="微軟正黑體"/>
          <w:b w:val="0"/>
          <w:sz w:val="20"/>
        </w:rPr>
        <w:t>• 座位分機系統：克服 edge case，POC 本週驗收完成（待上線）。</w:t>
      </w:r>
    </w:p>
    <w:p>
      <w:pPr>
        <w:spacing w:after="40" w:before="0" w:line="240" w:lineRule="auto"/>
      </w:pPr>
      <w:r>
        <w:rPr>
          <w:rFonts w:ascii="微軟正黑體" w:hAnsi="微軟正黑體" w:eastAsia="微軟正黑體"/>
          <w:b w:val="0"/>
          <w:sz w:val="20"/>
        </w:rPr>
        <w:t>• MCP 應用於 SQL 資料庫，建立招募管道儀表板雛形。</w:t>
      </w:r>
    </w:p>
    <w:p>
      <w:pPr>
        <w:spacing w:after="40" w:before="0" w:line="240" w:lineRule="auto"/>
      </w:pPr>
      <w:r>
        <w:rPr>
          <w:rFonts w:ascii="微軟正黑體" w:hAnsi="微軟正黑體" w:eastAsia="微軟正黑體"/>
          <w:b w:val="0"/>
          <w:sz w:val="20"/>
        </w:rPr>
        <w:t>• 處理行政庶務並解決招募流程痛點。　• 進行虛擬團隊思維訓練，對齊企業價值觀。</w:t>
      </w:r>
    </w:p>
    <w:p>
      <w:pPr>
        <w:spacing w:after="20" w:before="80" w:line="240" w:lineRule="auto"/>
      </w:pPr>
      <w:r>
        <w:rPr>
          <w:rFonts w:ascii="微軟正黑體" w:hAnsi="微軟正黑體" w:eastAsia="微軟正黑體"/>
          <w:b/>
          <w:color w:val="334E6F"/>
          <w:sz w:val="22"/>
        </w:rPr>
        <w:t>2. 數據現況（標明資料限制）</w:t>
      </w:r>
    </w:p>
    <w:p>
      <w:pPr>
        <w:spacing w:after="40" w:before="0" w:line="240" w:lineRule="auto"/>
      </w:pPr>
      <w:r>
        <w:rPr>
          <w:rFonts w:ascii="微軟正黑體" w:hAnsi="微軟正黑體" w:eastAsia="微軟正黑體"/>
          <w:b w:val="0"/>
          <w:sz w:val="20"/>
        </w:rPr>
        <w:t>• 內推轉換率 39%（舊制 25%），為目前各管道較高者；最低職等占比 34%→8%。</w:t>
      </w:r>
    </w:p>
    <w:p>
      <w:pPr>
        <w:spacing w:after="40" w:before="0" w:line="240" w:lineRule="auto"/>
      </w:pPr>
      <w:r>
        <w:rPr>
          <w:rFonts w:ascii="微軟正黑體" w:hAnsi="微軟正黑體" w:eastAsia="微軟正黑體"/>
          <w:b w:val="0"/>
          <w:sz w:val="20"/>
        </w:rPr>
        <w:t>• 資料限制：新制觀察期約 6 個月、樣本較小；早期留存佳惟尚未成熟，暫不列為對外指標。</w:t>
      </w:r>
    </w:p>
    <w:p>
      <w:pPr>
        <w:spacing w:after="20" w:before="80" w:line="240" w:lineRule="auto"/>
      </w:pPr>
      <w:r>
        <w:rPr>
          <w:rFonts w:ascii="微軟正黑體" w:hAnsi="微軟正黑體" w:eastAsia="微軟正黑體"/>
          <w:b/>
          <w:color w:val="334E6F"/>
          <w:sz w:val="22"/>
        </w:rPr>
        <w:t>3. 進度狀態</w:t>
      </w:r>
    </w:p>
    <w:p>
      <w:pPr>
        <w:spacing w:after="40" w:before="0" w:line="240" w:lineRule="auto"/>
      </w:pPr>
      <w:r>
        <w:rPr>
          <w:rFonts w:ascii="微軟正黑體" w:hAnsi="微軟正黑體" w:eastAsia="微軟正黑體"/>
          <w:b w:val="0"/>
          <w:sz w:val="20"/>
        </w:rPr>
        <w:t>• 待驗收後上線：座位分機系統（POC 本週驗收完成）。</w:t>
      </w:r>
    </w:p>
    <w:p>
      <w:pPr>
        <w:spacing w:after="40" w:before="0" w:line="240" w:lineRule="auto"/>
      </w:pPr>
      <w:r>
        <w:rPr>
          <w:rFonts w:ascii="微軟正黑體" w:hAnsi="微軟正黑體" w:eastAsia="微軟正黑體"/>
          <w:b w:val="0"/>
          <w:sz w:val="20"/>
        </w:rPr>
        <w:t>• 進行中：招募管道儀表板雛形，與招募窗口對齊指標；Talent Connections 人才樞紐規劃。</w:t>
      </w:r>
    </w:p>
    <w:p>
      <w:pPr>
        <w:spacing w:after="40" w:before="0" w:line="240" w:lineRule="auto"/>
      </w:pPr>
      <w:r>
        <w:rPr>
          <w:rFonts w:ascii="微軟正黑體" w:hAnsi="微軟正黑體" w:eastAsia="微軟正黑體"/>
          <w:b w:val="0"/>
          <w:sz w:val="20"/>
        </w:rPr>
        <w:t>• 待處理：招募流程各項自動化試點（Kelly：資料轉換；Rita：數據支持；訪談專欄；招募網站／人才樞紐：範圍界定）。</w:t>
      </w:r>
    </w:p>
    <w:p>
      <w:pPr>
        <w:spacing w:after="20" w:before="80" w:line="240" w:lineRule="auto"/>
      </w:pPr>
      <w:r>
        <w:rPr>
          <w:rFonts w:ascii="微軟正黑體" w:hAnsi="微軟正黑體" w:eastAsia="微軟正黑體"/>
          <w:b/>
          <w:color w:val="334E6F"/>
          <w:sz w:val="22"/>
        </w:rPr>
        <w:t>4. 卡點與需要協助</w:t>
      </w:r>
    </w:p>
    <w:p>
      <w:pPr>
        <w:spacing w:after="40" w:before="0" w:line="240" w:lineRule="auto"/>
      </w:pPr>
      <w:r>
        <w:rPr>
          <w:rFonts w:ascii="微軟正黑體" w:hAnsi="微軟正黑體" w:eastAsia="微軟正黑體"/>
          <w:b w:val="0"/>
          <w:sz w:val="20"/>
        </w:rPr>
        <w:t>• 儀表板指標定義待與招募窗口對齊 → 需協調招募窗口（跨人手）。</w:t>
      </w:r>
    </w:p>
    <w:p>
      <w:pPr>
        <w:spacing w:after="20" w:before="80" w:line="240" w:lineRule="auto"/>
      </w:pPr>
      <w:r>
        <w:rPr>
          <w:rFonts w:ascii="微軟正黑體" w:hAnsi="微軟正黑體" w:eastAsia="微軟正黑體"/>
          <w:b/>
          <w:color w:val="334E6F"/>
          <w:sz w:val="22"/>
        </w:rPr>
        <w:t>5. 下一步</w:t>
      </w:r>
    </w:p>
    <w:p>
      <w:pPr>
        <w:spacing w:after="40" w:before="0" w:line="240" w:lineRule="auto"/>
      </w:pPr>
      <w:r>
        <w:rPr>
          <w:rFonts w:ascii="微軟正黑體" w:hAnsi="微軟正黑體" w:eastAsia="微軟正黑體"/>
          <w:b w:val="0"/>
          <w:sz w:val="20"/>
        </w:rPr>
        <w:t>• 座位分機系統：完成階段性指標，一版上線後收集回饋；由儀表板延伸座位排定自動化。</w:t>
      </w:r>
    </w:p>
    <w:p>
      <w:pPr>
        <w:spacing w:after="40" w:before="0" w:line="240" w:lineRule="auto"/>
      </w:pPr>
      <w:r>
        <w:rPr>
          <w:rFonts w:ascii="微軟正黑體" w:hAnsi="微軟正黑體" w:eastAsia="微軟正黑體"/>
          <w:b w:val="0"/>
          <w:sz w:val="20"/>
        </w:rPr>
        <w:t>• Talent Connections：完成訪談，界定人才樞紐網站內容與範圍。</w:t>
      </w:r>
    </w:p>
    <w:p>
      <w:pPr>
        <w:spacing w:after="40" w:before="0" w:line="240" w:lineRule="auto"/>
      </w:pPr>
      <w:r>
        <w:rPr>
          <w:rFonts w:ascii="微軟正黑體" w:hAnsi="微軟正黑體" w:eastAsia="微軟正黑體"/>
          <w:b w:val="0"/>
          <w:sz w:val="20"/>
        </w:rPr>
        <w:t>• 招募儀表板：指標對齊，產出招募驗證數據（含串接人事資料 DB），並啟動至少一項招募流程自動化試點。</w:t>
      </w:r>
    </w:p>
    <w:p>
      <w:pPr>
        <w:spacing w:after="40" w:before="0" w:line="240" w:lineRule="auto"/>
      </w:pPr>
      <w:r>
        <w:rPr>
          <w:rFonts w:ascii="微軟正黑體" w:hAnsi="微軟正黑體" w:eastAsia="微軟正黑體"/>
          <w:b w:val="0"/>
          <w:sz w:val="20"/>
        </w:rPr>
        <w:t>• 人資行政自動化：跨表單自動化與離／進通知跟進。</w:t>
      </w:r>
    </w:p>
    <w:p>
      <w:pPr>
        <w:spacing w:after="20" w:before="80" w:line="240" w:lineRule="auto"/>
      </w:pPr>
      <w:r>
        <w:rPr>
          <w:rFonts w:ascii="微軟正黑體" w:hAnsi="微軟正黑體" w:eastAsia="微軟正黑體"/>
          <w:b/>
          <w:color w:val="334E6F"/>
          <w:sz w:val="22"/>
        </w:rPr>
        <w:t>6. 需裁示事項</w:t>
      </w:r>
    </w:p>
    <w:p>
      <w:pPr>
        <w:spacing w:after="40" w:before="0" w:line="240" w:lineRule="auto"/>
      </w:pPr>
      <w:r>
        <w:rPr>
          <w:rFonts w:ascii="微軟正黑體" w:hAnsi="微軟正黑體" w:eastAsia="微軟正黑體"/>
          <w:b w:val="0"/>
          <w:sz w:val="20"/>
        </w:rPr>
        <w:t>1. 儀表板指標是否以「質量加權進用＋內推留任」為準。　2. 人才樞紐本季目標層級（先聚焦對外雇主品牌？）。</w:t>
      </w:r>
    </w:p>
    <w:p>
      <w:pPr>
        <w:spacing w:after="0" w:before="120" w:line="240" w:lineRule="auto"/>
      </w:pPr>
      <w:r>
        <w:rPr>
          <w:rFonts w:ascii="微軟正黑體" w:hAnsi="微軟正黑體" w:eastAsia="微軟正黑體"/>
          <w:b w:val="0"/>
          <w:color w:val="888888"/>
          <w:sz w:val="17"/>
        </w:rPr>
        <w:t>原則：客觀、直接、專業；誠實標明未完成與不確定。</w:t>
      </w:r>
    </w:p>
    <w:sectPr w:rsidR="00FC693F" w:rsidRPr="0006063C" w:rsidSect="00034616">
      <w:pgSz w:w="11906" w:h="16838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