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</w:pPr>
      <w:r>
        <w:rPr>
          <w:rFonts w:ascii="微軟正黑體" w:hAnsi="微軟正黑體" w:eastAsia="微軟正黑體"/>
          <w:b/>
          <w:color w:val="334E6F"/>
          <w:sz w:val="32"/>
        </w:rPr>
        <w:t>CMoney 人資・週報</w:t>
      </w:r>
    </w:p>
    <w:p>
      <w:pPr>
        <w:spacing w:after="140" w:before="0" w:line="240" w:lineRule="auto"/>
      </w:pPr>
      <w:r>
        <w:rPr>
          <w:rFonts w:ascii="微軟正黑體" w:hAnsi="微軟正黑體" w:eastAsia="微軟正黑體"/>
          <w:b w:val="0"/>
          <w:color w:val="666666"/>
          <w:sz w:val="19"/>
        </w:rPr>
        <w:t>致 CHRO　|　會報人：李奕勳　|　2026 / 06 / 10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1　本期重點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推進「內容驅動的人才樞紐」規劃；SQL 分析發現「內推」為轉換率較高的招募管道。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克服 edge case，POC 本週驗收完成（待上線）。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招募資料庫 × 人事資料庫串接：</w:t>
      </w:r>
      <w:r>
        <w:rPr>
          <w:rFonts w:ascii="微軟正黑體" w:hAnsi="微軟正黑體" w:eastAsia="微軟正黑體"/>
          <w:b w:val="0"/>
          <w:sz w:val="20"/>
        </w:rPr>
        <w:t>以 MCP 串接 SQL 人事資料庫，完成招募管道儀表板雛形。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行政與流程：</w:t>
      </w:r>
      <w:r>
        <w:rPr>
          <w:rFonts w:ascii="微軟正黑體" w:hAnsi="微軟正黑體" w:eastAsia="微軟正黑體"/>
          <w:b w:val="0"/>
          <w:sz w:val="20"/>
        </w:rPr>
        <w:t>處理行政庶務、解決招募流程痛點；並進行虛擬團隊思維訓練，深化企業價值觀。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2　數據現況（標明資料限制）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內推轉換率 39%（舊制 25%），為目前轉換率最高之招募管道；最低職等占比由 34% 降至 8%。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 w:val="0"/>
          <w:sz w:val="20"/>
        </w:rPr>
        <w:t>資料限制：新制觀察期約 6 個月、樣本數較小；早期留存表現佳惟尚未成熟，暫不列為對外指標。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3　進度狀態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B0000"/>
          <w:sz w:val="20"/>
        </w:rPr>
        <w:t>待上線：</w:t>
      </w:r>
      <w:r>
        <w:rPr>
          <w:rFonts w:ascii="微軟正黑體" w:hAnsi="微軟正黑體" w:eastAsia="微軟正黑體"/>
          <w:b w:val="0"/>
          <w:sz w:val="20"/>
        </w:rPr>
        <w:t>座位分機系統（POC 本週驗收完成）。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334E6F"/>
          <w:sz w:val="20"/>
        </w:rPr>
        <w:t>進行中：</w:t>
      </w:r>
      <w:r>
        <w:rPr>
          <w:rFonts w:ascii="微軟正黑體" w:hAnsi="微軟正黑體" w:eastAsia="微軟正黑體"/>
          <w:b w:val="0"/>
          <w:sz w:val="20"/>
        </w:rPr>
        <w:t>招募管道 × 人事資料儀表板（與招募窗口對齊指標）。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color w:val="888888"/>
          <w:sz w:val="20"/>
        </w:rPr>
        <w:t>待處理：</w:t>
      </w:r>
      <w:r>
        <w:rPr>
          <w:rFonts w:ascii="微軟正黑體" w:hAnsi="微軟正黑體" w:eastAsia="微軟正黑體"/>
          <w:b w:val="0"/>
          <w:sz w:val="20"/>
        </w:rPr>
        <w:t>招募流程自動化試點——資料轉換（Kelly）、數據支持（Rita）；Talent Connections 內容驅動人才樞紐規劃。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4　資源調派與部內協作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人才樞紐網站：</w:t>
      </w:r>
      <w:r>
        <w:rPr>
          <w:rFonts w:ascii="微軟正黑體" w:hAnsi="微軟正黑體" w:eastAsia="微軟正黑體"/>
          <w:b w:val="0"/>
          <w:sz w:val="20"/>
        </w:rPr>
        <w:t>與 Rita 協作訪談專欄，並定義網站範圍。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招募流程自動化試點：</w:t>
      </w:r>
      <w:r>
        <w:rPr>
          <w:rFonts w:ascii="微軟正黑體" w:hAnsi="微軟正黑體" w:eastAsia="微軟正黑體"/>
          <w:b w:val="0"/>
          <w:sz w:val="20"/>
        </w:rPr>
        <w:t>與 Dormie 協作，盤點目前可切入協助之環節。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招募儀表板 × 人事儀表板串接：</w:t>
      </w:r>
      <w:r>
        <w:rPr>
          <w:rFonts w:ascii="微軟正黑體" w:hAnsi="微軟正黑體" w:eastAsia="微軟正黑體"/>
          <w:b w:val="0"/>
          <w:sz w:val="20"/>
        </w:rPr>
        <w:t>指標定義須與各招募窗口對齊。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人資行政自動化：</w:t>
      </w:r>
      <w:r>
        <w:rPr>
          <w:rFonts w:ascii="微軟正黑體" w:hAnsi="微軟正黑體" w:eastAsia="微軟正黑體"/>
          <w:b w:val="0"/>
          <w:sz w:val="20"/>
        </w:rPr>
        <w:t>與 Nashi 討論各項自動化項目，並釐清個資安全與權限疑慮。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5　下一步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座位分機系統：</w:t>
      </w:r>
      <w:r>
        <w:rPr>
          <w:rFonts w:ascii="微軟正黑體" w:hAnsi="微軟正黑體" w:eastAsia="微軟正黑體"/>
          <w:b w:val="0"/>
          <w:sz w:val="20"/>
        </w:rPr>
        <w:t>訂定階段性指標；首版上線後收集使用回饋，並由儀表板延伸至座位排定自動化。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Talent Connections：</w:t>
      </w:r>
      <w:r>
        <w:rPr>
          <w:rFonts w:ascii="微軟正黑體" w:hAnsi="微軟正黑體" w:eastAsia="微軟正黑體"/>
          <w:b w:val="0"/>
          <w:sz w:val="20"/>
        </w:rPr>
        <w:t>完成達人訪談，界定人才樞紐網站之內容與範圍。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招募儀表板：</w:t>
      </w:r>
      <w:r>
        <w:rPr>
          <w:rFonts w:ascii="微軟正黑體" w:hAnsi="微軟正黑體" w:eastAsia="微軟正黑體"/>
          <w:b w:val="0"/>
          <w:sz w:val="20"/>
        </w:rPr>
        <w:t>完成指標對齊，產出招募驗證數據（含串接人事資料庫），並啟動至少一項流程自動化試點。</w:t>
      </w:r>
    </w:p>
    <w:p>
      <w:pPr>
        <w:spacing w:after="3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 xml:space="preserve">• </w:t>
      </w:r>
      <w:r>
        <w:rPr>
          <w:rFonts w:ascii="微軟正黑體" w:hAnsi="微軟正黑體" w:eastAsia="微軟正黑體"/>
          <w:b/>
          <w:sz w:val="20"/>
        </w:rPr>
        <w:t>人資行政自動化：</w:t>
      </w:r>
      <w:r>
        <w:rPr>
          <w:rFonts w:ascii="微軟正黑體" w:hAnsi="微軟正黑體" w:eastAsia="微軟正黑體"/>
          <w:b w:val="0"/>
          <w:sz w:val="20"/>
        </w:rPr>
        <w:t>推進跨表單自動化與到職／離職通知。</w:t>
      </w:r>
    </w:p>
    <w:p>
      <w:pPr>
        <w:spacing w:after="0" w:before="120" w:line="240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原則：客觀、直接、專業；誠實標明未完成與不確定。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