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0" w:line="240" w:lineRule="auto"/>
      </w:pPr>
      <w:r>
        <w:rPr>
          <w:rFonts w:ascii="微軟正黑體" w:hAnsi="微軟正黑體" w:eastAsia="微軟正黑體"/>
          <w:b/>
          <w:color w:val="334E6F"/>
          <w:sz w:val="32"/>
        </w:rPr>
        <w:t>CMoney 人資・週報(務實版)</w:t>
      </w:r>
    </w:p>
    <w:p>
      <w:pPr>
        <w:spacing w:after="80" w:before="0" w:line="240" w:lineRule="auto"/>
      </w:pPr>
      <w:r>
        <w:rPr>
          <w:rFonts w:ascii="微軟正黑體" w:hAnsi="微軟正黑體" w:eastAsia="微軟正黑體"/>
          <w:b w:val="0"/>
          <w:color w:val="666666"/>
          <w:sz w:val="18"/>
        </w:rPr>
        <w:t>致 CHRO　|　人資經理：＿＿＿　|　2026/06/＿＿　|　一頁版</w:t>
      </w:r>
    </w:p>
    <w:p>
      <w:pPr>
        <w:spacing w:after="120" w:before="0" w:line="240" w:lineRule="auto"/>
      </w:pPr>
      <w:r>
        <w:rPr>
          <w:rFonts w:ascii="微軟正黑體" w:hAnsi="微軟正黑體" w:eastAsia="微軟正黑體"/>
          <w:b w:val="0"/>
          <w:color w:val="888888"/>
          <w:sz w:val="17"/>
        </w:rPr>
        <w:t>（適用時機：證據三角「數字／已交付／可複製」未全到位。本版只陳述事實與進度，不宣稱戰略命題。）</w:t>
      </w:r>
    </w:p>
    <w:p>
      <w:pPr>
        <w:spacing w:after="20" w:before="80" w:line="240" w:lineRule="auto"/>
      </w:pPr>
      <w:r>
        <w:rPr>
          <w:rFonts w:ascii="微軟正黑體" w:hAnsi="微軟正黑體" w:eastAsia="微軟正黑體"/>
          <w:b/>
          <w:color w:val="334E6F"/>
          <w:sz w:val="22"/>
        </w:rPr>
        <w:t>1. 本期重點</w:t>
      </w:r>
    </w:p>
    <w:p>
      <w:pPr>
        <w:spacing w:after="40" w:before="0" w:line="240" w:lineRule="auto"/>
      </w:pPr>
      <w:r>
        <w:rPr>
          <w:rFonts w:ascii="微軟正黑體" w:hAnsi="微軟正黑體" w:eastAsia="微軟正黑體"/>
          <w:b w:val="0"/>
          <w:sz w:val="21"/>
        </w:rPr>
        <w:t>• ____________________________________________</w:t>
      </w:r>
    </w:p>
    <w:p>
      <w:pPr>
        <w:spacing w:after="40" w:before="0" w:line="240" w:lineRule="auto"/>
      </w:pPr>
      <w:r>
        <w:rPr>
          <w:rFonts w:ascii="微軟正黑體" w:hAnsi="微軟正黑體" w:eastAsia="微軟正黑體"/>
          <w:b w:val="0"/>
          <w:sz w:val="21"/>
        </w:rPr>
        <w:t>• ____________________________________________</w:t>
      </w:r>
    </w:p>
    <w:p>
      <w:pPr>
        <w:spacing w:after="20" w:before="80" w:line="240" w:lineRule="auto"/>
      </w:pPr>
      <w:r>
        <w:rPr>
          <w:rFonts w:ascii="微軟正黑體" w:hAnsi="微軟正黑體" w:eastAsia="微軟正黑體"/>
          <w:b/>
          <w:color w:val="334E6F"/>
          <w:sz w:val="22"/>
        </w:rPr>
        <w:t>2. 數據現況（標明資料限制）</w:t>
      </w:r>
    </w:p>
    <w:p>
      <w:pPr>
        <w:spacing w:after="40" w:before="0" w:line="240" w:lineRule="auto"/>
      </w:pPr>
      <w:r>
        <w:rPr>
          <w:rFonts w:ascii="微軟正黑體" w:hAnsi="微軟正黑體" w:eastAsia="微軟正黑體"/>
          <w:b w:val="0"/>
          <w:sz w:val="21"/>
        </w:rPr>
        <w:t>• 指標／數字：__________（資料限制：觀察期／樣本：______）</w:t>
      </w:r>
    </w:p>
    <w:p>
      <w:pPr>
        <w:spacing w:after="20" w:before="80" w:line="240" w:lineRule="auto"/>
      </w:pPr>
      <w:r>
        <w:rPr>
          <w:rFonts w:ascii="微軟正黑體" w:hAnsi="微軟正黑體" w:eastAsia="微軟正黑體"/>
          <w:b/>
          <w:color w:val="334E6F"/>
          <w:sz w:val="22"/>
        </w:rPr>
        <w:t>3. 進度狀態</w:t>
      </w:r>
    </w:p>
    <w:p>
      <w:pPr>
        <w:spacing w:after="40" w:before="0" w:line="240" w:lineRule="auto"/>
      </w:pPr>
      <w:r>
        <w:rPr>
          <w:rFonts w:ascii="微軟正黑體" w:hAnsi="微軟正黑體" w:eastAsia="微軟正黑體"/>
          <w:b w:val="0"/>
          <w:sz w:val="21"/>
        </w:rPr>
        <w:t>• 已完成：__________　• 進行中：__________　• 待處理：__________</w:t>
      </w:r>
    </w:p>
    <w:p>
      <w:pPr>
        <w:spacing w:after="20" w:before="80" w:line="240" w:lineRule="auto"/>
      </w:pPr>
      <w:r>
        <w:rPr>
          <w:rFonts w:ascii="微軟正黑體" w:hAnsi="微軟正黑體" w:eastAsia="微軟正黑體"/>
          <w:b/>
          <w:color w:val="334E6F"/>
          <w:sz w:val="22"/>
        </w:rPr>
        <w:t>4. 卡點與需要協助</w:t>
      </w:r>
    </w:p>
    <w:p>
      <w:pPr>
        <w:spacing w:after="40" w:before="0" w:line="240" w:lineRule="auto"/>
      </w:pPr>
      <w:r>
        <w:rPr>
          <w:rFonts w:ascii="微軟正黑體" w:hAnsi="微軟正黑體" w:eastAsia="微軟正黑體"/>
          <w:b w:val="0"/>
          <w:sz w:val="21"/>
        </w:rPr>
        <w:t>• 卡點：__________　→ 需要：__________（誰／打通什麼）</w:t>
      </w:r>
    </w:p>
    <w:p>
      <w:pPr>
        <w:spacing w:after="20" w:before="80" w:line="240" w:lineRule="auto"/>
      </w:pPr>
      <w:r>
        <w:rPr>
          <w:rFonts w:ascii="微軟正黑體" w:hAnsi="微軟正黑體" w:eastAsia="微軟正黑體"/>
          <w:b/>
          <w:color w:val="334E6F"/>
          <w:sz w:val="22"/>
        </w:rPr>
        <w:t>5. 下一步</w:t>
      </w:r>
    </w:p>
    <w:p>
      <w:pPr>
        <w:spacing w:after="40" w:before="0" w:line="240" w:lineRule="auto"/>
      </w:pPr>
      <w:r>
        <w:rPr>
          <w:rFonts w:ascii="微軟正黑體" w:hAnsi="微軟正黑體" w:eastAsia="微軟正黑體"/>
          <w:b w:val="0"/>
          <w:sz w:val="21"/>
        </w:rPr>
        <w:t>• 近期行動與時點：__________</w:t>
      </w:r>
    </w:p>
    <w:p>
      <w:pPr>
        <w:spacing w:after="20" w:before="80" w:line="240" w:lineRule="auto"/>
      </w:pPr>
      <w:r>
        <w:rPr>
          <w:rFonts w:ascii="微軟正黑體" w:hAnsi="微軟正黑體" w:eastAsia="微軟正黑體"/>
          <w:b/>
          <w:color w:val="334E6F"/>
          <w:sz w:val="22"/>
        </w:rPr>
        <w:t>6. 需裁示事項（如有）</w:t>
      </w:r>
    </w:p>
    <w:p>
      <w:pPr>
        <w:spacing w:after="40" w:before="0" w:line="240" w:lineRule="auto"/>
      </w:pPr>
      <w:r>
        <w:rPr>
          <w:rFonts w:ascii="微軟正黑體" w:hAnsi="微軟正黑體" w:eastAsia="微軟正黑體"/>
          <w:b w:val="0"/>
          <w:sz w:val="21"/>
        </w:rPr>
        <w:t>1. __________</w:t>
      </w:r>
    </w:p>
    <w:p>
      <w:pPr>
        <w:spacing w:after="40" w:before="0" w:line="240" w:lineRule="auto"/>
      </w:pPr>
      <w:r>
        <w:rPr>
          <w:rFonts w:ascii="微軟正黑體" w:hAnsi="微軟正黑體" w:eastAsia="微軟正黑體"/>
          <w:b w:val="0"/>
          <w:sz w:val="21"/>
        </w:rPr>
        <w:t>2. __________</w:t>
      </w:r>
    </w:p>
    <w:p>
      <w:pPr>
        <w:spacing w:after="0" w:before="160" w:line="240" w:lineRule="auto"/>
      </w:pPr>
      <w:r>
        <w:rPr>
          <w:rFonts w:ascii="微軟正黑體" w:hAnsi="微軟正黑體" w:eastAsia="微軟正黑體"/>
          <w:b w:val="0"/>
          <w:color w:val="888888"/>
          <w:sz w:val="17"/>
        </w:rPr>
        <w:t>原則：客觀、直接、專業；誠實標明未完成與不確定。待證據三角齊備，再升級為「最高維度版」。</w:t>
      </w:r>
    </w:p>
    <w:sectPr w:rsidR="00FC693F" w:rsidRPr="0006063C" w:rsidSect="00034616">
      <w:pgSz w:w="11906" w:h="16838"/>
      <w:pgMar w:top="794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