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0" w:lineRule="auto"/>
      </w:pPr>
      <w:r>
        <w:rPr>
          <w:rFonts w:ascii="微軟正黑體" w:hAnsi="微軟正黑體" w:eastAsia="微軟正黑體"/>
          <w:b/>
          <w:color w:val="8B0000"/>
          <w:sz w:val="32"/>
        </w:rPr>
        <w:t>CMoney 人資・數據與系統週報</w:t>
      </w:r>
    </w:p>
    <w:p>
      <w:pPr>
        <w:spacing w:after="120" w:before="0" w:line="240" w:lineRule="auto"/>
      </w:pPr>
      <w:r>
        <w:rPr>
          <w:rFonts w:ascii="微軟正黑體" w:hAnsi="微軟正黑體" w:eastAsia="微軟正黑體"/>
          <w:b w:val="0"/>
          <w:color w:val="666666"/>
          <w:sz w:val="18"/>
        </w:rPr>
        <w:t>致 CHRO　|　人資經理：＿＿＿　|　2026/06/＿＿　|　一頁版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8B0000"/>
          <w:sz w:val="22"/>
        </w:rPr>
        <w:t>【核心命題】</w:t>
      </w:r>
    </w:p>
    <w:p>
      <w:pPr>
        <w:spacing w:after="120" w:before="0" w:line="240" w:lineRule="auto"/>
      </w:pPr>
      <w:r>
        <w:rPr>
          <w:rFonts w:ascii="微軟正黑體" w:hAnsi="微軟正黑體" w:eastAsia="微軟正黑體"/>
          <w:b/>
          <w:sz w:val="23"/>
        </w:rPr>
        <w:t>以數據與 AI 提升人才密度與組織效能，並透過跨職能協作收斂資源，使人資作業成為支撐 CMoney 戰略與 pre-IPO 目標的可複製能力平台。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8B0000"/>
          <w:sz w:val="22"/>
        </w:rPr>
        <w:t>【關鍵成果（數據佐證）】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/>
          <w:sz w:val="21"/>
        </w:rPr>
        <w:t>① 數據洞見｜</w:t>
      </w:r>
      <w:r>
        <w:rPr>
          <w:rFonts w:ascii="微軟正黑體" w:hAnsi="微軟正黑體" w:eastAsia="微軟正黑體"/>
          <w:b w:val="0"/>
          <w:sz w:val="21"/>
        </w:rPr>
        <w:t>內推轉換率 39%（舊制 25%），最低職等占比 34%→8%，顯示進用品質提升；建議將推薦獎勵與雇主品牌資源向內推管道集中。（早期留存佳，因觀察期較短，暫不列為對外指標）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/>
          <w:sz w:val="21"/>
        </w:rPr>
        <w:t>② 已交付｜</w:t>
      </w:r>
      <w:r>
        <w:rPr>
          <w:rFonts w:ascii="微軟正黑體" w:hAnsi="微軟正黑體" w:eastAsia="微軟正黑體"/>
          <w:b w:val="0"/>
          <w:sz w:val="21"/>
        </w:rPr>
        <w:t>座位分機系統完成特殊情境處理（以待排座位區解新舊人交接同座）、POC 驗收並上線；MCP×SQL 招募儀表板雛形完成。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/>
          <w:sz w:val="21"/>
        </w:rPr>
        <w:t>③ 可複製模式｜</w:t>
      </w:r>
      <w:r>
        <w:rPr>
          <w:rFonts w:ascii="微軟正黑體" w:hAnsi="微軟正黑體" w:eastAsia="微軟正黑體"/>
          <w:b w:val="0"/>
          <w:sz w:val="21"/>
        </w:rPr>
        <w:t>建立「SQL 數據 → 儀表板 → AI Agent 自動化」標準流程，以人資為試點，可複製至其他部門。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8B0000"/>
          <w:sz w:val="22"/>
        </w:rPr>
        <w:t>【對公司戰略的貢獻】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1"/>
        </w:rPr>
        <w:t>• 人才密度：以「質量加權進用＋內推留任」為衡量，招募更精準、更具成本效率。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1"/>
        </w:rPr>
        <w:t>• AI-First 轉型：人資成為全公司可複製的示範案例。　• 雇主品牌：內推故事對外化，降低獲客成本（CAC）。　• pre-IPO 效率：釋放行政工時，流程內控可稽核。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8B0000"/>
          <w:sz w:val="22"/>
        </w:rPr>
        <w:t>【階段性計畫】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1191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/>
                <w:sz w:val="18"/>
              </w:rPr>
              <w:t>階段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/>
                <w:sz w:val="18"/>
              </w:rPr>
              <w:t>期程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/>
                <w:sz w:val="18"/>
              </w:rPr>
              <w:t>重點工作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/>
                <w:sz w:val="18"/>
              </w:rPr>
              <w:t>衡量指標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一・建置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0–8 週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推薦進度回饋 SOP 上線；座位系統上線；儀表板與招募窗口對齊指標；內容人才樞紐單頁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內推轉換率、行政工時釋放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二・擴張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2–6 月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流程自動化（AI Agent）；opt-in 人才庫；識才者肯定機制；旗艦案例對外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質量加權進用↑、CAC↓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三・平台複製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6 月起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人才連結網絡 MVP；AI-First 流程複製至其他部門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跨部門複製數、留任率</w:t>
            </w:r>
          </w:p>
        </w:tc>
      </w:tr>
    </w:tbl>
    <w:p>
      <w:pPr>
        <w:spacing w:after="20" w:before="80" w:line="240" w:lineRule="auto"/>
      </w:pP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8B0000"/>
          <w:sz w:val="22"/>
        </w:rPr>
        <w:t>【需 CHRO 裁示事項】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1"/>
        </w:rPr>
        <w:t>1. 人才樞紐本季目標層級：先聚焦對外雇主品牌（L3）？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1"/>
        </w:rPr>
        <w:t>2. 儀表板指標以「質量加權進用＋內推留任」為準，並請協調招募窗口對齊定義。</w:t>
      </w:r>
    </w:p>
    <w:p>
      <w:pPr>
        <w:spacing w:after="0" w:before="120" w:line="240" w:lineRule="auto"/>
      </w:pPr>
      <w:r>
        <w:rPr>
          <w:rFonts w:ascii="微軟正黑體" w:hAnsi="微軟正黑體" w:eastAsia="微軟正黑體"/>
          <w:b w:val="0"/>
          <w:color w:val="888888"/>
          <w:sz w:val="17"/>
        </w:rPr>
        <w:t>合規：個資法（PDPA）／不揭露薪資／證券投資顧問法相關規範之防線已內建；系統採現成底層、自建內容層。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