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40" w:lineRule="auto"/>
      </w:pPr>
      <w:r>
        <w:rPr>
          <w:rFonts w:ascii="微軟正黑體" w:hAnsi="微軟正黑體" w:eastAsia="微軟正黑體"/>
          <w:b/>
          <w:color w:val="8B0000"/>
          <w:sz w:val="30"/>
        </w:rPr>
        <w:t>高挑戰 × 高支持 — 組織強度的領導反思與數據驗證</w:t>
      </w:r>
    </w:p>
    <w:p>
      <w:pPr>
        <w:spacing w:after="100" w:before="0" w:line="240" w:lineRule="auto"/>
      </w:pPr>
      <w:r>
        <w:rPr>
          <w:rFonts w:ascii="微軟正黑體" w:hAnsi="微軟正黑體" w:eastAsia="微軟正黑體"/>
          <w:b w:val="0"/>
          <w:color w:val="666666"/>
          <w:sz w:val="17"/>
        </w:rPr>
        <w:t>緣起：2026/06/13 月會後 Prevers 關懷提問「公司的強度會不會太高？」｜A4 一頁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核心命題</w:t>
      </w:r>
    </w:p>
    <w:p>
      <w:pPr>
        <w:spacing w:after="100" w:before="0" w:line="240" w:lineRule="auto"/>
      </w:pPr>
      <w:r>
        <w:rPr>
          <w:rFonts w:ascii="微軟正黑體" w:hAnsi="微軟正黑體" w:eastAsia="微軟正黑體"/>
          <w:b/>
          <w:sz w:val="20"/>
        </w:rPr>
        <w:t>強度不是問題，失衡才是。高強度淬鍊 A-player，但須被「支持、意義、恢復」接住，否則 → 壞的離職。高人才密度 = 高挑戰 ＋ 高支持；問題不是「強度太高」，而是「強度有沒有被支持接住」——且應以數據衡量、即時調整。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假設 → 數據驗證方法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/>
                <w:sz w:val="16"/>
              </w:rPr>
              <w:t>假設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/>
                <w:sz w:val="16"/>
              </w:rPr>
              <w:t>衡量指標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/>
                <w:sz w:val="16"/>
              </w:rPr>
              <w:t>資料來源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/>
                <w:sz w:val="16"/>
              </w:rPr>
              <w:t>驗證方法 / 判讀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H1 後悔型流失來自「強度×支持不足」，非強度本身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壞的離職率、主管支持度、1-on-1 頻率、buddy 覆蓋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人力異動 DB、敬業度問卷、1-on-1 紀錄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高強度單位中「高支持 vs 低支持」團隊流失對比；高支持流失低 → 支持是關鍵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H2 報到率／前90天流失＝強度預期落差的領先指標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報到率、前90天主動離職率、入職前告知程度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招募系統、入職體驗調查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落差大且早期流失高 → 期望管理不足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H3 強度有「淬鍊→折斷」臨界點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負載(專案/工時)×敬業度/eNPS×產出品質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專案系統、eNPS、品質指標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找拐點；拐點後敬業度/品質下滑 → 已越線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H4 失衡是局部的：壞的離職聚集於特定 BU/主管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壞的離職 by BU/主管、TDI 流失健康維度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人力異動 DB、人才盤點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BU/主管 heatmap；集中少數 → 局部介入，非全面降強度</w:t>
            </w:r>
          </w:p>
        </w:tc>
      </w:tr>
      <w:tr>
        <w:tc>
          <w:tcPr>
            <w:tcW w:type="dxa" w:w="294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H5 高支持機制可在「不降挑戰」下降低後悔型流失</w:t>
            </w:r>
          </w:p>
        </w:tc>
        <w:tc>
          <w:tcPr>
            <w:tcW w:type="dxa" w:w="2438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後悔型流失、關鍵職留任、eNPS(前後)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異動 DB、問卷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rFonts w:ascii="微軟正黑體" w:hAnsi="微軟正黑體" w:eastAsia="微軟正黑體"/>
                <w:b w:val="0"/>
                <w:sz w:val="16"/>
              </w:rPr>
              <w:t>導入關懷1-on-1/buddy/意義連結 前後對照(A/B)；流失↓而挑戰未降 → 有效</w:t>
            </w:r>
          </w:p>
        </w:tc>
      </w:tr>
    </w:tbl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方法論原則</w:t>
      </w:r>
    </w:p>
    <w:p>
      <w:pPr>
        <w:spacing w:after="30" w:before="0" w:line="240" w:lineRule="auto"/>
      </w:pPr>
      <w:r>
        <w:rPr>
          <w:rFonts w:ascii="微軟正黑體" w:hAnsi="微軟正黑體" w:eastAsia="微軟正黑體"/>
          <w:b w:val="0"/>
          <w:sz w:val="19"/>
        </w:rPr>
        <w:t>• 分層（BU/主管/到職時長）避免平均掩蓋局部　• 領先(報到率/早期流失/eNPS) vs 滯後(年度留任)　• 留任按觀察期分層破除存活者偏差　• 質化(離職歸因/強度感知訪談)＋量化　• 個資聚合到 BU 層級、去識別、不個人評分</w:t>
      </w:r>
    </w:p>
    <w:p>
      <w:pPr>
        <w:spacing w:after="20" w:before="80" w:line="240" w:lineRule="auto"/>
      </w:pPr>
      <w:r>
        <w:rPr>
          <w:rFonts w:ascii="微軟正黑體" w:hAnsi="微軟正黑體" w:eastAsia="微軟正黑體"/>
          <w:b/>
          <w:color w:val="8B0000"/>
          <w:sz w:val="22"/>
        </w:rPr>
        <w:t>與人才密度 OS 的關係 ＆ 下一步</w:t>
      </w:r>
    </w:p>
    <w:p>
      <w:pPr>
        <w:spacing w:after="30" w:before="0" w:line="240" w:lineRule="auto"/>
      </w:pPr>
      <w:r>
        <w:rPr>
          <w:rFonts w:ascii="微軟正黑體" w:hAnsi="微軟正黑體" w:eastAsia="微軟正黑體"/>
          <w:b w:val="0"/>
          <w:sz w:val="19"/>
        </w:rPr>
        <w:t>「組織強度健康度」＝ TDI（人才密度指數）的衍生視圖，用流失健康/留任/報到率/eNPS 組合，回答「強度是否越線、在哪個單位」。</w:t>
      </w:r>
    </w:p>
    <w:p>
      <w:pPr>
        <w:spacing w:after="30" w:before="0" w:line="240" w:lineRule="auto"/>
      </w:pPr>
      <w:r>
        <w:rPr>
          <w:rFonts w:ascii="微軟正黑體" w:hAnsi="微軟正黑體" w:eastAsia="微軟正黑體"/>
          <w:b w:val="0"/>
          <w:sz w:val="19"/>
        </w:rPr>
        <w:t>下一步：先以 H1、H4（資料已可得）建雛形視圖 → H2/H3/H5 需問卷與前後對照（第二階段）→ 接入人才密度 OS 與 hr-monthly-report 密度層。</w:t>
      </w:r>
    </w:p>
    <w:p>
      <w:pPr>
        <w:spacing w:after="0" w:before="120" w:line="240" w:lineRule="auto"/>
      </w:pPr>
      <w:r>
        <w:rPr>
          <w:rFonts w:ascii="微軟正黑體" w:hAnsi="微軟正黑體" w:eastAsia="微軟正黑體"/>
          <w:b/>
          <w:color w:val="888888"/>
          <w:sz w:val="17"/>
        </w:rPr>
        <w:t>一句話：高挑戰是 CMoney 的火；真正的領導，是讓人在火裡被淬鍊，而不是被燒掉。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