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75710">
      <w:pPr>
        <w:jc w:val="center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                  绘本阅读观察量表（创新阅读）      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记录者：</w:t>
      </w:r>
    </w:p>
    <w:tbl>
      <w:tblPr>
        <w:tblStyle w:val="3"/>
        <w:tblW w:w="10890" w:type="dxa"/>
        <w:tblInd w:w="-3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88"/>
        <w:gridCol w:w="1201"/>
        <w:gridCol w:w="2595"/>
        <w:gridCol w:w="3120"/>
        <w:gridCol w:w="2386"/>
      </w:tblGrid>
      <w:tr w14:paraId="3FE7A468">
        <w:trPr>
          <w:trHeight w:val="582" w:hRule="atLeast"/>
        </w:trPr>
        <w:tc>
          <w:tcPr>
            <w:tcW w:w="1588" w:type="dxa"/>
            <w:noWrap w:val="0"/>
            <w:vAlign w:val="top"/>
          </w:tcPr>
          <w:p w14:paraId="204461A7">
            <w:pPr>
              <w:jc w:val="center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观察核心</w:t>
            </w:r>
          </w:p>
        </w:tc>
        <w:tc>
          <w:tcPr>
            <w:tcW w:w="9302" w:type="dxa"/>
            <w:gridSpan w:val="4"/>
            <w:noWrap w:val="0"/>
            <w:vAlign w:val="top"/>
          </w:tcPr>
          <w:p w14:paraId="52E33458">
            <w:pPr>
              <w:jc w:val="both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传统与创新两种不同绘本阅读活动组织形式对幼儿阅读兴趣、阅读水平的影响</w:t>
            </w:r>
          </w:p>
        </w:tc>
      </w:tr>
      <w:tr w14:paraId="6A4D0755">
        <w:trPr>
          <w:trHeight w:val="672" w:hRule="atLeast"/>
        </w:trPr>
        <w:tc>
          <w:tcPr>
            <w:tcW w:w="1588" w:type="dxa"/>
            <w:noWrap w:val="0"/>
            <w:vAlign w:val="top"/>
          </w:tcPr>
          <w:p w14:paraId="50D4F5D3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观</w:t>
            </w: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察维度</w:t>
            </w:r>
          </w:p>
        </w:tc>
        <w:tc>
          <w:tcPr>
            <w:tcW w:w="1201" w:type="dxa"/>
            <w:noWrap w:val="0"/>
            <w:vAlign w:val="top"/>
          </w:tcPr>
          <w:p w14:paraId="5A0951FC">
            <w:pPr>
              <w:jc w:val="center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观察指标</w:t>
            </w:r>
          </w:p>
        </w:tc>
        <w:tc>
          <w:tcPr>
            <w:tcW w:w="2595" w:type="dxa"/>
            <w:noWrap w:val="0"/>
            <w:vAlign w:val="top"/>
          </w:tcPr>
          <w:p w14:paraId="01479FEE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具体</w:t>
            </w: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观察内容</w:t>
            </w:r>
          </w:p>
        </w:tc>
        <w:tc>
          <w:tcPr>
            <w:tcW w:w="3120" w:type="dxa"/>
            <w:noWrap w:val="0"/>
            <w:vAlign w:val="top"/>
          </w:tcPr>
          <w:p w14:paraId="4201A2F6">
            <w:pPr>
              <w:jc w:val="center"/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典型行为记录</w:t>
            </w:r>
          </w:p>
          <w:p w14:paraId="079AFBC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（记录幼儿具体言行）</w:t>
            </w:r>
          </w:p>
        </w:tc>
        <w:tc>
          <w:tcPr>
            <w:tcW w:w="2386" w:type="dxa"/>
            <w:noWrap w:val="0"/>
            <w:vAlign w:val="top"/>
          </w:tcPr>
          <w:p w14:paraId="2D1B434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评价等级</w:t>
            </w:r>
          </w:p>
        </w:tc>
      </w:tr>
      <w:tr w14:paraId="0E666524">
        <w:trPr>
          <w:trHeight w:val="1003" w:hRule="atLeast"/>
        </w:trPr>
        <w:tc>
          <w:tcPr>
            <w:tcW w:w="1588" w:type="dxa"/>
            <w:vMerge w:val="restart"/>
            <w:noWrap w:val="0"/>
            <w:vAlign w:val="top"/>
          </w:tcPr>
          <w:p w14:paraId="5EE2E91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爱上阅读</w:t>
            </w:r>
          </w:p>
          <w:p w14:paraId="657C906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（阅读兴趣）</w:t>
            </w:r>
          </w:p>
        </w:tc>
        <w:tc>
          <w:tcPr>
            <w:tcW w:w="1201" w:type="dxa"/>
            <w:noWrap w:val="0"/>
            <w:vAlign w:val="top"/>
          </w:tcPr>
          <w:p w14:paraId="0BB819C2">
            <w:pPr>
              <w:jc w:val="both"/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1.主动参与情况</w:t>
            </w:r>
          </w:p>
        </w:tc>
        <w:tc>
          <w:tcPr>
            <w:tcW w:w="2595" w:type="dxa"/>
            <w:noWrap w:val="0"/>
            <w:vAlign w:val="top"/>
          </w:tcPr>
          <w:p w14:paraId="75754F1E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主动举手、发言、提问</w:t>
            </w:r>
          </w:p>
        </w:tc>
        <w:tc>
          <w:tcPr>
            <w:tcW w:w="3120" w:type="dxa"/>
            <w:noWrap w:val="0"/>
            <w:vAlign w:val="top"/>
          </w:tcPr>
          <w:p w14:paraId="6D008542">
            <w:pPr>
              <w:jc w:val="center"/>
              <w:rPr>
                <w:vertAlign w:val="baseline"/>
              </w:rPr>
            </w:pPr>
          </w:p>
          <w:p w14:paraId="5000A9B7">
            <w:pPr>
              <w:jc w:val="center"/>
              <w:rPr>
                <w:vertAlign w:val="baseline"/>
              </w:rPr>
            </w:pPr>
          </w:p>
          <w:p w14:paraId="343F0547">
            <w:pPr>
              <w:jc w:val="center"/>
              <w:rPr>
                <w:vertAlign w:val="baseline"/>
              </w:rPr>
            </w:pPr>
          </w:p>
          <w:p w14:paraId="68AC187A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0B3F0F2B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高频（≥5次）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中频（3-4次）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低频（1-2次）</w:t>
            </w:r>
          </w:p>
          <w:p w14:paraId="60157DC3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无（0次）</w:t>
            </w:r>
          </w:p>
        </w:tc>
      </w:tr>
      <w:tr w14:paraId="5CF4876F">
        <w:trPr>
          <w:trHeight w:val="1003" w:hRule="atLeast"/>
        </w:trPr>
        <w:tc>
          <w:tcPr>
            <w:tcW w:w="1588" w:type="dxa"/>
            <w:vMerge w:val="continue"/>
            <w:noWrap w:val="0"/>
            <w:vAlign w:val="top"/>
          </w:tcPr>
          <w:p w14:paraId="6C9E137C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3C96A5C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2.积极情绪表现</w:t>
            </w:r>
          </w:p>
        </w:tc>
        <w:tc>
          <w:tcPr>
            <w:tcW w:w="2595" w:type="dxa"/>
            <w:noWrap w:val="0"/>
            <w:vAlign w:val="top"/>
          </w:tcPr>
          <w:p w14:paraId="4BB2527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表现出愉悦、惊喜、好奇等积极情绪</w:t>
            </w:r>
          </w:p>
        </w:tc>
        <w:tc>
          <w:tcPr>
            <w:tcW w:w="3120" w:type="dxa"/>
            <w:noWrap w:val="0"/>
            <w:vAlign w:val="top"/>
          </w:tcPr>
          <w:p w14:paraId="6C807201">
            <w:pPr>
              <w:jc w:val="center"/>
              <w:rPr>
                <w:vertAlign w:val="baseline"/>
              </w:rPr>
            </w:pPr>
          </w:p>
          <w:p w14:paraId="0162429B">
            <w:pPr>
              <w:jc w:val="center"/>
              <w:rPr>
                <w:vertAlign w:val="baseline"/>
              </w:rPr>
            </w:pPr>
          </w:p>
          <w:p w14:paraId="0C329078">
            <w:pPr>
              <w:jc w:val="center"/>
              <w:rPr>
                <w:vertAlign w:val="baseline"/>
              </w:rPr>
            </w:pPr>
          </w:p>
          <w:p w14:paraId="789CD2EA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6016EFC8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高频（≥5次）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中频（3-4次）</w:t>
            </w:r>
          </w:p>
          <w:p w14:paraId="556E6FF4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低频（1-2次）</w:t>
            </w:r>
          </w:p>
          <w:p w14:paraId="75E38FD1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无（0次）</w:t>
            </w:r>
          </w:p>
        </w:tc>
      </w:tr>
      <w:tr w14:paraId="31EFAC5F">
        <w:trPr>
          <w:trHeight w:val="1003" w:hRule="atLeast"/>
        </w:trPr>
        <w:tc>
          <w:tcPr>
            <w:tcW w:w="1588" w:type="dxa"/>
            <w:vMerge w:val="continue"/>
            <w:noWrap w:val="0"/>
            <w:vAlign w:val="top"/>
          </w:tcPr>
          <w:p w14:paraId="6143D2AF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53F7871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3.同伴分享行为</w:t>
            </w:r>
          </w:p>
        </w:tc>
        <w:tc>
          <w:tcPr>
            <w:tcW w:w="2595" w:type="dxa"/>
            <w:noWrap w:val="0"/>
            <w:vAlign w:val="top"/>
          </w:tcPr>
          <w:p w14:paraId="2CD8297D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主动与同伴分享自己的发现或想法</w:t>
            </w:r>
          </w:p>
        </w:tc>
        <w:tc>
          <w:tcPr>
            <w:tcW w:w="3120" w:type="dxa"/>
            <w:noWrap w:val="0"/>
            <w:vAlign w:val="top"/>
          </w:tcPr>
          <w:p w14:paraId="1117B07C">
            <w:pPr>
              <w:jc w:val="center"/>
              <w:rPr>
                <w:vertAlign w:val="baseline"/>
              </w:rPr>
            </w:pPr>
          </w:p>
          <w:p w14:paraId="2749E4DE">
            <w:pPr>
              <w:jc w:val="center"/>
              <w:rPr>
                <w:vertAlign w:val="baseline"/>
              </w:rPr>
            </w:pPr>
          </w:p>
          <w:p w14:paraId="74B245FD">
            <w:pPr>
              <w:jc w:val="center"/>
              <w:rPr>
                <w:vertAlign w:val="baseline"/>
              </w:rPr>
            </w:pPr>
          </w:p>
          <w:p w14:paraId="1C446009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329C1C95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高频（≥4次）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中频（2-3次）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低频（1次）</w:t>
            </w:r>
          </w:p>
          <w:p w14:paraId="0C5C522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无（0次）</w:t>
            </w:r>
          </w:p>
        </w:tc>
      </w:tr>
      <w:tr w14:paraId="435238EC">
        <w:trPr>
          <w:trHeight w:val="1228" w:hRule="atLeast"/>
        </w:trPr>
        <w:tc>
          <w:tcPr>
            <w:tcW w:w="1588" w:type="dxa"/>
            <w:vMerge w:val="continue"/>
            <w:noWrap w:val="0"/>
            <w:vAlign w:val="top"/>
          </w:tcPr>
          <w:p w14:paraId="57AF35EE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353C90B0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4.活动后延续兴趣</w:t>
            </w:r>
          </w:p>
        </w:tc>
        <w:tc>
          <w:tcPr>
            <w:tcW w:w="2595" w:type="dxa"/>
            <w:noWrap w:val="0"/>
            <w:vAlign w:val="top"/>
          </w:tcPr>
          <w:p w14:paraId="154A04F0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活动结束后，是否表现出对绘本的持续兴趣</w:t>
            </w:r>
          </w:p>
        </w:tc>
        <w:tc>
          <w:tcPr>
            <w:tcW w:w="3120" w:type="dxa"/>
            <w:noWrap w:val="0"/>
            <w:vAlign w:val="top"/>
          </w:tcPr>
          <w:p w14:paraId="580EB69F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479F78F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强烈（主动再看/</w:t>
            </w:r>
          </w:p>
          <w:p w14:paraId="55DA60D2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讨论）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一般（被邀请后愿意）</w:t>
            </w:r>
          </w:p>
          <w:p w14:paraId="1273B52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无（急于离开）</w:t>
            </w:r>
          </w:p>
        </w:tc>
      </w:tr>
      <w:tr w14:paraId="1CD31E11">
        <w:trPr>
          <w:trHeight w:val="1228" w:hRule="atLeast"/>
        </w:trPr>
        <w:tc>
          <w:tcPr>
            <w:tcW w:w="1588" w:type="dxa"/>
            <w:vMerge w:val="restart"/>
            <w:noWrap w:val="0"/>
            <w:vAlign w:val="top"/>
          </w:tcPr>
          <w:p w14:paraId="1654D2AD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学会阅读</w:t>
            </w:r>
          </w:p>
          <w:p w14:paraId="09BA5CF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（阅读水平）</w:t>
            </w:r>
          </w:p>
        </w:tc>
        <w:tc>
          <w:tcPr>
            <w:tcW w:w="1201" w:type="dxa"/>
            <w:noWrap w:val="0"/>
            <w:vAlign w:val="top"/>
          </w:tcPr>
          <w:p w14:paraId="4AD19A90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1.句式掌握与运用</w:t>
            </w:r>
          </w:p>
        </w:tc>
        <w:tc>
          <w:tcPr>
            <w:tcW w:w="2595" w:type="dxa"/>
            <w:noWrap w:val="0"/>
            <w:vAlign w:val="top"/>
          </w:tcPr>
          <w:p w14:paraId="2FABA651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能否正确、完整地运用</w:t>
            </w:r>
          </w:p>
          <w:p w14:paraId="0DD06AA9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“XX哒哒哒...咣，变成了XX”句式？</w:t>
            </w:r>
          </w:p>
        </w:tc>
        <w:tc>
          <w:tcPr>
            <w:tcW w:w="3120" w:type="dxa"/>
            <w:noWrap w:val="0"/>
            <w:vAlign w:val="top"/>
          </w:tcPr>
          <w:p w14:paraId="11D9BAA6">
            <w:pPr>
              <w:jc w:val="center"/>
              <w:rPr>
                <w:vertAlign w:val="baseline"/>
              </w:rPr>
            </w:pPr>
          </w:p>
          <w:p w14:paraId="74D4DBB2">
            <w:pPr>
              <w:jc w:val="center"/>
              <w:rPr>
                <w:vertAlign w:val="baseline"/>
              </w:rPr>
            </w:pPr>
          </w:p>
          <w:p w14:paraId="1D70FA73">
            <w:pPr>
              <w:jc w:val="center"/>
              <w:rPr>
                <w:vertAlign w:val="baseline"/>
              </w:rPr>
            </w:pPr>
          </w:p>
          <w:p w14:paraId="0260A438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73A3A39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熟练运用（≥5次</w:t>
            </w:r>
          </w:p>
          <w:p w14:paraId="222828F6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正确）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基本掌握（2-4次正确）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初步尝试（1次或需提示）</w:t>
            </w:r>
          </w:p>
          <w:p w14:paraId="4B7C6B11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无法运用</w:t>
            </w:r>
          </w:p>
        </w:tc>
      </w:tr>
      <w:tr w14:paraId="3BA5572A">
        <w:trPr>
          <w:trHeight w:val="1381" w:hRule="atLeast"/>
        </w:trPr>
        <w:tc>
          <w:tcPr>
            <w:tcW w:w="1588" w:type="dxa"/>
            <w:vMerge w:val="continue"/>
            <w:noWrap w:val="0"/>
            <w:vAlign w:val="top"/>
          </w:tcPr>
          <w:p w14:paraId="375DD3BA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445AB7B1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2.语言表达完整性</w:t>
            </w:r>
          </w:p>
        </w:tc>
        <w:tc>
          <w:tcPr>
            <w:tcW w:w="2595" w:type="dxa"/>
            <w:noWrap w:val="0"/>
            <w:vAlign w:val="top"/>
          </w:tcPr>
          <w:p w14:paraId="400A9CD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表达时，是“单词式”（如“猫头鹰”）还是“完整句式”（如“小</w:t>
            </w:r>
          </w:p>
          <w:p w14:paraId="162BBF53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猫和小鹰碰在一起变成了猫头鹰”）？</w:t>
            </w:r>
          </w:p>
        </w:tc>
        <w:tc>
          <w:tcPr>
            <w:tcW w:w="3120" w:type="dxa"/>
            <w:noWrap w:val="0"/>
            <w:vAlign w:val="top"/>
          </w:tcPr>
          <w:p w14:paraId="30F4CB48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142DD700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完整句式为主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短语为主</w:t>
            </w:r>
          </w:p>
          <w:p w14:paraId="29016862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单词为主</w:t>
            </w:r>
          </w:p>
          <w:p w14:paraId="198DDF60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无法表达</w:t>
            </w:r>
          </w:p>
        </w:tc>
      </w:tr>
      <w:tr w14:paraId="53A7FE15">
        <w:trPr>
          <w:trHeight w:val="1228" w:hRule="atLeast"/>
        </w:trPr>
        <w:tc>
          <w:tcPr>
            <w:tcW w:w="1588" w:type="dxa"/>
            <w:vMerge w:val="continue"/>
            <w:noWrap w:val="0"/>
            <w:vAlign w:val="top"/>
          </w:tcPr>
          <w:p w14:paraId="652679B8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43EF6A5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.理解与迁移能力</w:t>
            </w:r>
          </w:p>
        </w:tc>
        <w:tc>
          <w:tcPr>
            <w:tcW w:w="2595" w:type="dxa"/>
            <w:noWrap w:val="0"/>
            <w:vAlign w:val="top"/>
          </w:tcPr>
          <w:p w14:paraId="7D63FE05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能否理解“组合创新”的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内在逻辑（形状、颜色、功能等）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，并迁移到其他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情境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？</w:t>
            </w:r>
          </w:p>
        </w:tc>
        <w:tc>
          <w:tcPr>
            <w:tcW w:w="3120" w:type="dxa"/>
            <w:noWrap w:val="0"/>
            <w:vAlign w:val="top"/>
          </w:tcPr>
          <w:p w14:paraId="4C8E01C7">
            <w:pPr>
              <w:jc w:val="center"/>
              <w:rPr>
                <w:vertAlign w:val="baseline"/>
              </w:rPr>
            </w:pPr>
          </w:p>
          <w:p w14:paraId="57CCAFB7">
            <w:pPr>
              <w:jc w:val="center"/>
              <w:rPr>
                <w:vertAlign w:val="baseline"/>
              </w:rPr>
            </w:pPr>
          </w:p>
          <w:p w14:paraId="2856CDB9">
            <w:pPr>
              <w:jc w:val="center"/>
              <w:rPr>
                <w:vertAlign w:val="baseline"/>
              </w:rPr>
            </w:pPr>
          </w:p>
          <w:p w14:paraId="5F2B88C4">
            <w:pPr>
              <w:jc w:val="both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221834B9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能理解并主动迁移（如举出生活例子）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能理解，但需引导才迁移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仅理解绘本内容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不理解</w:t>
            </w:r>
          </w:p>
        </w:tc>
      </w:tr>
      <w:tr w14:paraId="33958A3F">
        <w:trPr>
          <w:trHeight w:val="543" w:hRule="atLeast"/>
        </w:trPr>
        <w:tc>
          <w:tcPr>
            <w:tcW w:w="1588" w:type="dxa"/>
            <w:vMerge w:val="continue"/>
            <w:noWrap w:val="0"/>
            <w:vAlign w:val="top"/>
          </w:tcPr>
          <w:p w14:paraId="13E1336D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113C81B8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.想象与创造水平</w:t>
            </w:r>
          </w:p>
        </w:tc>
        <w:tc>
          <w:tcPr>
            <w:tcW w:w="2595" w:type="dxa"/>
            <w:noWrap w:val="0"/>
            <w:vAlign w:val="top"/>
          </w:tcPr>
          <w:p w14:paraId="61126986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能否提出原创的组合想法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（绘本未出现）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，并清晰描述？</w:t>
            </w:r>
          </w:p>
        </w:tc>
        <w:tc>
          <w:tcPr>
            <w:tcW w:w="3120" w:type="dxa"/>
            <w:noWrap w:val="0"/>
            <w:vAlign w:val="top"/>
          </w:tcPr>
          <w:p w14:paraId="42E9BCAB">
            <w:pPr>
              <w:jc w:val="both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5FF2180F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高水平（原创想法≥3个，描述清晰）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中等水平（原创1-2个，描述较清晰）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低水平（仅复述绘</w:t>
            </w:r>
          </w:p>
          <w:p w14:paraId="5ED610AA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本）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无法想象</w:t>
            </w:r>
          </w:p>
        </w:tc>
      </w:tr>
      <w:tr w14:paraId="1D0D60B9">
        <w:trPr>
          <w:trHeight w:val="1424" w:hRule="atLeast"/>
        </w:trPr>
        <w:tc>
          <w:tcPr>
            <w:tcW w:w="1588" w:type="dxa"/>
            <w:vMerge w:val="restart"/>
            <w:noWrap w:val="0"/>
            <w:vAlign w:val="top"/>
          </w:tcPr>
          <w:p w14:paraId="7A980E1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个体差异</w:t>
            </w:r>
          </w:p>
          <w:p w14:paraId="7ED206C8">
            <w:pPr>
              <w:jc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关注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</w:p>
        </w:tc>
        <w:tc>
          <w:tcPr>
            <w:tcW w:w="1201" w:type="dxa"/>
            <w:noWrap w:val="0"/>
            <w:vAlign w:val="top"/>
          </w:tcPr>
          <w:p w14:paraId="56502D6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高水平幼</w:t>
            </w:r>
          </w:p>
          <w:p w14:paraId="4F0CD97F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儿表现</w:t>
            </w:r>
          </w:p>
        </w:tc>
        <w:tc>
          <w:tcPr>
            <w:tcW w:w="2595" w:type="dxa"/>
            <w:noWrap w:val="0"/>
            <w:vAlign w:val="top"/>
          </w:tcPr>
          <w:p w14:paraId="1AABF3F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语言能力较强的幼儿，</w:t>
            </w:r>
          </w:p>
          <w:p w14:paraId="4E1F57BA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在该教学法下是否有“跳一跳够得着”的挑战机会？</w:t>
            </w:r>
          </w:p>
        </w:tc>
        <w:tc>
          <w:tcPr>
            <w:tcW w:w="3120" w:type="dxa"/>
            <w:noWrap w:val="0"/>
            <w:vAlign w:val="top"/>
          </w:tcPr>
          <w:p w14:paraId="5A701772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3C55A31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有，表现出色，有</w:t>
            </w:r>
          </w:p>
          <w:p w14:paraId="181AD5A2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深度思考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有，但表现一般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无挑战，表现轻松但无提升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无法判断</w:t>
            </w:r>
          </w:p>
        </w:tc>
      </w:tr>
      <w:tr w14:paraId="4703473A">
        <w:trPr>
          <w:trHeight w:val="1338" w:hRule="atLeast"/>
        </w:trPr>
        <w:tc>
          <w:tcPr>
            <w:tcW w:w="1588" w:type="dxa"/>
            <w:vMerge w:val="continue"/>
            <w:noWrap w:val="0"/>
            <w:vAlign w:val="top"/>
          </w:tcPr>
          <w:p w14:paraId="79F21C18">
            <w:pPr>
              <w:jc w:val="center"/>
              <w:rPr>
                <w:vertAlign w:val="baseline"/>
              </w:rPr>
            </w:pPr>
          </w:p>
        </w:tc>
        <w:tc>
          <w:tcPr>
            <w:tcW w:w="1201" w:type="dxa"/>
            <w:noWrap w:val="0"/>
            <w:vAlign w:val="top"/>
          </w:tcPr>
          <w:p w14:paraId="2BCC954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低水平幼</w:t>
            </w:r>
          </w:p>
          <w:p w14:paraId="5C7216C6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儿表现</w:t>
            </w:r>
          </w:p>
        </w:tc>
        <w:tc>
          <w:tcPr>
            <w:tcW w:w="2595" w:type="dxa"/>
            <w:noWrap w:val="0"/>
            <w:vAlign w:val="top"/>
          </w:tcPr>
          <w:p w14:paraId="6FA3266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语言能力较弱的幼儿，</w:t>
            </w:r>
          </w:p>
          <w:p w14:paraId="1A2A68BC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在该教学法下是否获得有效支持和成功体验？</w:t>
            </w:r>
          </w:p>
        </w:tc>
        <w:tc>
          <w:tcPr>
            <w:tcW w:w="3120" w:type="dxa"/>
            <w:noWrap w:val="0"/>
            <w:vAlign w:val="top"/>
          </w:tcPr>
          <w:p w14:paraId="5C6AE73F">
            <w:pPr>
              <w:jc w:val="center"/>
              <w:rPr>
                <w:vertAlign w:val="baseline"/>
              </w:rPr>
            </w:pPr>
          </w:p>
        </w:tc>
        <w:tc>
          <w:tcPr>
            <w:tcW w:w="2386" w:type="dxa"/>
            <w:noWrap w:val="0"/>
            <w:vAlign w:val="top"/>
          </w:tcPr>
          <w:p w14:paraId="36435B3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有，获得支持并有</w:t>
            </w:r>
          </w:p>
          <w:p w14:paraId="784AC98A">
            <w:pPr>
              <w:jc w:val="both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所表现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有，但表现被动或困难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无支持，被忽视或放弃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□ 无法判断</w:t>
            </w:r>
          </w:p>
        </w:tc>
      </w:tr>
      <w:tr w14:paraId="5D22DC6E">
        <w:trPr>
          <w:trHeight w:val="478" w:hRule="atLeast"/>
        </w:trPr>
        <w:tc>
          <w:tcPr>
            <w:tcW w:w="10890" w:type="dxa"/>
            <w:gridSpan w:val="5"/>
            <w:noWrap w:val="0"/>
            <w:vAlign w:val="top"/>
          </w:tcPr>
          <w:p w14:paraId="0ED939DE">
            <w:pP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观察者综合评估（请在对应选项打√，可多选）：</w:t>
            </w:r>
          </w:p>
          <w:p w14:paraId="1F44CB53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23566B3B">
        <w:trPr>
          <w:trHeight w:val="1338" w:hRule="atLeast"/>
        </w:trPr>
        <w:tc>
          <w:tcPr>
            <w:tcW w:w="10890" w:type="dxa"/>
            <w:gridSpan w:val="5"/>
            <w:noWrap w:val="0"/>
            <w:vAlign w:val="top"/>
          </w:tcPr>
          <w:p w14:paraId="3CF67BD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关于“爱上阅读”：您认为该教学法在激发阅读兴趣方面效果如何？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效果显著，幼儿普遍表现出浓厚兴趣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效果一般，部分幼儿兴趣浓厚，部分平淡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效果不佳，幼儿兴趣普遍不高</w:t>
            </w:r>
          </w:p>
          <w:p w14:paraId="68EA3403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714C066B">
        <w:trPr>
          <w:trHeight w:val="1338" w:hRule="atLeast"/>
        </w:trPr>
        <w:tc>
          <w:tcPr>
            <w:tcW w:w="10890" w:type="dxa"/>
            <w:gridSpan w:val="5"/>
            <w:noWrap w:val="0"/>
            <w:vAlign w:val="top"/>
          </w:tcPr>
          <w:p w14:paraId="68EFA11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049493E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关于“学会阅读”：您认为该教学法在提升阅读水平方面效果如何？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效果显著，幼儿在语言表达和想象创造上均有明显提升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效果一般，在某一维度有提升，另一维度不明显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具体备注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□ 效果不佳，幼儿阅读水平无明显提升</w:t>
            </w:r>
          </w:p>
          <w:p w14:paraId="5B213045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4CC7C481">
        <w:trPr>
          <w:trHeight w:val="2666" w:hRule="atLeast"/>
        </w:trPr>
        <w:tc>
          <w:tcPr>
            <w:tcW w:w="10890" w:type="dxa"/>
            <w:gridSpan w:val="5"/>
            <w:noWrap w:val="0"/>
            <w:vAlign w:val="top"/>
          </w:tcPr>
          <w:p w14:paraId="508820A8">
            <w:pPr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教育指导建议（结合观察，您认为该教学法在“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激发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阅读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兴趣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”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和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提升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阅读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水平”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可以如何进行优化调整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）：</w:t>
            </w:r>
          </w:p>
        </w:tc>
      </w:tr>
    </w:tbl>
    <w:p w14:paraId="3EE527BE">
      <w:pPr>
        <w:jc w:val="center"/>
      </w:pPr>
    </w:p>
    <w:p w14:paraId="70874937">
      <w:pPr>
        <w:jc w:val="both"/>
      </w:pPr>
    </w:p>
    <w:sectPr>
      <w:pgSz w:w="11906" w:h="16838"/>
      <w:pgMar w:top="930" w:right="952" w:bottom="930" w:left="952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var(--dsw-font-markdown-table-h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var(--dsw-font-markdown-table)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NotDisplayPageBoundaries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E0281A"/>
    <w:rsid w:val="4CFAA469"/>
    <w:rsid w:val="53B7FACE"/>
    <w:rsid w:val="60970281"/>
    <w:rsid w:val="649A0446"/>
    <w:rsid w:val="76BF45CB"/>
    <w:rsid w:val="7DFF481C"/>
    <w:rsid w:val="7E575A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Style w:val="2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Style w:val="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1048</Words>
  <Characters>1074</Characters>
  <Lines>0</Lines>
  <Paragraphs>0</Paragraphs>
  <TotalTime>39</TotalTime>
  <ScaleCrop>false</ScaleCrop>
  <LinksUpToDate>false</LinksUpToDate>
  <CharactersWithSpaces>1143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2026-05-14T13:15:08Z</dcterms:created>
  <dc:creator>Administrator</dc:creator>
  <cp:lastModifiedBy>音狐狸</cp:lastModifiedBy>
  <cp:lastPrinted>2026-05-14T14:32:06Z</cp:lastPrinted>
  <dcterms:modified xsi:type="dcterms:W3CDTF">2026-05-28T21:57:19Z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KSOTemplateDocerSaveRecord">
    <vt:lpwstr>eyJoZGlkIjoiNDJjYzU3NDJiMjYwYWJiMGZlMjkxMDMxMDQ1M2JkZWMiLCJ1c2VySWQiOiIyNTEyMjQ2MjUifQ==</vt:lpwstr>
  </property>
  <property fmtid="{D5CDD505-2E9C-101B-9397-08002B2CF9AE}" pid="4" name="ICV">
    <vt:lpwstr>6710EFEAC2C23B048849186A9EE8902F_43</vt:lpwstr>
  </property>
</Properties>
</file>