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0" w:before="0"/>
        <w:jc w:val="center"/>
      </w:pPr>
      <w:r>
        <w:rPr>
          <w:rFonts w:ascii="Arial" w:cs="Arial" w:eastAsia="Arial" w:hAnsi="Arial"/>
          <w:b/>
          <w:bCs/>
          <w:color w:val="2D1B69"/>
          <w:sz w:val="120"/>
          <w:szCs w:val="120"/>
        </w:rPr>
        <w:t xml:space="preserve">VELA</w:t>
      </w:r>
    </w:p>
    <w:p>
      <w:pPr>
        <w:spacing w:after="200" w:before="0"/>
        <w:jc w:val="center"/>
      </w:pPr>
      <w:r>
        <w:rPr>
          <w:rFonts w:ascii="Arial" w:cs="Arial" w:eastAsia="Arial" w:hAnsi="Arial"/>
          <w:b w:val="false"/>
          <w:bCs w:val="false"/>
          <w:color w:val="0FA8A0"/>
          <w:spacing w:val="300"/>
          <w:sz w:val="56"/>
          <w:szCs w:val="56"/>
        </w:rPr>
        <w:t xml:space="preserve">HEALTH</w:t>
      </w:r>
    </w:p>
    <w:p>
      <w:pPr>
        <w:pBdr>
          <w:bottom w:val="single" w:color="0FA8A0" w:sz="2" w:space="1"/>
        </w:pBdr>
        <w:spacing w:after="200" w:before="0"/>
        <w:jc w:val="center"/>
      </w:pPr>
      <w:r>
        <w:t xml:space="preserve"/>
      </w:r>
    </w:p>
    <w:p>
      <w:pPr>
        <w:spacing w:after="600" w:before="0"/>
        <w:jc w:val="center"/>
      </w:pPr>
      <w:r>
        <w:rPr>
          <w:rFonts w:ascii="Arial" w:cs="Arial" w:eastAsia="Arial" w:hAnsi="Arial"/>
          <w:i/>
          <w:iCs/>
          <w:color w:val="595959"/>
          <w:sz w:val="28"/>
          <w:szCs w:val="28"/>
        </w:rPr>
        <w:t xml:space="preserve">"Know your body. Own your data."</w:t>
      </w:r>
    </w:p>
    <w:p>
      <w:pPr>
        <w:spacing w:after="120" w:before="0"/>
        <w:jc w:val="center"/>
      </w:pPr>
      <w:r>
        <w:rPr>
          <w:rFonts w:ascii="Arial" w:cs="Arial" w:eastAsia="Arial" w:hAnsi="Arial"/>
          <w:b/>
          <w:bCs/>
          <w:color w:val="2D1B69"/>
          <w:spacing w:val="200"/>
          <w:sz w:val="26"/>
          <w:szCs w:val="26"/>
        </w:rPr>
        <w:t xml:space="preserve">PRODUCT REQUIREMENTS DOCUMENT</w:t>
      </w:r>
    </w:p>
    <w:p>
      <w:pPr>
        <w:spacing w:after="400" w:before="0"/>
        <w:jc w:val="center"/>
      </w:pPr>
      <w:r>
        <w:rPr>
          <w:rFonts w:ascii="Arial" w:cs="Arial" w:eastAsia="Arial" w:hAnsi="Arial"/>
          <w:color w:val="595959"/>
          <w:sz w:val="22"/>
          <w:szCs w:val="22"/>
        </w:rPr>
        <w:t xml:space="preserve">AI-Native · Privacy-First · Wearable-Agnostic Health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center"/>
            </w:pPr>
            <w:r>
              <w:rPr>
                <w:rFonts w:ascii="Arial" w:cs="Arial" w:eastAsia="Arial" w:hAnsi="Arial"/>
                <w:b/>
                <w:bCs/>
                <w:color w:val="FFFFFF"/>
                <w:sz w:val="20"/>
                <w:szCs w:val="20"/>
              </w:rPr>
              <w:t xml:space="preserve">Version</w:t>
            </w:r>
          </w:p>
        </w:tc>
        <w:tc>
          <w:tcPr>
            <w:tcW w:type="dxa" w:w="46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center"/>
            </w:pPr>
            <w:r>
              <w:rPr>
                <w:rFonts w:ascii="Arial" w:cs="Arial" w:eastAsia="Arial" w:hAnsi="Arial"/>
                <w:b/>
                <w:bCs/>
                <w:color w:val="FFFFFF"/>
                <w:sz w:val="20"/>
                <w:szCs w:val="20"/>
              </w:rPr>
              <w:t xml:space="preserve">Document</w:t>
            </w:r>
          </w:p>
        </w:tc>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center"/>
            </w:pPr>
            <w:r>
              <w:rPr>
                <w:rFonts w:ascii="Arial" w:cs="Arial" w:eastAsia="Arial" w:hAnsi="Arial"/>
                <w:b/>
                <w:bCs/>
                <w:color w:val="FFFFFF"/>
                <w:sz w:val="20"/>
                <w:szCs w:val="20"/>
              </w:rPr>
              <w:t xml:space="preserve">Status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v1.0</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VELA Health — Product Requirements Document</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DRAFT</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Author</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Shibichakravarthy Kannan, MD, PhD</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val="false"/>
                <w:bCs w:val="false"/>
                <w:color w:val="1A1A2E"/>
                <w:sz w:val="20"/>
                <w:szCs w:val="20"/>
              </w:rPr>
              <w:t xml:space="preserve">May 2026</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 Executive Summary</w:t>
      </w:r>
    </w:p>
    <w:p>
      <w:pPr>
        <w:pBdr>
          <w:left w:val="single" w:color="2D1B69" w:sz="18" w:space="12"/>
        </w:pBdr>
        <w:shd w:fill="EEF0FF" w:val="clear"/>
        <w:spacing w:after="160" w:before="160" w:line="300"/>
        <w:ind w:left="360" w:right="240"/>
      </w:pPr>
      <w:r>
        <w:rPr>
          <w:rFonts w:ascii="Arial" w:cs="Arial" w:eastAsia="Arial" w:hAnsi="Arial"/>
          <w:i/>
          <w:iCs/>
          <w:color w:val="1A1A2E"/>
          <w:sz w:val="22"/>
          <w:szCs w:val="22"/>
        </w:rPr>
        <w:t xml:space="preserve">VELA is an AI-native, privacy-first health intelligence platform that aggregates biometric data from wearables, CGM patches, and health APIs into a zero-knowledge local vault — then applies Claude AI to deliver deeply personalized health insights without ever exposing raw personal data to any server.</w:t>
      </w:r>
    </w:p>
    <w:p>
      <w:pPr>
        <w:spacing w:after="100"/>
      </w:pPr>
      <w:r>
        <w:t xml:space="preserve"/>
      </w:r>
    </w:p>
    <w:p>
      <w:pPr>
        <w:spacing w:after="120" w:before="60" w:line="320"/>
      </w:pPr>
      <w:r>
        <w:rPr>
          <w:rFonts w:ascii="Arial" w:cs="Arial" w:eastAsia="Arial" w:hAnsi="Arial"/>
          <w:color w:val="1A1A2E"/>
          <w:sz w:val="22"/>
          <w:szCs w:val="22"/>
        </w:rPr>
        <w:t xml:space="preserve">The global wearables market is projected to exceed $186 billion by 2030, yet every major platform — WHOOP, Oura, Garmin, Fitbit — operates on a cloud-first model where user biometric data is stored, processed, and monetized on corporate servers. Generation Z, the largest emerging consumer cohort, is the most privacy-conscious generation in recorded history: 88% report concern about health data privacy (Pew, 2024), and 71% actively avoid apps that share data with third parties.</w:t>
      </w:r>
    </w:p>
    <w:p>
      <w:pPr>
        <w:spacing w:after="120" w:before="60" w:line="320"/>
      </w:pPr>
      <w:r>
        <w:rPr>
          <w:rFonts w:ascii="Arial" w:cs="Arial" w:eastAsia="Arial" w:hAnsi="Arial"/>
          <w:color w:val="1A1A2E"/>
          <w:sz w:val="22"/>
          <w:szCs w:val="22"/>
        </w:rPr>
        <w:t xml:space="preserve">VELA is the first health platform built for this reality. All raw biometric data is stored locally on the user's device in an encrypted vault. AI analysis is performed on anonymized, differentially private data snapshots. No raw personal data ever leaves the device.</w:t>
      </w:r>
    </w:p>
    <w:p>
      <w:pPr>
        <w:spacing w:after="100"/>
      </w:pPr>
      <w:r>
        <w:t xml:space="preserve"/>
      </w:r>
    </w:p>
    <w:p>
      <w:pPr>
        <w:pStyle w:val="Heading2"/>
        <w:spacing w:after="140" w:before="400"/>
      </w:pPr>
      <w:r>
        <w:rPr>
          <w:rFonts w:ascii="Arial" w:cs="Arial" w:eastAsia="Arial" w:hAnsi="Arial"/>
          <w:b/>
          <w:bCs/>
          <w:color w:val="2D1B69"/>
          <w:sz w:val="28"/>
          <w:szCs w:val="28"/>
        </w:rPr>
        <w:t xml:space="preserve">1.1 Key Differentiators</w:t>
      </w:r>
    </w:p>
    <w:p>
      <w:pPr>
        <w:pStyle w:val="ListParagraph"/>
        <w:numPr>
          <w:ilvl w:val="0"/>
          <w:numId w:val="2"/>
        </w:numPr>
        <w:spacing w:after="80" w:before="40"/>
      </w:pPr>
      <w:r>
        <w:rPr>
          <w:rFonts w:ascii="Arial" w:cs="Arial" w:eastAsia="Arial" w:hAnsi="Arial"/>
          <w:color w:val="1A1A2E"/>
          <w:sz w:val="22"/>
          <w:szCs w:val="22"/>
        </w:rPr>
        <w:t xml:space="preserve">Zero-knowledge privacy vault — all biometrics stored locally with AES-256 encryption; no cloud raw data storage</w:t>
      </w:r>
    </w:p>
    <w:p>
      <w:pPr>
        <w:pStyle w:val="ListParagraph"/>
        <w:numPr>
          <w:ilvl w:val="0"/>
          <w:numId w:val="2"/>
        </w:numPr>
        <w:spacing w:after="80" w:before="40"/>
      </w:pPr>
      <w:r>
        <w:rPr>
          <w:rFonts w:ascii="Arial" w:cs="Arial" w:eastAsia="Arial" w:hAnsi="Arial"/>
          <w:color w:val="1A1A2E"/>
          <w:sz w:val="22"/>
          <w:szCs w:val="22"/>
        </w:rPr>
        <w:t xml:space="preserve">Device-agnostic aggregation — integrates WHOOP, Oura, Garmin, Fitbit, Apple Health, Google Health Connect, and CGM patches</w:t>
      </w:r>
    </w:p>
    <w:p>
      <w:pPr>
        <w:pStyle w:val="ListParagraph"/>
        <w:numPr>
          <w:ilvl w:val="0"/>
          <w:numId w:val="2"/>
        </w:numPr>
        <w:spacing w:after="80" w:before="40"/>
      </w:pPr>
      <w:r>
        <w:rPr>
          <w:rFonts w:ascii="Arial" w:cs="Arial" w:eastAsia="Arial" w:hAnsi="Arial"/>
          <w:color w:val="1A1A2E"/>
          <w:sz w:val="22"/>
          <w:szCs w:val="22"/>
        </w:rPr>
        <w:t xml:space="preserve">CGM-first metabolic layer — continuous glucose monitoring integrated with HRV, sleep, and recovery for metabolic intelligence not available on any competing platform</w:t>
      </w:r>
    </w:p>
    <w:p>
      <w:pPr>
        <w:pStyle w:val="ListParagraph"/>
        <w:numPr>
          <w:ilvl w:val="0"/>
          <w:numId w:val="2"/>
        </w:numPr>
        <w:spacing w:after="80" w:before="40"/>
      </w:pPr>
      <w:r>
        <w:rPr>
          <w:rFonts w:ascii="Arial" w:cs="Arial" w:eastAsia="Arial" w:hAnsi="Arial"/>
          <w:color w:val="1A1A2E"/>
          <w:sz w:val="22"/>
          <w:szCs w:val="22"/>
        </w:rPr>
        <w:t xml:space="preserve">Claude AI coaching engine — personalized, conversational health insights powered by claude-sonnet-4-6, with full tool use over anonymized local data</w:t>
      </w:r>
    </w:p>
    <w:p>
      <w:pPr>
        <w:pStyle w:val="ListParagraph"/>
        <w:numPr>
          <w:ilvl w:val="0"/>
          <w:numId w:val="2"/>
        </w:numPr>
        <w:spacing w:after="80" w:before="40"/>
      </w:pPr>
      <w:r>
        <w:rPr>
          <w:rFonts w:ascii="Arial" w:cs="Arial" w:eastAsia="Arial" w:hAnsi="Arial"/>
          <w:color w:val="1A1A2E"/>
          <w:sz w:val="22"/>
          <w:szCs w:val="22"/>
        </w:rPr>
        <w:t xml:space="preserve">Clinical + genomic overlay — FHIR R4 integration and polygenic risk score visualization for high-fidelity health context</w:t>
      </w:r>
    </w:p>
    <w:p>
      <w:pPr>
        <w:pStyle w:val="ListParagraph"/>
        <w:numPr>
          <w:ilvl w:val="0"/>
          <w:numId w:val="2"/>
        </w:numPr>
        <w:spacing w:after="80" w:before="40"/>
      </w:pPr>
      <w:r>
        <w:rPr>
          <w:rFonts w:ascii="Arial" w:cs="Arial" w:eastAsia="Arial" w:hAnsi="Arial"/>
          <w:color w:val="1A1A2E"/>
          <w:sz w:val="22"/>
          <w:szCs w:val="22"/>
        </w:rPr>
        <w:t xml:space="preserve">Gen Z native design — dark mode first, no paternalism, transparent data flow, fair freemium model</w:t>
      </w:r>
    </w:p>
    <w:p>
      <w:pPr>
        <w:spacing w:after="100"/>
      </w:pPr>
      <w:r>
        <w:t xml:space="preserve"/>
      </w:r>
    </w:p>
    <w:p>
      <w:pPr>
        <w:pStyle w:val="Heading2"/>
        <w:spacing w:after="140" w:before="400"/>
      </w:pPr>
      <w:r>
        <w:rPr>
          <w:rFonts w:ascii="Arial" w:cs="Arial" w:eastAsia="Arial" w:hAnsi="Arial"/>
          <w:b/>
          <w:bCs/>
          <w:color w:val="2D1B69"/>
          <w:sz w:val="28"/>
          <w:szCs w:val="28"/>
        </w:rPr>
        <w:t xml:space="preserve">1.2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Segment</w:t>
            </w:r>
          </w:p>
        </w:tc>
        <w:tc>
          <w:tcPr>
            <w:tcW w:type="dxa" w:w="35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TAM (2026)</w:t>
            </w:r>
          </w:p>
        </w:tc>
        <w:tc>
          <w:tcPr>
            <w:tcW w:type="dxa" w:w="3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VELA Target</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Consumer wearables</w:t>
            </w:r>
          </w:p>
        </w:tc>
        <w:tc>
          <w:tcPr>
            <w:tcW w:type="dxa" w:w="3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$62B global</w:t>
            </w:r>
          </w:p>
        </w:tc>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Privacy-conscious Gen Z / millennials</w:t>
            </w:r>
          </w:p>
        </w:tc>
      </w:tr>
      <w:tr>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CGM metabolic health</w:t>
            </w:r>
          </w:p>
        </w:tc>
        <w:tc>
          <w:tcPr>
            <w:tcW w:type="dxa" w:w="35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$14B global</w:t>
            </w:r>
          </w:p>
        </w:tc>
        <w:tc>
          <w:tcPr>
            <w:tcW w:type="dxa" w:w="3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Performance + wellness (non-diabetic)</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Clinical remote monitoring</w:t>
            </w:r>
          </w:p>
        </w:tc>
        <w:tc>
          <w:tcPr>
            <w:tcW w:type="dxa" w:w="3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$8.2B India + SEA</w:t>
            </w:r>
          </w:p>
        </w:tc>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Apollo network + private clinics</w:t>
            </w:r>
          </w:p>
        </w:tc>
      </w:tr>
      <w:tr>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Genomic wellness</w:t>
            </w:r>
          </w:p>
        </w:tc>
        <w:tc>
          <w:tcPr>
            <w:tcW w:type="dxa" w:w="35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$4.5B emerging</w:t>
            </w:r>
          </w:p>
        </w:tc>
        <w:tc>
          <w:tcPr>
            <w:tcW w:type="dxa" w:w="3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PGS-aware health consumers</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2. Product Vision &amp; Mission</w:t>
      </w:r>
    </w:p>
    <w:p>
      <w:pPr>
        <w:pStyle w:val="Heading2"/>
        <w:spacing w:after="140" w:before="400"/>
      </w:pPr>
      <w:r>
        <w:rPr>
          <w:rFonts w:ascii="Arial" w:cs="Arial" w:eastAsia="Arial" w:hAnsi="Arial"/>
          <w:b/>
          <w:bCs/>
          <w:color w:val="2D1B69"/>
          <w:sz w:val="28"/>
          <w:szCs w:val="28"/>
        </w:rPr>
        <w:t xml:space="preserve">2.1 Mission</w:t>
      </w:r>
    </w:p>
    <w:p>
      <w:pPr>
        <w:pBdr>
          <w:left w:val="single" w:color="0FA8A0" w:sz="18" w:space="12"/>
        </w:pBdr>
        <w:shd w:fill="E1F5EE" w:val="clear"/>
        <w:spacing w:after="160" w:before="160" w:line="300"/>
        <w:ind w:left="360" w:right="240"/>
      </w:pPr>
      <w:r>
        <w:rPr>
          <w:rFonts w:ascii="Arial" w:cs="Arial" w:eastAsia="Arial" w:hAnsi="Arial"/>
          <w:i/>
          <w:iCs/>
          <w:color w:val="1A1A2E"/>
          <w:sz w:val="22"/>
          <w:szCs w:val="22"/>
        </w:rPr>
        <w:t xml:space="preserve">To give every person complete, unfiltered intelligence about their own body — while ensuring that intelligence belongs to them alone, forever.</w:t>
      </w:r>
    </w:p>
    <w:p>
      <w:pPr>
        <w:pStyle w:val="Heading2"/>
        <w:spacing w:after="140" w:before="400"/>
      </w:pPr>
      <w:r>
        <w:rPr>
          <w:rFonts w:ascii="Arial" w:cs="Arial" w:eastAsia="Arial" w:hAnsi="Arial"/>
          <w:b/>
          <w:bCs/>
          <w:color w:val="2D1B69"/>
          <w:sz w:val="28"/>
          <w:szCs w:val="28"/>
        </w:rPr>
        <w:t xml:space="preserve">2.2 Vision</w:t>
      </w:r>
    </w:p>
    <w:p>
      <w:pPr>
        <w:spacing w:after="120" w:before="60" w:line="320"/>
      </w:pPr>
      <w:r>
        <w:rPr>
          <w:rFonts w:ascii="Arial" w:cs="Arial" w:eastAsia="Arial" w:hAnsi="Arial"/>
          <w:color w:val="1A1A2E"/>
          <w:sz w:val="22"/>
          <w:szCs w:val="22"/>
        </w:rPr>
        <w:t xml:space="preserve">VELA envisions a world where your health data is as personal as your thoughts — fully private by default, available only on your terms, and enriched by AI that serves you rather than platforms that profit from you. By 2028, VELA will be the trusted health intelligence layer for 10 million people across India, Southeast Asia, and globally — a platform where genomics, metabolic data, biometrics, and clinical records converge into one coherent, private picture of personal health.</w:t>
      </w:r>
    </w:p>
    <w:p>
      <w:pPr>
        <w:spacing w:after="100"/>
      </w:pPr>
      <w:r>
        <w:t xml:space="preserve"/>
      </w:r>
    </w:p>
    <w:p>
      <w:pPr>
        <w:pStyle w:val="Heading2"/>
        <w:spacing w:after="140" w:before="400"/>
      </w:pPr>
      <w:r>
        <w:rPr>
          <w:rFonts w:ascii="Arial" w:cs="Arial" w:eastAsia="Arial" w:hAnsi="Arial"/>
          <w:b/>
          <w:bCs/>
          <w:color w:val="2D1B69"/>
          <w:sz w:val="28"/>
          <w:szCs w:val="28"/>
        </w:rPr>
        <w:t xml:space="preserve">2.3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Principle</w:t>
            </w:r>
          </w:p>
        </w:tc>
        <w:tc>
          <w:tcPr>
            <w:tcW w:type="dxa" w:w="65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What it means in practice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Privacy by architecture</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Raw data never leaves the device. Not policy, not a setting — it is structurally impossible for VELA servers to see unencrypted biometrics.</w:t>
            </w:r>
          </w:p>
        </w:tc>
      </w:tr>
      <w:tr>
        <w:tc>
          <w:tcPr>
            <w:tcW w:type="dxa" w:w="2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No judgment, no prescriptions</w:t>
            </w:r>
          </w:p>
        </w:tc>
        <w:tc>
          <w:tcPr>
            <w:tcW w:type="dxa" w:w="65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VELA surfaces data and AI-generated patterns. It does not tell you what to do or grade your lifestyle. Recommendations are labeled as suggestions, not instructions.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Radical transparency</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Every AI insight shows its inputs. Users can see exactly what anonymized data snapshot Claude was given. No black-box scoring.</w:t>
            </w:r>
          </w:p>
        </w:tc>
      </w:tr>
      <w:tr>
        <w:tc>
          <w:tcPr>
            <w:tcW w:type="dxa" w:w="2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You own your data</w:t>
            </w:r>
          </w:p>
        </w:tc>
        <w:tc>
          <w:tcPr>
            <w:tcW w:type="dxa" w:w="65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Full export at any time in open JSON/CSV. Right to delete is instant and verified. No retention, no backup on servers.</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Works without us</w:t>
            </w:r>
          </w:p>
        </w:tc>
        <w:tc>
          <w:tcPr>
            <w:tcW w:type="dxa" w:w="65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Core features (vault, local analytics, trend charts) work fully offline. AI features require a connection but only transmit anonymized snapshots.</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3. Brand Identity</w:t>
      </w:r>
    </w:p>
    <w:p>
      <w:pPr>
        <w:pStyle w:val="Heading2"/>
        <w:spacing w:after="140" w:before="400"/>
      </w:pPr>
      <w:r>
        <w:rPr>
          <w:rFonts w:ascii="Arial" w:cs="Arial" w:eastAsia="Arial" w:hAnsi="Arial"/>
          <w:b/>
          <w:bCs/>
          <w:color w:val="2D1B69"/>
          <w:sz w:val="28"/>
          <w:szCs w:val="28"/>
        </w:rPr>
        <w:t xml:space="preserve">3.1 Brand Name: VELA</w:t>
      </w:r>
    </w:p>
    <w:p>
      <w:pPr>
        <w:spacing w:after="120" w:before="60" w:line="320"/>
      </w:pPr>
      <w:r>
        <w:rPr>
          <w:rFonts w:ascii="Arial" w:cs="Arial" w:eastAsia="Arial" w:hAnsi="Arial"/>
          <w:color w:val="1A1A2E"/>
          <w:sz w:val="22"/>
          <w:szCs w:val="22"/>
        </w:rPr>
        <w:t xml:space="preserve">VELA (pronounced veh-lah) is both a name and a meaning. In astronomy, Vela is a constellation historically used for navigation — finding direction from signals in the sky. In Latin, "vela" means sails: forward momentum driven by natural forces. In Spanish, "vela" means candle: a guiding light, clarity in the dark.</w:t>
      </w:r>
    </w:p>
    <w:p>
      <w:pPr>
        <w:spacing w:after="120" w:before="60" w:line="320"/>
      </w:pPr>
      <w:r>
        <w:rPr>
          <w:rFonts w:ascii="Arial" w:cs="Arial" w:eastAsia="Arial" w:hAnsi="Arial"/>
          <w:color w:val="1A1A2E"/>
          <w:sz w:val="22"/>
          <w:szCs w:val="22"/>
        </w:rPr>
        <w:t xml:space="preserve">For a health platform built on the principle that your body's signals are your guide — and that AI is the navigation tool, not the destination — VELA is both descriptive and resonant.</w:t>
      </w:r>
    </w:p>
    <w:p>
      <w:pPr>
        <w:spacing w:after="100"/>
      </w:pPr>
      <w:r>
        <w:t xml:space="preserve"/>
      </w:r>
    </w:p>
    <w:p>
      <w:pPr>
        <w:pStyle w:val="Heading2"/>
        <w:spacing w:after="140" w:before="400"/>
      </w:pPr>
      <w:r>
        <w:rPr>
          <w:rFonts w:ascii="Arial" w:cs="Arial" w:eastAsia="Arial" w:hAnsi="Arial"/>
          <w:b/>
          <w:bCs/>
          <w:color w:val="2D1B69"/>
          <w:sz w:val="28"/>
          <w:szCs w:val="28"/>
        </w:rPr>
        <w:t xml:space="preserve">3.2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Dimension</w:t>
            </w:r>
          </w:p>
        </w:tc>
        <w:tc>
          <w:tcPr>
            <w:tcW w:type="dxa" w:w="70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VELA Position</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Tagline</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"Know your body. Own your data."</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Secondary</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"Every signal, yours alone."</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Category</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Privacy-first AI health intelligence</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Audience</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Gen Z (18–28 primary), health-conscious millennials, clinical partner channel</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Design language</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Dark mode first, minimal chrome, high-contrast data viz, no stock imagery, typography-driven</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Tone of voice</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Direct, factual, no health-guru energy. "Here is what happened." Not "here is what you should do."</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Anti-patterns</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No gamification of health, no streaks that shame you, no "you missed your goal" shaming, no upsell dark patterns</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3.3 Brand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Token</w:t>
            </w:r>
          </w:p>
        </w:tc>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Hex</w:t>
            </w:r>
          </w:p>
        </w:tc>
        <w:tc>
          <w:tcPr>
            <w:tcW w:type="dxa" w:w="46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Usage</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Deep Violet</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#2D1B69</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Primary brand, headings, CTAs</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VELA Teal</w:t>
            </w:r>
          </w:p>
        </w:tc>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#0FA8A0</w:t>
            </w:r>
          </w:p>
        </w:tc>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Accent, data highlights, positive trends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Signal Coral</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#E84855</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Alerts, anomalies, attention states</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Lavender Light</w:t>
            </w:r>
          </w:p>
        </w:tc>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#EEF0FF</w:t>
            </w:r>
          </w:p>
        </w:tc>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Background surfaces, cards (light mode)</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Midnight</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#1A1A2E</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Primary text, dark mode surface</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4. Problem Statement</w:t>
      </w:r>
    </w:p>
    <w:p>
      <w:pPr>
        <w:pStyle w:val="Heading2"/>
        <w:spacing w:after="140" w:before="400"/>
      </w:pPr>
      <w:r>
        <w:rPr>
          <w:rFonts w:ascii="Arial" w:cs="Arial" w:eastAsia="Arial" w:hAnsi="Arial"/>
          <w:b/>
          <w:bCs/>
          <w:color w:val="2D1B69"/>
          <w:sz w:val="28"/>
          <w:szCs w:val="28"/>
        </w:rPr>
        <w:t xml:space="preserve">4.1 The Privacy Betrayal in Wearables</w:t>
      </w:r>
    </w:p>
    <w:p>
      <w:pPr>
        <w:spacing w:after="120" w:before="60" w:line="320"/>
      </w:pPr>
      <w:r>
        <w:rPr>
          <w:rFonts w:ascii="Arial" w:cs="Arial" w:eastAsia="Arial" w:hAnsi="Arial"/>
          <w:color w:val="1A1A2E"/>
          <w:sz w:val="22"/>
          <w:szCs w:val="22"/>
        </w:rPr>
        <w:t xml:space="preserve">Every major wearable platform today operates the same business model: capture your most intimate data — heart rate variability, sleep patterns, menstrual cycles, stress levels — then store it on their servers where it can be subpoenaed, breached, sold to insurers, or used to train AI models you never consented to. In 2023, the FTC ordered data broker Kochava to stop selling location data derived from health app usage. WHOOP's terms of service explicitly allow data sharing with third parties for research. Fitbit's acquisition by Google raised immediate advertiser data concerns.</w:t>
      </w:r>
    </w:p>
    <w:p>
      <w:pPr>
        <w:spacing w:after="120" w:before="60" w:line="320"/>
      </w:pPr>
      <w:r>
        <w:rPr>
          <w:rFonts w:ascii="Arial" w:cs="Arial" w:eastAsia="Arial" w:hAnsi="Arial"/>
          <w:color w:val="1A1A2E"/>
          <w:sz w:val="22"/>
          <w:szCs w:val="22"/>
        </w:rPr>
        <w:t xml:space="preserve">For Gen Z, this is not an abstract concern. 73% of 18–25 year olds in a 2024 Harris Poll said they have deleted a health app due to privacy concerns. Yet demand for health data and personalized insights has never been higher.</w:t>
      </w:r>
    </w:p>
    <w:p>
      <w:pPr>
        <w:spacing w:after="100"/>
      </w:pPr>
      <w:r>
        <w:t xml:space="preserve"/>
      </w:r>
    </w:p>
    <w:p>
      <w:pPr>
        <w:pStyle w:val="Heading2"/>
        <w:spacing w:after="140" w:before="400"/>
      </w:pPr>
      <w:r>
        <w:rPr>
          <w:rFonts w:ascii="Arial" w:cs="Arial" w:eastAsia="Arial" w:hAnsi="Arial"/>
          <w:b/>
          <w:bCs/>
          <w:color w:val="2D1B69"/>
          <w:sz w:val="28"/>
          <w:szCs w:val="28"/>
        </w:rPr>
        <w:t xml:space="preserve">4.2 The Fragmentation Problem</w:t>
      </w:r>
    </w:p>
    <w:p>
      <w:pPr>
        <w:spacing w:after="120" w:before="60" w:line="320"/>
      </w:pPr>
      <w:r>
        <w:rPr>
          <w:rFonts w:ascii="Arial" w:cs="Arial" w:eastAsia="Arial" w:hAnsi="Arial"/>
          <w:color w:val="1A1A2E"/>
          <w:sz w:val="22"/>
          <w:szCs w:val="22"/>
        </w:rPr>
        <w:t xml:space="preserve">A health-conscious user in 2026 might wear an Oura ring (for sleep), use a Garmin watch (for running), apply a Dexcom Stelo CGM patch (for glucose), and log meals in a separate app. Each platform sees only its slice of the picture. None of them understand that last night's low glucose spike caused the HRV drop that caused the poor recovery score that caused the sluggish run today. The connection only becomes visible when all signals are seen together — which no existing platform does.</w:t>
      </w:r>
    </w:p>
    <w:p>
      <w:pPr>
        <w:spacing w:after="100"/>
      </w:pPr>
      <w:r>
        <w:t xml:space="preserve"/>
      </w:r>
    </w:p>
    <w:p>
      <w:pPr>
        <w:pStyle w:val="Heading2"/>
        <w:spacing w:after="140" w:before="400"/>
      </w:pPr>
      <w:r>
        <w:rPr>
          <w:rFonts w:ascii="Arial" w:cs="Arial" w:eastAsia="Arial" w:hAnsi="Arial"/>
          <w:b/>
          <w:bCs/>
          <w:color w:val="2D1B69"/>
          <w:sz w:val="28"/>
          <w:szCs w:val="28"/>
        </w:rPr>
        <w:t xml:space="preserve">4.3 The AI Without Context Problem</w:t>
      </w:r>
    </w:p>
    <w:p>
      <w:pPr>
        <w:spacing w:after="120" w:before="60" w:line="320"/>
      </w:pPr>
      <w:r>
        <w:rPr>
          <w:rFonts w:ascii="Arial" w:cs="Arial" w:eastAsia="Arial" w:hAnsi="Arial"/>
          <w:color w:val="1A1A2E"/>
          <w:sz w:val="22"/>
          <w:szCs w:val="22"/>
        </w:rPr>
        <w:t xml:space="preserve">Health AI today is either rule-based ("sleep 8 hours") or opaque ("your score is 74"). No platform provides AI that genuinely reasons about your health longitudinally — correlating glucose with HRV, flagging that your recovery drops predictably after high-strain days with less than 7.5 hours of deep sleep, or noting that your skin temperature deviation consistently precedes illness by 36 hours. Doing this requires multimodal data fusion, strong AI reasoning, and longitudinal user context — none of which is available on a single platform today.</w:t>
      </w:r>
    </w:p>
    <w:p>
      <w:pPr>
        <w:spacing w:after="100"/>
      </w:pPr>
      <w:r>
        <w:t xml:space="preserve"/>
      </w:r>
    </w:p>
    <w:p>
      <w:pPr>
        <w:pStyle w:val="Heading2"/>
        <w:spacing w:after="140" w:before="400"/>
      </w:pPr>
      <w:r>
        <w:rPr>
          <w:rFonts w:ascii="Arial" w:cs="Arial" w:eastAsia="Arial" w:hAnsi="Arial"/>
          <w:b/>
          <w:bCs/>
          <w:color w:val="2D1B69"/>
          <w:sz w:val="28"/>
          <w:szCs w:val="28"/>
        </w:rPr>
        <w:t xml:space="preserve">4.4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Problem</w:t>
            </w:r>
          </w:p>
        </w:tc>
        <w:tc>
          <w:tcPr>
            <w:tcW w:type="dxa" w:w="46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VELA's Answer</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Health data stored on corporate servers, vulnerable to breach/sale</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All raw data stored locally in encrypted vault — architecturally impossible to exfiltrate</w:t>
            </w:r>
          </w:p>
        </w:tc>
      </w:tr>
      <w:tr>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Data fragmented across multiple wearable apps</w:t>
            </w:r>
          </w:p>
        </w:tc>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Universal API aggregation: WHOOP, Oura, Garmin, Fitbit, CGM, HealthKit, GHC</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AI insights lack cross-signal reasoning</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Claude AI with full multimodal context over anonymized longitudinal data</w:t>
            </w:r>
          </w:p>
        </w:tc>
      </w:tr>
      <w:tr>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CGM data siloed from biometric data</w:t>
            </w:r>
          </w:p>
        </w:tc>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Native CGM integration: glucose + HRV + sleep correlation engine</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No clinical-grade genomic context</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PGS overlay, pharmacogenomics alerts, FHIR R4 clinical integration</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5. Target Audience &amp; User Personas</w:t>
      </w:r>
    </w:p>
    <w:p>
      <w:pPr>
        <w:pStyle w:val="Heading2"/>
        <w:spacing w:after="140" w:before="400"/>
      </w:pPr>
      <w:r>
        <w:rPr>
          <w:rFonts w:ascii="Arial" w:cs="Arial" w:eastAsia="Arial" w:hAnsi="Arial"/>
          <w:b/>
          <w:bCs/>
          <w:color w:val="2D1B69"/>
          <w:sz w:val="28"/>
          <w:szCs w:val="28"/>
        </w:rPr>
        <w:t xml:space="preserve">5.1 Primary: Gen Z Health Optimizer (18–28)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Dimension</w:t>
            </w:r>
          </w:p>
        </w:tc>
        <w:tc>
          <w:tcPr>
            <w:tcW w:type="dxa" w:w="62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Profile</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Demographics</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18–28, urban India / global diaspora, college-educated, digital native, smartphone-first</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Devices</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Likely has 1–2 wearables already; interested in CGM without prescription requirement</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Motivations</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Performance optimization, sleep quality, stress management, metabolic health curiosity — NOT disease management</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Privacy stance</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High concern; has read about data breaches; will pay a premium for genuine privacy</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AI comfort</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Very high; expects AI to understand them, not just score them; wants conversational interface</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Price sensitivity</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Moderate; will pay INR 299–599/month for genuine value; rejects manipulative upsells</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5.2 Secondary: Millennial Performance Professional (28–42)</w:t>
      </w:r>
    </w:p>
    <w:p>
      <w:pPr>
        <w:spacing w:after="120" w:before="60" w:line="320"/>
      </w:pPr>
      <w:r>
        <w:rPr>
          <w:rFonts w:ascii="Arial" w:cs="Arial" w:eastAsia="Arial" w:hAnsi="Arial"/>
          <w:color w:val="1A1A2E"/>
          <w:sz w:val="22"/>
          <w:szCs w:val="22"/>
        </w:rPr>
        <w:t xml:space="preserve">Professionals with disposable income who already use 1–2 wearables, exercise regularly, and want a single dashboard. Likely to also purchase CGM for metabolic insight. Higher willingness to pay (INR 799–1,499/month). Key jobs-to-be-done: training periodization, sleep quality, business travel recovery, stress management.</w:t>
      </w:r>
    </w:p>
    <w:p>
      <w:pPr>
        <w:spacing w:after="100"/>
      </w:pPr>
      <w:r>
        <w:t xml:space="preserve"/>
      </w:r>
    </w:p>
    <w:p>
      <w:pPr>
        <w:pStyle w:val="Heading2"/>
        <w:spacing w:after="140" w:before="400"/>
      </w:pPr>
      <w:r>
        <w:rPr>
          <w:rFonts w:ascii="Arial" w:cs="Arial" w:eastAsia="Arial" w:hAnsi="Arial"/>
          <w:b/>
          <w:bCs/>
          <w:color w:val="2D1B69"/>
          <w:sz w:val="28"/>
          <w:szCs w:val="28"/>
        </w:rPr>
        <w:t xml:space="preserve">5.3 Tertiary: Clinical Partner (Apollo Diagnostics Channel)</w:t>
      </w:r>
    </w:p>
    <w:p>
      <w:pPr>
        <w:spacing w:after="120" w:before="60" w:line="320"/>
      </w:pPr>
      <w:r>
        <w:rPr>
          <w:rFonts w:ascii="Arial" w:cs="Arial" w:eastAsia="Arial" w:hAnsi="Arial"/>
          <w:color w:val="1A1A2E"/>
          <w:sz w:val="22"/>
          <w:szCs w:val="22"/>
        </w:rPr>
        <w:t xml:space="preserve">Physicians and care teams who want longitudinal biometric + genomic context for patients. Need FHIR R4 integration with EMR. Key value: remote monitoring dashboard, HRV/glucose trend alerts, pharmacogenomics integration with prescriptions. Privacy model: patient controls sharing consent explicitly.</w:t>
      </w:r>
    </w:p>
    <w:p>
      <w:pPr>
        <w:spacing w:after="100"/>
      </w:pPr>
      <w:r>
        <w:t xml:space="preserve"/>
      </w:r>
    </w:p>
    <w:p>
      <w:pPr>
        <w:pStyle w:val="Heading2"/>
        <w:spacing w:after="140" w:before="400"/>
      </w:pPr>
      <w:r>
        <w:rPr>
          <w:rFonts w:ascii="Arial" w:cs="Arial" w:eastAsia="Arial" w:hAnsi="Arial"/>
          <w:b/>
          <w:bCs/>
          <w:color w:val="2D1B69"/>
          <w:sz w:val="28"/>
          <w:szCs w:val="28"/>
        </w:rPr>
        <w:t xml:space="preserve">5.4 User Persona: "Anika"</w:t>
      </w:r>
    </w:p>
    <w:p>
      <w:pPr>
        <w:pBdr>
          <w:left w:val="single" w:color="2D1B69" w:sz="18" w:space="12"/>
        </w:pBdr>
        <w:shd w:fill="EEF0FF" w:val="clear"/>
        <w:spacing w:after="160" w:before="160" w:line="300"/>
        <w:ind w:left="360" w:right="240"/>
      </w:pPr>
      <w:r>
        <w:rPr>
          <w:rFonts w:ascii="Arial" w:cs="Arial" w:eastAsia="Arial" w:hAnsi="Arial"/>
          <w:i/>
          <w:iCs/>
          <w:color w:val="1A1A2E"/>
          <w:sz w:val="22"/>
          <w:szCs w:val="22"/>
        </w:rPr>
        <w:t xml:space="preserve">Anika, 24, product designer in Bengaluru. Owns an Oura Ring. Just started using a FreeStyle Libre 2 patch after seeing metabolic health content on YouTube. Cancelled her WHOOP subscription after reading their privacy policy. Wants to understand why her sleep quality varies so much, whether her diet affects her HRV, and what her body is actually doing — without her data being sold. She will pay for something that respects her. "I want a health app that treats me like an adult."</w:t>
      </w:r>
    </w:p>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6. Privacy Architecture</w:t>
      </w:r>
    </w:p>
    <w:p>
      <w:pPr>
        <w:pBdr>
          <w:left w:val="single" w:color="E84855" w:sz="18" w:space="12"/>
        </w:pBdr>
        <w:shd w:fill="FFF0F1" w:val="clear"/>
        <w:spacing w:after="160" w:before="160" w:line="300"/>
        <w:ind w:left="360" w:right="240"/>
      </w:pPr>
      <w:r>
        <w:rPr>
          <w:rFonts w:ascii="Arial" w:cs="Arial" w:eastAsia="Arial" w:hAnsi="Arial"/>
          <w:i/>
          <w:iCs/>
          <w:color w:val="1A1A2E"/>
          <w:sz w:val="22"/>
          <w:szCs w:val="22"/>
        </w:rPr>
        <w:t xml:space="preserve">PRIVACY IS NOT A FEATURE IN VELA — IT IS THE ARCHITECTURE. Every technical decision flows from a single constraint: raw biometric data belonging to a user must be physically impossible for VELA or any third party to access without the user's explicit, real-time cryptographic consent.</w:t>
      </w:r>
    </w:p>
    <w:p>
      <w:pPr>
        <w:spacing w:after="100"/>
      </w:pPr>
      <w:r>
        <w:t xml:space="preserve"/>
      </w:r>
    </w:p>
    <w:p>
      <w:pPr>
        <w:pStyle w:val="Heading2"/>
        <w:spacing w:after="140" w:before="400"/>
      </w:pPr>
      <w:r>
        <w:rPr>
          <w:rFonts w:ascii="Arial" w:cs="Arial" w:eastAsia="Arial" w:hAnsi="Arial"/>
          <w:b/>
          <w:bCs/>
          <w:color w:val="2D1B69"/>
          <w:sz w:val="28"/>
          <w:szCs w:val="28"/>
        </w:rPr>
        <w:t xml:space="preserve">6.1 Local Data Vault (LDV)</w:t>
      </w:r>
    </w:p>
    <w:p>
      <w:pPr>
        <w:spacing w:after="120" w:before="60" w:line="320"/>
      </w:pPr>
      <w:r>
        <w:rPr>
          <w:rFonts w:ascii="Arial" w:cs="Arial" w:eastAsia="Arial" w:hAnsi="Arial"/>
          <w:color w:val="1A1A2E"/>
          <w:sz w:val="22"/>
          <w:szCs w:val="22"/>
        </w:rPr>
        <w:t xml:space="preserve">All raw biometric data is stored exclusively in the VELA Local Data Vault on the user's device. The LDV is a SQLite database encrypted with AES-256-GCM. The encryption key is derived using PBKDF2 from the user's device biometric (Face ID / fingerprint) and stored exclusively in the device's Secure Enclave (iOS) or Android Keystore TEE. No VELA server ever touches this key.</w:t>
      </w:r>
    </w:p>
    <w:p>
      <w:pPr>
        <w:spacing w:after="100"/>
      </w:pPr>
      <w:r>
        <w:t xml:space="preserve"/>
      </w:r>
    </w:p>
    <w:p>
      <w:pPr>
        <w:pStyle w:val="Heading3"/>
        <w:spacing w:after="100" w:before="280"/>
      </w:pPr>
      <w:r>
        <w:rPr>
          <w:rFonts w:ascii="Arial" w:cs="Arial" w:eastAsia="Arial" w:hAnsi="Arial"/>
          <w:b/>
          <w:bCs/>
          <w:color w:val="595959"/>
          <w:sz w:val="24"/>
          <w:szCs w:val="24"/>
        </w:rPr>
        <w:t xml:space="preserve">6.1.1 LDV Technical Specification</w:t>
      </w:r>
    </w:p>
    <w:p>
      <w:pPr>
        <w:pStyle w:val="ListParagraph"/>
        <w:numPr>
          <w:ilvl w:val="0"/>
          <w:numId w:val="2"/>
        </w:numPr>
        <w:spacing w:after="80" w:before="40"/>
      </w:pPr>
      <w:r>
        <w:rPr>
          <w:rFonts w:ascii="Arial" w:cs="Arial" w:eastAsia="Arial" w:hAnsi="Arial"/>
          <w:color w:val="1A1A2E"/>
          <w:sz w:val="22"/>
          <w:szCs w:val="22"/>
        </w:rPr>
        <w:t xml:space="preserve">Encryption: AES-256-GCM with unique IV per write</w:t>
      </w:r>
    </w:p>
    <w:p>
      <w:pPr>
        <w:pStyle w:val="ListParagraph"/>
        <w:numPr>
          <w:ilvl w:val="0"/>
          <w:numId w:val="2"/>
        </w:numPr>
        <w:spacing w:after="80" w:before="40"/>
      </w:pPr>
      <w:r>
        <w:rPr>
          <w:rFonts w:ascii="Arial" w:cs="Arial" w:eastAsia="Arial" w:hAnsi="Arial"/>
          <w:color w:val="1A1A2E"/>
          <w:sz w:val="22"/>
          <w:szCs w:val="22"/>
        </w:rPr>
        <w:t xml:space="preserve">Key derivation: PBKDF2-HMAC-SHA256, 100,000 iterations, device biometric seed</w:t>
      </w:r>
    </w:p>
    <w:p>
      <w:pPr>
        <w:pStyle w:val="ListParagraph"/>
        <w:numPr>
          <w:ilvl w:val="0"/>
          <w:numId w:val="2"/>
        </w:numPr>
        <w:spacing w:after="80" w:before="40"/>
      </w:pPr>
      <w:r>
        <w:rPr>
          <w:rFonts w:ascii="Arial" w:cs="Arial" w:eastAsia="Arial" w:hAnsi="Arial"/>
          <w:color w:val="1A1A2E"/>
          <w:sz w:val="22"/>
          <w:szCs w:val="22"/>
        </w:rPr>
        <w:t xml:space="preserve">Key storage: iOS Secure Enclave (kSecAttrAccessibleWhenUnlockedThisDeviceOnly) / Android StrongBox Keymaster</w:t>
      </w:r>
    </w:p>
    <w:p>
      <w:pPr>
        <w:pStyle w:val="ListParagraph"/>
        <w:numPr>
          <w:ilvl w:val="0"/>
          <w:numId w:val="2"/>
        </w:numPr>
        <w:spacing w:after="80" w:before="40"/>
      </w:pPr>
      <w:r>
        <w:rPr>
          <w:rFonts w:ascii="Arial" w:cs="Arial" w:eastAsia="Arial" w:hAnsi="Arial"/>
          <w:color w:val="1A1A2E"/>
          <w:sz w:val="22"/>
          <w:szCs w:val="22"/>
        </w:rPr>
        <w:t xml:space="preserve">Database: SQLite via SQLCipher (open source, audited)</w:t>
      </w:r>
    </w:p>
    <w:p>
      <w:pPr>
        <w:pStyle w:val="ListParagraph"/>
        <w:numPr>
          <w:ilvl w:val="0"/>
          <w:numId w:val="2"/>
        </w:numPr>
        <w:spacing w:after="80" w:before="40"/>
      </w:pPr>
      <w:r>
        <w:rPr>
          <w:rFonts w:ascii="Arial" w:cs="Arial" w:eastAsia="Arial" w:hAnsi="Arial"/>
          <w:color w:val="1A1A2E"/>
          <w:sz w:val="22"/>
          <w:szCs w:val="22"/>
        </w:rPr>
        <w:t xml:space="preserve">WAL mode disabled — no unencrypted WAL files on disk</w:t>
      </w:r>
    </w:p>
    <w:p>
      <w:pPr>
        <w:pStyle w:val="ListParagraph"/>
        <w:numPr>
          <w:ilvl w:val="0"/>
          <w:numId w:val="2"/>
        </w:numPr>
        <w:spacing w:after="80" w:before="40"/>
      </w:pPr>
      <w:r>
        <w:rPr>
          <w:rFonts w:ascii="Arial" w:cs="Arial" w:eastAsia="Arial" w:hAnsi="Arial"/>
          <w:color w:val="1A1A2E"/>
          <w:sz w:val="22"/>
          <w:szCs w:val="22"/>
        </w:rPr>
        <w:t xml:space="preserve">Backup exclusion: explicitly excluded from iCloud backup and Google Drive auto-backup</w:t>
      </w:r>
    </w:p>
    <w:p>
      <w:pPr>
        <w:pStyle w:val="ListParagraph"/>
        <w:numPr>
          <w:ilvl w:val="0"/>
          <w:numId w:val="2"/>
        </w:numPr>
        <w:spacing w:after="80" w:before="40"/>
      </w:pPr>
      <w:r>
        <w:rPr>
          <w:rFonts w:ascii="Arial" w:cs="Arial" w:eastAsia="Arial" w:hAnsi="Arial"/>
          <w:color w:val="1A1A2E"/>
          <w:sz w:val="22"/>
          <w:szCs w:val="22"/>
        </w:rPr>
        <w:t xml:space="preserve">At-rest verification: HMAC-SHA256 integrity check on every vault open</w:t>
      </w:r>
    </w:p>
    <w:p>
      <w:pPr>
        <w:spacing w:after="100"/>
      </w:pPr>
      <w:r>
        <w:t xml:space="preserve"/>
      </w:r>
    </w:p>
    <w:p>
      <w:pPr>
        <w:pStyle w:val="Heading2"/>
        <w:spacing w:after="140" w:before="400"/>
      </w:pPr>
      <w:r>
        <w:rPr>
          <w:rFonts w:ascii="Arial" w:cs="Arial" w:eastAsia="Arial" w:hAnsi="Arial"/>
          <w:b/>
          <w:bCs/>
          <w:color w:val="2D1B69"/>
          <w:sz w:val="28"/>
          <w:szCs w:val="28"/>
        </w:rPr>
        <w:t xml:space="preserve">6.2 The Zero-Knowledge Principle</w:t>
      </w:r>
    </w:p>
    <w:p>
      <w:pPr>
        <w:spacing w:after="120" w:before="60" w:line="320"/>
      </w:pPr>
      <w:r>
        <w:rPr>
          <w:rFonts w:ascii="Arial" w:cs="Arial" w:eastAsia="Arial" w:hAnsi="Arial"/>
          <w:color w:val="1A1A2E"/>
          <w:sz w:val="22"/>
          <w:szCs w:val="22"/>
        </w:rPr>
        <w:t xml:space="preserve">VELA operates on a Zero-Knowledge architecture for all biometric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What VELA servers NEVER see</w:t>
            </w:r>
          </w:p>
        </w:tc>
        <w:tc>
          <w:tcPr>
            <w:tcW w:type="dxa" w:w="62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What VELA servers CAN see (with consent)</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Raw biometric values (HR, HRV, glucose, SpO2)</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Anonymized, differentially private metric snapshots (for AI analysis only)</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Timestamps at precision &lt; 1 hour</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Aggregate population trends (ε-DP protected, group size ≥ 1,000)</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User ID, device ID, or any PII</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Account metadata: email hash (bcrypt), subscription status, app version</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Location data of any kind</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Anonymized country-level app analytics (opt-in only)</w:t>
            </w:r>
          </w:p>
        </w:tc>
      </w:tr>
      <w:tr>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Wearable device identifiers</w:t>
            </w:r>
          </w:p>
        </w:tc>
        <w:tc>
          <w:tcPr>
            <w:tcW w:type="dxa" w:w="62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Device class (iOS/Android) for crash reporting only</w:t>
            </w:r>
          </w:p>
        </w:tc>
      </w:tr>
      <w:tr>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Sleep stage sequences</w:t>
            </w:r>
          </w:p>
        </w:tc>
        <w:tc>
          <w:tcPr>
            <w:tcW w:type="dxa" w:w="62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Nothing else — this list is exhaustive</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6.3 AI Analysis: Anonymization Layer</w:t>
      </w:r>
    </w:p>
    <w:p>
      <w:pPr>
        <w:spacing w:after="120" w:before="60" w:line="320"/>
      </w:pPr>
      <w:r>
        <w:rPr>
          <w:rFonts w:ascii="Arial" w:cs="Arial" w:eastAsia="Arial" w:hAnsi="Arial"/>
          <w:color w:val="1A1A2E"/>
          <w:sz w:val="22"/>
          <w:szCs w:val="22"/>
        </w:rPr>
        <w:t xml:space="preserve">When a user requests an AI insight (e.g., "Why did my recovery drop this week?"), the following pipeline executes entirely on-device before any data is transmitted:</w:t>
      </w:r>
    </w:p>
    <w:p>
      <w:pPr>
        <w:pStyle w:val="ListParagraph"/>
        <w:numPr>
          <w:ilvl w:val="0"/>
          <w:numId w:val="3"/>
        </w:numPr>
        <w:spacing w:after="80" w:before="40"/>
      </w:pPr>
      <w:r>
        <w:rPr>
          <w:rFonts w:ascii="Arial" w:cs="Arial" w:eastAsia="Arial" w:hAnsi="Arial"/>
          <w:color w:val="1A1A2E"/>
          <w:sz w:val="22"/>
          <w:szCs w:val="22"/>
        </w:rPr>
        <w:t xml:space="preserve">Data extraction: Relevant metrics are read from the encrypted LDV using the biometric-authenticated key</w:t>
      </w:r>
    </w:p>
    <w:p>
      <w:pPr>
        <w:pStyle w:val="ListParagraph"/>
        <w:numPr>
          <w:ilvl w:val="0"/>
          <w:numId w:val="3"/>
        </w:numPr>
        <w:spacing w:after="80" w:before="40"/>
      </w:pPr>
      <w:r>
        <w:rPr>
          <w:rFonts w:ascii="Arial" w:cs="Arial" w:eastAsia="Arial" w:hAnsi="Arial"/>
          <w:color w:val="1A1A2E"/>
          <w:sz w:val="22"/>
          <w:szCs w:val="22"/>
        </w:rPr>
        <w:t xml:space="preserve">Temporal rounding: All timestamps are rounded to the nearest hour (removes precise sleep/wake inference)</w:t>
      </w:r>
    </w:p>
    <w:p>
      <w:pPr>
        <w:pStyle w:val="ListParagraph"/>
        <w:numPr>
          <w:ilvl w:val="0"/>
          <w:numId w:val="3"/>
        </w:numPr>
        <w:spacing w:after="80" w:before="40"/>
      </w:pPr>
      <w:r>
        <w:rPr>
          <w:rFonts w:ascii="Arial" w:cs="Arial" w:eastAsia="Arial" w:hAnsi="Arial"/>
          <w:color w:val="1A1A2E"/>
          <w:sz w:val="22"/>
          <w:szCs w:val="22"/>
        </w:rPr>
        <w:t xml:space="preserve">Value noise injection: Differential privacy noise is applied to all continuous values using the Gaussian mechanism (ε = 0.3, δ = 10⁻⁵) — values are perturbed within ±5% of true value</w:t>
      </w:r>
    </w:p>
    <w:p>
      <w:pPr>
        <w:pStyle w:val="ListParagraph"/>
        <w:numPr>
          <w:ilvl w:val="0"/>
          <w:numId w:val="3"/>
        </w:numPr>
        <w:spacing w:after="80" w:before="40"/>
      </w:pPr>
      <w:r>
        <w:rPr>
          <w:rFonts w:ascii="Arial" w:cs="Arial" w:eastAsia="Arial" w:hAnsi="Arial"/>
          <w:color w:val="1A1A2E"/>
          <w:sz w:val="22"/>
          <w:szCs w:val="22"/>
        </w:rPr>
        <w:t xml:space="preserve">PII stripping: user_id, device_id, and all identifying fields are replaced with a per-session ephemeral token</w:t>
      </w:r>
    </w:p>
    <w:p>
      <w:pPr>
        <w:pStyle w:val="ListParagraph"/>
        <w:numPr>
          <w:ilvl w:val="0"/>
          <w:numId w:val="3"/>
        </w:numPr>
        <w:spacing w:after="80" w:before="40"/>
      </w:pPr>
      <w:r>
        <w:rPr>
          <w:rFonts w:ascii="Arial" w:cs="Arial" w:eastAsia="Arial" w:hAnsi="Arial"/>
          <w:color w:val="1A1A2E"/>
          <w:sz w:val="22"/>
          <w:szCs w:val="22"/>
        </w:rPr>
        <w:t xml:space="preserve">Transmission: Only the anonymized, noisy snapshot is sent to Claude API over TLS 1.3</w:t>
      </w:r>
    </w:p>
    <w:p>
      <w:pPr>
        <w:pStyle w:val="ListParagraph"/>
        <w:numPr>
          <w:ilvl w:val="0"/>
          <w:numId w:val="3"/>
        </w:numPr>
        <w:spacing w:after="80" w:before="40"/>
      </w:pPr>
      <w:r>
        <w:rPr>
          <w:rFonts w:ascii="Arial" w:cs="Arial" w:eastAsia="Arial" w:hAnsi="Arial"/>
          <w:color w:val="1A1A2E"/>
          <w:sz w:val="22"/>
          <w:szCs w:val="22"/>
        </w:rPr>
        <w:t xml:space="preserve">Claude analysis: claude-sonnet-4-6 receives the anonymized snapshot and returns insight text</w:t>
      </w:r>
    </w:p>
    <w:p>
      <w:pPr>
        <w:pStyle w:val="ListParagraph"/>
        <w:numPr>
          <w:ilvl w:val="0"/>
          <w:numId w:val="3"/>
        </w:numPr>
        <w:spacing w:after="80" w:before="40"/>
      </w:pPr>
      <w:r>
        <w:rPr>
          <w:rFonts w:ascii="Arial" w:cs="Arial" w:eastAsia="Arial" w:hAnsi="Arial"/>
          <w:color w:val="1A1A2E"/>
          <w:sz w:val="22"/>
          <w:szCs w:val="22"/>
        </w:rPr>
        <w:t xml:space="preserve">Response storage: Claude's response is stored locally in the LDV; the anonymized snapshot is not retained by VELA servers</w:t>
      </w:r>
    </w:p>
    <w:p>
      <w:pPr>
        <w:spacing w:after="100"/>
      </w:pPr>
      <w:r>
        <w:t xml:space="preserve"/>
      </w:r>
    </w:p>
    <w:p>
      <w:pPr>
        <w:pBdr>
          <w:left w:val="single" w:color="B45309" w:sz="18" w:space="12"/>
        </w:pBdr>
        <w:shd w:fill="FFFBEB" w:val="clear"/>
        <w:spacing w:after="160" w:before="160" w:line="300"/>
        <w:ind w:left="360" w:right="240"/>
      </w:pPr>
      <w:r>
        <w:rPr>
          <w:rFonts w:ascii="Arial" w:cs="Arial" w:eastAsia="Arial" w:hAnsi="Arial"/>
          <w:i/>
          <w:iCs/>
          <w:color w:val="1A1A2E"/>
          <w:sz w:val="22"/>
          <w:szCs w:val="22"/>
        </w:rPr>
        <w:t xml:space="preserve">Claude API calls are configured with zero data retention (no_storage: true via Anthropic's Zero Data Retention API option where available). All API calls use ephemeral session tokens with no cross-session linking.</w:t>
      </w:r>
    </w:p>
    <w:p>
      <w:pPr>
        <w:spacing w:after="100"/>
      </w:pPr>
      <w:r>
        <w:t xml:space="preserve"/>
      </w:r>
    </w:p>
    <w:p>
      <w:pPr>
        <w:pStyle w:val="Heading2"/>
        <w:spacing w:after="140" w:before="400"/>
      </w:pPr>
      <w:r>
        <w:rPr>
          <w:rFonts w:ascii="Arial" w:cs="Arial" w:eastAsia="Arial" w:hAnsi="Arial"/>
          <w:b/>
          <w:bCs/>
          <w:color w:val="2D1B69"/>
          <w:sz w:val="28"/>
          <w:szCs w:val="28"/>
        </w:rPr>
        <w:t xml:space="preserve">6.4 Differential Privacy for Population Insights</w:t>
      </w:r>
    </w:p>
    <w:p>
      <w:pPr>
        <w:spacing w:after="120" w:before="60" w:line="320"/>
      </w:pPr>
      <w:r>
        <w:rPr>
          <w:rFonts w:ascii="Arial" w:cs="Arial" w:eastAsia="Arial" w:hAnsi="Arial"/>
          <w:color w:val="1A1A2E"/>
          <w:sz w:val="22"/>
          <w:szCs w:val="22"/>
        </w:rPr>
        <w:t xml:space="preserve">VELA offers an optional "Contribute to research" feature that allows users to contribute to anonymized population health insights. This uses federated differential privacy:</w:t>
      </w:r>
    </w:p>
    <w:p>
      <w:pPr>
        <w:pStyle w:val="ListParagraph"/>
        <w:numPr>
          <w:ilvl w:val="0"/>
          <w:numId w:val="2"/>
        </w:numPr>
        <w:spacing w:after="80" w:before="40"/>
      </w:pPr>
      <w:r>
        <w:rPr>
          <w:rFonts w:ascii="Arial" w:cs="Arial" w:eastAsia="Arial" w:hAnsi="Arial"/>
          <w:color w:val="1A1A2E"/>
          <w:sz w:val="22"/>
          <w:szCs w:val="22"/>
        </w:rPr>
        <w:t xml:space="preserve">Local DP (LDP): Noise is added on-device before any data leaves; privacy budget ε = 1.0 per metric per week</w:t>
      </w:r>
    </w:p>
    <w:p>
      <w:pPr>
        <w:pStyle w:val="ListParagraph"/>
        <w:numPr>
          <w:ilvl w:val="0"/>
          <w:numId w:val="2"/>
        </w:numPr>
        <w:spacing w:after="80" w:before="40"/>
      </w:pPr>
      <w:r>
        <w:rPr>
          <w:rFonts w:ascii="Arial" w:cs="Arial" w:eastAsia="Arial" w:hAnsi="Arial"/>
          <w:color w:val="1A1A2E"/>
          <w:sz w:val="22"/>
          <w:szCs w:val="22"/>
        </w:rPr>
        <w:t xml:space="preserve">Group threshold: No aggregate is published unless group size ≥ 1,000 users</w:t>
      </w:r>
    </w:p>
    <w:p>
      <w:pPr>
        <w:pStyle w:val="ListParagraph"/>
        <w:numPr>
          <w:ilvl w:val="0"/>
          <w:numId w:val="2"/>
        </w:numPr>
        <w:spacing w:after="80" w:before="40"/>
      </w:pPr>
      <w:r>
        <w:rPr>
          <w:rFonts w:ascii="Arial" w:cs="Arial" w:eastAsia="Arial" w:hAnsi="Arial"/>
          <w:color w:val="1A1A2E"/>
          <w:sz w:val="22"/>
          <w:szCs w:val="22"/>
        </w:rPr>
        <w:t xml:space="preserve">Scope limitation: Only 7-day rolling averages of normalized metrics (not raw values) are ever included</w:t>
      </w:r>
    </w:p>
    <w:p>
      <w:pPr>
        <w:pStyle w:val="ListParagraph"/>
        <w:numPr>
          <w:ilvl w:val="0"/>
          <w:numId w:val="2"/>
        </w:numPr>
        <w:spacing w:after="80" w:before="40"/>
      </w:pPr>
      <w:r>
        <w:rPr>
          <w:rFonts w:ascii="Arial" w:cs="Arial" w:eastAsia="Arial" w:hAnsi="Arial"/>
          <w:color w:val="1A1A2E"/>
          <w:sz w:val="22"/>
          <w:szCs w:val="22"/>
        </w:rPr>
        <w:t xml:space="preserve">Opt-in by explicit consent: OFF by default, requires active user action with plain-language explanation</w:t>
      </w:r>
    </w:p>
    <w:p>
      <w:pPr>
        <w:pStyle w:val="ListParagraph"/>
        <w:numPr>
          <w:ilvl w:val="0"/>
          <w:numId w:val="2"/>
        </w:numPr>
        <w:spacing w:after="80" w:before="40"/>
      </w:pPr>
      <w:r>
        <w:rPr>
          <w:rFonts w:ascii="Arial" w:cs="Arial" w:eastAsia="Arial" w:hAnsi="Arial"/>
          <w:color w:val="1A1A2E"/>
          <w:sz w:val="22"/>
          <w:szCs w:val="22"/>
        </w:rPr>
        <w:t xml:space="preserve">Revocable: Withdrawing consent immediately stops future contributions; past contributions cannot be de-aggregated</w:t>
      </w:r>
    </w:p>
    <w:p>
      <w:pPr>
        <w:spacing w:after="100"/>
      </w:pPr>
      <w:r>
        <w:t xml:space="preserve"/>
      </w:r>
    </w:p>
    <w:p>
      <w:pPr>
        <w:pStyle w:val="Heading2"/>
        <w:spacing w:after="140" w:before="400"/>
      </w:pPr>
      <w:r>
        <w:rPr>
          <w:rFonts w:ascii="Arial" w:cs="Arial" w:eastAsia="Arial" w:hAnsi="Arial"/>
          <w:b/>
          <w:bCs/>
          <w:color w:val="2D1B69"/>
          <w:sz w:val="28"/>
          <w:szCs w:val="28"/>
        </w:rPr>
        <w:t xml:space="preserve">6.5 Regulatory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4380"/>
      </w:tblGrid>
      <w:tr>
        <w:trPr>
          <w:tblHeader/>
        </w:trPr>
        <w:tc>
          <w:tcPr>
            <w:tcW w:type="dxa" w:w="2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Regulation</w:t>
            </w:r>
          </w:p>
        </w:tc>
        <w:tc>
          <w:tcPr>
            <w:tcW w:type="dxa" w:w="23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Jurisdiction</w:t>
            </w:r>
          </w:p>
        </w:tc>
        <w:tc>
          <w:tcPr>
            <w:tcW w:type="dxa" w:w="43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VELA Compliance Approach</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DPDP Act 2023</w:t>
            </w:r>
          </w:p>
        </w:tc>
        <w:tc>
          <w:tcPr>
            <w:tcW w:type="dxa" w:w="2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India</w:t>
            </w:r>
          </w:p>
        </w:tc>
        <w:tc>
          <w:tcPr>
            <w:tcW w:type="dxa" w:w="4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Data fiduciary obligations met via local-only storage. No "significant data fiduciary" classification needed as no raw data processed on server. Consent manager embedded in onboarding.</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HIPAA</w:t>
            </w:r>
          </w:p>
        </w:tc>
        <w:tc>
          <w:tcPr>
            <w:tcW w:type="dxa" w:w="2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USA</w:t>
            </w:r>
          </w:p>
        </w:tc>
        <w:tc>
          <w:tcPr>
            <w:tcW w:type="dxa" w:w="4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PHI never transmitted. BAA with Anthropic for Claude API (ZDR configuration). Local-only model eliminates most HIPAA cloud requirements.</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GDPR</w:t>
            </w:r>
          </w:p>
        </w:tc>
        <w:tc>
          <w:tcPr>
            <w:tcW w:type="dxa" w:w="2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EU/EEA</w:t>
            </w:r>
          </w:p>
        </w:tc>
        <w:tc>
          <w:tcPr>
            <w:tcW w:type="dxa" w:w="4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Right to erasure: instant local delete. Data minimization: architectural. No cross-border transfers of biometrics. Privacy by design (Art. 25).</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CDSCO MDR 2017</w:t>
            </w:r>
          </w:p>
        </w:tc>
        <w:tc>
          <w:tcPr>
            <w:tcW w:type="dxa" w:w="2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India</w:t>
            </w:r>
          </w:p>
        </w:tc>
        <w:tc>
          <w:tcPr>
            <w:tcW w:type="dxa" w:w="4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Wellness claims only (not diagnostic). Class A software classification. No clinical decision-making claims.</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FDA SaMD</w:t>
            </w:r>
          </w:p>
        </w:tc>
        <w:tc>
          <w:tcPr>
            <w:tcW w:type="dxa" w:w="2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USA (Phase 4)</w:t>
            </w:r>
          </w:p>
        </w:tc>
        <w:tc>
          <w:tcPr>
            <w:tcW w:type="dxa" w:w="4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Phase 4 clinical features require 510(k) or De Novo pathway. Phases 1-3 wellness scope exempted.</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7. Data Sources &amp; API Integrations</w:t>
      </w:r>
    </w:p>
    <w:p>
      <w:pPr>
        <w:spacing w:after="120" w:before="60" w:line="320"/>
      </w:pPr>
      <w:r>
        <w:rPr>
          <w:rFonts w:ascii="Arial" w:cs="Arial" w:eastAsia="Arial" w:hAnsi="Arial"/>
          <w:color w:val="1A1A2E"/>
          <w:sz w:val="22"/>
          <w:szCs w:val="22"/>
        </w:rPr>
        <w:t xml:space="preserve">VELA aggregates biometric data from all major wearable platforms and CGM devices through their official APIs. All data ingested from external APIs is immediately encrypted and written to the local LDV before any processing occurs. OAuth2 tokens are stored in the device's Secure Enclave.</w:t>
      </w:r>
    </w:p>
    <w:p>
      <w:pPr>
        <w:spacing w:after="100"/>
      </w:pPr>
      <w:r>
        <w:t xml:space="preserve"/>
      </w:r>
    </w:p>
    <w:p>
      <w:pPr>
        <w:pStyle w:val="Heading2"/>
        <w:spacing w:after="140" w:before="400"/>
      </w:pPr>
      <w:r>
        <w:rPr>
          <w:rFonts w:ascii="Arial" w:cs="Arial" w:eastAsia="Arial" w:hAnsi="Arial"/>
          <w:b/>
          <w:bCs/>
          <w:color w:val="2D1B69"/>
          <w:sz w:val="28"/>
          <w:szCs w:val="28"/>
        </w:rPr>
        <w:t xml:space="preserve">7.1 Wearable API Integration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060"/>
        <w:gridCol w:w="2200"/>
      </w:tblGrid>
      <w:tr>
        <w:trPr>
          <w:tblHeader/>
        </w:trPr>
        <w:tc>
          <w:tcPr>
            <w:tcW w:type="dxa" w:w="18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Platform</w:t>
            </w:r>
          </w:p>
        </w:tc>
        <w:tc>
          <w:tcPr>
            <w:tcW w:type="dxa" w:w="15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API Version</w:t>
            </w:r>
          </w:p>
        </w:tc>
        <w:tc>
          <w:tcPr>
            <w:tcW w:type="dxa" w:w="18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Auth</w:t>
            </w:r>
          </w:p>
        </w:tc>
        <w:tc>
          <w:tcPr>
            <w:tcW w:type="dxa" w:w="20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Key Metrics Available</w:t>
            </w:r>
          </w:p>
        </w:tc>
        <w:tc>
          <w:tcPr>
            <w:tcW w:type="dxa" w:w="22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Sync Frequency</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WHOOP</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v1 (REST)</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OAuth2 PKCE</w:t>
            </w:r>
          </w:p>
        </w:tc>
        <w:tc>
          <w:tcPr>
            <w:tcW w:type="dxa" w:w="20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HRV (RMSSD overnight), recovery_score (0–100), strain (0–21), sleep_stages, respiratory_rate, skin_conductance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Webhook (near-realtime) + poll every 15 min</w:t>
            </w:r>
          </w:p>
        </w:tc>
      </w:tr>
      <w:tr>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Oura Ring</w:t>
            </w:r>
          </w:p>
        </w:tc>
        <w:tc>
          <w:tcPr>
            <w:tcW w:type="dxa" w:w="15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v2 (REST)</w:t>
            </w:r>
          </w:p>
        </w:tc>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OAuth2 PKCE</w:t>
            </w:r>
          </w:p>
        </w:tc>
        <w:tc>
          <w:tcPr>
            <w:tcW w:type="dxa" w:w="20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hrv (5-min epoch array), readiness_score, sleep_stages, temperature_deviation, spo2, respiratory_rate</w:t>
            </w:r>
          </w:p>
        </w:tc>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Webhook + poll every 10 min</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Garmin</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Health API v1</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OAuth1 + OAuth2</w:t>
            </w:r>
          </w:p>
        </w:tc>
        <w:tc>
          <w:tcPr>
            <w:tcW w:type="dxa" w:w="20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hrv_weekly_avg, body_battery (0–100), stress_score, steps, calories, floors, spo2, training_load, VO2max estimate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Poll every 15 min (150 req/hr limit)</w:t>
            </w:r>
          </w:p>
        </w:tc>
      </w:tr>
      <w:tr>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Fitbit (Google)</w:t>
            </w:r>
          </w:p>
        </w:tc>
        <w:tc>
          <w:tcPr>
            <w:tcW w:type="dxa" w:w="15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Web API v1.2</w:t>
            </w:r>
          </w:p>
        </w:tc>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OAuth2</w:t>
            </w:r>
          </w:p>
        </w:tc>
        <w:tc>
          <w:tcPr>
            <w:tcW w:type="dxa" w:w="20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hrv (rmssd, coverage, deep), sleep_stages, spo2, heart_rate_zones, steps, calories, skin_temp</w:t>
            </w:r>
          </w:p>
        </w:tc>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Poll hourly (150 req/hr per user)</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Apple Health (HealthKit)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HealthKit Framework</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iOS HealthKit permission</w:t>
            </w:r>
          </w:p>
        </w:tc>
        <w:tc>
          <w:tcPr>
            <w:tcW w:type="dxa" w:w="20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All HKQuantityType samples: HR, HRV, SpO2, sleep, steps, ECG, temp. SMART on FHIR export available.</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Background delivery via HKObserverQuery</w:t>
            </w:r>
          </w:p>
        </w:tc>
      </w:tr>
      <w:tr>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Google Health Connect</w:t>
            </w:r>
          </w:p>
        </w:tc>
        <w:tc>
          <w:tcPr>
            <w:tcW w:type="dxa" w:w="15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Health Connect API r1</w:t>
            </w:r>
          </w:p>
        </w:tc>
        <w:tc>
          <w:tcPr>
            <w:tcW w:type="dxa" w:w="1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Android permissions</w:t>
            </w:r>
          </w:p>
        </w:tc>
        <w:tc>
          <w:tcPr>
            <w:tcW w:type="dxa" w:w="20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All HealthConnect record types: HR, HRV, SpO2, sleep sessions, steps, nutrition. Aggregated + raw records.</w:t>
            </w:r>
          </w:p>
        </w:tc>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Passive listener + on-demand sync</w:t>
            </w:r>
          </w:p>
        </w:tc>
      </w:tr>
      <w:tr>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Samsung Health</w:t>
            </w:r>
          </w:p>
        </w:tc>
        <w:tc>
          <w:tcPr>
            <w:tcW w:type="dxa" w:w="15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Samsung Health SDK</w:t>
            </w:r>
          </w:p>
        </w:tc>
        <w:tc>
          <w:tcPr>
            <w:tcW w:type="dxa" w:w="1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Samsung account OAuth</w:t>
            </w:r>
          </w:p>
        </w:tc>
        <w:tc>
          <w:tcPr>
            <w:tcW w:type="dxa" w:w="20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 HRV, sleep, steps, body composition (Galaxy Watch models)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SDK polling (5 min)</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7.2 CGM Integration: Continuous Glucose Monitoring</w:t>
      </w:r>
    </w:p>
    <w:p>
      <w:pPr>
        <w:pBdr>
          <w:left w:val="single" w:color="2D1B69" w:sz="18" w:space="12"/>
        </w:pBdr>
        <w:shd w:fill="EEF0FF" w:val="clear"/>
        <w:spacing w:after="160" w:before="160" w:line="300"/>
        <w:ind w:left="360" w:right="240"/>
      </w:pPr>
      <w:r>
        <w:rPr>
          <w:rFonts w:ascii="Arial" w:cs="Arial" w:eastAsia="Arial" w:hAnsi="Arial"/>
          <w:i/>
          <w:iCs/>
          <w:color w:val="1A1A2E"/>
          <w:sz w:val="22"/>
          <w:szCs w:val="22"/>
        </w:rPr>
        <w:t xml:space="preserve">CGM integration is VELA's most significant clinical differentiator. Glucose is the only metabolic signal that predicts HRV, energy, sleep quality, and cognitive performance in near-real-time. No competing health platform natively integrates CGM with biometric recovery data.</w:t>
      </w:r>
    </w:p>
    <w:p>
      <w:pPr>
        <w:spacing w:after="100"/>
      </w:pPr>
      <w:r>
        <w:t xml:space="preserve"/>
      </w:r>
    </w:p>
    <w:p>
      <w:pPr>
        <w:pStyle w:val="Heading3"/>
        <w:spacing w:after="100" w:before="280"/>
      </w:pPr>
      <w:r>
        <w:rPr>
          <w:rFonts w:ascii="Arial" w:cs="Arial" w:eastAsia="Arial" w:hAnsi="Arial"/>
          <w:b/>
          <w:bCs/>
          <w:color w:val="595959"/>
          <w:sz w:val="24"/>
          <w:szCs w:val="24"/>
        </w:rPr>
        <w:t xml:space="preserve">7.2.1 Dexcom G7 + Stelo API</w:t>
      </w:r>
    </w:p>
    <w:p>
      <w:pPr>
        <w:spacing w:after="100" w:before="60" w:line="300"/>
      </w:pPr>
      <w:r>
        <w:rPr>
          <w:rFonts w:ascii="Arial" w:cs="Arial" w:eastAsia="Arial" w:hAnsi="Arial"/>
          <w:b/>
          <w:bCs/>
          <w:color w:val="2D1B69"/>
          <w:sz w:val="22"/>
          <w:szCs w:val="22"/>
        </w:rPr>
        <w:t xml:space="preserve">API endpoint: </w:t>
      </w:r>
      <w:r>
        <w:rPr>
          <w:rFonts w:ascii="Arial" w:cs="Arial" w:eastAsia="Arial" w:hAnsi="Arial"/>
          <w:color w:val="1A1A2E"/>
          <w:sz w:val="22"/>
          <w:szCs w:val="22"/>
        </w:rPr>
        <w:t xml:space="preserve">api.dexcom.com/v3 (OAuth2 PKCE)</w:t>
      </w:r>
    </w:p>
    <w:p>
      <w:pPr>
        <w:spacing w:after="100" w:before="60" w:line="300"/>
      </w:pPr>
      <w:r>
        <w:rPr>
          <w:rFonts w:ascii="Arial" w:cs="Arial" w:eastAsia="Arial" w:hAnsi="Arial"/>
          <w:b/>
          <w:bCs/>
          <w:color w:val="2D1B69"/>
          <w:sz w:val="22"/>
          <w:szCs w:val="22"/>
        </w:rPr>
        <w:t xml:space="preserve">Key metrics: </w:t>
      </w:r>
      <w:r>
        <w:rPr>
          <w:rFonts w:ascii="Arial" w:cs="Arial" w:eastAsia="Arial" w:hAnsi="Arial"/>
          <w:color w:val="1A1A2E"/>
          <w:sz w:val="22"/>
          <w:szCs w:val="22"/>
        </w:rPr>
        <w:t xml:space="preserve">egvs (glucose mg/dL every 5 min), events (meals, insulin, exercise), device status, calibrations</w:t>
      </w:r>
    </w:p>
    <w:p>
      <w:pPr>
        <w:spacing w:after="100" w:before="60" w:line="300"/>
      </w:pPr>
      <w:r>
        <w:rPr>
          <w:rFonts w:ascii="Arial" w:cs="Arial" w:eastAsia="Arial" w:hAnsi="Arial"/>
          <w:b/>
          <w:bCs/>
          <w:color w:val="2D1B69"/>
          <w:sz w:val="22"/>
          <w:szCs w:val="22"/>
        </w:rPr>
        <w:t xml:space="preserve">Update frequency: </w:t>
      </w:r>
      <w:r>
        <w:rPr>
          <w:rFonts w:ascii="Arial" w:cs="Arial" w:eastAsia="Arial" w:hAnsi="Arial"/>
          <w:color w:val="1A1A2E"/>
          <w:sz w:val="22"/>
          <w:szCs w:val="22"/>
        </w:rPr>
        <w:t xml:space="preserve">Real-time via Dexcom Share (BLE relay) + REST poll every 5 min</w:t>
      </w:r>
    </w:p>
    <w:p>
      <w:pPr>
        <w:spacing w:after="100" w:before="60" w:line="300"/>
      </w:pPr>
      <w:r>
        <w:rPr>
          <w:rFonts w:ascii="Arial" w:cs="Arial" w:eastAsia="Arial" w:hAnsi="Arial"/>
          <w:b/>
          <w:bCs/>
          <w:color w:val="2D1B69"/>
          <w:sz w:val="22"/>
          <w:szCs w:val="22"/>
        </w:rPr>
        <w:t xml:space="preserve">India availability: </w:t>
      </w:r>
      <w:r>
        <w:rPr>
          <w:rFonts w:ascii="Arial" w:cs="Arial" w:eastAsia="Arial" w:hAnsi="Arial"/>
          <w:color w:val="1A1A2E"/>
          <w:sz w:val="22"/>
          <w:szCs w:val="22"/>
        </w:rPr>
        <w:t xml:space="preserve">Dexcom G6/G7 available; Stelo (OTC) not yet launched in India — Abbott Libre preferred for India users</w:t>
      </w:r>
    </w:p>
    <w:p>
      <w:pPr>
        <w:spacing w:after="100" w:before="60" w:line="300"/>
      </w:pPr>
      <w:r>
        <w:rPr>
          <w:rFonts w:ascii="Arial" w:cs="Arial" w:eastAsia="Arial" w:hAnsi="Arial"/>
          <w:b/>
          <w:bCs/>
          <w:color w:val="2D1B69"/>
          <w:sz w:val="22"/>
          <w:szCs w:val="22"/>
        </w:rPr>
        <w:t xml:space="preserve">Rate limits: </w:t>
      </w:r>
      <w:r>
        <w:rPr>
          <w:rFonts w:ascii="Arial" w:cs="Arial" w:eastAsia="Arial" w:hAnsi="Arial"/>
          <w:color w:val="1A1A2E"/>
          <w:sz w:val="22"/>
          <w:szCs w:val="22"/>
        </w:rPr>
        <w:t xml:space="preserve">60 requests/min per OAuth token</w:t>
      </w:r>
    </w:p>
    <w:p>
      <w:pPr>
        <w:spacing w:after="100" w:before="60" w:line="300"/>
      </w:pPr>
      <w:r>
        <w:rPr>
          <w:rFonts w:ascii="Arial" w:cs="Arial" w:eastAsia="Arial" w:hAnsi="Arial"/>
          <w:b/>
          <w:bCs/>
          <w:color w:val="2D1B69"/>
          <w:sz w:val="22"/>
          <w:szCs w:val="22"/>
        </w:rPr>
        <w:t xml:space="preserve">Privacy note: </w:t>
      </w:r>
      <w:r>
        <w:rPr>
          <w:rFonts w:ascii="Arial" w:cs="Arial" w:eastAsia="Arial" w:hAnsi="Arial"/>
          <w:color w:val="1A1A2E"/>
          <w:sz w:val="22"/>
          <w:szCs w:val="22"/>
        </w:rPr>
        <w:t xml:space="preserve">OAuth token stored in Secure Enclave; glucose values written encrypted to LDV immediately on receipt</w:t>
      </w:r>
    </w:p>
    <w:p>
      <w:pPr>
        <w:spacing w:after="100"/>
      </w:pPr>
      <w:r>
        <w:t xml:space="preserve"/>
      </w:r>
    </w:p>
    <w:p>
      <w:pPr>
        <w:pStyle w:val="Heading3"/>
        <w:spacing w:after="100" w:before="280"/>
      </w:pPr>
      <w:r>
        <w:rPr>
          <w:rFonts w:ascii="Arial" w:cs="Arial" w:eastAsia="Arial" w:hAnsi="Arial"/>
          <w:b/>
          <w:bCs/>
          <w:color w:val="595959"/>
          <w:sz w:val="24"/>
          <w:szCs w:val="24"/>
        </w:rPr>
        <w:t xml:space="preserve">7.2.2 Abbott FreeStyle Libre 2/3 (LibreLink Up)</w:t>
      </w:r>
    </w:p>
    <w:p>
      <w:pPr>
        <w:spacing w:after="100" w:before="60" w:line="300"/>
      </w:pPr>
      <w:r>
        <w:rPr>
          <w:rFonts w:ascii="Arial" w:cs="Arial" w:eastAsia="Arial" w:hAnsi="Arial"/>
          <w:b/>
          <w:bCs/>
          <w:color w:val="2D1B69"/>
          <w:sz w:val="22"/>
          <w:szCs w:val="22"/>
        </w:rPr>
        <w:t xml:space="preserve">API type: </w:t>
      </w:r>
      <w:r>
        <w:rPr>
          <w:rFonts w:ascii="Arial" w:cs="Arial" w:eastAsia="Arial" w:hAnsi="Arial"/>
          <w:color w:val="1A1A2E"/>
          <w:sz w:val="22"/>
          <w:szCs w:val="22"/>
        </w:rPr>
        <w:t xml:space="preserve">LibreLink Up API (patient-facing, OAuth2) — Abbott's official patient portal API</w:t>
      </w:r>
    </w:p>
    <w:p>
      <w:pPr>
        <w:spacing w:after="100" w:before="60" w:line="300"/>
      </w:pPr>
      <w:r>
        <w:rPr>
          <w:rFonts w:ascii="Arial" w:cs="Arial" w:eastAsia="Arial" w:hAnsi="Arial"/>
          <w:b/>
          <w:bCs/>
          <w:color w:val="2D1B69"/>
          <w:sz w:val="22"/>
          <w:szCs w:val="22"/>
        </w:rPr>
        <w:t xml:space="preserve">Key metrics: </w:t>
      </w:r>
      <w:r>
        <w:rPr>
          <w:rFonts w:ascii="Arial" w:cs="Arial" w:eastAsia="Arial" w:hAnsi="Arial"/>
          <w:color w:val="1A1A2E"/>
          <w:sz w:val="22"/>
          <w:szCs w:val="22"/>
        </w:rPr>
        <w:t xml:space="preserve">Glucose readings (mg/dL or mmol/L every 15 min for Libre 2, every 5 min for Libre 3), sensor status, glucose trend arrows</w:t>
      </w:r>
    </w:p>
    <w:p>
      <w:pPr>
        <w:spacing w:after="100" w:before="60" w:line="300"/>
      </w:pPr>
      <w:r>
        <w:rPr>
          <w:rFonts w:ascii="Arial" w:cs="Arial" w:eastAsia="Arial" w:hAnsi="Arial"/>
          <w:b/>
          <w:bCs/>
          <w:color w:val="2D1B69"/>
          <w:sz w:val="22"/>
          <w:szCs w:val="22"/>
        </w:rPr>
        <w:t xml:space="preserve">India relevance: </w:t>
      </w:r>
      <w:r>
        <w:rPr>
          <w:rFonts w:ascii="Arial" w:cs="Arial" w:eastAsia="Arial" w:hAnsi="Arial"/>
          <w:color w:val="1A1A2E"/>
          <w:sz w:val="22"/>
          <w:szCs w:val="22"/>
        </w:rPr>
        <w:t xml:space="preserve">FreeStyle Libre 2 is the dominant CGM in India (INR 2,000–3,000 per 14-day sensor, no prescription required). Primary CGM integration for Indian market.</w:t>
      </w:r>
    </w:p>
    <w:p>
      <w:pPr>
        <w:spacing w:after="100" w:before="60" w:line="300"/>
      </w:pPr>
      <w:r>
        <w:rPr>
          <w:rFonts w:ascii="Arial" w:cs="Arial" w:eastAsia="Arial" w:hAnsi="Arial"/>
          <w:b/>
          <w:bCs/>
          <w:color w:val="2D1B69"/>
          <w:sz w:val="22"/>
          <w:szCs w:val="22"/>
        </w:rPr>
        <w:t xml:space="preserve">Integration approach: </w:t>
      </w:r>
      <w:r>
        <w:rPr>
          <w:rFonts w:ascii="Arial" w:cs="Arial" w:eastAsia="Arial" w:hAnsi="Arial"/>
          <w:color w:val="1A1A2E"/>
          <w:sz w:val="22"/>
          <w:szCs w:val="22"/>
        </w:rPr>
        <w:t xml:space="preserve">LibreLink Up API (requires patient login credentials — stored in Secure Enclave, never transmitted to VELA servers). Nightscout-compatible fallback for community API users.</w:t>
      </w:r>
    </w:p>
    <w:p>
      <w:pPr>
        <w:spacing w:after="100" w:before="60" w:line="300"/>
      </w:pPr>
      <w:r>
        <w:rPr>
          <w:rFonts w:ascii="Arial" w:cs="Arial" w:eastAsia="Arial" w:hAnsi="Arial"/>
          <w:b/>
          <w:bCs/>
          <w:color w:val="2D1B69"/>
          <w:sz w:val="22"/>
          <w:szCs w:val="22"/>
        </w:rPr>
        <w:t xml:space="preserve">Rate limits: </w:t>
      </w:r>
      <w:r>
        <w:rPr>
          <w:rFonts w:ascii="Arial" w:cs="Arial" w:eastAsia="Arial" w:hAnsi="Arial"/>
          <w:color w:val="1A1A2E"/>
          <w:sz w:val="22"/>
          <w:szCs w:val="22"/>
        </w:rPr>
        <w:t xml:space="preserve">Undocumented; implement exponential backoff with 60-second minimum poll</w:t>
      </w:r>
    </w:p>
    <w:p>
      <w:pPr>
        <w:spacing w:after="100"/>
      </w:pPr>
      <w:r>
        <w:t xml:space="preserve"/>
      </w:r>
    </w:p>
    <w:p>
      <w:pPr>
        <w:pStyle w:val="Heading3"/>
        <w:spacing w:after="100" w:before="280"/>
      </w:pPr>
      <w:r>
        <w:rPr>
          <w:rFonts w:ascii="Arial" w:cs="Arial" w:eastAsia="Arial" w:hAnsi="Arial"/>
          <w:b/>
          <w:bCs/>
          <w:color w:val="595959"/>
          <w:sz w:val="24"/>
          <w:szCs w:val="24"/>
        </w:rPr>
        <w:t xml:space="preserve">7.2.3 CGM Metric Definitions &amp; Derived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Metric</w:t>
            </w:r>
          </w:p>
        </w:tc>
        <w:tc>
          <w:tcPr>
            <w:tcW w:type="dxa" w:w="24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Definition</w:t>
            </w:r>
          </w:p>
        </w:tc>
        <w:tc>
          <w:tcPr>
            <w:tcW w:type="dxa" w:w="41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VELA Use Case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Time in Range (TIR)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 readings 70–180 mg/dL (standard) or 70–140 mg/dL (metabolic optimal)</w:t>
            </w:r>
          </w:p>
        </w:tc>
        <w:tc>
          <w:tcPr>
            <w:tcW w:type="dxa" w:w="4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Daily metabolic health score; correlated with next-day recovery_score</w:t>
            </w:r>
          </w:p>
        </w:tc>
      </w:tr>
      <w:tr>
        <w:tc>
          <w:tcPr>
            <w:tcW w:type="dxa" w:w="2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Glucose Variability (CV)</w:t>
            </w:r>
          </w:p>
        </w:tc>
        <w:tc>
          <w:tcPr>
            <w:tcW w:type="dxa" w:w="24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Coefficient of variation (SD/mean × 100). Optimal &lt;36%.</w:t>
            </w:r>
          </w:p>
        </w:tc>
        <w:tc>
          <w:tcPr>
            <w:tcW w:type="dxa" w:w="41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Inversely correlated with HRV; high CV predicts poor sleep quality</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Mean Glucose</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Average glucose over 24h or sleep window</w:t>
            </w:r>
          </w:p>
        </w:tc>
        <w:tc>
          <w:tcPr>
            <w:tcW w:type="dxa" w:w="4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Metabolic baseline trending; fasting vs. active period comparison</w:t>
            </w:r>
          </w:p>
        </w:tc>
      </w:tr>
      <w:tr>
        <w:tc>
          <w:tcPr>
            <w:tcW w:type="dxa" w:w="2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Post-meal spike (PPGR)</w:t>
            </w:r>
          </w:p>
        </w:tc>
        <w:tc>
          <w:tcPr>
            <w:tcW w:type="dxa" w:w="24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Peak glucose rise within 2h of logged meal. Optimal &lt;30 mg/dL rise.</w:t>
            </w:r>
          </w:p>
        </w:tc>
        <w:tc>
          <w:tcPr>
            <w:tcW w:type="dxa" w:w="41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Meal response AI: correlate food type with glucose impact and next-day HRV</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Nocturnal glucose AUC</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Area under glucose curve during sleep window</w:t>
            </w:r>
          </w:p>
        </w:tc>
        <w:tc>
          <w:tcPr>
            <w:tcW w:type="dxa" w:w="4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Predicts sleep stage quality; high nocturnal AUC correlates with reduced deep sleep</w:t>
            </w:r>
          </w:p>
        </w:tc>
      </w:tr>
      <w:tr>
        <w:tc>
          <w:tcPr>
            <w:tcW w:type="dxa" w:w="28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Glucose-HRV correlation</w:t>
            </w:r>
          </w:p>
        </w:tc>
        <w:tc>
          <w:tcPr>
            <w:tcW w:type="dxa" w:w="24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Person-level Pearson r between CV and RMSSD (rolling 14-day)</w:t>
            </w:r>
          </w:p>
        </w:tc>
        <w:tc>
          <w:tcPr>
            <w:tcW w:type="dxa" w:w="41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Key VELA AI insight: "Your HRV drops on days after high glucose variability"</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7.3 Manual &amp; Supplementary Inputs</w:t>
      </w:r>
    </w:p>
    <w:p>
      <w:pPr>
        <w:pStyle w:val="ListParagraph"/>
        <w:numPr>
          <w:ilvl w:val="0"/>
          <w:numId w:val="2"/>
        </w:numPr>
        <w:spacing w:after="80" w:before="40"/>
      </w:pPr>
      <w:r>
        <w:rPr>
          <w:rFonts w:ascii="Arial" w:cs="Arial" w:eastAsia="Arial" w:hAnsi="Arial"/>
          <w:color w:val="1A1A2E"/>
          <w:sz w:val="22"/>
          <w:szCs w:val="22"/>
        </w:rPr>
        <w:t xml:space="preserve">Food logging: optional, NLP-based (Claude API parses free text; "idli with sambar" → estimated glycemic load)</w:t>
      </w:r>
    </w:p>
    <w:p>
      <w:pPr>
        <w:pStyle w:val="ListParagraph"/>
        <w:numPr>
          <w:ilvl w:val="0"/>
          <w:numId w:val="2"/>
        </w:numPr>
        <w:spacing w:after="80" w:before="40"/>
      </w:pPr>
      <w:r>
        <w:rPr>
          <w:rFonts w:ascii="Arial" w:cs="Arial" w:eastAsia="Arial" w:hAnsi="Arial"/>
          <w:color w:val="1A1A2E"/>
          <w:sz w:val="22"/>
          <w:szCs w:val="22"/>
        </w:rPr>
        <w:t xml:space="preserve">Subjective wellbeing: daily 60-second optional check-in (mood, energy, stress on 1–5 scale)</w:t>
      </w:r>
    </w:p>
    <w:p>
      <w:pPr>
        <w:pStyle w:val="ListParagraph"/>
        <w:numPr>
          <w:ilvl w:val="0"/>
          <w:numId w:val="2"/>
        </w:numPr>
        <w:spacing w:after="80" w:before="40"/>
      </w:pPr>
      <w:r>
        <w:rPr>
          <w:rFonts w:ascii="Arial" w:cs="Arial" w:eastAsia="Arial" w:hAnsi="Arial"/>
          <w:color w:val="1A1A2E"/>
          <w:sz w:val="22"/>
          <w:szCs w:val="22"/>
        </w:rPr>
        <w:t xml:space="preserve">Medication logging: drug name + dose; pharmacogenomics alert engine checks against genomic profile</w:t>
      </w:r>
    </w:p>
    <w:p>
      <w:pPr>
        <w:pStyle w:val="ListParagraph"/>
        <w:numPr>
          <w:ilvl w:val="0"/>
          <w:numId w:val="2"/>
        </w:numPr>
        <w:spacing w:after="80" w:before="40"/>
      </w:pPr>
      <w:r>
        <w:rPr>
          <w:rFonts w:ascii="Arial" w:cs="Arial" w:eastAsia="Arial" w:hAnsi="Arial"/>
          <w:color w:val="1A1A2E"/>
          <w:sz w:val="22"/>
          <w:szCs w:val="22"/>
        </w:rPr>
        <w:t xml:space="preserve">Lab results: manual entry or FHIR R4 import (HbA1c, lipid panel, thyroid, CBC)</w:t>
      </w:r>
    </w:p>
    <w:p>
      <w:pPr>
        <w:pStyle w:val="ListParagraph"/>
        <w:numPr>
          <w:ilvl w:val="0"/>
          <w:numId w:val="2"/>
        </w:numPr>
        <w:spacing w:after="80" w:before="40"/>
      </w:pPr>
      <w:r>
        <w:rPr>
          <w:rFonts w:ascii="Arial" w:cs="Arial" w:eastAsia="Arial" w:hAnsi="Arial"/>
          <w:color w:val="1A1A2E"/>
          <w:sz w:val="22"/>
          <w:szCs w:val="22"/>
        </w:rPr>
        <w:t xml:space="preserve">Exercise events: auto-detected from accelerometer; manual tagging for type/intensity</w:t>
      </w:r>
    </w:p>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8. Core Feature Requirements</w:t>
      </w:r>
    </w:p>
    <w:p>
      <w:pPr>
        <w:pStyle w:val="Heading2"/>
        <w:spacing w:after="140" w:before="400"/>
      </w:pPr>
      <w:r>
        <w:rPr>
          <w:rFonts w:ascii="Arial" w:cs="Arial" w:eastAsia="Arial" w:hAnsi="Arial"/>
          <w:b/>
          <w:bCs/>
          <w:color w:val="2D1B69"/>
          <w:sz w:val="28"/>
          <w:szCs w:val="28"/>
        </w:rPr>
        <w:t xml:space="preserve">8.1 Feature Priority Framework</w:t>
      </w:r>
    </w:p>
    <w:p>
      <w:pPr>
        <w:spacing w:after="120" w:before="60" w:line="320"/>
      </w:pPr>
      <w:r>
        <w:rPr>
          <w:rFonts w:ascii="Arial" w:cs="Arial" w:eastAsia="Arial" w:hAnsi="Arial"/>
          <w:color w:val="1A1A2E"/>
          <w:sz w:val="22"/>
          <w:szCs w:val="22"/>
        </w:rPr>
        <w:t xml:space="preserve">P0 = MVP launch blocker. P1 = Phase 1 target. P2 = Phase 2. P3 = Phase 3 (clinical/genomic).</w:t>
      </w:r>
    </w:p>
    <w:p>
      <w:pPr>
        <w:spacing w:after="100"/>
      </w:pPr>
      <w:r>
        <w:t xml:space="preserve"/>
      </w:r>
    </w:p>
    <w:p>
      <w:pPr>
        <w:pStyle w:val="Heading2"/>
        <w:spacing w:after="140" w:before="400"/>
      </w:pPr>
      <w:r>
        <w:rPr>
          <w:rFonts w:ascii="Arial" w:cs="Arial" w:eastAsia="Arial" w:hAnsi="Arial"/>
          <w:b/>
          <w:bCs/>
          <w:color w:val="2D1B69"/>
          <w:sz w:val="28"/>
          <w:szCs w:val="28"/>
        </w:rPr>
        <w:t xml:space="preserve">8.2 Morning Signal (Recovery &amp;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980"/>
        <w:gridCol w:w="104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Attribute</w:t>
            </w:r>
          </w:p>
        </w:tc>
        <w:tc>
          <w:tcPr>
            <w:tcW w:type="dxa" w:w="59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Detail</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Priority</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Description</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 single daily "Signal" score (0–100) computed from overnight HRV, resting HR, sleep quality, glucose variability (if CGM active), and skin temperature deviation. Shown on app open. Replaces the need to interpret multiple individual scores.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center"/>
            </w:pPr>
            <w:r>
              <w:rPr>
                <w:rFonts w:ascii="Arial" w:cs="Arial" w:eastAsia="Arial" w:hAnsi="Arial"/>
                <w:b/>
                <w:bCs/>
                <w:color w:val="E84855"/>
                <w:sz w:val="20"/>
                <w:szCs w:val="20"/>
              </w:rPr>
              <w:t xml:space="preserve">P0</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Inputs</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hrv_rmssd (weighted 30%), resting_hr vs baseline (20%), sleep_efficiency (20%), glucose_cv (20% if CGM active), skin_temp_delta (10%)</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P0</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AI insight</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One-sentence Claude-generated explanation: "Your signal is 68/100 — your HRV was 14% below your 30-day baseline, likely influenced by last night's elevated glucose variability." No prescriptions.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P0</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Acceptance criteria</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Score updates by 8:00 AM from overnight data. Shows without CGM if not connected. Claude insight generated in &lt;3s. User can tap any component to see its raw contribution.</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P0</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8.3 Sleep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980"/>
        <w:gridCol w:w="104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Attribute</w:t>
            </w:r>
          </w:p>
        </w:tc>
        <w:tc>
          <w:tcPr>
            <w:tcW w:type="dxa" w:w="59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Detail</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Priority</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Sleep staging</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4-stage classification (REM, Deep, Light, Awake) from PPG + actigraphy via on-device TFLite model. No EEG required. Accuracy target: &gt;82% vs. polysomnography validation set (MESA dataset).</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P0</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Glucose + sleep correlation</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When CGM active: nocturnal glucose curve displayed alongside sleep staging timeline. AI identifies glucose events that disrupted sleep architecture (e.g., nighttime low causing arousal).</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Temperature deviation</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Nightly skin temperature deviation from 30-day baseline. Illness predictor: deviation &gt;0.5°C for 2 consecutive nights triggers optional "check-in" prompt.</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Sleep consistency score</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Bedtime and wake-time regularity score (coefficient of variation over 14 days). Shown as trend, not as a "bad/good" judgment.</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8.4 Metabolic Intelligence (CGM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980"/>
        <w:gridCol w:w="104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Attribute</w:t>
            </w:r>
          </w:p>
        </w:tc>
        <w:tc>
          <w:tcPr>
            <w:tcW w:type="dxa" w:w="59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Detail</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Priority</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Live glucose widget</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Real-time glucose value, trend arrow, 3-hour sparkline on main dashboard. Color-coded: green 70–140, amber 140–180, red &gt;180 or &lt;70.</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Meal response tracking</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Log meal (NLP text input) → track glucose response over 2 hours → AI insight: "This meal caused a 42 mg/dL spike — your typical response to high-GI carbs in the evening."</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Exercise glucose overlay</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Auto-detected exercise events overlaid on glucose timeline. Shows glucose drop/rise pattern during and post-exercise. AI identifies user's personal glucose response curve to exercise type.</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P2</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Metabolic score</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Daily score: TIR (%) weighted 50%, mean glucose deviation from personal target 30%, glucose variability (CV) 20%. Shown as 7-day trend.</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8.5 AI Coaching (VELA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980"/>
        <w:gridCol w:w="104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Attribute</w:t>
            </w:r>
          </w:p>
        </w:tc>
        <w:tc>
          <w:tcPr>
            <w:tcW w:type="dxa" w:w="59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Detail</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Priority</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Conversational AI</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Natural language chat interface powered by claude-sonnet-4-6. User can ask anything: "Why was my energy so low on Tuesday?", "What does my glucose pattern say about my diet?", "Is my training load sustainable?" Claude receives anonymized data snapshot via tool use.</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Proactive insights</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Claude-generated push notifications (max 2/day, user-configurable). Triggered by statistically significant pattern: "3-day HRV decline detected — correlates with your recent high training load." No generic reminders.</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Anomaly detection</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On-device Isolation Forest model flags statistical outliers in any metric (&gt;2 SD from personal 30-day baseline). Flagged anomalies are shown in timeline with Claude explanation on request.</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P2</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Weekly digest</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Auto-generated weekly report: patterns, trends, notable events, one suggested experiment ("Try eating your last meal 2h earlier and observe glucose during sleep"). Generated by Claude, displayed in-app, not emailed.</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P1</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8.6 Genomic Overlay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980"/>
        <w:gridCol w:w="104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Attribute</w:t>
            </w:r>
          </w:p>
        </w:tc>
        <w:tc>
          <w:tcPr>
            <w:tcW w:type="dxa" w:w="59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Detail</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Priority</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PGS risk overlay</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Import polygenic risk scores from clinical genomic report (Apollo Diagnostics / 23andMe / whole exome). Overlay relevant PGS on biometric trends: "Your PGS for T2D is elevated — watch this glucose metric over time."</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P3</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Pharmacogenomics</w:t>
            </w:r>
          </w:p>
        </w:tc>
        <w:tc>
          <w:tcPr>
            <w:tcW w:type="dxa" w:w="59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Medication log cross-referenced with CYP2D6/CYP2C19/SLCO1B1 variants from genomic profile. Alert if poor metabolizer status detected for logged drug. CPIC guidelines integration.</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P3</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FHIR R4 import</w:t>
            </w:r>
          </w:p>
        </w:tc>
        <w:tc>
          <w:tcPr>
            <w:tcW w:type="dxa" w:w="59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SMART on FHIR patient-facing app authorization. Import Observation resources (lab results), MedicationRequest, Condition. Stored locally in LDV, never synced to VELA servers.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P3</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9. AI &amp; ML Architecture</w:t>
      </w:r>
    </w:p>
    <w:p>
      <w:pPr>
        <w:pStyle w:val="Heading2"/>
        <w:spacing w:after="140" w:before="400"/>
      </w:pPr>
      <w:r>
        <w:rPr>
          <w:rFonts w:ascii="Arial" w:cs="Arial" w:eastAsia="Arial" w:hAnsi="Arial"/>
          <w:b/>
          <w:bCs/>
          <w:color w:val="2D1B69"/>
          <w:sz w:val="28"/>
          <w:szCs w:val="28"/>
        </w:rPr>
        <w:t xml:space="preserve">9.1 Two-Tier AI Model</w:t>
      </w:r>
    </w:p>
    <w:p>
      <w:pPr>
        <w:spacing w:after="120" w:before="60" w:line="320"/>
      </w:pPr>
      <w:r>
        <w:rPr>
          <w:rFonts w:ascii="Arial" w:cs="Arial" w:eastAsia="Arial" w:hAnsi="Arial"/>
          <w:color w:val="1A1A2E"/>
          <w:sz w:val="22"/>
          <w:szCs w:val="22"/>
        </w:rPr>
        <w:t xml:space="preserve">VELA uses a two-tier AI architecture that balances privacy, latency, and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Tier</w:t>
            </w:r>
          </w:p>
        </w:tc>
        <w:tc>
          <w:tcPr>
            <w:tcW w:type="dxa" w:w="31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Technology</w:t>
            </w:r>
          </w:p>
        </w:tc>
        <w:tc>
          <w:tcPr>
            <w:tcW w:type="dxa" w:w="39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Use Cases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Tier 1: On-device</w:t>
            </w:r>
          </w:p>
        </w:tc>
        <w:tc>
          <w:tcPr>
            <w:tcW w:type="dxa" w:w="31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TFLite / Core ML models (&lt;10MB each)</w:t>
            </w:r>
          </w:p>
        </w:tc>
        <w:tc>
          <w:tcPr>
            <w:tcW w:type="dxa" w:w="39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Sleep staging, anomaly detection, real-time HRV features, glucose trend prediction, motion classification</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Tier 2: Cloud AI</w:t>
            </w:r>
          </w:p>
        </w:tc>
        <w:tc>
          <w:tcPr>
            <w:tcW w:type="dxa" w:w="31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claude-sonnet-4-6 via Anthropic API (ZDR)</w:t>
            </w:r>
          </w:p>
        </w:tc>
        <w:tc>
          <w:tcPr>
            <w:tcW w:type="dxa" w:w="39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Conversational coaching, weekly insights, cross-signal reasoning, proactive pattern explanation, meal analysis</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9.2 Claude Tool Use Schema</w:t>
      </w:r>
    </w:p>
    <w:p>
      <w:pPr>
        <w:spacing w:after="120" w:before="60" w:line="320"/>
      </w:pPr>
      <w:r>
        <w:rPr>
          <w:rFonts w:ascii="Arial" w:cs="Arial" w:eastAsia="Arial" w:hAnsi="Arial"/>
          <w:color w:val="1A1A2E"/>
          <w:sz w:val="22"/>
          <w:szCs w:val="22"/>
        </w:rPr>
        <w:t xml:space="preserve">When Claude processes a user query, it is given access to these privacy-preserving tools that query the local vault via an on-device proxy:</w:t>
      </w:r>
    </w:p>
    <w:p>
      <w:pPr>
        <w:pStyle w:val="ListParagraph"/>
        <w:numPr>
          <w:ilvl w:val="0"/>
          <w:numId w:val="2"/>
        </w:numPr>
        <w:spacing w:after="80" w:before="40"/>
      </w:pPr>
      <w:r>
        <w:rPr>
          <w:rFonts w:ascii="Arial" w:cs="Arial" w:eastAsia="Arial" w:hAnsi="Arial"/>
          <w:color w:val="1A1A2E"/>
          <w:sz w:val="22"/>
          <w:szCs w:val="22"/>
        </w:rPr>
        <w:t xml:space="preserve">query_metrics(user_id_ephemeral, metrics[], days, resolution) — returns anonymized, ε-DP noised time-series array</w:t>
      </w:r>
    </w:p>
    <w:p>
      <w:pPr>
        <w:pStyle w:val="ListParagraph"/>
        <w:numPr>
          <w:ilvl w:val="0"/>
          <w:numId w:val="2"/>
        </w:numPr>
        <w:spacing w:after="80" w:before="40"/>
      </w:pPr>
      <w:r>
        <w:rPr>
          <w:rFonts w:ascii="Arial" w:cs="Arial" w:eastAsia="Arial" w:hAnsi="Arial"/>
          <w:color w:val="1A1A2E"/>
          <w:sz w:val="22"/>
          <w:szCs w:val="22"/>
        </w:rPr>
        <w:t xml:space="preserve">get_baselines(user_id_ephemeral, metrics[]) — returns 30-day rolling personal baseline (noised)</w:t>
      </w:r>
    </w:p>
    <w:p>
      <w:pPr>
        <w:pStyle w:val="ListParagraph"/>
        <w:numPr>
          <w:ilvl w:val="0"/>
          <w:numId w:val="2"/>
        </w:numPr>
        <w:spacing w:after="80" w:before="40"/>
      </w:pPr>
      <w:r>
        <w:rPr>
          <w:rFonts w:ascii="Arial" w:cs="Arial" w:eastAsia="Arial" w:hAnsi="Arial"/>
          <w:color w:val="1A1A2E"/>
          <w:sz w:val="22"/>
          <w:szCs w:val="22"/>
        </w:rPr>
        <w:t xml:space="preserve">get_anomalies(user_id_ephemeral, days) — returns flagged anomaly events with magnitude and metric</w:t>
      </w:r>
    </w:p>
    <w:p>
      <w:pPr>
        <w:pStyle w:val="ListParagraph"/>
        <w:numPr>
          <w:ilvl w:val="0"/>
          <w:numId w:val="2"/>
        </w:numPr>
        <w:spacing w:after="80" w:before="40"/>
      </w:pPr>
      <w:r>
        <w:rPr>
          <w:rFonts w:ascii="Arial" w:cs="Arial" w:eastAsia="Arial" w:hAnsi="Arial"/>
          <w:color w:val="1A1A2E"/>
          <w:sz w:val="22"/>
          <w:szCs w:val="22"/>
        </w:rPr>
        <w:t xml:space="preserve">query_glucose(user_id_ephemeral, days, include_meals) — returns anonymized CGM stats (TIR, CV, mean)</w:t>
      </w:r>
    </w:p>
    <w:p>
      <w:pPr>
        <w:pStyle w:val="ListParagraph"/>
        <w:numPr>
          <w:ilvl w:val="0"/>
          <w:numId w:val="2"/>
        </w:numPr>
        <w:spacing w:after="80" w:before="40"/>
      </w:pPr>
      <w:r>
        <w:rPr>
          <w:rFonts w:ascii="Arial" w:cs="Arial" w:eastAsia="Arial" w:hAnsi="Arial"/>
          <w:color w:val="1A1A2E"/>
          <w:sz w:val="22"/>
          <w:szCs w:val="22"/>
        </w:rPr>
        <w:t xml:space="preserve">get_genomic_flags(user_id_ephemeral, category) — returns relevant PGS percentiles (Phase 3)</w:t>
      </w:r>
    </w:p>
    <w:p>
      <w:pPr>
        <w:pStyle w:val="ListParagraph"/>
        <w:numPr>
          <w:ilvl w:val="0"/>
          <w:numId w:val="2"/>
        </w:numPr>
        <w:spacing w:after="80" w:before="40"/>
      </w:pPr>
      <w:r>
        <w:rPr>
          <w:rFonts w:ascii="Arial" w:cs="Arial" w:eastAsia="Arial" w:hAnsi="Arial"/>
          <w:color w:val="1A1A2E"/>
          <w:sz w:val="22"/>
          <w:szCs w:val="22"/>
        </w:rPr>
        <w:t xml:space="preserve">get_correlations(user_id_ephemeral, metric_a, metric_b, days) — returns Pearson r with confidence interval</w:t>
      </w:r>
    </w:p>
    <w:p>
      <w:pPr>
        <w:spacing w:after="100"/>
      </w:pPr>
      <w:r>
        <w:t xml:space="preserve"/>
      </w:r>
    </w:p>
    <w:p>
      <w:pPr>
        <w:pBdr>
          <w:left w:val="single" w:color="0FA8A0" w:sz="18" w:space="12"/>
        </w:pBdr>
        <w:shd w:fill="E1F5EE" w:val="clear"/>
        <w:spacing w:after="160" w:before="160" w:line="300"/>
        <w:ind w:left="360" w:right="240"/>
      </w:pPr>
      <w:r>
        <w:rPr>
          <w:rFonts w:ascii="Arial" w:cs="Arial" w:eastAsia="Arial" w:hAnsi="Arial"/>
          <w:i/>
          <w:iCs/>
          <w:color w:val="1A1A2E"/>
          <w:sz w:val="22"/>
          <w:szCs w:val="22"/>
        </w:rPr>
        <w:t xml:space="preserve">All tool outputs are generated by the on-device privacy proxy. Claude never calls external APIs directly. The proxy applies differential privacy noise before returning any value to Claude. The ephemeral user_id is regenerated per session — Claude cannot correlate insights across sessions.</w:t>
      </w:r>
    </w:p>
    <w:p>
      <w:pPr>
        <w:spacing w:after="100"/>
      </w:pPr>
      <w:r>
        <w:t xml:space="preserve"/>
      </w:r>
    </w:p>
    <w:p>
      <w:pPr>
        <w:pStyle w:val="Heading2"/>
        <w:spacing w:after="140" w:before="400"/>
      </w:pPr>
      <w:r>
        <w:rPr>
          <w:rFonts w:ascii="Arial" w:cs="Arial" w:eastAsia="Arial" w:hAnsi="Arial"/>
          <w:b/>
          <w:bCs/>
          <w:color w:val="2D1B69"/>
          <w:sz w:val="28"/>
          <w:szCs w:val="28"/>
        </w:rPr>
        <w:t xml:space="preserve">9.3 On-Device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60"/>
        <w:gridCol w:w="2200"/>
      </w:tblGrid>
      <w:tr>
        <w:trPr>
          <w:tblHeader/>
        </w:trPr>
        <w:tc>
          <w:tcPr>
            <w:tcW w:type="dxa" w:w="2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Model</w:t>
            </w:r>
          </w:p>
        </w:tc>
        <w:tc>
          <w:tcPr>
            <w:tcW w:type="dxa" w:w="24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Architecture</w:t>
            </w:r>
          </w:p>
        </w:tc>
        <w:tc>
          <w:tcPr>
            <w:tcW w:type="dxa" w:w="21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Input Features</w:t>
            </w:r>
          </w:p>
        </w:tc>
        <w:tc>
          <w:tcPr>
            <w:tcW w:type="dxa" w:w="22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Output</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Sleep staging</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LSTM (4-layer, 64 units)</w:t>
            </w:r>
          </w:p>
        </w:tc>
        <w:tc>
          <w:tcPr>
            <w:tcW w:type="dxa" w:w="2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PPG-derived HRV, accel magnitude, breathing rate (30s epochs)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4-class: REM/Deep/Light/Wake</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Anomaly detector</w:t>
            </w:r>
          </w:p>
        </w:tc>
        <w:tc>
          <w:tcPr>
            <w:tcW w:type="dxa" w:w="24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Isolation Forest (sklearn → ONNX)</w:t>
            </w:r>
          </w:p>
        </w:tc>
        <w:tc>
          <w:tcPr>
            <w:tcW w:type="dxa" w:w="21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All normalized metrics, 7-day windows</w:t>
            </w:r>
          </w:p>
        </w:tc>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Anomaly score 0–1, flagged if &gt;0.7</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Glucose trend predictor</w:t>
            </w:r>
          </w:p>
        </w:tc>
        <w:tc>
          <w:tcPr>
            <w:tcW w:type="dxa" w:w="24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1D-CNN (causal, 5-layer)</w:t>
            </w:r>
          </w:p>
        </w:tc>
        <w:tc>
          <w:tcPr>
            <w:tcW w:type="dxa" w:w="21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Last 60 min of glucose readings + meal/exercise events</w:t>
            </w:r>
          </w:p>
        </w:tc>
        <w:tc>
          <w:tcPr>
            <w:tcW w:type="dxa" w:w="22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30-min glucose forecast (mg/dL)</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HRV feature extractor</w:t>
            </w:r>
          </w:p>
        </w:tc>
        <w:tc>
          <w:tcPr>
            <w:tcW w:type="dxa" w:w="24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Signal processing (NeuroKit2 → TFLite custom op)</w:t>
            </w:r>
          </w:p>
        </w:tc>
        <w:tc>
          <w:tcPr>
            <w:tcW w:type="dxa" w:w="21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R-R interval series from PPG peak detection</w:t>
            </w:r>
          </w:p>
        </w:tc>
        <w:tc>
          <w:tcPr>
            <w:tcW w:type="dxa" w:w="22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RMSSD, SDNN, LF/HF, pNN50</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10. Technical Architecture</w:t>
      </w:r>
    </w:p>
    <w:p>
      <w:pPr>
        <w:pStyle w:val="Heading2"/>
        <w:spacing w:after="140" w:before="400"/>
      </w:pPr>
      <w:r>
        <w:rPr>
          <w:rFonts w:ascii="Arial" w:cs="Arial" w:eastAsia="Arial" w:hAnsi="Arial"/>
          <w:b/>
          <w:bCs/>
          <w:color w:val="2D1B69"/>
          <w:sz w:val="28"/>
          <w:szCs w:val="28"/>
        </w:rPr>
        <w:t xml:space="preserve">10.1 Mobile App (Primary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Layer</w:t>
            </w:r>
          </w:p>
        </w:tc>
        <w:tc>
          <w:tcPr>
            <w:tcW w:type="dxa" w:w="70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Technology Decision &amp; Rationale</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Framework</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React Native 0.74+ (Expo bare workflow). Shared codebase for iOS and Android. Justification: BLE and HealthKit native modules available, SQLCipher bridge mature, large talent pool.</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BLE</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react-native-ble-plx for direct wearable communication (Oura Gen3, future hardware partners). GATT profile abstraction layer for device-agnostic data access.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Local DB</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WatermelonDB on top of SQLCipher. Lazy loading optimized for large time-series. Reactive queries for live dashboard updates without full re-render.</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State</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Zustand for UI state. React Query for API data fetching. All vault reads go through encrypted LDV service layer — never directly from components.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Charts</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Victory Native XL with Skia renderer. GPU-accelerated for 30-day glucose/HRV timelines. Custom Canvas-based sparklines for low-overhead dashboard tiles.</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Auth</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Biometric-gated vault (Face ID / fingerprint). Account auth via Auth0 (email or Google SSO only — no third-party health logins through VELA account layer).</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AI proxy</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On-device Node.js sidecar (Hermes VM) runs the privacy proxy — intercepts Claude tool calls, queries encrypted vault, applies DP noise, returns sanitized results. Never exposes raw LDV data over any network interface.</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10.2 Backend Services (Minimal Surface Area)</w:t>
      </w:r>
    </w:p>
    <w:p>
      <w:pPr>
        <w:pBdr>
          <w:left w:val="single" w:color="0FA8A0" w:sz="18" w:space="12"/>
        </w:pBdr>
        <w:shd w:fill="E1F5EE" w:val="clear"/>
        <w:spacing w:after="160" w:before="160" w:line="300"/>
        <w:ind w:left="360" w:right="240"/>
      </w:pPr>
      <w:r>
        <w:rPr>
          <w:rFonts w:ascii="Arial" w:cs="Arial" w:eastAsia="Arial" w:hAnsi="Arial"/>
          <w:i/>
          <w:iCs/>
          <w:color w:val="1A1A2E"/>
          <w:sz w:val="22"/>
          <w:szCs w:val="22"/>
        </w:rPr>
        <w:t xml:space="preserve">VELA's backend is intentionally minimal. Its only purpose is account management, API token relay, push notifications, and optional population analytics. It never sees biometric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Service</w:t>
            </w:r>
          </w:p>
        </w:tc>
        <w:tc>
          <w:tcPr>
            <w:tcW w:type="dxa" w:w="702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Technology &amp; Scope</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API gateway</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FastAPI (Python 3.12) on AWS ECS Fargate. ap-south-1 (Mumbai) primary region for India. Rate limiting via Redis. JWT + Auth0 validation on all endpoints.</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OAuth token relay</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Wearable API OAuth tokens are encrypted (AES-256) with a per-user server-side key, stored in AWS RDS PostgreSQL (encrypted at rest). Server key encrypted with AWS KMS CMK. Token decrypted only on API call, never logged.</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Sync scheduler</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Kafka + Celery workers. Handles per-user polling schedules, webhook listeners (WHOOP, Oura). Raw API responses are encrypted with user's public key before any persistence — server cannot read them.</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Push notifications</w:t>
            </w:r>
          </w:p>
        </w:tc>
        <w:tc>
          <w:tcPr>
            <w:tcW w:type="dxa" w:w="702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FCM (Android) + APNs (iOS). Payload contains only notification ID — actual insight text fetched locally from LDV on notification tap. Server stores zero insight content.</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Account service</w:t>
            </w:r>
          </w:p>
        </w:tc>
        <w:tc>
          <w:tcPr>
            <w:tcW w:type="dxa" w:w="702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Auth0-managed user accounts. VELA stores only: email hash (bcrypt), subscription status, connected platform list (no credentials), device count.</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11. User Stories</w:t>
      </w:r>
    </w:p>
    <w:p>
      <w:pPr>
        <w:pStyle w:val="Heading2"/>
        <w:spacing w:after="140" w:before="400"/>
      </w:pPr>
      <w:r>
        <w:rPr>
          <w:rFonts w:ascii="Arial" w:cs="Arial" w:eastAsia="Arial" w:hAnsi="Arial"/>
          <w:b/>
          <w:bCs/>
          <w:color w:val="2D1B69"/>
          <w:sz w:val="28"/>
          <w:szCs w:val="28"/>
        </w:rPr>
        <w:t xml:space="preserve">11.1 Privacy &amp; Onboarding</w:t>
      </w:r>
    </w:p>
    <w:p>
      <w:pPr>
        <w:pStyle w:val="ListParagraph"/>
        <w:numPr>
          <w:ilvl w:val="0"/>
          <w:numId w:val="3"/>
        </w:numPr>
        <w:spacing w:after="80" w:before="40"/>
      </w:pPr>
      <w:r>
        <w:rPr>
          <w:rFonts w:ascii="Arial" w:cs="Arial" w:eastAsia="Arial" w:hAnsi="Arial"/>
          <w:color w:val="1A1A2E"/>
          <w:sz w:val="22"/>
          <w:szCs w:val="22"/>
        </w:rPr>
        <w:t xml:space="preserve">As a privacy-conscious user, I want to see exactly what data VELA stores and where, so that I can trust the app before connecting any devices.</w:t>
      </w:r>
    </w:p>
    <w:p>
      <w:pPr>
        <w:pStyle w:val="ListParagraph"/>
        <w:numPr>
          <w:ilvl w:val="0"/>
          <w:numId w:val="3"/>
        </w:numPr>
        <w:spacing w:after="80" w:before="40"/>
      </w:pPr>
      <w:r>
        <w:rPr>
          <w:rFonts w:ascii="Arial" w:cs="Arial" w:eastAsia="Arial" w:hAnsi="Arial"/>
          <w:color w:val="1A1A2E"/>
          <w:sz w:val="22"/>
          <w:szCs w:val="22"/>
        </w:rPr>
        <w:t xml:space="preserve">As a new user, I want to connect my Oura Ring and have my sleep history imported to the local vault in under 2 minutes, so I can start using VELA without manual data entry.</w:t>
      </w:r>
    </w:p>
    <w:p>
      <w:pPr>
        <w:pStyle w:val="ListParagraph"/>
        <w:numPr>
          <w:ilvl w:val="0"/>
          <w:numId w:val="3"/>
        </w:numPr>
        <w:spacing w:after="80" w:before="40"/>
      </w:pPr>
      <w:r>
        <w:rPr>
          <w:rFonts w:ascii="Arial" w:cs="Arial" w:eastAsia="Arial" w:hAnsi="Arial"/>
          <w:color w:val="1A1A2E"/>
          <w:sz w:val="22"/>
          <w:szCs w:val="22"/>
        </w:rPr>
        <w:t xml:space="preserve">As a user, I want to delete all my data instantly with one tap and receive a cryptographic confirmation that no data remains on any server.</w:t>
      </w:r>
    </w:p>
    <w:p>
      <w:pPr>
        <w:spacing w:after="100"/>
      </w:pPr>
      <w:r>
        <w:t xml:space="preserve"/>
      </w:r>
    </w:p>
    <w:p>
      <w:pPr>
        <w:pStyle w:val="Heading2"/>
        <w:spacing w:after="140" w:before="400"/>
      </w:pPr>
      <w:r>
        <w:rPr>
          <w:rFonts w:ascii="Arial" w:cs="Arial" w:eastAsia="Arial" w:hAnsi="Arial"/>
          <w:b/>
          <w:bCs/>
          <w:color w:val="2D1B69"/>
          <w:sz w:val="28"/>
          <w:szCs w:val="28"/>
        </w:rPr>
        <w:t xml:space="preserve">11.2 Daily Health Intelligence</w:t>
      </w:r>
    </w:p>
    <w:p>
      <w:pPr>
        <w:pStyle w:val="ListParagraph"/>
        <w:numPr>
          <w:ilvl w:val="0"/>
          <w:numId w:val="3"/>
        </w:numPr>
        <w:spacing w:after="80" w:before="40"/>
      </w:pPr>
      <w:r>
        <w:rPr>
          <w:rFonts w:ascii="Arial" w:cs="Arial" w:eastAsia="Arial" w:hAnsi="Arial"/>
          <w:color w:val="1A1A2E"/>
          <w:sz w:val="22"/>
          <w:szCs w:val="22"/>
        </w:rPr>
        <w:t xml:space="preserve">As a user, I want to see my Morning Signal score with a one-sentence AI explanation when I open the app, without needing to read multiple sub-scores first.</w:t>
      </w:r>
    </w:p>
    <w:p>
      <w:pPr>
        <w:pStyle w:val="ListParagraph"/>
        <w:numPr>
          <w:ilvl w:val="0"/>
          <w:numId w:val="3"/>
        </w:numPr>
        <w:spacing w:after="80" w:before="40"/>
      </w:pPr>
      <w:r>
        <w:rPr>
          <w:rFonts w:ascii="Arial" w:cs="Arial" w:eastAsia="Arial" w:hAnsi="Arial"/>
          <w:color w:val="1A1A2E"/>
          <w:sz w:val="22"/>
          <w:szCs w:val="22"/>
        </w:rPr>
        <w:t xml:space="preserve">As a CGM user, I want to see my current glucose level alongside my HRV on the same dashboard, so I can understand how they relate without switching apps.</w:t>
      </w:r>
    </w:p>
    <w:p>
      <w:pPr>
        <w:pStyle w:val="ListParagraph"/>
        <w:numPr>
          <w:ilvl w:val="0"/>
          <w:numId w:val="3"/>
        </w:numPr>
        <w:spacing w:after="80" w:before="40"/>
      </w:pPr>
      <w:r>
        <w:rPr>
          <w:rFonts w:ascii="Arial" w:cs="Arial" w:eastAsia="Arial" w:hAnsi="Arial"/>
          <w:color w:val="1A1A2E"/>
          <w:sz w:val="22"/>
          <w:szCs w:val="22"/>
        </w:rPr>
        <w:t xml:space="preserve">As a user, I want to ask VELA "Why was I so tired on Wednesday?" in plain language and get a data-backed explanation referencing my actual metrics from that day.</w:t>
      </w:r>
    </w:p>
    <w:p>
      <w:pPr>
        <w:spacing w:after="100"/>
      </w:pPr>
      <w:r>
        <w:t xml:space="preserve"/>
      </w:r>
    </w:p>
    <w:p>
      <w:pPr>
        <w:pStyle w:val="Heading2"/>
        <w:spacing w:after="140" w:before="400"/>
      </w:pPr>
      <w:r>
        <w:rPr>
          <w:rFonts w:ascii="Arial" w:cs="Arial" w:eastAsia="Arial" w:hAnsi="Arial"/>
          <w:b/>
          <w:bCs/>
          <w:color w:val="2D1B69"/>
          <w:sz w:val="28"/>
          <w:szCs w:val="28"/>
        </w:rPr>
        <w:t xml:space="preserve">11.3 Metabolic Intelligence</w:t>
      </w:r>
    </w:p>
    <w:p>
      <w:pPr>
        <w:pStyle w:val="ListParagraph"/>
        <w:numPr>
          <w:ilvl w:val="0"/>
          <w:numId w:val="3"/>
        </w:numPr>
        <w:spacing w:after="80" w:before="40"/>
      </w:pPr>
      <w:r>
        <w:rPr>
          <w:rFonts w:ascii="Arial" w:cs="Arial" w:eastAsia="Arial" w:hAnsi="Arial"/>
          <w:color w:val="1A1A2E"/>
          <w:sz w:val="22"/>
          <w:szCs w:val="22"/>
        </w:rPr>
        <w:t xml:space="preserve">As a CGM user, I want to log a meal and see how my glucose responded compared to similar meals in my history, so I can understand my personal metabolic patterns.</w:t>
      </w:r>
    </w:p>
    <w:p>
      <w:pPr>
        <w:pStyle w:val="ListParagraph"/>
        <w:numPr>
          <w:ilvl w:val="0"/>
          <w:numId w:val="3"/>
        </w:numPr>
        <w:spacing w:after="80" w:before="40"/>
      </w:pPr>
      <w:r>
        <w:rPr>
          <w:rFonts w:ascii="Arial" w:cs="Arial" w:eastAsia="Arial" w:hAnsi="Arial"/>
          <w:color w:val="1A1A2E"/>
          <w:sz w:val="22"/>
          <w:szCs w:val="22"/>
        </w:rPr>
        <w:t xml:space="preserve">As a user, I want to see a correlation chart between my glucose variability and next-day HRV over the last 30 days, so I can understand my metabolic-recovery link.</w:t>
      </w:r>
    </w:p>
    <w:p>
      <w:pPr>
        <w:pStyle w:val="ListParagraph"/>
        <w:numPr>
          <w:ilvl w:val="0"/>
          <w:numId w:val="3"/>
        </w:numPr>
        <w:spacing w:after="80" w:before="40"/>
      </w:pPr>
      <w:r>
        <w:rPr>
          <w:rFonts w:ascii="Arial" w:cs="Arial" w:eastAsia="Arial" w:hAnsi="Arial"/>
          <w:color w:val="1A1A2E"/>
          <w:sz w:val="22"/>
          <w:szCs w:val="22"/>
        </w:rPr>
        <w:t xml:space="preserve">As an athlete, I want to see how my glucose responded during and after my last 5 runs, so I can optimize my fueling strategy.</w:t>
      </w:r>
    </w:p>
    <w:p>
      <w:pPr>
        <w:spacing w:after="100"/>
      </w:pPr>
      <w:r>
        <w:t xml:space="preserve"/>
      </w:r>
    </w:p>
    <w:p>
      <w:pPr>
        <w:pStyle w:val="Heading2"/>
        <w:spacing w:after="140" w:before="400"/>
      </w:pPr>
      <w:r>
        <w:rPr>
          <w:rFonts w:ascii="Arial" w:cs="Arial" w:eastAsia="Arial" w:hAnsi="Arial"/>
          <w:b/>
          <w:bCs/>
          <w:color w:val="2D1B69"/>
          <w:sz w:val="28"/>
          <w:szCs w:val="28"/>
        </w:rPr>
        <w:t xml:space="preserve">11.4 Clinical &amp; Genomic (Phase 3)</w:t>
      </w:r>
    </w:p>
    <w:p>
      <w:pPr>
        <w:pStyle w:val="ListParagraph"/>
        <w:numPr>
          <w:ilvl w:val="0"/>
          <w:numId w:val="3"/>
        </w:numPr>
        <w:spacing w:after="80" w:before="40"/>
      </w:pPr>
      <w:r>
        <w:rPr>
          <w:rFonts w:ascii="Arial" w:cs="Arial" w:eastAsia="Arial" w:hAnsi="Arial"/>
          <w:color w:val="1A1A2E"/>
          <w:sz w:val="22"/>
          <w:szCs w:val="22"/>
        </w:rPr>
        <w:t xml:space="preserve">As a user with a genomic report, I want to import my PGS scores and see which wearable metrics I should watch most carefully given my genetic risk profile.</w:t>
      </w:r>
    </w:p>
    <w:p>
      <w:pPr>
        <w:pStyle w:val="ListParagraph"/>
        <w:numPr>
          <w:ilvl w:val="0"/>
          <w:numId w:val="3"/>
        </w:numPr>
        <w:spacing w:after="80" w:before="40"/>
      </w:pPr>
      <w:r>
        <w:rPr>
          <w:rFonts w:ascii="Arial" w:cs="Arial" w:eastAsia="Arial" w:hAnsi="Arial"/>
          <w:color w:val="1A1A2E"/>
          <w:sz w:val="22"/>
          <w:szCs w:val="22"/>
        </w:rPr>
        <w:t xml:space="preserve">As a patient, I want to share a controlled, time-limited view of my VELA dashboard with my physician, knowing that sharing is revocable and the raw data never leaves my device.</w:t>
      </w:r>
    </w:p>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12.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KPI</w:t>
            </w:r>
          </w:p>
        </w:tc>
        <w:tc>
          <w:tcPr>
            <w:tcW w:type="dxa" w:w="33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Phase 1 Target (Month 6)</w:t>
            </w:r>
          </w:p>
        </w:tc>
        <w:tc>
          <w:tcPr>
            <w:tcW w:type="dxa" w:w="33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Phase 2 Target (Month 12)</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Monthly Active Users</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10,000</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100,000</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Day-30 Retention</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45%</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55%</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CGM Connection Rate</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25% of active users</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40%</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AI Query Rate</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3 queries/user/week</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5+ queries/user/week</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Privacy NPS (specific)</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&gt;65 (vs. industry avg 32)</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&gt;72</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Wearables connected per user</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1.4 avg</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2.1 avg</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Paid conversion</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8% (freemium → paid)</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14%</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Data breach incidents</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0 (raw biometrics — architectural guarantee)</w:t>
            </w:r>
          </w:p>
        </w:tc>
        <w:tc>
          <w:tcPr>
            <w:tcW w:type="dxa" w:w="33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0</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Vault encryption audit pass</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Annual third-party pentest</w:t>
            </w:r>
          </w:p>
        </w:tc>
        <w:tc>
          <w:tcPr>
            <w:tcW w:type="dxa" w:w="33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SOC 2 Type II initiated</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13.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600"/>
        <w:gridCol w:w="1600"/>
      </w:tblGrid>
      <w:tr>
        <w:trPr>
          <w:tblHeader/>
        </w:trPr>
        <w:tc>
          <w:tcPr>
            <w:tcW w:type="dxa" w:w="15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Phase</w:t>
            </w:r>
          </w:p>
        </w:tc>
        <w:tc>
          <w:tcPr>
            <w:tcW w:type="dxa" w:w="2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Timeline</w:t>
            </w:r>
          </w:p>
        </w:tc>
        <w:tc>
          <w:tcPr>
            <w:tcW w:type="dxa" w:w="3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Deliverables</w:t>
            </w:r>
          </w:p>
        </w:tc>
        <w:tc>
          <w:tcPr>
            <w:tcW w:type="dxa" w:w="1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Exit Criteria</w:t>
            </w:r>
          </w:p>
        </w:tc>
      </w:tr>
      <w:tr>
        <w:tc>
          <w:tcPr>
            <w:tcW w:type="dxa" w:w="1560"/>
            <w:tcBorders>
              <w:top w:val="single" w:color="DDDDDD" w:sz="2"/>
              <w:left w:val="single" w:color="DDDDDD" w:sz="2"/>
              <w:bottom w:val="single" w:color="DDDDDD" w:sz="2"/>
              <w:right w:val="single" w:color="DDDDDD" w:sz="2"/>
            </w:tcBorders>
            <w:shd w:fill="EEF0FF" w:val="clear"/>
            <w:tcMar>
              <w:top w:type="dxa" w:w="80"/>
              <w:left w:type="dxa" w:w="140"/>
              <w:bottom w:type="dxa" w:w="80"/>
              <w:right w:type="dxa" w:w="140"/>
            </w:tcMar>
            <w:vAlign w:val="top"/>
          </w:tcPr>
          <w:p>
            <w:pPr>
              <w:spacing w:after="50" w:before="50"/>
              <w:jc w:val="left"/>
            </w:pPr>
            <w:r>
              <w:rPr>
                <w:rFonts w:ascii="Arial" w:cs="Arial" w:eastAsia="Arial" w:hAnsi="Arial"/>
                <w:b/>
                <w:bCs/>
                <w:color w:val="2D1B69"/>
                <w:sz w:val="20"/>
                <w:szCs w:val="20"/>
              </w:rPr>
              <w:t xml:space="preserve">Phase 1: Foundation</w:t>
            </w:r>
          </w:p>
        </w:tc>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Months 1–4</w:t>
            </w:r>
          </w:p>
        </w:tc>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20"/>
                <w:szCs w:val="20"/>
              </w:rPr>
              <w:t xml:space="preserve">Local Data Vault + encryption layer</w:t>
            </w:r>
          </w:p>
          <w:p>
            <w:pPr>
              <w:pStyle w:val="ListParagraph"/>
              <w:numPr>
                <w:ilvl w:val="0"/>
                <w:numId w:val="2"/>
              </w:numPr>
              <w:spacing w:after="30" w:before="30"/>
            </w:pPr>
            <w:r>
              <w:rPr>
                <w:rFonts w:ascii="Arial" w:cs="Arial" w:eastAsia="Arial" w:hAnsi="Arial"/>
                <w:sz w:val="20"/>
                <w:szCs w:val="20"/>
              </w:rPr>
              <w:t xml:space="preserve">WHOOP + Oura API adapters</w:t>
            </w:r>
          </w:p>
          <w:p>
            <w:pPr>
              <w:pStyle w:val="ListParagraph"/>
              <w:numPr>
                <w:ilvl w:val="0"/>
                <w:numId w:val="2"/>
              </w:numPr>
              <w:spacing w:after="30" w:before="30"/>
            </w:pPr>
            <w:r>
              <w:rPr>
                <w:rFonts w:ascii="Arial" w:cs="Arial" w:eastAsia="Arial" w:hAnsi="Arial"/>
                <w:sz w:val="20"/>
                <w:szCs w:val="20"/>
              </w:rPr>
              <w:t xml:space="preserve">Canonical metric normalization schema</w:t>
            </w:r>
          </w:p>
          <w:p>
            <w:pPr>
              <w:pStyle w:val="ListParagraph"/>
              <w:numPr>
                <w:ilvl w:val="0"/>
                <w:numId w:val="2"/>
              </w:numPr>
              <w:spacing w:after="30" w:before="30"/>
            </w:pPr>
            <w:r>
              <w:rPr>
                <w:rFonts w:ascii="Arial" w:cs="Arial" w:eastAsia="Arial" w:hAnsi="Arial"/>
                <w:sz w:val="20"/>
                <w:szCs w:val="20"/>
              </w:rPr>
              <w:t xml:space="preserve">Morning Signal score (HRV + sleep)</w:t>
            </w:r>
          </w:p>
          <w:p>
            <w:pPr>
              <w:pStyle w:val="ListParagraph"/>
              <w:numPr>
                <w:ilvl w:val="0"/>
                <w:numId w:val="2"/>
              </w:numPr>
              <w:spacing w:after="30" w:before="30"/>
            </w:pPr>
            <w:r>
              <w:rPr>
                <w:rFonts w:ascii="Arial" w:cs="Arial" w:eastAsia="Arial" w:hAnsi="Arial"/>
                <w:sz w:val="20"/>
                <w:szCs w:val="20"/>
              </w:rPr>
              <w:t xml:space="preserve">iOS + Android MVP app</w:t>
            </w:r>
          </w:p>
          <w:p>
            <w:pPr>
              <w:pStyle w:val="ListParagraph"/>
              <w:numPr>
                <w:ilvl w:val="0"/>
                <w:numId w:val="2"/>
              </w:numPr>
              <w:spacing w:after="30" w:before="30"/>
            </w:pPr>
            <w:r>
              <w:rPr>
                <w:rFonts w:ascii="Arial" w:cs="Arial" w:eastAsia="Arial" w:hAnsi="Arial"/>
                <w:sz w:val="20"/>
                <w:szCs w:val="20"/>
              </w:rPr>
              <w:t xml:space="preserve">Privacy audit (third party)</w:t>
            </w:r>
          </w:p>
        </w:tc>
        <w:tc>
          <w:tcPr>
            <w:tcW w:type="dxa" w:w="1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100 beta users. Zero vault breach in pentest.</w:t>
            </w:r>
          </w:p>
        </w:tc>
      </w:tr>
      <w:tr>
        <w:tc>
          <w:tcPr>
            <w:tcW w:type="dxa" w:w="1560"/>
            <w:tcBorders>
              <w:top w:val="single" w:color="DDDDDD" w:sz="2"/>
              <w:left w:val="single" w:color="DDDDDD" w:sz="2"/>
              <w:bottom w:val="single" w:color="DDDDDD" w:sz="2"/>
              <w:right w:val="single" w:color="DDDDDD" w:sz="2"/>
            </w:tcBorders>
            <w:shd w:fill="E1F5EE" w:val="clear"/>
            <w:tcMar>
              <w:top w:type="dxa" w:w="80"/>
              <w:left w:type="dxa" w:w="140"/>
              <w:bottom w:type="dxa" w:w="80"/>
              <w:right w:type="dxa" w:w="140"/>
            </w:tcMar>
            <w:vAlign w:val="top"/>
          </w:tcPr>
          <w:p>
            <w:pPr>
              <w:spacing w:after="50" w:before="50"/>
              <w:jc w:val="left"/>
            </w:pPr>
            <w:r>
              <w:rPr>
                <w:rFonts w:ascii="Arial" w:cs="Arial" w:eastAsia="Arial" w:hAnsi="Arial"/>
                <w:b/>
                <w:bCs/>
                <w:color w:val="0FA8A0"/>
                <w:sz w:val="20"/>
                <w:szCs w:val="20"/>
              </w:rPr>
              <w:t xml:space="preserve">Phase 2: Intelligence</w:t>
            </w:r>
          </w:p>
        </w:tc>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Months 5–10</w:t>
            </w:r>
          </w:p>
        </w:tc>
        <w:tc>
          <w:tcPr>
            <w:tcW w:type="dxa" w:w="3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20"/>
                <w:szCs w:val="20"/>
              </w:rPr>
              <w:t xml:space="preserve">CGM integration: Dexcom + Abbott Libre</w:t>
            </w:r>
          </w:p>
          <w:p>
            <w:pPr>
              <w:pStyle w:val="ListParagraph"/>
              <w:numPr>
                <w:ilvl w:val="0"/>
                <w:numId w:val="2"/>
              </w:numPr>
              <w:spacing w:after="30" w:before="30"/>
            </w:pPr>
            <w:r>
              <w:rPr>
                <w:rFonts w:ascii="Arial" w:cs="Arial" w:eastAsia="Arial" w:hAnsi="Arial"/>
                <w:sz w:val="20"/>
                <w:szCs w:val="20"/>
              </w:rPr>
              <w:t xml:space="preserve">Glucose-HRV correlation engine</w:t>
            </w:r>
          </w:p>
          <w:p>
            <w:pPr>
              <w:pStyle w:val="ListParagraph"/>
              <w:numPr>
                <w:ilvl w:val="0"/>
                <w:numId w:val="2"/>
              </w:numPr>
              <w:spacing w:after="30" w:before="30"/>
            </w:pPr>
            <w:r>
              <w:rPr>
                <w:rFonts w:ascii="Arial" w:cs="Arial" w:eastAsia="Arial" w:hAnsi="Arial"/>
                <w:sz w:val="20"/>
                <w:szCs w:val="20"/>
              </w:rPr>
              <w:t xml:space="preserve">Claude AI coaching (conversational)</w:t>
            </w:r>
          </w:p>
          <w:p>
            <w:pPr>
              <w:pStyle w:val="ListParagraph"/>
              <w:numPr>
                <w:ilvl w:val="0"/>
                <w:numId w:val="2"/>
              </w:numPr>
              <w:spacing w:after="30" w:before="30"/>
            </w:pPr>
            <w:r>
              <w:rPr>
                <w:rFonts w:ascii="Arial" w:cs="Arial" w:eastAsia="Arial" w:hAnsi="Arial"/>
                <w:sz w:val="20"/>
                <w:szCs w:val="20"/>
              </w:rPr>
              <w:t xml:space="preserve">Garmin + Fitbit + HealthKit adapters</w:t>
            </w:r>
          </w:p>
          <w:p>
            <w:pPr>
              <w:pStyle w:val="ListParagraph"/>
              <w:numPr>
                <w:ilvl w:val="0"/>
                <w:numId w:val="2"/>
              </w:numPr>
              <w:spacing w:after="30" w:before="30"/>
            </w:pPr>
            <w:r>
              <w:rPr>
                <w:rFonts w:ascii="Arial" w:cs="Arial" w:eastAsia="Arial" w:hAnsi="Arial"/>
                <w:sz w:val="20"/>
                <w:szCs w:val="20"/>
              </w:rPr>
              <w:t xml:space="preserve">On-device sleep staging model</w:t>
            </w:r>
          </w:p>
          <w:p>
            <w:pPr>
              <w:pStyle w:val="ListParagraph"/>
              <w:numPr>
                <w:ilvl w:val="0"/>
                <w:numId w:val="2"/>
              </w:numPr>
              <w:spacing w:after="30" w:before="30"/>
            </w:pPr>
            <w:r>
              <w:rPr>
                <w:rFonts w:ascii="Arial" w:cs="Arial" w:eastAsia="Arial" w:hAnsi="Arial"/>
                <w:sz w:val="20"/>
                <w:szCs w:val="20"/>
              </w:rPr>
              <w:t xml:space="preserve">Proactive anomaly alerts</w:t>
            </w:r>
          </w:p>
        </w:tc>
        <w:tc>
          <w:tcPr>
            <w:tcW w:type="dxa" w:w="1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10,000 MAU. 45% D-30 retention. CGM 25% adoption.</w:t>
            </w:r>
          </w:p>
        </w:tc>
      </w:tr>
      <w:tr>
        <w:tc>
          <w:tcPr>
            <w:tcW w:type="dxa" w:w="1560"/>
            <w:tcBorders>
              <w:top w:val="single" w:color="DDDDDD" w:sz="2"/>
              <w:left w:val="single" w:color="DDDDDD" w:sz="2"/>
              <w:bottom w:val="single" w:color="DDDDDD" w:sz="2"/>
              <w:right w:val="single" w:color="DDDDDD" w:sz="2"/>
            </w:tcBorders>
            <w:shd w:fill="FFFBEB" w:val="clear"/>
            <w:tcMar>
              <w:top w:type="dxa" w:w="80"/>
              <w:left w:type="dxa" w:w="140"/>
              <w:bottom w:type="dxa" w:w="80"/>
              <w:right w:type="dxa" w:w="140"/>
            </w:tcMar>
            <w:vAlign w:val="top"/>
          </w:tcPr>
          <w:p>
            <w:pPr>
              <w:spacing w:after="50" w:before="50"/>
              <w:jc w:val="left"/>
            </w:pPr>
            <w:r>
              <w:rPr>
                <w:rFonts w:ascii="Arial" w:cs="Arial" w:eastAsia="Arial" w:hAnsi="Arial"/>
                <w:b/>
                <w:bCs/>
                <w:color w:val="B45309"/>
                <w:sz w:val="20"/>
                <w:szCs w:val="20"/>
              </w:rPr>
              <w:t xml:space="preserve">Phase 3: Clinical</w:t>
            </w:r>
          </w:p>
        </w:tc>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Months 11–18</w:t>
            </w:r>
          </w:p>
        </w:tc>
        <w:tc>
          <w:tcPr>
            <w:tcW w:type="dxa" w:w="3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pStyle w:val="ListParagraph"/>
              <w:numPr>
                <w:ilvl w:val="0"/>
                <w:numId w:val="2"/>
              </w:numPr>
              <w:spacing w:after="30" w:before="30"/>
            </w:pPr>
            <w:r>
              <w:rPr>
                <w:rFonts w:ascii="Arial" w:cs="Arial" w:eastAsia="Arial" w:hAnsi="Arial"/>
                <w:sz w:val="20"/>
                <w:szCs w:val="20"/>
              </w:rPr>
              <w:t xml:space="preserve">Genomic overlay (PGS + pharmacogenomics)</w:t>
            </w:r>
          </w:p>
          <w:p>
            <w:pPr>
              <w:pStyle w:val="ListParagraph"/>
              <w:numPr>
                <w:ilvl w:val="0"/>
                <w:numId w:val="2"/>
              </w:numPr>
              <w:spacing w:after="30" w:before="30"/>
            </w:pPr>
            <w:r>
              <w:rPr>
                <w:rFonts w:ascii="Arial" w:cs="Arial" w:eastAsia="Arial" w:hAnsi="Arial"/>
                <w:sz w:val="20"/>
                <w:szCs w:val="20"/>
              </w:rPr>
              <w:t xml:space="preserve">FHIR R4 clinical data import</w:t>
            </w:r>
          </w:p>
          <w:p>
            <w:pPr>
              <w:pStyle w:val="ListParagraph"/>
              <w:numPr>
                <w:ilvl w:val="0"/>
                <w:numId w:val="2"/>
              </w:numPr>
              <w:spacing w:after="30" w:before="30"/>
            </w:pPr>
            <w:r>
              <w:rPr>
                <w:rFonts w:ascii="Arial" w:cs="Arial" w:eastAsia="Arial" w:hAnsi="Arial"/>
                <w:sz w:val="20"/>
                <w:szCs w:val="20"/>
              </w:rPr>
              <w:t xml:space="preserve">Apollo Diagnostics pilot (50 patients)</w:t>
            </w:r>
          </w:p>
          <w:p>
            <w:pPr>
              <w:pStyle w:val="ListParagraph"/>
              <w:numPr>
                <w:ilvl w:val="0"/>
                <w:numId w:val="2"/>
              </w:numPr>
              <w:spacing w:after="30" w:before="30"/>
            </w:pPr>
            <w:r>
              <w:rPr>
                <w:rFonts w:ascii="Arial" w:cs="Arial" w:eastAsia="Arial" w:hAnsi="Arial"/>
                <w:sz w:val="20"/>
                <w:szCs w:val="20"/>
              </w:rPr>
              <w:t xml:space="preserve">Physician dashboard (controlled sharing)</w:t>
            </w:r>
          </w:p>
          <w:p>
            <w:pPr>
              <w:pStyle w:val="ListParagraph"/>
              <w:numPr>
                <w:ilvl w:val="0"/>
                <w:numId w:val="2"/>
              </w:numPr>
              <w:spacing w:after="30" w:before="30"/>
            </w:pPr>
            <w:r>
              <w:rPr>
                <w:rFonts w:ascii="Arial" w:cs="Arial" w:eastAsia="Arial" w:hAnsi="Arial"/>
                <w:sz w:val="20"/>
                <w:szCs w:val="20"/>
              </w:rPr>
              <w:t xml:space="preserve">VO2max + training readiness models</w:t>
            </w:r>
          </w:p>
          <w:p>
            <w:pPr>
              <w:pStyle w:val="ListParagraph"/>
              <w:numPr>
                <w:ilvl w:val="0"/>
                <w:numId w:val="2"/>
              </w:numPr>
              <w:spacing w:after="30" w:before="30"/>
            </w:pPr>
            <w:r>
              <w:rPr>
                <w:rFonts w:ascii="Arial" w:cs="Arial" w:eastAsia="Arial" w:hAnsi="Arial"/>
                <w:sz w:val="20"/>
                <w:szCs w:val="20"/>
              </w:rPr>
              <w:t xml:space="preserve">CDSCO + FDA SaMD regulatory scoping</w:t>
            </w:r>
          </w:p>
        </w:tc>
        <w:tc>
          <w:tcPr>
            <w:tcW w:type="dxa" w:w="1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Clinical pilot NPS &gt;60. Genomic feature 10% adoption.</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2860"/>
        <w:gridCol w:w="2860"/>
      </w:tblGrid>
      <w:tr>
        <w:trPr>
          <w:tblHeader/>
        </w:trPr>
        <w:tc>
          <w:tcPr>
            <w:tcW w:type="dxa" w:w="260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Risk</w:t>
            </w:r>
          </w:p>
        </w:tc>
        <w:tc>
          <w:tcPr>
            <w:tcW w:type="dxa" w:w="10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Severity</w:t>
            </w:r>
          </w:p>
        </w:tc>
        <w:tc>
          <w:tcPr>
            <w:tcW w:type="dxa" w:w="28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Mitigation</w:t>
            </w:r>
          </w:p>
        </w:tc>
        <w:tc>
          <w:tcPr>
            <w:tcW w:type="dxa" w:w="286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Owner</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Wearable API deprecation (WHOOP/Oura change terms)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High</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Adapter pattern abstracts all APIs — new adapter in &lt;2 weeks. Maintain direct BLE as fallback for Oura Gen3.</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Engineering</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Abbott LibreLink Up unofficial API blocked</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Medium</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Negotiate official partnership with Abbott India (Libre is OTC in India, high incentive). Nightscout fallback for power users.</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Business Dev</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Anthropic API rate limits during peak usage</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Medium</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AI queries are user-initiated, not real-time. Queue with exponential backoff. On-device models handle real-time needs.</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Engineering</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DPDP Act 2023 — regulatory interpretation shifts</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High</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Retain DPDP counsel. Local-only architecture is naturally compliant with strictest possible reading of the Act.</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Legal</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User trust: Gen Z scepticism of privacy claims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bCs/>
                <w:color w:val="1A1A2E"/>
                <w:sz w:val="20"/>
                <w:szCs w:val="20"/>
              </w:rPr>
              <w:t xml:space="preserve">High</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Open-source the LDV and privacy proxy. Third-party annual pentest with published report. "Show, don't tell" approach: let users see their encrypted vault file.</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Product + Marketing</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Sleep staging accuracy &lt;80% on diverse wrist PPG</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Medium</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Train on MESA + SHHS + MIMIC datasets. Display confidence interval. Label as "estimated" staging, not clinical EEG. Fallback to 2-stage (sleep/wake) if confidence &lt;70%.</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ML/Science</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Glucose + HRV correlation overfit to early users</w:t>
            </w:r>
          </w:p>
        </w:tc>
        <w:tc>
          <w:tcPr>
            <w:tcW w:type="dxa" w:w="10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Medium</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Hold-out validation set. Report person-level r with CIs, not population means. Clear disclaimer that correlation is not causation.</w:t>
            </w:r>
          </w:p>
        </w:tc>
        <w:tc>
          <w:tcPr>
            <w:tcW w:type="dxa" w:w="286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ML/Science</w:t>
            </w:r>
          </w:p>
        </w:tc>
      </w:tr>
      <w:tr>
        <w:tc>
          <w:tcPr>
            <w:tcW w:type="dxa" w:w="260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Market: competing platforms add privacy features</w:t>
            </w:r>
          </w:p>
        </w:tc>
        <w:tc>
          <w:tcPr>
            <w:tcW w:type="dxa" w:w="10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Low</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Architectural privacy (local-first) cannot be retrofit to a cloud platform without rebuilding. True differentiation, not policy.</w:t>
            </w:r>
          </w:p>
        </w:tc>
        <w:tc>
          <w:tcPr>
            <w:tcW w:type="dxa" w:w="286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Strategy</w:t>
            </w:r>
          </w:p>
        </w:tc>
      </w:tr>
    </w:tbl>
    <w:p>
      <w:r>
        <w:br w:type="page"/>
      </w:r>
    </w:p>
    <w:p>
      <w:pPr>
        <w:pStyle w:val="Heading1"/>
        <w:pBdr>
          <w:bottom w:val="single" w:color="0FA8A0" w:sz="8" w:space="8"/>
        </w:pBdr>
        <w:spacing w:after="160" w:before="600"/>
      </w:pPr>
      <w:r>
        <w:rPr>
          <w:rFonts w:ascii="Arial" w:cs="Arial" w:eastAsia="Arial" w:hAnsi="Arial"/>
          <w:b/>
          <w:bCs/>
          <w:color w:val="2D1B69"/>
          <w:sz w:val="36"/>
          <w:szCs w:val="36"/>
        </w:rPr>
        <w:t xml:space="preserve">15. Appendix</w:t>
      </w:r>
    </w:p>
    <w:p>
      <w:pPr>
        <w:pStyle w:val="Heading2"/>
        <w:spacing w:after="140" w:before="400"/>
      </w:pPr>
      <w:r>
        <w:rPr>
          <w:rFonts w:ascii="Arial" w:cs="Arial" w:eastAsia="Arial" w:hAnsi="Arial"/>
          <w:b/>
          <w:bCs/>
          <w:color w:val="2D1B69"/>
          <w:sz w:val="28"/>
          <w:szCs w:val="28"/>
        </w:rPr>
        <w:t xml:space="preserve">A. Canonical Metric Schema (TypeScript)</w:t>
      </w:r>
    </w:p>
    <w:p>
      <w:pPr>
        <w:pBdr>
          <w:left w:val="single" w:color="595959" w:sz="18" w:space="12"/>
        </w:pBdr>
        <w:shd w:fill="F5F5F5" w:val="clear"/>
        <w:spacing w:after="160" w:before="160" w:line="300"/>
        <w:ind w:left="360" w:right="240"/>
      </w:pPr>
      <w:r>
        <w:rPr>
          <w:rFonts w:ascii="Arial" w:cs="Arial" w:eastAsia="Arial" w:hAnsi="Arial"/>
          <w:i/>
          <w:iCs/>
          <w:color w:val="1A1A2E"/>
          <w:sz w:val="22"/>
          <w:szCs w:val="22"/>
        </w:rPr>
        <w:t xml:space="preserve">interface CanonicalMetric {
  id: string;                    // UUID v4, local only
  user_id: string;               // local user ID, never transmitted
  source: WearableSource;        // "whoop" | "oura" | "garmin" | "fitbit" | "healthkit" | "ghc" | "dexcom" | "libre"
  metric_type: MetricType;       // "hrv_rmssd" | "recovery_score" | "sleep_stage" | "glucose" | ...
  value: number;
  unit: string;                  // "ms" | "mg_dl" | "bpm" | "percent" | "score_100" | ...
  confidence: number;            // 0.0–1.0 (model confidence for derived metrics)
  timestamp: Date;               // device local time; stored as UTC ISO8601
  raw_source_value?: unknown;    // original API payload, encrypted separately
}</w:t>
      </w:r>
    </w:p>
    <w:p>
      <w:pPr>
        <w:spacing w:after="100"/>
      </w:pPr>
      <w:r>
        <w:t xml:space="preserve"/>
      </w:r>
    </w:p>
    <w:p>
      <w:pPr>
        <w:pStyle w:val="Heading2"/>
        <w:spacing w:after="140" w:before="400"/>
      </w:pPr>
      <w:r>
        <w:rPr>
          <w:rFonts w:ascii="Arial" w:cs="Arial" w:eastAsia="Arial" w:hAnsi="Arial"/>
          <w:b/>
          <w:bCs/>
          <w:color w:val="2D1B69"/>
          <w:sz w:val="28"/>
          <w:szCs w:val="28"/>
        </w:rPr>
        <w:t xml:space="preserve">B. Differential Privacy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Use Case</w:t>
            </w:r>
          </w:p>
        </w:tc>
        <w:tc>
          <w:tcPr>
            <w:tcW w:type="dxa" w:w="234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ε (epsilon)</w:t>
            </w:r>
          </w:p>
        </w:tc>
        <w:tc>
          <w:tcPr>
            <w:tcW w:type="dxa" w:w="4680"/>
            <w:tcBorders>
              <w:top w:val="single" w:color="DDDDDD" w:sz="2"/>
              <w:left w:val="single" w:color="DDDDDD" w:sz="2"/>
              <w:bottom w:val="single" w:color="DDDDDD" w:sz="2"/>
              <w:right w:val="single" w:color="DDDDDD" w:sz="2"/>
            </w:tcBorders>
            <w:shd w:fill="2D1B69" w:val="clear"/>
            <w:tcMar>
              <w:top w:type="dxa" w:w="80"/>
              <w:left w:type="dxa" w:w="140"/>
              <w:bottom w:type="dxa" w:w="80"/>
              <w:right w:type="dxa" w:w="140"/>
            </w:tcMar>
            <w:vAlign w:val="top"/>
          </w:tcPr>
          <w:p>
            <w:pPr>
              <w:spacing w:after="50" w:before="50"/>
              <w:jc w:val="left"/>
            </w:pPr>
            <w:r>
              <w:rPr>
                <w:rFonts w:ascii="Arial" w:cs="Arial" w:eastAsia="Arial" w:hAnsi="Arial"/>
                <w:b/>
                <w:bCs/>
                <w:color w:val="FFFFFF"/>
                <w:sz w:val="20"/>
                <w:szCs w:val="20"/>
              </w:rPr>
              <w:t xml:space="preserve">Implementation Notes</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Claude AI query snapshots</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ε = 0.3</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Gaussian mechanism. Applied per metric value. Noise calibrated to sensitivity of each metric type.</w:t>
            </w:r>
          </w:p>
        </w:tc>
      </w:tr>
      <w:tr>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Population research contribution</w:t>
            </w:r>
          </w:p>
        </w:tc>
        <w:tc>
          <w:tcPr>
            <w:tcW w:type="dxa" w:w="234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ε = 1.0</w:t>
            </w:r>
          </w:p>
        </w:tc>
        <w:tc>
          <w:tcPr>
            <w:tcW w:type="dxa" w:w="4680"/>
            <w:tcBorders>
              <w:top w:val="single" w:color="DDDDDD" w:sz="2"/>
              <w:left w:val="single" w:color="DDDDDD" w:sz="2"/>
              <w:bottom w:val="single" w:color="DDDDDD" w:sz="2"/>
              <w:right w:val="single" w:color="DDDDDD" w:sz="2"/>
            </w:tcBorders>
            <w:shd w:fill="F7F5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Local DP (LDP). Added on-device before any upload. Weekly budget reset.</w:t>
            </w:r>
          </w:p>
        </w:tc>
      </w:tr>
      <w:tr>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Anomaly alert thresholds</w:t>
            </w:r>
          </w:p>
        </w:tc>
        <w:tc>
          <w:tcPr>
            <w:tcW w:type="dxa" w:w="234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ε = 0.5</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vAlign w:val="top"/>
          </w:tcPr>
          <w:p>
            <w:pPr>
              <w:spacing w:after="50" w:before="50"/>
              <w:jc w:val="left"/>
            </w:pPr>
            <w:r>
              <w:rPr>
                <w:rFonts w:ascii="Arial" w:cs="Arial" w:eastAsia="Arial" w:hAnsi="Arial"/>
                <w:b w:val="false"/>
                <w:bCs w:val="false"/>
                <w:color w:val="1A1A2E"/>
                <w:sz w:val="20"/>
                <w:szCs w:val="20"/>
              </w:rPr>
              <w:t xml:space="preserve">Only the fact that an anomaly exists is transmitted (boolean + metric category), not the value.</w:t>
            </w:r>
          </w:p>
        </w:tc>
      </w:tr>
    </w:tbl>
    <w:p>
      <w:pPr>
        <w:spacing w:after="100"/>
      </w:pPr>
      <w:r>
        <w:t xml:space="preserve"/>
      </w:r>
    </w:p>
    <w:p>
      <w:pPr>
        <w:pStyle w:val="Heading2"/>
        <w:spacing w:after="140" w:before="400"/>
      </w:pPr>
      <w:r>
        <w:rPr>
          <w:rFonts w:ascii="Arial" w:cs="Arial" w:eastAsia="Arial" w:hAnsi="Arial"/>
          <w:b/>
          <w:bCs/>
          <w:color w:val="2D1B69"/>
          <w:sz w:val="28"/>
          <w:szCs w:val="28"/>
        </w:rPr>
        <w:t xml:space="preserve">C. Regulatory Reference Documents</w:t>
      </w:r>
    </w:p>
    <w:p>
      <w:pPr>
        <w:pStyle w:val="ListParagraph"/>
        <w:numPr>
          <w:ilvl w:val="0"/>
          <w:numId w:val="2"/>
        </w:numPr>
        <w:spacing w:after="80" w:before="40"/>
      </w:pPr>
      <w:r>
        <w:rPr>
          <w:rFonts w:ascii="Arial" w:cs="Arial" w:eastAsia="Arial" w:hAnsi="Arial"/>
          <w:color w:val="1A1A2E"/>
          <w:sz w:val="22"/>
          <w:szCs w:val="22"/>
        </w:rPr>
        <w:t xml:space="preserve">DPDP Act 2023 — India Digital Personal Data Protection Act (Ministry of Electronics &amp; IT)</w:t>
      </w:r>
    </w:p>
    <w:p>
      <w:pPr>
        <w:pStyle w:val="ListParagraph"/>
        <w:numPr>
          <w:ilvl w:val="0"/>
          <w:numId w:val="2"/>
        </w:numPr>
        <w:spacing w:after="80" w:before="40"/>
      </w:pPr>
      <w:r>
        <w:rPr>
          <w:rFonts w:ascii="Arial" w:cs="Arial" w:eastAsia="Arial" w:hAnsi="Arial"/>
          <w:color w:val="1A1A2E"/>
          <w:sz w:val="22"/>
          <w:szCs w:val="22"/>
        </w:rPr>
        <w:t xml:space="preserve">CDSCO Medical Devices Rules 2017 — Software as Medical Device guidance</w:t>
      </w:r>
    </w:p>
    <w:p>
      <w:pPr>
        <w:pStyle w:val="ListParagraph"/>
        <w:numPr>
          <w:ilvl w:val="0"/>
          <w:numId w:val="2"/>
        </w:numPr>
        <w:spacing w:after="80" w:before="40"/>
      </w:pPr>
      <w:r>
        <w:rPr>
          <w:rFonts w:ascii="Arial" w:cs="Arial" w:eastAsia="Arial" w:hAnsi="Arial"/>
          <w:color w:val="1A1A2E"/>
          <w:sz w:val="22"/>
          <w:szCs w:val="22"/>
        </w:rPr>
        <w:t xml:space="preserve">IMDRF SaMD N12 — Software as a Medical Device: Possible Framework for Risk Categorization</w:t>
      </w:r>
    </w:p>
    <w:p>
      <w:pPr>
        <w:pStyle w:val="ListParagraph"/>
        <w:numPr>
          <w:ilvl w:val="0"/>
          <w:numId w:val="2"/>
        </w:numPr>
        <w:spacing w:after="80" w:before="40"/>
      </w:pPr>
      <w:r>
        <w:rPr>
          <w:rFonts w:ascii="Arial" w:cs="Arial" w:eastAsia="Arial" w:hAnsi="Arial"/>
          <w:color w:val="1A1A2E"/>
          <w:sz w:val="22"/>
          <w:szCs w:val="22"/>
        </w:rPr>
        <w:t xml:space="preserve">FDA Digital Health Center of Excellence — AI/ML Action Plan 2021</w:t>
      </w:r>
    </w:p>
    <w:p>
      <w:pPr>
        <w:pStyle w:val="ListParagraph"/>
        <w:numPr>
          <w:ilvl w:val="0"/>
          <w:numId w:val="2"/>
        </w:numPr>
        <w:spacing w:after="80" w:before="40"/>
      </w:pPr>
      <w:r>
        <w:rPr>
          <w:rFonts w:ascii="Arial" w:cs="Arial" w:eastAsia="Arial" w:hAnsi="Arial"/>
          <w:color w:val="1A1A2E"/>
          <w:sz w:val="22"/>
          <w:szCs w:val="22"/>
        </w:rPr>
        <w:t xml:space="preserve">CPIC Guidelines — Clinical Pharmacogenomics Implementation Consortium (pharmacogenomics integration)</w:t>
      </w:r>
    </w:p>
    <w:p>
      <w:pPr>
        <w:pStyle w:val="ListParagraph"/>
        <w:numPr>
          <w:ilvl w:val="0"/>
          <w:numId w:val="2"/>
        </w:numPr>
        <w:spacing w:after="80" w:before="40"/>
      </w:pPr>
      <w:r>
        <w:rPr>
          <w:rFonts w:ascii="Arial" w:cs="Arial" w:eastAsia="Arial" w:hAnsi="Arial"/>
          <w:color w:val="1A1A2E"/>
          <w:sz w:val="22"/>
          <w:szCs w:val="22"/>
        </w:rPr>
        <w:t xml:space="preserve">GA4GH — Global Alliance for Genomics and Health: FHIR Genomics Implementation Guide</w:t>
      </w:r>
    </w:p>
    <w:p>
      <w:pPr>
        <w:pStyle w:val="ListParagraph"/>
        <w:numPr>
          <w:ilvl w:val="0"/>
          <w:numId w:val="2"/>
        </w:numPr>
        <w:spacing w:after="80" w:before="40"/>
      </w:pPr>
      <w:r>
        <w:rPr>
          <w:rFonts w:ascii="Arial" w:cs="Arial" w:eastAsia="Arial" w:hAnsi="Arial"/>
          <w:color w:val="1A1A2E"/>
          <w:sz w:val="22"/>
          <w:szCs w:val="22"/>
        </w:rPr>
        <w:t xml:space="preserve">HL7 FHIR R4 — HL7 International, Patient-facing API specification</w:t>
      </w:r>
    </w:p>
    <w:p>
      <w:pPr>
        <w:spacing w:after="100"/>
      </w:pPr>
      <w:r>
        <w:t xml:space="preserve"/>
      </w:r>
    </w:p>
    <w:p>
      <w:pPr>
        <w:spacing w:after="200" w:before="400"/>
        <w:jc w:val="center"/>
      </w:pPr>
      <w:r>
        <w:rPr>
          <w:rFonts w:ascii="Arial" w:cs="Arial" w:eastAsia="Arial" w:hAnsi="Arial"/>
          <w:i/>
          <w:iCs/>
          <w:color w:val="595959"/>
          <w:sz w:val="22"/>
          <w:szCs w:val="22"/>
        </w:rPr>
        <w:t xml:space="preserve">— End of Document —</w:t>
      </w:r>
    </w:p>
    <w:p>
      <w:pPr>
        <w:spacing w:after="0" w:before="0"/>
        <w:jc w:val="center"/>
      </w:pPr>
      <w:r>
        <w:rPr>
          <w:rFonts w:ascii="Arial" w:cs="Arial" w:eastAsia="Arial" w:hAnsi="Arial"/>
          <w:color w:val="595959"/>
          <w:sz w:val="20"/>
          <w:szCs w:val="20"/>
        </w:rPr>
        <w:t xml:space="preserve">VELA Health | v1.0 | May 2026 | Confidential &amp; Proprietary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A8A0" w:sz="2" w:space="6"/>
      </w:pBdr>
      <w:spacing w:before="80"/>
    </w:pPr>
    <w:r>
      <w:rPr>
        <w:rFonts w:ascii="Arial" w:cs="Arial" w:eastAsia="Arial" w:hAnsi="Arial"/>
        <w:color w:val="595959"/>
        <w:sz w:val="18"/>
        <w:szCs w:val="18"/>
      </w:rPr>
      <w:t xml:space="preserve">VELA Health  |  v1.0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8A0" w:sz="4" w:space="6"/>
      </w:pBdr>
      <w:spacing w:after="0"/>
    </w:pPr>
    <w:r>
      <w:rPr>
        <w:rFonts w:ascii="Arial" w:cs="Arial" w:eastAsia="Arial" w:hAnsi="Arial"/>
        <w:b/>
        <w:bCs/>
        <w:color w:val="2D1B69"/>
        <w:sz w:val="20"/>
        <w:szCs w:val="20"/>
      </w:rPr>
      <w:t xml:space="preserve">VELA Health</w:t>
    </w:r>
    <w:r>
      <w:rPr>
        <w:rFonts w:ascii="Arial" w:cs="Arial" w:eastAsia="Arial" w:hAnsi="Arial"/>
        <w:color w:val="595959"/>
        <w:sz w:val="20"/>
        <w:szCs w:val="20"/>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0"/>
      <w:outlineLvl w:val="0"/>
    </w:pPr>
    <w:rPr>
      <w:rFonts w:ascii="Arial" w:cs="Arial" w:eastAsia="Arial" w:hAnsi="Arial"/>
      <w:b/>
      <w:bCs/>
      <w:color w:val="2D1B69"/>
      <w:sz w:val="36"/>
      <w:szCs w:val="36"/>
    </w:rPr>
  </w:style>
  <w:style w:type="paragraph" w:styleId="Heading2">
    <w:name w:val="Heading 2"/>
    <w:basedOn w:val="Normal"/>
    <w:next w:val="Normal"/>
    <w:qFormat/>
    <w:pPr>
      <w:spacing w:after="140" w:before="400"/>
      <w:outlineLvl w:val="1"/>
    </w:pPr>
    <w:rPr>
      <w:rFonts w:ascii="Arial" w:cs="Arial" w:eastAsia="Arial" w:hAnsi="Arial"/>
      <w:b/>
      <w:bCs/>
      <w:color w:val="2D1B69"/>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2026-05-16T07:42:59.738Z</dcterms:created>
  <dcterms:modified xsi:type="dcterms:W3CDTF">2026-05-16T07:42:59.739Z</dcterms:modified>
</cp:coreProperties>
</file>

<file path=docProps/custom.xml><?xml version="1.0" encoding="utf-8"?>
<Properties xmlns="http://schemas.openxmlformats.org/officeDocument/2006/custom-properties" xmlns:vt="http://schemas.openxmlformats.org/officeDocument/2006/docPropsVTypes"/>
</file>