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24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Get your raise through the first reader.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D9CC"/>
                <w:sz w:val="18"/>
                <w:szCs w:val="18"/>
              </w:rPr>
              <w:t xml:space="preserve">Funds paste your deck into a model before a partner finishes slide two. Charts flatten. Bullets look like a missing business. WorkupIQ extracts every claim, attacks the gaps, and hands you a packet the parser cannot treat as incomplete.</w:t>
            </w:r>
          </w:p>
        </w:tc>
      </w:tr>
    </w:tbl>
    <w:p>
      <w:pPr>
        <w:spacing w:after="40" w:before="80" w:lin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C4A2F"/>
          <w:sz w:val="15"/>
          <w:szCs w:val="15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28" w:line="220"/>
      </w:pPr>
      <w:r>
        <w:rPr>
          <w:rFonts w:ascii="Arial" w:cs="Arial" w:eastAsia="Arial" w:hAnsi="Arial"/>
          <w:sz w:val="17"/>
          <w:szCs w:val="17"/>
        </w:rPr>
        <w:t xml:space="preserve">Screen the deck — free, on workupiq.com. Upload the file you would actually circulate. Four associate-style attacks run on the text layer. You leave with a WIQ Verdict, a 2-page workup, a red-team FAQ, and hygiene flags. Decks and keys stay on your machine.</w:t>
      </w:r>
    </w:p>
    <w:p>
      <w:pPr>
        <w:pStyle w:val="ListParagraph"/>
        <w:numPr>
          <w:ilvl w:val="0"/>
          <w:numId w:val="2"/>
        </w:numPr>
        <w:spacing w:after="28" w:line="220"/>
      </w:pPr>
      <w:r>
        <w:rPr>
          <w:rFonts w:ascii="Arial" w:cs="Arial" w:eastAsia="Arial" w:hAnsi="Arial"/>
          <w:sz w:val="17"/>
          <w:szCs w:val="17"/>
        </w:rPr>
        <w:t xml:space="preserve">Score the Gatekeeper Checklist — free. Twenty-four items, six gates, twelve minutes. The score tells you whether the packet is ready to send, needs data, or should not leave the building yet.</w:t>
      </w:r>
    </w:p>
    <w:p>
      <w:pPr>
        <w:pStyle w:val="ListParagraph"/>
        <w:numPr>
          <w:ilvl w:val="0"/>
          <w:numId w:val="2"/>
        </w:numPr>
        <w:spacing w:after="28" w:line="220"/>
      </w:pPr>
      <w:r>
        <w:rPr>
          <w:rFonts w:ascii="Arial" w:cs="Arial" w:eastAsia="Arial" w:hAnsi="Arial"/>
          <w:sz w:val="17"/>
          <w:szCs w:val="17"/>
        </w:rPr>
        <w:t xml:space="preserve">Book 30 minutes — free. A working session on your Screen output. You walk the verdict, name the gaps an associate model can still attack, and choose the next artifact. Book at </w:t>
      </w:r>
      <w:hyperlink w:history="1" r:id="rIdkkxwfqjgiue5fllz8c2iw">
        <w:r>
          <w:rPr>
            <w:rFonts w:ascii="Arial" w:cs="Arial" w:eastAsia="Arial" w:hAnsi="Arial"/>
            <w:b/>
            <w:bCs/>
            <w:i w:val="false"/>
            <w:iCs w:val="false"/>
            <w:color w:val="8C4A2F"/>
            <w:sz w:val="17"/>
            <w:szCs w:val="17"/>
            <w:u w:val="single"/>
          </w:rPr>
          <w:t xml:space="preserve">calendly.com/workupiq/consultation</w:t>
        </w:r>
      </w:hyperlink>
      <w:r>
        <w:rPr>
          <w:rFonts w:ascii="Arial" w:cs="Arial" w:eastAsia="Arial" w:hAnsi="Arial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8" w:line="220"/>
      </w:pPr>
      <w:r>
        <w:rPr>
          <w:rFonts w:ascii="Arial" w:cs="Arial" w:eastAsia="Arial" w:hAnsi="Arial"/>
          <w:sz w:val="17"/>
          <w:szCs w:val="17"/>
        </w:rPr>
        <w:t xml:space="preserve">Go deeper if the raise is live — paid. Investor Due Diligence Prep builds the full leave-behind. A monthly retainer keeps the packet current as the story, the numbers, and the data room change.</w:t>
      </w:r>
    </w:p>
    <w:p>
      <w:pPr>
        <w:spacing w:after="40" w:before="80" w:lin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C4A2F"/>
          <w:sz w:val="15"/>
          <w:szCs w:val="15"/>
        </w:rPr>
        <w:t xml:space="preserve">THE FOUR OFFERS</w:t>
      </w:r>
    </w:p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758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4"/>
              <w:left w:type="dxa" w:w="80"/>
              <w:bottom w:type="dxa" w:w="44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4"/>
              <w:left w:type="dxa" w:w="80"/>
              <w:bottom w:type="dxa" w:w="44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Offer</w:t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4"/>
              <w:left w:type="dxa" w:w="80"/>
              <w:bottom w:type="dxa" w:w="44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What you get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6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4A2F"/>
                <w:sz w:val="18"/>
                <w:szCs w:val="18"/>
              </w:rPr>
              <w:t xml:space="preserve">01</w:t>
            </w:r>
          </w:p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6258"/>
                <w:sz w:val="12"/>
                <w:szCs w:val="12"/>
              </w:rPr>
              <w:t xml:space="preserve">LIVE NOW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Free online review</w:t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100"/>
            </w:tcMar>
            <w:vAlign w:val="top"/>
          </w:tcPr>
          <w:p>
            <w:pPr>
              <w:spacing w:after="0" w:before="0" w:line="2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6"/>
                <w:szCs w:val="16"/>
              </w:rPr>
              <w:t xml:space="preserve">WorkupIQ Screen at workupiq.com. Four attacks: Gatekeeper, Defensibility, Financial Forensic, Partner Pre-Mortem. Output: WIQ Verdict (Pass / Request Data / Advance), 2-page workup, red-team FAQ, hygiene flags. Local / BYOK — decks and keys do not go to workupiq.com. No call required.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4A2F"/>
                <w:sz w:val="18"/>
                <w:szCs w:val="18"/>
              </w:rPr>
              <w:t xml:space="preserve">02</w:t>
            </w:r>
          </w:p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6258"/>
                <w:sz w:val="12"/>
                <w:szCs w:val="12"/>
              </w:rPr>
              <w:t xml:space="preserve">BOOK NOW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Free 30-min consult</w:t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00"/>
            </w:tcMar>
            <w:vAlign w:val="top"/>
          </w:tcPr>
          <w:p>
            <w:pPr>
              <w:spacing w:after="0" w:before="0" w:line="2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6"/>
                <w:szCs w:val="16"/>
              </w:rPr>
              <w:t xml:space="preserve">A one-on-one session on your Screen output. Walk the verdict together. Isolate the three gaps that would still earn a pass from an associate LLM. Leave with a punch list and a clear next step: fix it yourself, run Investor Due Diligence Prep, or continue on a monthly retainer.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6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4A2F"/>
                <w:sz w:val="18"/>
                <w:szCs w:val="18"/>
              </w:rPr>
              <w:t xml:space="preserve">03</w:t>
            </w:r>
          </w:p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6258"/>
                <w:sz w:val="12"/>
                <w:szCs w:val="12"/>
              </w:rPr>
              <w:t xml:space="preserve">PAID SPRINT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Investor Due Diligence Prep</w:t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100"/>
            </w:tcMar>
            <w:vAlign w:val="top"/>
          </w:tcPr>
          <w:p>
            <w:pPr>
              <w:spacing w:after="0" w:before="0" w:line="2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6"/>
                <w:szCs w:val="16"/>
              </w:rPr>
              <w:t xml:space="preserve">A 10-day sprint that turns the visual deck into a packet a fund parser and a junior associate can both finish. Includes a re-run of the Screen, a rewritten 2-page investment memo, a completed red-team FAQ, appendix tables for every chart, a Notion data-room index, and the inbound email blurb. You supply missing numbers; nothing is invented. $2,500 / ₹2,00,000.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4A2F"/>
                <w:sz w:val="18"/>
                <w:szCs w:val="18"/>
              </w:rPr>
              <w:t xml:space="preserve">04</w:t>
            </w:r>
          </w:p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6258"/>
                <w:sz w:val="12"/>
                <w:szCs w:val="12"/>
              </w:rPr>
              <w:t xml:space="preserve">FREE DOWNLOAD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Gatekeeper Checklist</w:t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00"/>
            </w:tcMar>
            <w:vAlign w:val="top"/>
          </w:tcPr>
          <w:p>
            <w:pPr>
              <w:spacing w:after="0" w:before="0" w:line="2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6"/>
                <w:szCs w:val="16"/>
              </w:rPr>
              <w:t xml:space="preserve">A one-page scored checklist you run before anything circulates. 24 items across six gates. 22–24: Advance. 18–21: Request Data. Under 18: do not send — run the Screen and book 30 minutes. Full item list on the next page.</w:t>
            </w:r>
          </w:p>
        </w:tc>
      </w:tr>
    </w:tbl>
    <w:p>
      <w:pPr>
        <w:spacing w:after="40" w:before="80" w:lin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C4A2F"/>
          <w:sz w:val="15"/>
          <w:szCs w:val="15"/>
        </w:rPr>
        <w:t xml:space="preserve">WHAT THE 30 MINUTES COVERS</w:t>
      </w:r>
    </w:p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0"/>
        <w:gridCol w:w="5440"/>
      </w:tblGrid>
      <w:tr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4A3C"/>
                <w:sz w:val="16"/>
                <w:szCs w:val="16"/>
              </w:rPr>
              <w:t xml:space="preserve">On the call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Open the WIQ Verdict first — not the visual deck.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Name the single claim an associate model can still attack.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Agree the next artifact: memo, FAQ, appendix table, or experiment.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Decide whether Diligence Prep or a retainer is the right next step.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4A2F"/>
                <w:sz w:val="16"/>
                <w:szCs w:val="16"/>
              </w:rPr>
              <w:t xml:space="preserve">What this is not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Not a slide redesign or a typeface review.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Not a warm intro to a named fund.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Not a place where missing TAM or hit-rate numbers get invented.</w:t>
            </w:r>
          </w:p>
          <w:p>
            <w:pPr>
              <w:spacing w:after="28" w:line="210"/>
              <w:ind w:left="140" w:hanging="140"/>
            </w:pPr>
            <w:r>
              <w:rPr>
                <w:rFonts w:ascii="Arial" w:cs="Arial" w:eastAsia="Arial" w:hAnsi="Arial"/>
                <w:color w:val="6A6258"/>
                <w:sz w:val="16"/>
                <w:szCs w:val="16"/>
              </w:rPr>
              <w:t xml:space="preserve">–  </w:t>
            </w:r>
            <w:r>
              <w:rPr>
                <w:rFonts w:ascii="Arial" w:cs="Arial" w:eastAsia="Arial" w:hAnsi="Arial"/>
                <w:color w:val="1A1612"/>
                <w:sz w:val="16"/>
                <w:szCs w:val="16"/>
              </w:rPr>
              <w:t xml:space="preserve">Not a guarantee that a partner writes a check.</w:t>
            </w:r>
          </w:p>
        </w:tc>
      </w:tr>
    </w:tbl>
    <w:p>
      <w:pPr>
        <w:spacing w:after="40" w:before="80" w:lin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C4A2F"/>
          <w:sz w:val="15"/>
          <w:szCs w:val="15"/>
        </w:rPr>
        <w:t xml:space="preserve">IF YOU CONTINUE AFTER THE CALL</w:t>
      </w:r>
    </w:p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Investor DD Prep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Monthly retainer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Built for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10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Not built for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6"/>
                <w:szCs w:val="16"/>
              </w:rPr>
              <w:t xml:space="preserve">10-day sprint</w:t>
            </w:r>
          </w:p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$2,500 / ₹2,00,000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One packet, one re-Screen, one leave-behind.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6"/>
                <w:szCs w:val="16"/>
              </w:rPr>
              <w:t xml:space="preserve">2 calls + async / month</w:t>
            </w:r>
          </w:p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$750 / ₹60,000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Keeps memo, FAQ, and data room current as the raise moves.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6"/>
                <w:szCs w:val="16"/>
              </w:rPr>
              <w:t xml:space="preserve">Pre-seed to Series A teams</w:t>
            </w:r>
          </w:p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About to circulate a deck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To funds that already paste PDFs into Claude.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6"/>
                <w:szCs w:val="16"/>
              </w:rPr>
              <w:t xml:space="preserve">Slide design</w:t>
            </w:r>
          </w:p>
          <w:p>
            <w:pPr>
              <w:spacing w:after="16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Investor matching</w:t>
            </w:r>
          </w:p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A promise that the round closes.</w:t>
            </w:r>
          </w:p>
        </w:tc>
      </w:tr>
    </w:tbl>
    <w:p>
      <w:pPr>
        <w:spacing w:after="8" w:before="80" w:line="230"/>
      </w:pPr>
      <w:r>
        <w:rPr>
          <w:rFonts w:ascii="Arial" w:cs="Arial" w:eastAsia="Arial" w:hAnsi="Arial"/>
          <w:b/>
          <w:bCs/>
          <w:color w:val="14110E"/>
          <w:sz w:val="17"/>
          <w:szCs w:val="17"/>
        </w:rPr>
        <w:t xml:space="preserve">Start here: </w:t>
      </w:r>
      <w:hyperlink w:history="1" r:id="rId78p34wga0d_cjhjdn1btq">
        <w:r>
          <w:rPr>
            <w:rFonts w:ascii="Arial" w:cs="Arial" w:eastAsia="Arial" w:hAnsi="Arial"/>
            <w:b/>
            <w:bCs/>
            <w:i w:val="false"/>
            <w:iCs w:val="false"/>
            <w:color w:val="8C4A2F"/>
            <w:sz w:val="17"/>
            <w:szCs w:val="17"/>
            <w:u w:val="single"/>
          </w:rPr>
          <w:t xml:space="preserve">Screen a deck</w:t>
        </w:r>
      </w:hyperlink>
      <w:r>
        <w:rPr>
          <w:rFonts w:ascii="Arial" w:cs="Arial" w:eastAsia="Arial" w:hAnsi="Arial"/>
          <w:color w:val="6A6258"/>
          <w:sz w:val="17"/>
          <w:szCs w:val="17"/>
        </w:rPr>
        <w:t xml:space="preserve">  ·  </w:t>
      </w:r>
      <w:hyperlink w:history="1" r:id="rIdv2uumy-xoo3nu0tcbdget">
        <w:r>
          <w:rPr>
            <w:rFonts w:ascii="Arial" w:cs="Arial" w:eastAsia="Arial" w:hAnsi="Arial"/>
            <w:b/>
            <w:bCs/>
            <w:i w:val="false"/>
            <w:iCs w:val="false"/>
            <w:color w:val="8C4A2F"/>
            <w:sz w:val="17"/>
            <w:szCs w:val="17"/>
            <w:u w:val="single"/>
          </w:rPr>
          <w:t xml:space="preserve">Book 30 minutes</w:t>
        </w:r>
      </w:hyperlink>
      <w:r>
        <w:rPr>
          <w:rFonts w:ascii="Arial" w:cs="Arial" w:eastAsia="Arial" w:hAnsi="Arial"/>
          <w:color w:val="6A6258"/>
          <w:sz w:val="17"/>
          <w:szCs w:val="17"/>
        </w:rPr>
        <w:t xml:space="preserve">  ·  </w:t>
      </w:r>
      <w:hyperlink w:history="1" r:id="rIdod3uhzdol62fozy__eqj3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8C4A2F"/>
            <w:sz w:val="17"/>
            <w:szCs w:val="17"/>
            <w:u w:val="single"/>
          </w:rPr>
          <w:t xml:space="preserve">hello@workupiq.com</w:t>
        </w:r>
      </w:hyperlink>
    </w:p>
    <w:p>
      <w:pPr>
        <w:sectPr>
          <w:headerReference w:type="default" r:id="rId7"/>
          <w:footerReference w:type="default" r:id="rId8"/>
          <w:pgSz w:w="12240" w:h="15840" w:orient="portrait"/>
          <w:pgMar w:top="500" w:right="680" w:bottom="480" w:left="680" w:header="708" w:footer="708" w:gutter="0"/>
          <w:pgNumType/>
          <w:docGrid w:linePitch="360"/>
        </w:sectPr>
      </w:pPr>
    </w:p>
    <w:p>
      <w:pPr>
        <w:spacing w:after="4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12"/>
          <w:sz w:val="18"/>
          <w:szCs w:val="18"/>
        </w:rPr>
        <w:t xml:space="preserve">This is not a generic fundraising list. It scores the failure modes that actually kill a deck in automated screening — flattened charts, missing narrative, and adversarial associate prompts. Finish it in twelve minutes. The score tells you whether to circulate, to Screen, or to book 30 minutes.</w:t>
      </w:r>
    </w:p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56"/>
              <w:left w:type="dxa" w:w="120"/>
              <w:bottom w:type="dxa" w:w="46"/>
              <w:right w:type="dxa" w:w="12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 A — Parser survival</w:t>
            </w:r>
          </w:p>
          <w:p>
            <w:pPr>
              <w:spacing w:after="28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6258"/>
                <w:sz w:val="14"/>
                <w:szCs w:val="14"/>
              </w:rPr>
              <w:t xml:space="preserve">If a number lives only inside a PNG, it does not exist.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metric in the deck also exists as selectable text or an appendix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Charts have a caption and a raw-number table on the following slide or in the leave-behind.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PDF is text-selectable. Fonts are not outlined. Pages are not flattened scans.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Reading order is top-to-bottom, left-to-right. No text boxes stacked as decoration.</w:t>
            </w:r>
          </w:p>
        </w:tc>
      </w:tr>
    </w:tbl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56"/>
              <w:left w:type="dxa" w:w="120"/>
              <w:bottom w:type="dxa" w:w="46"/>
              <w:right w:type="dxa" w:w="12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 B — Numbers a model can extract</w:t>
            </w:r>
          </w:p>
          <w:p>
            <w:pPr>
              <w:spacing w:after="28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6258"/>
                <w:sz w:val="14"/>
                <w:szCs w:val="14"/>
              </w:rPr>
              <w:t xml:space="preserve">Associates prompt: find TAM discrepancies and missing unit economics.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TAM / SAM / SOM sit in a three-row table with the sizing method in the same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economics (gross margin, NRR or equivalent, payback or CAC logic) are in a table, not a spark-line.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ask, post-money, and months of runway are written as numerals in body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 of funds is a short table, not an icon row.</w:t>
            </w:r>
          </w:p>
        </w:tc>
      </w:tr>
    </w:tbl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56"/>
              <w:left w:type="dxa" w:w="120"/>
              <w:bottom w:type="dxa" w:w="46"/>
              <w:right w:type="dxa" w:w="12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 C — Claims vs evidence</w:t>
            </w:r>
          </w:p>
          <w:p>
            <w:pPr>
              <w:spacing w:after="28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6258"/>
                <w:sz w:val="14"/>
                <w:szCs w:val="14"/>
              </w:rPr>
              <w:t xml:space="preserve">The model treats a missing source as a missing business.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Each headline claim names its source slide or data-room file.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“AI-discovered / proprietary model / unique data” states train vs test split and what was wet-lab confirmed.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Regulatory path names the first predicate (RUO, LDT, CDSCO, 510(k), PMA, IND) — not “we will get approved.”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Competitive lines state the other company’s limit, not only your adjective.</w:t>
            </w:r>
          </w:p>
        </w:tc>
      </w:tr>
    </w:tbl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56"/>
              <w:left w:type="dxa" w:w="120"/>
              <w:bottom w:type="dxa" w:w="46"/>
              <w:right w:type="dxa" w:w="12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 D — Red-team FAQ</w:t>
            </w:r>
          </w:p>
          <w:p>
            <w:pPr>
              <w:spacing w:after="28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6258"/>
                <w:sz w:val="14"/>
                <w:szCs w:val="14"/>
              </w:rPr>
              <w:t xml:space="preserve">An FAQ slide is not an FAQ. These answers must live in a text document.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Moat is written as a mechanism (IP, data loop, switching cost), not a slogan.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Gross margin states what is inside COGS (compute, wet-lab, people).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If you have a sales motion: CAC components are listed. If you do not yet: that is stated plainly.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 table and option pool are a table an associate can copy.</w:t>
            </w:r>
          </w:p>
        </w:tc>
      </w:tr>
    </w:tbl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56"/>
              <w:left w:type="dxa" w:w="120"/>
              <w:bottom w:type="dxa" w:w="46"/>
              <w:right w:type="dxa" w:w="12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 E — Scientific and clinical honesty</w:t>
            </w:r>
          </w:p>
          <w:p>
            <w:pPr>
              <w:spacing w:after="28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6258"/>
                <w:sz w:val="14"/>
                <w:szCs w:val="14"/>
              </w:rPr>
              <w:t xml:space="preserve">For AIxBio, medtech, diagnostics, and therapeutics decks.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Intended use is one sentence. Buyer and user are named separately.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experiment or dataset that would falsify the core claim is written down.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Hit-rate, sensitivity, or performance numbers include the denominator and the split rule.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Anything true only in a demo or a voiceover is labelled as such.</w:t>
            </w:r>
          </w:p>
        </w:tc>
      </w:tr>
    </w:tbl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0"/>
      </w:tblGrid>
      <w:tr>
        <w:tc>
          <w:tcPr>
            <w:tcW w:type="dxa" w:w="10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C" w:val="clear"/>
            <w:tcMar>
              <w:top w:type="dxa" w:w="56"/>
              <w:left w:type="dxa" w:w="120"/>
              <w:bottom w:type="dxa" w:w="46"/>
              <w:right w:type="dxa" w:w="120"/>
            </w:tcMar>
            <w:vAlign w:val="top"/>
          </w:tcPr>
          <w:p>
            <w:pPr>
              <w:spacing w:after="8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7"/>
                <w:szCs w:val="17"/>
              </w:rPr>
              <w:t xml:space="preserve">Gate F — Packet the associate actually scrapes</w:t>
            </w:r>
          </w:p>
          <w:p>
            <w:pPr>
              <w:spacing w:after="28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A6258"/>
                <w:sz w:val="14"/>
                <w:szCs w:val="14"/>
              </w:rPr>
              <w:t xml:space="preserve">The visual deck stays human. The leave-behind is what gets parsed.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2-page text-selectable memo exists alongside the deck.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red-team FAQ exists as its own document, not a slide.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 room has a master index an associate can scan in under 90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" w:line="2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inbound email is plaintext and lists the attachments in a fixed order: deck, memo, FAQ.</w:t>
            </w:r>
          </w:p>
        </w:tc>
      </w:tr>
    </w:tbl>
    <w:p>
      <w:pPr>
        <w:spacing w:after="40" w:before="80" w:lin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C4A2F"/>
          <w:sz w:val="15"/>
          <w:szCs w:val="15"/>
        </w:rPr>
        <w:t xml:space="preserve">WHAT YOUR SCORE MEANS</w:t>
      </w:r>
    </w:p>
    <w:tbl>
      <w:tblPr>
        <w:tblW w:type="dxa" w:w="10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44"/>
              <w:left w:type="dxa" w:w="100"/>
              <w:bottom w:type="dxa" w:w="44"/>
              <w:right w:type="dxa" w:w="8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5"/>
                <w:szCs w:val="15"/>
              </w:rPr>
              <w:t xml:space="preserve">22–24  Advance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4"/>
              <w:left w:type="dxa" w:w="80"/>
              <w:bottom w:type="dxa" w:w="44"/>
              <w:right w:type="dxa" w:w="10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Circulate. Still run a Screen so the hygiene report travels with the deck.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44"/>
              <w:left w:type="dxa" w:w="100"/>
              <w:bottom w:type="dxa" w:w="44"/>
              <w:right w:type="dxa" w:w="8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5"/>
                <w:szCs w:val="15"/>
              </w:rPr>
              <w:t xml:space="preserve">18–21  Request Data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4"/>
              <w:left w:type="dxa" w:w="80"/>
              <w:bottom w:type="dxa" w:w="44"/>
              <w:right w:type="dxa" w:w="10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Do not send yet. Fill the missing tables. Book 30 minutes if two or more Gate E items are no.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val="clear"/>
            <w:tcMar>
              <w:top w:type="dxa" w:w="44"/>
              <w:left w:type="dxa" w:w="100"/>
              <w:bottom w:type="dxa" w:w="44"/>
              <w:right w:type="dxa" w:w="8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10E"/>
                <w:sz w:val="15"/>
                <w:szCs w:val="15"/>
              </w:rPr>
              <w:t xml:space="preserve">Under 18  Pass risk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4"/>
              <w:left w:type="dxa" w:w="80"/>
              <w:bottom w:type="dxa" w:w="44"/>
              <w:right w:type="dxa" w:w="100"/>
            </w:tcMar>
            <w:vAlign w:val="top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12"/>
                <w:sz w:val="15"/>
                <w:szCs w:val="15"/>
              </w:rPr>
              <w:t xml:space="preserve">The Gatekeeper can already write five reasons to decline. Run the free Screen, then book 30 minutes.</w:t>
            </w:r>
          </w:p>
        </w:tc>
      </w:tr>
    </w:tbl>
    <w:p>
      <w:pPr>
        <w:spacing w:after="0" w:before="80" w:line="230"/>
      </w:pPr>
      <w:r>
        <w:rPr>
          <w:rFonts w:ascii="Arial" w:cs="Arial" w:eastAsia="Arial" w:hAnsi="Arial"/>
          <w:b/>
          <w:bCs/>
          <w:color w:val="14110E"/>
          <w:sz w:val="17"/>
          <w:szCs w:val="17"/>
        </w:rPr>
        <w:t xml:space="preserve">Next: </w:t>
      </w:r>
      <w:hyperlink w:history="1" r:id="rIds5yzipgu6clftxcxv2jcv">
        <w:r>
          <w:rPr>
            <w:rFonts w:ascii="Arial" w:cs="Arial" w:eastAsia="Arial" w:hAnsi="Arial"/>
            <w:b/>
            <w:bCs/>
            <w:i w:val="false"/>
            <w:iCs w:val="false"/>
            <w:color w:val="8C4A2F"/>
            <w:sz w:val="17"/>
            <w:szCs w:val="17"/>
            <w:u w:val="single"/>
          </w:rPr>
          <w:t xml:space="preserve">Screen a deck at workupiq.com</w:t>
        </w:r>
      </w:hyperlink>
      <w:r>
        <w:rPr>
          <w:rFonts w:ascii="Arial" w:cs="Arial" w:eastAsia="Arial" w:hAnsi="Arial"/>
          <w:color w:val="6A6258"/>
          <w:sz w:val="17"/>
          <w:szCs w:val="17"/>
        </w:rPr>
        <w:t xml:space="preserve">  ·  </w:t>
      </w:r>
      <w:hyperlink w:history="1" r:id="rIdxayuvrcwcxzhxtgaexcpc">
        <w:r>
          <w:rPr>
            <w:rFonts w:ascii="Arial" w:cs="Arial" w:eastAsia="Arial" w:hAnsi="Arial"/>
            <w:b/>
            <w:bCs/>
            <w:i w:val="false"/>
            <w:iCs w:val="false"/>
            <w:color w:val="8C4A2F"/>
            <w:sz w:val="17"/>
            <w:szCs w:val="17"/>
            <w:u w:val="single"/>
          </w:rPr>
          <w:t xml:space="preserve">Book a free 30-minute consult</w:t>
        </w:r>
      </w:hyperlink>
    </w:p>
    <w:sectPr>
      <w:headerReference w:type="default" r:id="rId9"/>
      <w:footerReference w:type="default" r:id="rId10"/>
      <w:pgSz w:w="12240" w:h="15840" w:orient="portrait"/>
      <w:pgMar w:top="500" w:right="680" w:bottom="4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</w:pPr>
    <w:r>
      <w:rPr>
        <w:rFonts w:ascii="Arial" w:cs="Arial" w:eastAsia="Arial" w:hAnsi="Arial"/>
        <w:color w:val="6A6258"/>
        <w:sz w:val="14"/>
        <w:szCs w:val="14"/>
      </w:rPr>
      <w:t xml:space="preserve">Not a deck designer. Not investor matching. Not a promise a partner writes a check.  ·  Page </w:t>
    </w:r>
    <w:r>
      <w:rPr>
        <w:rFonts w:ascii="Arial" w:cs="Arial" w:eastAsia="Arial" w:hAnsi="Arial"/>
        <w:color w:val="6A62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258"/>
        <w:sz w:val="14"/>
        <w:szCs w:val="14"/>
      </w:rPr>
      <w:t xml:space="preserve"> of </w:t>
    </w:r>
    <w:r>
      <w:rPr>
        <w:rFonts w:ascii="Arial" w:cs="Arial" w:eastAsia="Arial" w:hAnsi="Arial"/>
        <w:color w:val="6A62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</w:pPr>
    <w:r>
      <w:rPr>
        <w:rFonts w:ascii="Arial" w:cs="Arial" w:eastAsia="Arial" w:hAnsi="Arial"/>
        <w:color w:val="6A6258"/>
        <w:sz w:val="14"/>
        <w:szCs w:val="14"/>
      </w:rPr>
      <w:t xml:space="preserve">22–24 Advance   ·   18–21 Request Data   ·   under 18 do not send — run the Screen  ·  Page </w:t>
    </w:r>
    <w:r>
      <w:rPr>
        <w:rFonts w:ascii="Arial" w:cs="Arial" w:eastAsia="Arial" w:hAnsi="Arial"/>
        <w:color w:val="6A62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258"/>
        <w:sz w:val="14"/>
        <w:szCs w:val="14"/>
      </w:rPr>
      <w:t xml:space="preserve"> of </w:t>
    </w:r>
    <w:r>
      <w:rPr>
        <w:rFonts w:ascii="Arial" w:cs="Arial" w:eastAsia="Arial" w:hAnsi="Arial"/>
        <w:color w:val="6A62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8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20"/>
            <w:right w:type="dxa" w:w="80"/>
          </w:tcMar>
          <w:vAlign w:val="top"/>
        </w:tcPr>
        <w:p>
          <w:pPr>
            <w:spacing w:after="0" w:before="0" w:line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8C4A2F"/>
              <w:sz w:val="14"/>
              <w:szCs w:val="14"/>
            </w:rPr>
            <w:t xml:space="preserve">WORKUPIQ  ·  WHAT YOU GET</w:t>
          </w:r>
        </w:p>
        <w:p>
          <w:pPr>
            <w:spacing w:after="0" w:before="0" w:line="20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A6258"/>
              <w:sz w:val="14"/>
              <w:szCs w:val="14"/>
            </w:rPr>
            <w:t xml:space="preserve">Extracted. Attacked. Packed.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80"/>
            <w:bottom w:type="dxa" w:w="2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hyperlink w:history="1" r:id="rIdx5akqnwp0lcfjjhepsfyi"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4A2F"/>
                <w:sz w:val="14"/>
                <w:szCs w:val="14"/>
                <w:u w:val="single"/>
              </w:rPr>
              <w:t xml:space="preserve">workupiq.com</w:t>
            </w:r>
          </w:hyperlink>
        </w:p>
        <w:p>
          <w:pPr>
            <w:spacing w:after="0" w:before="0" w:line="20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A6258"/>
              <w:sz w:val="14"/>
              <w:szCs w:val="14"/>
            </w:rPr>
            <w:t xml:space="preserve">hello@workupiq.com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8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20"/>
            <w:right w:type="dxa" w:w="80"/>
          </w:tcMar>
          <w:vAlign w:val="top"/>
        </w:tcPr>
        <w:p>
          <w:pPr>
            <w:spacing w:after="0" w:before="0" w:line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8C4A2F"/>
              <w:sz w:val="14"/>
              <w:szCs w:val="14"/>
            </w:rPr>
            <w:t xml:space="preserve">WORKUPIQ  ·  GATEKEEPER CHECKLIST</w:t>
          </w:r>
        </w:p>
        <w:p>
          <w:pPr>
            <w:spacing w:after="0" w:before="0" w:line="20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A6258"/>
              <w:sz w:val="14"/>
              <w:szCs w:val="14"/>
            </w:rPr>
            <w:t xml:space="preserve">Run this before the deck leaves the building.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80"/>
            <w:bottom w:type="dxa" w:w="2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hyperlink w:history="1" r:id="rIdpszz8mib_4-onyubj_csq"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4A2F"/>
                <w:sz w:val="14"/>
                <w:szCs w:val="14"/>
                <w:u w:val="single"/>
              </w:rPr>
              <w:t xml:space="preserve">workupiq.com</w:t>
            </w:r>
          </w:hyperlink>
        </w:p>
        <w:p>
          <w:pPr>
            <w:spacing w:after="0" w:before="0" w:line="20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A6258"/>
              <w:sz w:val="14"/>
              <w:szCs w:val="14"/>
            </w:rPr>
            <w:t xml:space="preserve">Score each item yes / no. Yes = 1.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2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61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kkxwfqjgiue5fllz8c2iw" Type="http://schemas.openxmlformats.org/officeDocument/2006/relationships/hyperlink" Target="https://calendly.com/workupiq/consultation" TargetMode="External"/><Relationship Id="rId78p34wga0d_cjhjdn1btq" Type="http://schemas.openxmlformats.org/officeDocument/2006/relationships/hyperlink" Target="https://workupiq.com/" TargetMode="External"/><Relationship Id="rIdv2uumy-xoo3nu0tcbdget" Type="http://schemas.openxmlformats.org/officeDocument/2006/relationships/hyperlink" Target="https://calendly.com/workupiq/consultation" TargetMode="External"/><Relationship Id="rIdod3uhzdol62fozy__eqj3" Type="http://schemas.openxmlformats.org/officeDocument/2006/relationships/hyperlink" Target="mailto:hello@workupiq.com" TargetMode="External"/><Relationship Id="rIds5yzipgu6clftxcxv2jcv" Type="http://schemas.openxmlformats.org/officeDocument/2006/relationships/hyperlink" Target="https://workupiq.com/" TargetMode="External"/><Relationship Id="rIdxayuvrcwcxzhxtgaexcpc" Type="http://schemas.openxmlformats.org/officeDocument/2006/relationships/hyperlink" Target="https://calendly.com/workupiq/consultation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x5akqnwp0lcfjjhepsfyi" Type="http://schemas.openxmlformats.org/officeDocument/2006/relationships/hyperlink" Target="https://workupiq.com/" TargetMode="External"/></Relationships>
</file>

<file path=word/_rels/header2.xml.rels><?xml version="1.0" encoding="UTF-8"?><Relationships xmlns="http://schemas.openxmlformats.org/package/2006/relationships"><Relationship Id="rIdpszz8mib_4-onyubj_csq" Type="http://schemas.openxmlformats.org/officeDocument/2006/relationships/hyperlink" Target="https://workupiq.co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2026-08-26T13:44:24.889Z</dcterms:created>
  <dcterms:modified xsi:type="dcterms:W3CDTF">2026-08-26T13:44:24.890Z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