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5C007A"/>
          <w:sz w:val="30"/>
        </w:rPr>
        <w:t>LAPORAN MONITORING DAN EVALUASI (MONEV)</w:t>
      </w:r>
    </w:p>
    <w:p>
      <w:pPr>
        <w:spacing w:after="140"/>
        <w:jc w:val="center"/>
      </w:pPr>
      <w:r>
        <w:rPr>
          <w:b/>
          <w:color w:val="323232"/>
          <w:sz w:val="20"/>
        </w:rPr>
        <w:t>BIDANG PEMBINAAN PRESTASI (BINPRES)</w:t>
        <w:br/>
        <w:t>KONI KABUPATEN TANGERANG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8A7A91"/>
          <w:left w:val="single" w:sz="7" w:space="0" w:color="8A7A91"/>
          <w:bottom w:val="single" w:sz="7" w:space="0" w:color="8A7A91"/>
          <w:right w:val="single" w:sz="7" w:space="0" w:color="8A7A91"/>
          <w:insideH w:val="single" w:sz="7" w:space="0" w:color="8A7A91"/>
          <w:insideV w:val="single" w:sz="7" w:space="0" w:color="8A7A91"/>
        </w:tblBorders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E2F0"/>
          </w:tcPr>
          <w:p>
            <w:pPr>
              <w:spacing w:after="0"/>
            </w:pPr>
            <w:r>
              <w:rPr>
                <w:b/>
                <w:sz w:val="16"/>
              </w:rPr>
              <w:t>Cabang Olahraga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E2F0"/>
          </w:tcPr>
          <w:p>
            <w:pPr>
              <w:spacing w:after="0"/>
            </w:pPr>
            <w:r>
              <w:rPr>
                <w:b/>
                <w:sz w:val="16"/>
              </w:rPr>
              <w:t>Tanggal Monitoring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E2F0"/>
          </w:tcPr>
          <w:p>
            <w:pPr>
              <w:spacing w:after="0"/>
            </w:pPr>
            <w:r>
              <w:rPr>
                <w:b/>
                <w:sz w:val="16"/>
              </w:rPr>
              <w:t>Lokasi Monitoring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E2F0"/>
          </w:tcPr>
          <w:p>
            <w:pPr>
              <w:spacing w:after="0"/>
            </w:pPr>
            <w:r>
              <w:rPr>
                <w:b/>
                <w:sz w:val="16"/>
              </w:rPr>
              <w:t>Nama Petugas Monev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E2F0"/>
          </w:tcPr>
          <w:p>
            <w:pPr>
              <w:spacing w:after="0"/>
            </w:pPr>
            <w:r>
              <w:rPr>
                <w:b/>
                <w:sz w:val="16"/>
              </w:rPr>
              <w:t>Status Tindak Lanjut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E2F0"/>
          </w:tcPr>
          <w:p>
            <w:r>
              <w:t>Perwakilan KONI yang Hadir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5C007A"/>
          <w:sz w:val="20"/>
        </w:rPr>
        <w:t>1. PERFORMA FISIK DAN KEBUGARAN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3AD"/>
          <w:left w:val="single" w:sz="6" w:space="0" w:color="9AA3AD"/>
          <w:bottom w:val="single" w:sz="6" w:space="0" w:color="9AA3AD"/>
          <w:right w:val="single" w:sz="6" w:space="0" w:color="9AA3AD"/>
          <w:insideH w:val="single" w:sz="6" w:space="0" w:color="9AA3AD"/>
          <w:insideV w:val="single" w:sz="6" w:space="0" w:color="9AA3AD"/>
        </w:tblBorders>
      </w:tblPr>
      <w:tblGrid>
        <w:gridCol w:w="9978"/>
      </w:tblGrid>
      <w:tr>
        <w:tc>
          <w:tcPr>
            <w:tcW w:type="dxa" w:w="9921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Capaian parameter fisik dibandingkan dengan target/benchmark</w:t>
            </w:r>
          </w:p>
          <w:p>
            <w:pPr>
              <w:spacing w:after="0" w:line="240" w:lineRule="auto"/>
            </w:pPr>
            <w:r>
              <w:t xml:space="preserve"> </w:t>
            </w: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9921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Grafik performa puncak (peaking)</w:t>
            </w:r>
          </w:p>
          <w:p>
            <w:pPr>
              <w:spacing w:after="0" w:line="240" w:lineRule="auto"/>
            </w:pPr>
            <w:r>
              <w:t xml:space="preserve"> </w:t>
            </w: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9921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Tingkat pemulihan fisik (recovery)</w:t>
            </w:r>
          </w:p>
          <w:p>
            <w:pPr>
              <w:spacing w:after="0" w:line="240" w:lineRule="auto"/>
            </w:pPr>
            <w:r>
              <w:t xml:space="preserve"> </w:t>
            </w: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9921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Keluhan cedera lama atau indikasi cedera baru</w:t>
            </w:r>
          </w:p>
          <w:p>
            <w:pPr>
              <w:spacing w:after="0" w:line="240" w:lineRule="auto"/>
            </w:pPr>
            <w:r>
              <w:t xml:space="preserve"> </w:t>
            </w:r>
            <w:r>
              <w:rPr>
                <w:sz w:val="16"/>
              </w:rPr>
              <w:t xml:space="preserve"> </w:t>
            </w:r>
          </w:p>
        </w:tc>
      </w:tr>
    </w:tbl>
    <w:p>
      <w:pPr>
        <w:spacing w:before="100" w:after="60"/>
      </w:pPr>
      <w:r>
        <w:rPr>
          <w:b/>
          <w:color w:val="5C007A"/>
          <w:sz w:val="20"/>
        </w:rPr>
        <w:t>2. KESIAPAN TAKTIS DAN STRATEGI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3AD"/>
          <w:left w:val="single" w:sz="6" w:space="0" w:color="9AA3AD"/>
          <w:bottom w:val="single" w:sz="6" w:space="0" w:color="9AA3AD"/>
          <w:right w:val="single" w:sz="6" w:space="0" w:color="9AA3AD"/>
          <w:insideH w:val="single" w:sz="6" w:space="0" w:color="9AA3AD"/>
          <w:insideV w:val="single" w:sz="6" w:space="0" w:color="9AA3AD"/>
        </w:tblBorders>
      </w:tblPr>
      <w:tblGrid>
        <w:gridCol w:w="9978"/>
      </w:tblGrid>
      <w:tr>
        <w:tc>
          <w:tcPr>
            <w:tcW w:type="dxa" w:w="9921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Pemetaan kekuatan calon lawan</w:t>
            </w:r>
          </w:p>
          <w:p>
            <w:pPr>
              <w:spacing w:after="0" w:line="240" w:lineRule="auto"/>
            </w:pPr>
            <w:r>
              <w:t xml:space="preserve"> </w:t>
            </w: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9921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Kemampuan mengikuti instruksi teknis</w:t>
            </w:r>
          </w:p>
          <w:p>
            <w:pPr>
              <w:spacing w:after="0" w:line="240" w:lineRule="auto"/>
            </w:pPr>
            <w:r>
              <w:t xml:space="preserve"> </w:t>
            </w: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9921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Hasil try-out / sparing</w:t>
            </w:r>
          </w:p>
          <w:p>
            <w:pPr>
              <w:spacing w:after="0" w:line="240" w:lineRule="auto"/>
            </w:pPr>
            <w:r>
              <w:t xml:space="preserve"> </w:t>
            </w:r>
            <w:r>
              <w:rPr>
                <w:sz w:val="16"/>
              </w:rPr>
              <w:t xml:space="preserve"> </w:t>
            </w:r>
          </w:p>
        </w:tc>
      </w:tr>
    </w:tbl>
    <w:p>
      <w:pPr>
        <w:spacing w:before="100" w:after="60"/>
      </w:pPr>
      <w:r>
        <w:rPr>
          <w:b/>
          <w:color w:val="5C007A"/>
          <w:sz w:val="20"/>
        </w:rPr>
        <w:t>3. MENTAL, PSIKOLOGIS, DAN KESIAPAN 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3AD"/>
          <w:left w:val="single" w:sz="6" w:space="0" w:color="9AA3AD"/>
          <w:bottom w:val="single" w:sz="6" w:space="0" w:color="9AA3AD"/>
          <w:right w:val="single" w:sz="6" w:space="0" w:color="9AA3AD"/>
          <w:insideH w:val="single" w:sz="6" w:space="0" w:color="9AA3AD"/>
          <w:insideV w:val="single" w:sz="6" w:space="0" w:color="9AA3AD"/>
        </w:tblBorders>
      </w:tblPr>
      <w:tblGrid>
        <w:gridCol w:w="9978"/>
      </w:tblGrid>
      <w:tr>
        <w:tc>
          <w:tcPr>
            <w:tcW w:type="dxa" w:w="9921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Tingkat kecemasan dan pengendalian stres</w:t>
            </w:r>
          </w:p>
          <w:p>
            <w:pPr>
              <w:spacing w:after="0" w:line="240" w:lineRule="auto"/>
            </w:pPr>
            <w:r>
              <w:t xml:space="preserve"> </w:t>
            </w: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9921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Fokus, motivasi, dan kepercayaan diri (self-confidence)</w:t>
            </w:r>
          </w:p>
          <w:p>
            <w:pPr>
              <w:spacing w:after="0" w:line="240" w:lineRule="auto"/>
            </w:pPr>
            <w:r>
              <w:t xml:space="preserve"> </w:t>
            </w: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9921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Rutinitas mental khusus</w:t>
            </w:r>
          </w:p>
          <w:p>
            <w:pPr>
              <w:spacing w:after="0" w:line="240" w:lineRule="auto"/>
            </w:pPr>
            <w:r>
              <w:t xml:space="preserve"> </w:t>
            </w: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9921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Koordinasi dengan psikolog olahraga</w:t>
            </w:r>
          </w:p>
          <w:p>
            <w:pPr>
              <w:spacing w:after="0" w:line="240" w:lineRule="auto"/>
            </w:pPr>
            <w:r>
              <w:t xml:space="preserve"> </w:t>
            </w:r>
            <w:r>
              <w:rPr>
                <w:sz w:val="16"/>
              </w:rPr>
              <w:t xml:space="preserve"> </w:t>
            </w:r>
          </w:p>
        </w:tc>
      </w:tr>
    </w:tbl>
    <w:p>
      <w:pPr>
        <w:spacing w:before="100" w:after="60"/>
      </w:pPr>
      <w:r>
        <w:rPr>
          <w:b/>
          <w:color w:val="5C007A"/>
          <w:sz w:val="20"/>
        </w:rPr>
        <w:t>4. NUTRISI, BERAT BADAN, DAN GAYA HIDUP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3AD"/>
          <w:left w:val="single" w:sz="6" w:space="0" w:color="9AA3AD"/>
          <w:bottom w:val="single" w:sz="6" w:space="0" w:color="9AA3AD"/>
          <w:right w:val="single" w:sz="6" w:space="0" w:color="9AA3AD"/>
          <w:insideH w:val="single" w:sz="6" w:space="0" w:color="9AA3AD"/>
          <w:insideV w:val="single" w:sz="6" w:space="0" w:color="9AA3AD"/>
        </w:tblBorders>
      </w:tblPr>
      <w:tblGrid>
        <w:gridCol w:w="9978"/>
      </w:tblGrid>
      <w:tr>
        <w:tc>
          <w:tcPr>
            <w:tcW w:type="dxa" w:w="9921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Progres penyesuaian berat badan</w:t>
            </w:r>
          </w:p>
          <w:p>
            <w:pPr>
              <w:spacing w:after="0" w:line="240" w:lineRule="auto"/>
            </w:pPr>
            <w:r>
              <w:t xml:space="preserve"> </w:t>
            </w: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9921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Asupan nutrisi dan suplemen</w:t>
            </w:r>
          </w:p>
          <w:p>
            <w:pPr>
              <w:spacing w:after="0" w:line="240" w:lineRule="auto"/>
            </w:pPr>
            <w:r>
              <w:t xml:space="preserve"> </w:t>
            </w: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9921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Status hidrasi</w:t>
            </w:r>
          </w:p>
          <w:p>
            <w:pPr>
              <w:spacing w:after="0" w:line="240" w:lineRule="auto"/>
            </w:pPr>
            <w:r>
              <w:t xml:space="preserve"> </w:t>
            </w: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9921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Kualitas dan kecukupan tidur</w:t>
            </w:r>
          </w:p>
          <w:p>
            <w:pPr>
              <w:spacing w:after="0" w:line="240" w:lineRule="auto"/>
            </w:pPr>
            <w:r>
              <w:t xml:space="preserve"> </w:t>
            </w:r>
            <w:r>
              <w:rPr>
                <w:sz w:val="16"/>
              </w:rPr>
              <w:t xml:space="preserve"> </w:t>
            </w:r>
          </w:p>
        </w:tc>
      </w:tr>
    </w:tbl>
    <w:p>
      <w:pPr>
        <w:spacing w:before="100" w:after="60"/>
      </w:pPr>
      <w:r>
        <w:rPr>
          <w:b/>
          <w:color w:val="5C007A"/>
          <w:sz w:val="20"/>
        </w:rPr>
        <w:t>5. MEDIS, BEBAS DOPING, DAN LOGISTIK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3AD"/>
          <w:left w:val="single" w:sz="6" w:space="0" w:color="9AA3AD"/>
          <w:bottom w:val="single" w:sz="6" w:space="0" w:color="9AA3AD"/>
          <w:right w:val="single" w:sz="6" w:space="0" w:color="9AA3AD"/>
          <w:insideH w:val="single" w:sz="6" w:space="0" w:color="9AA3AD"/>
          <w:insideV w:val="single" w:sz="6" w:space="0" w:color="9AA3AD"/>
        </w:tblBorders>
      </w:tblPr>
      <w:tblGrid>
        <w:gridCol w:w="9978"/>
      </w:tblGrid>
      <w:tr>
        <w:tc>
          <w:tcPr>
            <w:tcW w:type="dxa" w:w="9921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Status rekam medis dan kesiapan tim medis</w:t>
            </w:r>
          </w:p>
          <w:p>
            <w:pPr>
              <w:spacing w:after="0" w:line="240" w:lineRule="auto"/>
            </w:pPr>
            <w:r>
              <w:t xml:space="preserve"> </w:t>
            </w: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9921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Keamanan obat/suplemen (bebas doping)</w:t>
            </w:r>
          </w:p>
          <w:p>
            <w:pPr>
              <w:spacing w:after="0" w:line="240" w:lineRule="auto"/>
            </w:pPr>
            <w:r>
              <w:t xml:space="preserve"> </w:t>
            </w: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9921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Kesiapan perlengkapan tanding</w:t>
            </w:r>
          </w:p>
          <w:p>
            <w:pPr>
              <w:spacing w:after="0" w:line="240" w:lineRule="auto"/>
            </w:pPr>
            <w:r>
              <w:t xml:space="preserve"> </w:t>
            </w:r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9921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Kendala non-teknis</w:t>
            </w:r>
          </w:p>
          <w:p>
            <w:pPr>
              <w:spacing w:after="0" w:line="240" w:lineRule="auto"/>
            </w:pPr>
            <w:r>
              <w:t xml:space="preserve"> </w:t>
            </w:r>
            <w:r>
              <w:rPr>
                <w:sz w:val="16"/>
              </w:rPr>
              <w:t xml:space="preserve"> </w:t>
            </w:r>
          </w:p>
        </w:tc>
      </w:tr>
    </w:tbl>
    <w:p>
      <w:pPr>
        <w:spacing w:before="80" w:after="40"/>
      </w:pPr>
      <w:r>
        <w:rPr>
          <w:b/>
          <w:color w:val="5C007A"/>
          <w:sz w:val="20"/>
        </w:rPr>
        <w:t>DAFTAR PERWAKILAN KONI YANG HADIR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3AD"/>
          <w:left w:val="single" w:sz="6" w:space="0" w:color="9AA3AD"/>
          <w:bottom w:val="single" w:sz="6" w:space="0" w:color="9AA3AD"/>
          <w:right w:val="single" w:sz="6" w:space="0" w:color="9AA3AD"/>
          <w:insideH w:val="single" w:sz="6" w:space="0" w:color="9AA3AD"/>
          <w:insideV w:val="single" w:sz="6" w:space="0" w:color="9AA3AD"/>
        </w:tblBorders>
      </w:tblPr>
      <w:tblGrid>
        <w:gridCol w:w="4989"/>
        <w:gridCol w:w="4989"/>
      </w:tblGrid>
      <w:tr>
        <w:tc>
          <w:tcPr>
            <w:tcW w:type="dxa" w:w="68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24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8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24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8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24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8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24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8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241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5C007A"/>
          <w:sz w:val="28"/>
        </w:rPr>
        <w:t>DOKUMENTASI KEGIATAN</w:t>
      </w:r>
    </w:p>
    <w:p>
      <w:pPr>
        <w:spacing w:after="160"/>
        <w:jc w:val="center"/>
      </w:pPr>
      <w:r>
        <w:rPr>
          <w:i/>
          <w:sz w:val="18"/>
        </w:rPr>
        <w:t>Lampirkan foto kegiatan monitoring pada kotak yang tersedia.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8A7A91"/>
          <w:left w:val="single" w:sz="10" w:space="0" w:color="8A7A91"/>
          <w:bottom w:val="single" w:sz="10" w:space="0" w:color="8A7A91"/>
          <w:right w:val="single" w:sz="10" w:space="0" w:color="8A7A91"/>
          <w:insideH w:val="single" w:sz="10" w:space="0" w:color="8A7A91"/>
          <w:insideV w:val="single" w:sz="10" w:space="0" w:color="8A7A91"/>
        </w:tblBorders>
      </w:tblPr>
      <w:tblGrid>
        <w:gridCol w:w="4989"/>
        <w:gridCol w:w="4989"/>
      </w:tblGrid>
      <w:tr>
        <w:trPr>
          <w:trHeight w:val="4535"/>
        </w:trPr>
        <w:tc>
          <w:tcPr>
            <w:tcW w:type="dxa" w:w="4819"/>
            <w:vAlign w:val="center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color w:val="787878"/>
                <w:sz w:val="20"/>
              </w:rPr>
              <w:t>FOTO 1</w:t>
              <w:br/>
              <w:br/>
              <w:br/>
              <w:br/>
              <w:br/>
            </w:r>
          </w:p>
          <w:p>
            <w:pPr>
              <w:spacing w:after="0"/>
              <w:jc w:val="center"/>
            </w:pPr>
            <w:r>
              <w:rPr>
                <w:i/>
                <w:color w:val="969696"/>
                <w:sz w:val="16"/>
              </w:rPr>
              <w:t>Tempat foto</w:t>
            </w:r>
          </w:p>
        </w:tc>
        <w:tc>
          <w:tcPr>
            <w:tcW w:type="dxa" w:w="4819"/>
            <w:vAlign w:val="center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color w:val="787878"/>
                <w:sz w:val="20"/>
              </w:rPr>
              <w:t>FOTO 2</w:t>
              <w:br/>
              <w:br/>
              <w:br/>
              <w:br/>
              <w:br/>
            </w:r>
          </w:p>
          <w:p>
            <w:pPr>
              <w:spacing w:after="0"/>
              <w:jc w:val="center"/>
            </w:pPr>
            <w:r>
              <w:rPr>
                <w:i/>
                <w:color w:val="969696"/>
                <w:sz w:val="16"/>
              </w:rPr>
              <w:t>Tempat foto</w:t>
            </w:r>
          </w:p>
        </w:tc>
      </w:tr>
      <w:tr>
        <w:trPr>
          <w:trHeight w:val="4535"/>
        </w:trPr>
        <w:tc>
          <w:tcPr>
            <w:tcW w:type="dxa" w:w="4819"/>
            <w:vAlign w:val="center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color w:val="787878"/>
                <w:sz w:val="20"/>
              </w:rPr>
              <w:t>FOTO 3</w:t>
              <w:br/>
              <w:br/>
              <w:br/>
              <w:br/>
              <w:br/>
            </w:r>
          </w:p>
          <w:p>
            <w:pPr>
              <w:spacing w:after="0"/>
              <w:jc w:val="center"/>
            </w:pPr>
            <w:r>
              <w:rPr>
                <w:i/>
                <w:color w:val="969696"/>
                <w:sz w:val="16"/>
              </w:rPr>
              <w:t>Tempat foto</w:t>
            </w:r>
          </w:p>
        </w:tc>
        <w:tc>
          <w:tcPr>
            <w:tcW w:type="dxa" w:w="4819"/>
            <w:vAlign w:val="center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color w:val="787878"/>
                <w:sz w:val="20"/>
              </w:rPr>
              <w:t>FOTO 4</w:t>
              <w:br/>
              <w:br/>
              <w:br/>
              <w:br/>
              <w:br/>
            </w:r>
          </w:p>
          <w:p>
            <w:pPr>
              <w:spacing w:after="0"/>
              <w:jc w:val="center"/>
            </w:pPr>
            <w:r>
              <w:rPr>
                <w:i/>
                <w:color w:val="969696"/>
                <w:sz w:val="16"/>
              </w:rPr>
              <w:t>Tempat foto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KONI KABUPATEN TANGERANG  |  FORMULIR MONEV BINPRES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Laporan Monev BINPRES KONI Kabupaten Tangerang</dc:title>
  <dc:subject>Template laporan monitoring dan evaluasi dengan kotak jawaban kosong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