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6F4B1" w14:textId="3D8CD9C7" w:rsidR="007D545E" w:rsidRPr="00CE793F" w:rsidRDefault="009E3009" w:rsidP="007D545E">
      <w:pPr>
        <w:spacing w:line="276" w:lineRule="auto"/>
        <w:rPr>
          <w:rFonts w:ascii="Times New Roman" w:hAnsi="Times New Roman" w:cs="Times New Roman"/>
          <w:sz w:val="24"/>
          <w:szCs w:val="24"/>
        </w:rPr>
      </w:pPr>
      <w:r>
        <w:rPr>
          <w:rFonts w:ascii="Times New Roman" w:hAnsi="Times New Roman" w:cs="Times New Roman"/>
          <w:b/>
          <w:sz w:val="24"/>
          <w:szCs w:val="24"/>
        </w:rPr>
        <w:t>Table S6</w:t>
      </w:r>
      <w:bookmarkStart w:id="0" w:name="_GoBack"/>
      <w:bookmarkEnd w:id="0"/>
      <w:r w:rsidR="007D545E" w:rsidRPr="007D545E">
        <w:rPr>
          <w:rFonts w:ascii="Times New Roman" w:hAnsi="Times New Roman" w:cs="Times New Roman"/>
          <w:b/>
          <w:sz w:val="24"/>
          <w:szCs w:val="24"/>
        </w:rPr>
        <w:t xml:space="preserve">. </w:t>
      </w:r>
      <w:proofErr w:type="gramStart"/>
      <w:r w:rsidR="007D545E" w:rsidRPr="007D545E">
        <w:rPr>
          <w:rFonts w:ascii="Times New Roman" w:hAnsi="Times New Roman" w:cs="Times New Roman"/>
          <w:sz w:val="24"/>
          <w:szCs w:val="24"/>
        </w:rPr>
        <w:t>Correlation coefficients for the relationship between week-to-week turnover values when rare interactions are included versus when rare interactions are excluded.</w:t>
      </w:r>
      <w:proofErr w:type="gramEnd"/>
      <w:r w:rsidR="007D545E" w:rsidRPr="007D545E">
        <w:rPr>
          <w:rFonts w:ascii="Times New Roman" w:hAnsi="Times New Roman" w:cs="Times New Roman"/>
          <w:sz w:val="24"/>
          <w:szCs w:val="24"/>
        </w:rPr>
        <w:t xml:space="preserve"> For these analyses, rare interactions are those that occurred only once within a given week (i.e., a singleton within a week). These same interactions may have been observed more frequently in other weeks. Given that all turnover values are highly correlated, this strongly suggests that rare interactions on their own are not accounting for all of the rewiring or overall interaction turnover patterns. </w:t>
      </w:r>
      <w:r w:rsidR="00683FC1">
        <w:rPr>
          <w:rFonts w:ascii="Times New Roman" w:hAnsi="Times New Roman" w:cs="Times New Roman"/>
          <w:sz w:val="24"/>
          <w:szCs w:val="24"/>
        </w:rPr>
        <w:t>T</w:t>
      </w:r>
      <w:r w:rsidR="007D545E" w:rsidRPr="007D545E">
        <w:rPr>
          <w:rFonts w:ascii="Times New Roman" w:hAnsi="Times New Roman" w:cs="Times New Roman"/>
          <w:sz w:val="24"/>
          <w:szCs w:val="24"/>
        </w:rPr>
        <w:t>hese results suggest that the observed patterns robust to sampling artifacts associated with rare interactions. For all correlations, P &lt; 0.05.</w:t>
      </w:r>
      <w:r w:rsidR="00CE793F">
        <w:rPr>
          <w:rFonts w:ascii="Times New Roman" w:hAnsi="Times New Roman" w:cs="Times New Roman"/>
          <w:sz w:val="24"/>
          <w:szCs w:val="24"/>
        </w:rPr>
        <w:t xml:space="preserve"> Turnover </w:t>
      </w:r>
      <w:r w:rsidR="00CE793F" w:rsidRPr="00CE793F">
        <w:rPr>
          <w:rFonts w:ascii="Times New Roman" w:hAnsi="Times New Roman" w:cs="Times New Roman"/>
          <w:sz w:val="24"/>
          <w:szCs w:val="24"/>
        </w:rPr>
        <w:t>metric notation: species turnover (</w:t>
      </w:r>
      <w:r w:rsidR="00CE793F" w:rsidRPr="00CE793F">
        <w:rPr>
          <w:rFonts w:ascii="Times New Roman" w:hAnsi="Times New Roman" w:cs="Times New Roman"/>
          <w:i/>
          <w:sz w:val="24"/>
          <w:szCs w:val="24"/>
        </w:rPr>
        <w:t>β</w:t>
      </w:r>
      <w:r w:rsidR="00CE793F" w:rsidRPr="00CE793F">
        <w:rPr>
          <w:rFonts w:ascii="Times New Roman" w:hAnsi="Times New Roman" w:cs="Times New Roman"/>
          <w:i/>
          <w:sz w:val="24"/>
          <w:szCs w:val="24"/>
          <w:vertAlign w:val="subscript"/>
        </w:rPr>
        <w:t>s</w:t>
      </w:r>
      <w:r w:rsidR="00CE793F" w:rsidRPr="00CE793F">
        <w:rPr>
          <w:rFonts w:ascii="Times New Roman" w:hAnsi="Times New Roman" w:cs="Times New Roman"/>
          <w:sz w:val="24"/>
          <w:szCs w:val="24"/>
        </w:rPr>
        <w:t>), interaction turnover</w:t>
      </w:r>
      <w:r w:rsidR="00CE793F">
        <w:rPr>
          <w:rFonts w:ascii="Times New Roman" w:hAnsi="Times New Roman" w:cs="Times New Roman"/>
          <w:sz w:val="24"/>
          <w:szCs w:val="24"/>
        </w:rPr>
        <w:t xml:space="preserve"> </w:t>
      </w:r>
      <w:r w:rsidR="00CE793F" w:rsidRPr="00CE793F">
        <w:rPr>
          <w:rFonts w:ascii="Times New Roman" w:hAnsi="Times New Roman" w:cs="Times New Roman"/>
          <w:sz w:val="24"/>
          <w:szCs w:val="24"/>
        </w:rPr>
        <w:t>(</w:t>
      </w:r>
      <w:r w:rsidR="00CE793F" w:rsidRPr="00CE793F">
        <w:rPr>
          <w:rFonts w:ascii="Times New Roman" w:hAnsi="Times New Roman" w:cs="Times New Roman"/>
          <w:i/>
          <w:sz w:val="24"/>
          <w:szCs w:val="24"/>
        </w:rPr>
        <w:t>β</w:t>
      </w:r>
      <w:proofErr w:type="spellStart"/>
      <w:r w:rsidR="00CE793F">
        <w:rPr>
          <w:rFonts w:ascii="Times New Roman" w:hAnsi="Times New Roman" w:cs="Times New Roman"/>
          <w:i/>
          <w:sz w:val="24"/>
          <w:szCs w:val="24"/>
          <w:vertAlign w:val="subscript"/>
        </w:rPr>
        <w:t>int</w:t>
      </w:r>
      <w:proofErr w:type="spellEnd"/>
      <w:r w:rsidR="00CE793F">
        <w:rPr>
          <w:rFonts w:ascii="Times New Roman" w:hAnsi="Times New Roman" w:cs="Times New Roman"/>
          <w:sz w:val="24"/>
          <w:szCs w:val="24"/>
        </w:rPr>
        <w:t xml:space="preserve">), interaction rewiring </w:t>
      </w:r>
      <w:r w:rsidR="00CE793F" w:rsidRPr="00CE793F">
        <w:rPr>
          <w:rFonts w:ascii="Times New Roman" w:hAnsi="Times New Roman" w:cs="Times New Roman"/>
          <w:sz w:val="24"/>
          <w:szCs w:val="24"/>
        </w:rPr>
        <w:t>(</w:t>
      </w:r>
      <w:r w:rsidR="00CE793F" w:rsidRPr="00CE793F">
        <w:rPr>
          <w:rFonts w:ascii="Times New Roman" w:hAnsi="Times New Roman" w:cs="Times New Roman"/>
          <w:i/>
          <w:sz w:val="24"/>
          <w:szCs w:val="24"/>
        </w:rPr>
        <w:t>β</w:t>
      </w:r>
      <w:proofErr w:type="spellStart"/>
      <w:r w:rsidR="00CE793F">
        <w:rPr>
          <w:rFonts w:ascii="Times New Roman" w:hAnsi="Times New Roman" w:cs="Times New Roman"/>
          <w:i/>
          <w:sz w:val="24"/>
          <w:szCs w:val="24"/>
          <w:vertAlign w:val="subscript"/>
        </w:rPr>
        <w:t>rw</w:t>
      </w:r>
      <w:proofErr w:type="spellEnd"/>
      <w:r w:rsidR="00CE793F">
        <w:rPr>
          <w:rFonts w:ascii="Times New Roman" w:hAnsi="Times New Roman" w:cs="Times New Roman"/>
          <w:sz w:val="24"/>
          <w:szCs w:val="24"/>
        </w:rPr>
        <w:t xml:space="preserve">), and the contribution of species turnover to interaction turnover </w:t>
      </w:r>
      <w:r w:rsidR="00CE793F" w:rsidRPr="00CE793F">
        <w:rPr>
          <w:rFonts w:ascii="Times New Roman" w:hAnsi="Times New Roman" w:cs="Times New Roman"/>
          <w:sz w:val="24"/>
          <w:szCs w:val="24"/>
        </w:rPr>
        <w:t>(</w:t>
      </w:r>
      <w:r w:rsidR="00CE793F" w:rsidRPr="00CE793F">
        <w:rPr>
          <w:rFonts w:ascii="Times New Roman" w:hAnsi="Times New Roman" w:cs="Times New Roman"/>
          <w:i/>
          <w:sz w:val="24"/>
          <w:szCs w:val="24"/>
        </w:rPr>
        <w:t>β</w:t>
      </w:r>
      <w:proofErr w:type="spellStart"/>
      <w:r w:rsidR="00CE793F" w:rsidRPr="00CE793F">
        <w:rPr>
          <w:rFonts w:ascii="Times New Roman" w:hAnsi="Times New Roman" w:cs="Times New Roman"/>
          <w:i/>
          <w:sz w:val="24"/>
          <w:szCs w:val="24"/>
          <w:vertAlign w:val="subscript"/>
        </w:rPr>
        <w:t>s</w:t>
      </w:r>
      <w:r w:rsidR="00CE793F">
        <w:rPr>
          <w:rFonts w:ascii="Times New Roman" w:hAnsi="Times New Roman" w:cs="Times New Roman"/>
          <w:i/>
          <w:sz w:val="24"/>
          <w:szCs w:val="24"/>
          <w:vertAlign w:val="subscript"/>
        </w:rPr>
        <w:t>t</w:t>
      </w:r>
      <w:proofErr w:type="spellEnd"/>
      <w:r w:rsidR="00CE793F">
        <w:rPr>
          <w:rFonts w:ascii="Times New Roman" w:hAnsi="Times New Roman" w:cs="Times New Roman"/>
          <w:sz w:val="24"/>
          <w:szCs w:val="24"/>
        </w:rPr>
        <w:t>)</w:t>
      </w:r>
      <w:r w:rsidR="00F929B4">
        <w:rPr>
          <w:rFonts w:ascii="Times New Roman" w:hAnsi="Times New Roman" w:cs="Times New Roman"/>
          <w:sz w:val="24"/>
          <w:szCs w:val="24"/>
        </w:rPr>
        <w:t>.</w:t>
      </w:r>
    </w:p>
    <w:tbl>
      <w:tblPr>
        <w:tblStyle w:val="TableGrid"/>
        <w:tblpPr w:leftFromText="180" w:rightFromText="180" w:vertAnchor="page" w:horzAnchor="page" w:tblpX="3745" w:tblpY="5401"/>
        <w:tblW w:w="0" w:type="auto"/>
        <w:tblLook w:val="04A0" w:firstRow="1" w:lastRow="0" w:firstColumn="1" w:lastColumn="0" w:noHBand="0" w:noVBand="1"/>
      </w:tblPr>
      <w:tblGrid>
        <w:gridCol w:w="1026"/>
        <w:gridCol w:w="1584"/>
        <w:gridCol w:w="1908"/>
      </w:tblGrid>
      <w:tr w:rsidR="00683FC1" w14:paraId="484997D1" w14:textId="77777777" w:rsidTr="00683FC1">
        <w:tc>
          <w:tcPr>
            <w:tcW w:w="1026" w:type="dxa"/>
            <w:shd w:val="clear" w:color="auto" w:fill="D9D9D9" w:themeFill="background1" w:themeFillShade="D9"/>
          </w:tcPr>
          <w:p w14:paraId="5D214DEC" w14:textId="77777777" w:rsidR="007D545E" w:rsidRPr="00C13C7E" w:rsidRDefault="007D545E" w:rsidP="00683FC1">
            <w:pPr>
              <w:jc w:val="center"/>
              <w:rPr>
                <w:b/>
              </w:rPr>
            </w:pPr>
            <w:r w:rsidRPr="00C13C7E">
              <w:rPr>
                <w:b/>
              </w:rPr>
              <w:t>Year</w:t>
            </w:r>
          </w:p>
        </w:tc>
        <w:tc>
          <w:tcPr>
            <w:tcW w:w="1584" w:type="dxa"/>
            <w:shd w:val="clear" w:color="auto" w:fill="D9D9D9" w:themeFill="background1" w:themeFillShade="D9"/>
          </w:tcPr>
          <w:p w14:paraId="61B74208" w14:textId="77777777" w:rsidR="007D545E" w:rsidRPr="00C13C7E" w:rsidRDefault="007D545E" w:rsidP="00683FC1">
            <w:pPr>
              <w:jc w:val="center"/>
              <w:rPr>
                <w:b/>
                <w:vertAlign w:val="subscript"/>
              </w:rPr>
            </w:pPr>
            <w:r>
              <w:rPr>
                <w:b/>
              </w:rPr>
              <w:t>Turnover</w:t>
            </w:r>
            <w:r w:rsidRPr="00C13C7E">
              <w:rPr>
                <w:b/>
              </w:rPr>
              <w:t xml:space="preserve"> metric</w:t>
            </w:r>
          </w:p>
        </w:tc>
        <w:tc>
          <w:tcPr>
            <w:tcW w:w="1908" w:type="dxa"/>
            <w:shd w:val="clear" w:color="auto" w:fill="D9D9D9" w:themeFill="background1" w:themeFillShade="D9"/>
          </w:tcPr>
          <w:p w14:paraId="4E6D0AF1" w14:textId="77777777" w:rsidR="007D545E" w:rsidRPr="00C13C7E" w:rsidRDefault="007D545E" w:rsidP="00683FC1">
            <w:pPr>
              <w:jc w:val="center"/>
              <w:rPr>
                <w:b/>
              </w:rPr>
            </w:pPr>
            <w:r w:rsidRPr="00C13C7E">
              <w:rPr>
                <w:b/>
              </w:rPr>
              <w:t>Correlation coefficient</w:t>
            </w:r>
          </w:p>
        </w:tc>
      </w:tr>
      <w:tr w:rsidR="00683FC1" w14:paraId="74701A96" w14:textId="77777777" w:rsidTr="00683FC1">
        <w:tc>
          <w:tcPr>
            <w:tcW w:w="1026" w:type="dxa"/>
            <w:vMerge w:val="restart"/>
          </w:tcPr>
          <w:p w14:paraId="4A5205B7" w14:textId="77777777" w:rsidR="007D545E" w:rsidRPr="001A7C0B" w:rsidRDefault="007D545E" w:rsidP="00683FC1">
            <w:pPr>
              <w:jc w:val="center"/>
            </w:pPr>
            <w:r>
              <w:t>2013</w:t>
            </w:r>
          </w:p>
        </w:tc>
        <w:tc>
          <w:tcPr>
            <w:tcW w:w="1584" w:type="dxa"/>
          </w:tcPr>
          <w:p w14:paraId="47B220AF" w14:textId="3B5E4A84" w:rsidR="007D545E" w:rsidRPr="00246F98" w:rsidRDefault="007D545E" w:rsidP="00683FC1">
            <w:pPr>
              <w:jc w:val="center"/>
              <w:rPr>
                <w:i/>
                <w:vertAlign w:val="subscript"/>
              </w:rPr>
            </w:pPr>
            <w:r w:rsidRPr="00246F98">
              <w:rPr>
                <w:i/>
                <w:sz w:val="24"/>
                <w:szCs w:val="24"/>
              </w:rPr>
              <w:t>β</w:t>
            </w:r>
            <w:r w:rsidR="00246F98">
              <w:rPr>
                <w:i/>
                <w:vertAlign w:val="subscript"/>
              </w:rPr>
              <w:t>s</w:t>
            </w:r>
          </w:p>
        </w:tc>
        <w:tc>
          <w:tcPr>
            <w:tcW w:w="1908" w:type="dxa"/>
          </w:tcPr>
          <w:p w14:paraId="179CC64C" w14:textId="77777777" w:rsidR="007D545E" w:rsidRDefault="007D545E" w:rsidP="00683FC1">
            <w:pPr>
              <w:jc w:val="center"/>
            </w:pPr>
            <w:r>
              <w:t>0.781</w:t>
            </w:r>
          </w:p>
        </w:tc>
      </w:tr>
      <w:tr w:rsidR="00683FC1" w14:paraId="5C2C2C73" w14:textId="77777777" w:rsidTr="00683FC1">
        <w:tc>
          <w:tcPr>
            <w:tcW w:w="1026" w:type="dxa"/>
            <w:vMerge/>
          </w:tcPr>
          <w:p w14:paraId="0BB8E98D" w14:textId="77777777" w:rsidR="007D545E" w:rsidRPr="001A7C0B" w:rsidRDefault="007D545E" w:rsidP="00683FC1">
            <w:pPr>
              <w:jc w:val="center"/>
              <w:rPr>
                <w:vertAlign w:val="subscript"/>
              </w:rPr>
            </w:pPr>
          </w:p>
        </w:tc>
        <w:tc>
          <w:tcPr>
            <w:tcW w:w="1584" w:type="dxa"/>
          </w:tcPr>
          <w:p w14:paraId="4FE47FD8" w14:textId="51EDA7E1" w:rsidR="007D545E" w:rsidRPr="00246F98" w:rsidRDefault="007D545E" w:rsidP="00683FC1">
            <w:pPr>
              <w:jc w:val="center"/>
              <w:rPr>
                <w:i/>
                <w:vertAlign w:val="subscript"/>
              </w:rPr>
            </w:pPr>
            <w:r w:rsidRPr="00246F98">
              <w:rPr>
                <w:i/>
                <w:sz w:val="24"/>
                <w:szCs w:val="24"/>
              </w:rPr>
              <w:t>β</w:t>
            </w:r>
            <w:proofErr w:type="spellStart"/>
            <w:r w:rsidR="00246F98">
              <w:rPr>
                <w:i/>
                <w:vertAlign w:val="subscript"/>
              </w:rPr>
              <w:t>int</w:t>
            </w:r>
            <w:proofErr w:type="spellEnd"/>
          </w:p>
        </w:tc>
        <w:tc>
          <w:tcPr>
            <w:tcW w:w="1908" w:type="dxa"/>
          </w:tcPr>
          <w:p w14:paraId="0C094F19" w14:textId="77777777" w:rsidR="007D545E" w:rsidRDefault="007D545E" w:rsidP="00683FC1">
            <w:pPr>
              <w:jc w:val="center"/>
            </w:pPr>
            <w:r>
              <w:t>0.850</w:t>
            </w:r>
          </w:p>
        </w:tc>
      </w:tr>
      <w:tr w:rsidR="00683FC1" w14:paraId="66A8E764" w14:textId="77777777" w:rsidTr="00683FC1">
        <w:tc>
          <w:tcPr>
            <w:tcW w:w="1026" w:type="dxa"/>
            <w:vMerge/>
          </w:tcPr>
          <w:p w14:paraId="25B224BA" w14:textId="77777777" w:rsidR="007D545E" w:rsidRPr="001A7C0B" w:rsidRDefault="007D545E" w:rsidP="00683FC1">
            <w:pPr>
              <w:jc w:val="center"/>
              <w:rPr>
                <w:vertAlign w:val="subscript"/>
              </w:rPr>
            </w:pPr>
          </w:p>
        </w:tc>
        <w:tc>
          <w:tcPr>
            <w:tcW w:w="1584" w:type="dxa"/>
          </w:tcPr>
          <w:p w14:paraId="3E37AB18" w14:textId="4635FAD7" w:rsidR="007D545E" w:rsidRPr="00246F98" w:rsidRDefault="007D545E" w:rsidP="00683FC1">
            <w:pPr>
              <w:jc w:val="center"/>
              <w:rPr>
                <w:i/>
                <w:vertAlign w:val="subscript"/>
              </w:rPr>
            </w:pPr>
            <w:r w:rsidRPr="00246F98">
              <w:rPr>
                <w:i/>
                <w:sz w:val="24"/>
                <w:szCs w:val="24"/>
              </w:rPr>
              <w:t>β</w:t>
            </w:r>
            <w:proofErr w:type="spellStart"/>
            <w:r w:rsidR="00246F98">
              <w:rPr>
                <w:i/>
                <w:vertAlign w:val="subscript"/>
              </w:rPr>
              <w:t>rw</w:t>
            </w:r>
            <w:proofErr w:type="spellEnd"/>
          </w:p>
        </w:tc>
        <w:tc>
          <w:tcPr>
            <w:tcW w:w="1908" w:type="dxa"/>
          </w:tcPr>
          <w:p w14:paraId="78AB820B" w14:textId="77777777" w:rsidR="007D545E" w:rsidRDefault="007D545E" w:rsidP="00683FC1">
            <w:pPr>
              <w:jc w:val="center"/>
            </w:pPr>
            <w:r>
              <w:t>0.949</w:t>
            </w:r>
          </w:p>
        </w:tc>
      </w:tr>
      <w:tr w:rsidR="00683FC1" w14:paraId="49EAB0B4" w14:textId="77777777" w:rsidTr="00683FC1">
        <w:tc>
          <w:tcPr>
            <w:tcW w:w="1026" w:type="dxa"/>
            <w:vMerge/>
          </w:tcPr>
          <w:p w14:paraId="78C1C9DB" w14:textId="77777777" w:rsidR="007D545E" w:rsidRPr="001A7C0B" w:rsidRDefault="007D545E" w:rsidP="00683FC1">
            <w:pPr>
              <w:jc w:val="center"/>
              <w:rPr>
                <w:vertAlign w:val="subscript"/>
              </w:rPr>
            </w:pPr>
          </w:p>
        </w:tc>
        <w:tc>
          <w:tcPr>
            <w:tcW w:w="1584" w:type="dxa"/>
          </w:tcPr>
          <w:p w14:paraId="3D69D14B" w14:textId="76537D86" w:rsidR="007D545E" w:rsidRPr="00246F98" w:rsidRDefault="007D545E" w:rsidP="00683FC1">
            <w:pPr>
              <w:jc w:val="center"/>
              <w:rPr>
                <w:i/>
                <w:vertAlign w:val="subscript"/>
              </w:rPr>
            </w:pPr>
            <w:r w:rsidRPr="00246F98">
              <w:rPr>
                <w:i/>
                <w:sz w:val="24"/>
                <w:szCs w:val="24"/>
              </w:rPr>
              <w:t>β</w:t>
            </w:r>
            <w:proofErr w:type="spellStart"/>
            <w:r w:rsidR="00246F98">
              <w:rPr>
                <w:i/>
                <w:vertAlign w:val="subscript"/>
              </w:rPr>
              <w:t>st</w:t>
            </w:r>
            <w:proofErr w:type="spellEnd"/>
          </w:p>
        </w:tc>
        <w:tc>
          <w:tcPr>
            <w:tcW w:w="1908" w:type="dxa"/>
          </w:tcPr>
          <w:p w14:paraId="1F8EF21B" w14:textId="77777777" w:rsidR="007D545E" w:rsidRDefault="007D545E" w:rsidP="00683FC1">
            <w:pPr>
              <w:jc w:val="center"/>
            </w:pPr>
            <w:r>
              <w:t>0.863</w:t>
            </w:r>
          </w:p>
        </w:tc>
      </w:tr>
      <w:tr w:rsidR="00683FC1" w14:paraId="18D82BE7" w14:textId="77777777" w:rsidTr="00683FC1">
        <w:tc>
          <w:tcPr>
            <w:tcW w:w="1026" w:type="dxa"/>
            <w:vMerge w:val="restart"/>
          </w:tcPr>
          <w:p w14:paraId="4B89BA63" w14:textId="77777777" w:rsidR="007D545E" w:rsidRDefault="007D545E" w:rsidP="00683FC1">
            <w:pPr>
              <w:jc w:val="center"/>
            </w:pPr>
            <w:r>
              <w:t>2014</w:t>
            </w:r>
          </w:p>
        </w:tc>
        <w:tc>
          <w:tcPr>
            <w:tcW w:w="1584" w:type="dxa"/>
          </w:tcPr>
          <w:p w14:paraId="7DC04F5D" w14:textId="2B85A9EC" w:rsidR="007D545E" w:rsidRPr="00246F98" w:rsidRDefault="007D545E" w:rsidP="00683FC1">
            <w:pPr>
              <w:jc w:val="center"/>
              <w:rPr>
                <w:i/>
                <w:vertAlign w:val="subscript"/>
              </w:rPr>
            </w:pPr>
            <w:r w:rsidRPr="00246F98">
              <w:rPr>
                <w:i/>
                <w:sz w:val="24"/>
                <w:szCs w:val="24"/>
              </w:rPr>
              <w:t>β</w:t>
            </w:r>
            <w:r w:rsidR="00246F98">
              <w:rPr>
                <w:i/>
                <w:vertAlign w:val="subscript"/>
              </w:rPr>
              <w:t>s</w:t>
            </w:r>
          </w:p>
        </w:tc>
        <w:tc>
          <w:tcPr>
            <w:tcW w:w="1908" w:type="dxa"/>
          </w:tcPr>
          <w:p w14:paraId="55B19619" w14:textId="77777777" w:rsidR="007D545E" w:rsidRDefault="007D545E" w:rsidP="00683FC1">
            <w:pPr>
              <w:jc w:val="center"/>
            </w:pPr>
            <w:r>
              <w:t>0.821</w:t>
            </w:r>
          </w:p>
        </w:tc>
      </w:tr>
      <w:tr w:rsidR="00683FC1" w14:paraId="0D6388B1" w14:textId="77777777" w:rsidTr="00683FC1">
        <w:tc>
          <w:tcPr>
            <w:tcW w:w="1026" w:type="dxa"/>
            <w:vMerge/>
          </w:tcPr>
          <w:p w14:paraId="38190932" w14:textId="77777777" w:rsidR="007D545E" w:rsidRDefault="007D545E" w:rsidP="00683FC1">
            <w:pPr>
              <w:jc w:val="center"/>
            </w:pPr>
          </w:p>
        </w:tc>
        <w:tc>
          <w:tcPr>
            <w:tcW w:w="1584" w:type="dxa"/>
          </w:tcPr>
          <w:p w14:paraId="3382998F" w14:textId="477FD81C" w:rsidR="007D545E" w:rsidRPr="00246F98" w:rsidRDefault="00246F98" w:rsidP="00683FC1">
            <w:pPr>
              <w:jc w:val="center"/>
              <w:rPr>
                <w:i/>
                <w:vertAlign w:val="subscript"/>
              </w:rPr>
            </w:pPr>
            <w:r w:rsidRPr="00246F98">
              <w:rPr>
                <w:i/>
                <w:sz w:val="24"/>
                <w:szCs w:val="24"/>
              </w:rPr>
              <w:t>β</w:t>
            </w:r>
            <w:proofErr w:type="spellStart"/>
            <w:r>
              <w:rPr>
                <w:i/>
                <w:vertAlign w:val="subscript"/>
              </w:rPr>
              <w:t>int</w:t>
            </w:r>
            <w:proofErr w:type="spellEnd"/>
          </w:p>
        </w:tc>
        <w:tc>
          <w:tcPr>
            <w:tcW w:w="1908" w:type="dxa"/>
          </w:tcPr>
          <w:p w14:paraId="3449C6FC" w14:textId="77777777" w:rsidR="007D545E" w:rsidRDefault="007D545E" w:rsidP="00683FC1">
            <w:pPr>
              <w:jc w:val="center"/>
            </w:pPr>
            <w:r>
              <w:t>0.927</w:t>
            </w:r>
          </w:p>
        </w:tc>
      </w:tr>
      <w:tr w:rsidR="00683FC1" w14:paraId="12EFA63E" w14:textId="77777777" w:rsidTr="00683FC1">
        <w:tc>
          <w:tcPr>
            <w:tcW w:w="1026" w:type="dxa"/>
            <w:vMerge/>
          </w:tcPr>
          <w:p w14:paraId="3E7FAB4B" w14:textId="77777777" w:rsidR="007D545E" w:rsidRDefault="007D545E" w:rsidP="00683FC1">
            <w:pPr>
              <w:jc w:val="center"/>
            </w:pPr>
          </w:p>
        </w:tc>
        <w:tc>
          <w:tcPr>
            <w:tcW w:w="1584" w:type="dxa"/>
          </w:tcPr>
          <w:p w14:paraId="42DB308A" w14:textId="10395119" w:rsidR="007D545E" w:rsidRPr="00246F98" w:rsidRDefault="007D545E" w:rsidP="00683FC1">
            <w:pPr>
              <w:jc w:val="center"/>
              <w:rPr>
                <w:i/>
                <w:vertAlign w:val="subscript"/>
              </w:rPr>
            </w:pPr>
            <w:r w:rsidRPr="00246F98">
              <w:rPr>
                <w:i/>
                <w:sz w:val="24"/>
                <w:szCs w:val="24"/>
              </w:rPr>
              <w:t>β</w:t>
            </w:r>
            <w:proofErr w:type="spellStart"/>
            <w:r w:rsidR="00246F98">
              <w:rPr>
                <w:i/>
                <w:vertAlign w:val="subscript"/>
              </w:rPr>
              <w:t>rw</w:t>
            </w:r>
            <w:proofErr w:type="spellEnd"/>
          </w:p>
        </w:tc>
        <w:tc>
          <w:tcPr>
            <w:tcW w:w="1908" w:type="dxa"/>
          </w:tcPr>
          <w:p w14:paraId="6DE2053B" w14:textId="77777777" w:rsidR="007D545E" w:rsidRDefault="007D545E" w:rsidP="00683FC1">
            <w:pPr>
              <w:jc w:val="center"/>
            </w:pPr>
            <w:r>
              <w:t>0.895</w:t>
            </w:r>
          </w:p>
        </w:tc>
      </w:tr>
      <w:tr w:rsidR="00683FC1" w14:paraId="5FE7F52A" w14:textId="77777777" w:rsidTr="00683FC1">
        <w:tc>
          <w:tcPr>
            <w:tcW w:w="1026" w:type="dxa"/>
            <w:vMerge/>
          </w:tcPr>
          <w:p w14:paraId="0EC94B1A" w14:textId="77777777" w:rsidR="007D545E" w:rsidRDefault="007D545E" w:rsidP="00683FC1">
            <w:pPr>
              <w:jc w:val="center"/>
            </w:pPr>
          </w:p>
        </w:tc>
        <w:tc>
          <w:tcPr>
            <w:tcW w:w="1584" w:type="dxa"/>
          </w:tcPr>
          <w:p w14:paraId="5B52EF39" w14:textId="6AA2288F" w:rsidR="007D545E" w:rsidRPr="00246F98" w:rsidRDefault="007D545E" w:rsidP="00683FC1">
            <w:pPr>
              <w:jc w:val="center"/>
              <w:rPr>
                <w:i/>
                <w:vertAlign w:val="subscript"/>
              </w:rPr>
            </w:pPr>
            <w:r w:rsidRPr="00246F98">
              <w:rPr>
                <w:i/>
                <w:sz w:val="24"/>
                <w:szCs w:val="24"/>
              </w:rPr>
              <w:t>β</w:t>
            </w:r>
            <w:proofErr w:type="spellStart"/>
            <w:r w:rsidR="00246F98">
              <w:rPr>
                <w:i/>
                <w:vertAlign w:val="subscript"/>
              </w:rPr>
              <w:t>st</w:t>
            </w:r>
            <w:proofErr w:type="spellEnd"/>
          </w:p>
        </w:tc>
        <w:tc>
          <w:tcPr>
            <w:tcW w:w="1908" w:type="dxa"/>
          </w:tcPr>
          <w:p w14:paraId="17B04230" w14:textId="77777777" w:rsidR="007D545E" w:rsidRDefault="007D545E" w:rsidP="00683FC1">
            <w:pPr>
              <w:jc w:val="center"/>
            </w:pPr>
            <w:r>
              <w:t>0.846</w:t>
            </w:r>
          </w:p>
        </w:tc>
      </w:tr>
      <w:tr w:rsidR="00683FC1" w14:paraId="2A2B4E55" w14:textId="77777777" w:rsidTr="00683FC1">
        <w:tc>
          <w:tcPr>
            <w:tcW w:w="1026" w:type="dxa"/>
            <w:vMerge w:val="restart"/>
          </w:tcPr>
          <w:p w14:paraId="60B54245" w14:textId="77777777" w:rsidR="007D545E" w:rsidRDefault="007D545E" w:rsidP="00683FC1">
            <w:pPr>
              <w:jc w:val="center"/>
            </w:pPr>
            <w:r>
              <w:t>2015</w:t>
            </w:r>
          </w:p>
        </w:tc>
        <w:tc>
          <w:tcPr>
            <w:tcW w:w="1584" w:type="dxa"/>
          </w:tcPr>
          <w:p w14:paraId="24BC2E21" w14:textId="595243E7" w:rsidR="007D545E" w:rsidRPr="00246F98" w:rsidRDefault="007D545E" w:rsidP="00683FC1">
            <w:pPr>
              <w:jc w:val="center"/>
              <w:rPr>
                <w:i/>
                <w:vertAlign w:val="subscript"/>
              </w:rPr>
            </w:pPr>
            <w:r w:rsidRPr="00246F98">
              <w:rPr>
                <w:i/>
                <w:sz w:val="24"/>
                <w:szCs w:val="24"/>
              </w:rPr>
              <w:t>β</w:t>
            </w:r>
            <w:r w:rsidR="00246F98">
              <w:rPr>
                <w:i/>
                <w:vertAlign w:val="subscript"/>
              </w:rPr>
              <w:t>s</w:t>
            </w:r>
          </w:p>
        </w:tc>
        <w:tc>
          <w:tcPr>
            <w:tcW w:w="1908" w:type="dxa"/>
          </w:tcPr>
          <w:p w14:paraId="62427264" w14:textId="77777777" w:rsidR="007D545E" w:rsidRDefault="007D545E" w:rsidP="00683FC1">
            <w:pPr>
              <w:jc w:val="center"/>
            </w:pPr>
            <w:r>
              <w:t>0.953</w:t>
            </w:r>
          </w:p>
        </w:tc>
      </w:tr>
      <w:tr w:rsidR="00683FC1" w14:paraId="7C13FF8B" w14:textId="77777777" w:rsidTr="00683FC1">
        <w:tc>
          <w:tcPr>
            <w:tcW w:w="1026" w:type="dxa"/>
            <w:vMerge/>
          </w:tcPr>
          <w:p w14:paraId="5A68CAD9" w14:textId="77777777" w:rsidR="007D545E" w:rsidRDefault="007D545E" w:rsidP="00683FC1">
            <w:pPr>
              <w:jc w:val="center"/>
            </w:pPr>
          </w:p>
        </w:tc>
        <w:tc>
          <w:tcPr>
            <w:tcW w:w="1584" w:type="dxa"/>
          </w:tcPr>
          <w:p w14:paraId="013ADAFA" w14:textId="26EA8CBC" w:rsidR="007D545E" w:rsidRPr="00246F98" w:rsidRDefault="00246F98" w:rsidP="00683FC1">
            <w:pPr>
              <w:jc w:val="center"/>
              <w:rPr>
                <w:i/>
                <w:vertAlign w:val="subscript"/>
              </w:rPr>
            </w:pPr>
            <w:r w:rsidRPr="00246F98">
              <w:rPr>
                <w:i/>
                <w:sz w:val="24"/>
                <w:szCs w:val="24"/>
              </w:rPr>
              <w:t>β</w:t>
            </w:r>
            <w:proofErr w:type="spellStart"/>
            <w:r>
              <w:rPr>
                <w:i/>
                <w:vertAlign w:val="subscript"/>
              </w:rPr>
              <w:t>int</w:t>
            </w:r>
            <w:proofErr w:type="spellEnd"/>
          </w:p>
        </w:tc>
        <w:tc>
          <w:tcPr>
            <w:tcW w:w="1908" w:type="dxa"/>
          </w:tcPr>
          <w:p w14:paraId="49EF4AC3" w14:textId="77777777" w:rsidR="007D545E" w:rsidRDefault="007D545E" w:rsidP="00683FC1">
            <w:pPr>
              <w:jc w:val="center"/>
            </w:pPr>
            <w:r>
              <w:t>0.890</w:t>
            </w:r>
          </w:p>
        </w:tc>
      </w:tr>
      <w:tr w:rsidR="00683FC1" w14:paraId="6A86FE47" w14:textId="77777777" w:rsidTr="00683FC1">
        <w:tc>
          <w:tcPr>
            <w:tcW w:w="1026" w:type="dxa"/>
            <w:vMerge/>
          </w:tcPr>
          <w:p w14:paraId="263F6199" w14:textId="77777777" w:rsidR="007D545E" w:rsidRDefault="007D545E" w:rsidP="00683FC1">
            <w:pPr>
              <w:jc w:val="center"/>
            </w:pPr>
          </w:p>
        </w:tc>
        <w:tc>
          <w:tcPr>
            <w:tcW w:w="1584" w:type="dxa"/>
          </w:tcPr>
          <w:p w14:paraId="688FE5D9" w14:textId="61111D60" w:rsidR="007D545E" w:rsidRPr="00246F98" w:rsidRDefault="007D545E" w:rsidP="00683FC1">
            <w:pPr>
              <w:jc w:val="center"/>
              <w:rPr>
                <w:i/>
                <w:vertAlign w:val="subscript"/>
              </w:rPr>
            </w:pPr>
            <w:r w:rsidRPr="00246F98">
              <w:rPr>
                <w:i/>
                <w:sz w:val="24"/>
                <w:szCs w:val="24"/>
              </w:rPr>
              <w:t>β</w:t>
            </w:r>
            <w:proofErr w:type="spellStart"/>
            <w:r w:rsidR="00246F98">
              <w:rPr>
                <w:i/>
                <w:vertAlign w:val="subscript"/>
              </w:rPr>
              <w:t>rw</w:t>
            </w:r>
            <w:proofErr w:type="spellEnd"/>
          </w:p>
        </w:tc>
        <w:tc>
          <w:tcPr>
            <w:tcW w:w="1908" w:type="dxa"/>
          </w:tcPr>
          <w:p w14:paraId="7371A9AB" w14:textId="77777777" w:rsidR="007D545E" w:rsidRDefault="007D545E" w:rsidP="00683FC1">
            <w:pPr>
              <w:jc w:val="center"/>
            </w:pPr>
            <w:r>
              <w:t>0.599</w:t>
            </w:r>
          </w:p>
        </w:tc>
      </w:tr>
      <w:tr w:rsidR="00683FC1" w14:paraId="1BD147FB" w14:textId="77777777" w:rsidTr="00683FC1">
        <w:tc>
          <w:tcPr>
            <w:tcW w:w="1026" w:type="dxa"/>
            <w:vMerge/>
          </w:tcPr>
          <w:p w14:paraId="57D5DF0E" w14:textId="77777777" w:rsidR="007D545E" w:rsidRDefault="007D545E" w:rsidP="00683FC1">
            <w:pPr>
              <w:jc w:val="center"/>
            </w:pPr>
          </w:p>
        </w:tc>
        <w:tc>
          <w:tcPr>
            <w:tcW w:w="1584" w:type="dxa"/>
          </w:tcPr>
          <w:p w14:paraId="42DB0031" w14:textId="0EDC2CCB" w:rsidR="007D545E" w:rsidRPr="00246F98" w:rsidRDefault="007D545E" w:rsidP="00683FC1">
            <w:pPr>
              <w:jc w:val="center"/>
              <w:rPr>
                <w:i/>
                <w:vertAlign w:val="subscript"/>
              </w:rPr>
            </w:pPr>
            <w:r w:rsidRPr="00246F98">
              <w:rPr>
                <w:i/>
                <w:sz w:val="24"/>
                <w:szCs w:val="24"/>
              </w:rPr>
              <w:t>β</w:t>
            </w:r>
            <w:proofErr w:type="spellStart"/>
            <w:r w:rsidR="00246F98">
              <w:rPr>
                <w:i/>
                <w:vertAlign w:val="subscript"/>
              </w:rPr>
              <w:t>st</w:t>
            </w:r>
            <w:proofErr w:type="spellEnd"/>
          </w:p>
        </w:tc>
        <w:tc>
          <w:tcPr>
            <w:tcW w:w="1908" w:type="dxa"/>
          </w:tcPr>
          <w:p w14:paraId="66A3250D" w14:textId="77777777" w:rsidR="007D545E" w:rsidRDefault="007D545E" w:rsidP="00683FC1">
            <w:pPr>
              <w:jc w:val="center"/>
            </w:pPr>
            <w:r>
              <w:t>0.935</w:t>
            </w:r>
          </w:p>
        </w:tc>
      </w:tr>
    </w:tbl>
    <w:p w14:paraId="784BB261" w14:textId="6D3F9F68" w:rsidR="001335E3" w:rsidRPr="001A7C0B" w:rsidRDefault="001335E3" w:rsidP="007025FC"/>
    <w:sectPr w:rsidR="001335E3" w:rsidRPr="001A7C0B" w:rsidSect="00100A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0B"/>
    <w:rsid w:val="0000109E"/>
    <w:rsid w:val="00100A67"/>
    <w:rsid w:val="001335E3"/>
    <w:rsid w:val="001A7C0B"/>
    <w:rsid w:val="00200DC5"/>
    <w:rsid w:val="00246F98"/>
    <w:rsid w:val="00517F58"/>
    <w:rsid w:val="00683FC1"/>
    <w:rsid w:val="007025FC"/>
    <w:rsid w:val="007D545E"/>
    <w:rsid w:val="009B79DF"/>
    <w:rsid w:val="009E3009"/>
    <w:rsid w:val="00A24B01"/>
    <w:rsid w:val="00A62FDB"/>
    <w:rsid w:val="00C13C7E"/>
    <w:rsid w:val="00CE793F"/>
    <w:rsid w:val="00D83F45"/>
    <w:rsid w:val="00E5353B"/>
    <w:rsid w:val="00F929B4"/>
    <w:rsid w:val="00FA1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410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7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7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939</Characters>
  <Application>Microsoft Macintosh Word</Application>
  <DocSecurity>0</DocSecurity>
  <Lines>7</Lines>
  <Paragraphs>2</Paragraphs>
  <ScaleCrop>false</ScaleCrop>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CaraDonna</dc:creator>
  <cp:keywords/>
  <dc:description/>
  <cp:lastModifiedBy>Paul CaraDonna</cp:lastModifiedBy>
  <cp:revision>19</cp:revision>
  <dcterms:created xsi:type="dcterms:W3CDTF">2016-02-08T09:06:00Z</dcterms:created>
  <dcterms:modified xsi:type="dcterms:W3CDTF">2016-08-04T11:52:00Z</dcterms:modified>
</cp:coreProperties>
</file>