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3168"/>
            <w:tcMar>
              <w:top w:w="0" w:type="dxa"/>
              <w:bottom w:w="60" w:type="dxa"/>
              <w:left w:w="0" w:type="dxa"/>
              <w:right w:w="60" w:type="dxa"/>
            </w:tcMar>
          </w:tcPr>
          <w:p>
            <w:pPr>
              <w:spacing w:before="0" w:after="0"/>
            </w:pPr>
            <w:r>
              <w:drawing>
                <wp:inline xmlns:a="http://schemas.openxmlformats.org/drawingml/2006/main" xmlns:pic="http://schemas.openxmlformats.org/drawingml/2006/picture">
                  <wp:extent cx="1645920" cy="939767"/>
                  <wp:docPr id="1" name="Picture 1"/>
                  <wp:cNvGraphicFramePr>
                    <a:graphicFrameLocks noChangeAspect="1"/>
                  </wp:cNvGraphicFramePr>
                  <a:graphic>
                    <a:graphicData uri="http://schemas.openxmlformats.org/drawingml/2006/picture">
                      <pic:pic>
                        <pic:nvPicPr>
                          <pic:cNvPr id="0" name="kenya-re-logo.png"/>
                          <pic:cNvPicPr/>
                        </pic:nvPicPr>
                        <pic:blipFill>
                          <a:blip r:embed="rId9"/>
                          <a:stretch>
                            <a:fillRect/>
                          </a:stretch>
                        </pic:blipFill>
                        <pic:spPr>
                          <a:xfrm>
                            <a:off x="0" y="0"/>
                            <a:ext cx="1645920" cy="939767"/>
                          </a:xfrm>
                          <a:prstGeom prst="rect"/>
                        </pic:spPr>
                      </pic:pic>
                    </a:graphicData>
                  </a:graphic>
                </wp:inline>
              </w:drawing>
            </w:r>
          </w:p>
        </w:tc>
        <w:tc>
          <w:tcPr>
            <w:tcW w:type="dxa" w:w="6768"/>
            <w:tcMar>
              <w:top w:w="0" w:type="dxa"/>
              <w:bottom w:w="60" w:type="dxa"/>
              <w:left w:w="60" w:type="dxa"/>
              <w:right w:w="0" w:type="dxa"/>
            </w:tcMar>
          </w:tcPr>
          <w:p>
            <w:pPr>
              <w:spacing w:before="0" w:after="0"/>
              <w:jc w:val="right"/>
            </w:pPr>
            <w:r>
              <w:rPr>
                <w:rFonts w:ascii="Calibri" w:hAnsi="Calibri"/>
                <w:b/>
                <w:color w:val="00264D"/>
                <w:sz w:val="26"/>
              </w:rPr>
              <w:t>KENYA REINSURANCE CORPORATION</w:t>
              <w:br/>
            </w:r>
            <w:r>
              <w:rPr>
                <w:rFonts w:ascii="Calibri" w:hAnsi="Calibri"/>
                <w:color w:val="64748B"/>
                <w:sz w:val="18"/>
              </w:rPr>
              <w:t>Catastrophe Risk Intelligence Division · Enterprise Digital Twin</w:t>
            </w:r>
          </w:p>
        </w:tc>
      </w:tr>
    </w:tbl>
    <w:p>
      <w:pPr>
        <w:spacing w:before="280" w:after="40"/>
      </w:pPr>
      <w:r>
        <w:rPr>
          <w:rFonts w:ascii="Calibri" w:hAnsi="Calibri"/>
          <w:b/>
          <w:color w:val="00264D"/>
          <w:sz w:val="40"/>
        </w:rPr>
        <w:t>KENYA RE CAT INTELLIGENCE PLATFORM</w:t>
      </w:r>
    </w:p>
    <w:p>
      <w:pPr>
        <w:spacing w:after="120"/>
      </w:pPr>
      <w:r>
        <w:rPr>
          <w:rFonts w:ascii="Calibri" w:hAnsi="Calibri"/>
          <w:b/>
          <w:color w:val="D21245"/>
          <w:sz w:val="22"/>
        </w:rPr>
        <w:t>SYSTEM ARCHITECTURE, WORKFLOW DIAGRAMS &amp; TECHNICAL MODULE SPECIFICATIONS</w:t>
      </w:r>
    </w:p>
    <w:p>
      <w:pPr>
        <w:spacing w:after="320"/>
      </w:pPr>
      <w:r>
        <w:rPr>
          <w:rFonts w:ascii="Calibri" w:hAnsi="Calibri"/>
          <w:i/>
          <w:color w:val="64748B"/>
          <w:sz w:val="18"/>
        </w:rPr>
        <w:t>Version: 2.4.0 (Production)  |  Target Domain: Nairobi Urban Pluvial Catastrophe Risk  |  Classification: Confidential / Underwriting Core</w:t>
      </w:r>
    </w:p>
    <w:tbl>
      <w:tblPr>
        <w:tblW w:type="auto" w:w="0"/>
        <w:tblLook w:firstColumn="1" w:firstRow="1" w:lastColumn="0" w:lastRow="0" w:noHBand="0" w:noVBand="1" w:val="04A0"/>
      </w:tblPr>
      <w:tblGrid>
        <w:gridCol w:w="9936"/>
      </w:tblGrid>
      <w:tr>
        <w:tc>
          <w:tcPr>
            <w:tcW w:type="dxa" w:w="9936"/>
            <w:shd w:fill="D21245"/>
            <w:tcMar>
              <w:top w:w="20" w:type="dxa"/>
              <w:bottom w:w="20" w:type="dxa"/>
              <w:left w:w="0" w:type="dxa"/>
              <w:right w:w="0" w:type="dxa"/>
            </w:tcMar>
          </w:tcPr>
          <w:p>
            <w:pPr>
              <w:spacing w:before="0" w:after="0"/>
            </w:pPr>
          </w:p>
        </w:tc>
      </w:tr>
    </w:tbl>
    <w:p>
      <w:pPr>
        <w:spacing w:after="240"/>
      </w:pPr>
    </w:p>
    <w:p>
      <w:pPr>
        <w:pStyle w:val="Heading1"/>
      </w:pPr>
      <w:r>
        <w:rPr>
          <w:color w:val="00264D"/>
        </w:rPr>
        <w:t>1. Executive Summary &amp; Platform Purpose</w:t>
      </w:r>
    </w:p>
    <w:p>
      <w:pPr>
        <w:spacing w:after="160"/>
      </w:pPr>
      <w:r>
        <w:t>The Kenya Re Catastrophe Risk Intelligence Platform is an enterprise-grade nat-cat modeling digital twin engineered specifically for African urban catastrophe perils, with an initial flagship deployment across the Nairobi Metropolitan River Basin. Historically, African reinsurers have operated with significant cat exposure blindspots due to relying on European or North American commercial models that lack local pluvial drainage dynamics, informal settlement vulnerability parameters, and micro-catchment terrain calibration.</w:t>
      </w:r>
    </w:p>
    <w:p>
      <w:pPr>
        <w:spacing w:after="160"/>
      </w:pPr>
      <w:r>
        <w:t>This platform replaces static broker spreadsheets and flat hazard heatmaps with a dynamic, physical 4-pillar catastrophe simulation engine coupled with a real-time WebGL 3D geospatial digital twin. It enables Kenya Re underwriters, treaty actuaries, and claims executives to quantify Average Annual Loss (AAL), evaluate 100-Year Probable Maximum Loss (PML), price facultative risk slips, structure Excess-of-Loss (XoL) treaty retentions, and simulate urban stormwater drainage bottlenecks with millimeter precision.</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D21245"/>
              <w:bottom w:val="none"/>
              <w:right w:val="none"/>
            </w:tcBorders>
          </w:tcPr>
          <w:p>
            <w:pPr>
              <w:spacing w:before="0" w:after="60"/>
            </w:pPr>
            <w:r>
              <w:rPr>
                <w:rFonts w:ascii="Calibri" w:hAnsi="Calibri"/>
                <w:b/>
                <w:color w:val="00264D"/>
                <w:sz w:val="22"/>
              </w:rPr>
              <w:t>■  STRATEGIC EXECUTIVE DIRECTIVE</w:t>
              <w:br/>
            </w:r>
            <w:r>
              <w:rPr>
                <w:rFonts w:ascii="Calibri" w:hAnsi="Calibri"/>
                <w:color w:val="334155"/>
                <w:sz w:val="20"/>
              </w:rPr>
              <w:t>Primary Mission: Solve the reinsurance accumulation and underpricing dilemma in tropical convective flood basins.</w:t>
            </w:r>
          </w:p>
          <w:p>
            <w:pPr>
              <w:spacing w:before="40" w:after="40"/>
            </w:pPr>
            <w:r>
              <w:rPr>
                <w:rFonts w:ascii="Calibri" w:hAnsi="Calibri"/>
                <w:color w:val="334155"/>
                <w:sz w:val="20"/>
              </w:rPr>
              <w:t>Core Capabilities: 4-Pillar Cat Modeling (Hazard, Vulnerability, Exposure, Financial) + 3D Hydrodynamic Network + AI Natural Language Ingestion.</w:t>
            </w:r>
          </w:p>
          <w:p>
            <w:pPr>
              <w:spacing w:before="40" w:after="40"/>
            </w:pPr>
            <w:r>
              <w:rPr>
                <w:rFonts w:ascii="Calibri" w:hAnsi="Calibri"/>
                <w:color w:val="334155"/>
                <w:sz w:val="20"/>
              </w:rPr>
              <w:t>Compliance &amp; Standards: JRC Huizinga (2017) continuous damage functions, CLIMADA impact matrix compatibility, and open actuarial transparency.</w:t>
            </w:r>
          </w:p>
        </w:tc>
      </w:tr>
    </w:tbl>
    <w:p>
      <w:pPr>
        <w:spacing w:after="80"/>
      </w:pPr>
    </w:p>
    <w:p>
      <w:pPr>
        <w:pStyle w:val="Heading1"/>
      </w:pPr>
      <w:r>
        <w:rPr>
          <w:color w:val="00264D"/>
        </w:rPr>
        <w:t>2. The 4-Pillar Scientific Modeling Architecture</w:t>
      </w:r>
    </w:p>
    <w:p>
      <w:pPr>
        <w:spacing w:after="160"/>
      </w:pPr>
      <w:r>
        <w:t>The mathematical and actuarial foundation of the system is structured around the four universal pillars of catastrophe risk modeling, calibrated directly for Nairobi's high-altitude tropical terrain and structural construction archetypes:</w:t>
      </w:r>
    </w:p>
    <w:tbl>
      <w:tblPr>
        <w:tblW w:type="auto" w:w="0"/>
        <w:jc w:val="center"/>
        <w:tblLook w:firstColumn="1" w:firstRow="1" w:lastColumn="0" w:lastRow="0" w:noHBand="0" w:noVBand="1" w:val="04A0"/>
      </w:tblPr>
      <w:tblGrid>
        <w:gridCol w:w="2484"/>
        <w:gridCol w:w="2484"/>
        <w:gridCol w:w="2484"/>
        <w:gridCol w:w="2484"/>
      </w:tblGrid>
      <w:tr>
        <w:tc>
          <w:tcPr>
            <w:tcW w:type="dxa" w:w="1728"/>
            <w:shd w:fill="00264D"/>
            <w:tcMar>
              <w:top w:w="120" w:type="dxa"/>
              <w:bottom w:w="120" w:type="dxa"/>
              <w:left w:w="150" w:type="dxa"/>
              <w:right w:w="150" w:type="dxa"/>
            </w:tcMar>
          </w:tcPr>
          <w:p>
            <w:pPr>
              <w:jc w:val="left"/>
            </w:pPr>
            <w:r>
              <w:rPr>
                <w:rFonts w:ascii="Calibri" w:hAnsi="Calibri"/>
                <w:b/>
                <w:color w:val="FFFFFF"/>
                <w:sz w:val="20"/>
              </w:rPr>
              <w:t>Pillar</w:t>
            </w:r>
          </w:p>
        </w:tc>
        <w:tc>
          <w:tcPr>
            <w:tcW w:type="dxa" w:w="2592"/>
            <w:shd w:fill="00264D"/>
            <w:tcMar>
              <w:top w:w="120" w:type="dxa"/>
              <w:bottom w:w="120" w:type="dxa"/>
              <w:left w:w="150" w:type="dxa"/>
              <w:right w:w="150" w:type="dxa"/>
            </w:tcMar>
          </w:tcPr>
          <w:p>
            <w:pPr>
              <w:jc w:val="left"/>
            </w:pPr>
            <w:r>
              <w:rPr>
                <w:rFonts w:ascii="Calibri" w:hAnsi="Calibri"/>
                <w:b/>
                <w:color w:val="FFFFFF"/>
                <w:sz w:val="20"/>
              </w:rPr>
              <w:t>Scientific Focus</w:t>
            </w:r>
          </w:p>
        </w:tc>
        <w:tc>
          <w:tcPr>
            <w:tcW w:type="dxa" w:w="3168"/>
            <w:shd w:fill="00264D"/>
            <w:tcMar>
              <w:top w:w="120" w:type="dxa"/>
              <w:bottom w:w="120" w:type="dxa"/>
              <w:left w:w="150" w:type="dxa"/>
              <w:right w:w="150" w:type="dxa"/>
            </w:tcMar>
          </w:tcPr>
          <w:p>
            <w:pPr>
              <w:jc w:val="left"/>
            </w:pPr>
            <w:r>
              <w:rPr>
                <w:rFonts w:ascii="Calibri" w:hAnsi="Calibri"/>
                <w:b/>
                <w:color w:val="FFFFFF"/>
                <w:sz w:val="20"/>
              </w:rPr>
              <w:t>Core Algorithms &amp; Implementation</w:t>
            </w:r>
          </w:p>
        </w:tc>
        <w:tc>
          <w:tcPr>
            <w:tcW w:type="dxa" w:w="2592"/>
            <w:shd w:fill="00264D"/>
            <w:tcMar>
              <w:top w:w="120" w:type="dxa"/>
              <w:bottom w:w="120" w:type="dxa"/>
              <w:left w:w="150" w:type="dxa"/>
              <w:right w:w="150" w:type="dxa"/>
            </w:tcMar>
          </w:tcPr>
          <w:p>
            <w:pPr>
              <w:jc w:val="left"/>
            </w:pPr>
            <w:r>
              <w:rPr>
                <w:rFonts w:ascii="Calibri" w:hAnsi="Calibri"/>
                <w:b/>
                <w:color w:val="FFFFFF"/>
                <w:sz w:val="20"/>
              </w:rPr>
              <w:t>Kenya Re Output</w:t>
            </w:r>
          </w:p>
        </w:tc>
      </w:tr>
      <w:tr>
        <w:tc>
          <w:tcPr>
            <w:tcW w:type="dxa" w:w="1728"/>
            <w:shd w:fill="FFFFFF"/>
            <w:tcMar>
              <w:top w:w="100" w:type="dxa"/>
              <w:bottom w:w="100" w:type="dxa"/>
              <w:left w:w="150" w:type="dxa"/>
              <w:right w:w="150" w:type="dxa"/>
            </w:tcMar>
          </w:tcPr>
          <w:p>
            <w:pPr>
              <w:spacing w:before="0" w:after="0"/>
            </w:pPr>
            <w:r>
              <w:rPr>
                <w:rFonts w:ascii="Calibri" w:hAnsi="Calibri"/>
                <w:color w:val="1E293B"/>
                <w:sz w:val="19"/>
              </w:rPr>
              <w:t>Pillar 1: Hazard</w:t>
            </w:r>
          </w:p>
        </w:tc>
        <w:tc>
          <w:tcPr>
            <w:tcW w:type="dxa" w:w="2592"/>
            <w:shd w:fill="FFFFFF"/>
            <w:tcMar>
              <w:top w:w="100" w:type="dxa"/>
              <w:bottom w:w="100" w:type="dxa"/>
              <w:left w:w="150" w:type="dxa"/>
              <w:right w:w="150" w:type="dxa"/>
            </w:tcMar>
          </w:tcPr>
          <w:p>
            <w:pPr>
              <w:spacing w:before="0" w:after="0"/>
            </w:pPr>
            <w:r>
              <w:rPr>
                <w:rFonts w:ascii="Calibri" w:hAnsi="Calibri"/>
                <w:color w:val="1E293B"/>
                <w:sz w:val="19"/>
              </w:rPr>
              <w:t>Geospatial Surface Water &amp; Hydrology</w:t>
            </w:r>
          </w:p>
        </w:tc>
        <w:tc>
          <w:tcPr>
            <w:tcW w:type="dxa" w:w="3168"/>
            <w:shd w:fill="FFFFFF"/>
            <w:tcMar>
              <w:top w:w="100" w:type="dxa"/>
              <w:bottom w:w="100" w:type="dxa"/>
              <w:left w:w="150" w:type="dxa"/>
              <w:right w:w="150" w:type="dxa"/>
            </w:tcMar>
          </w:tcPr>
          <w:p>
            <w:pPr>
              <w:spacing w:before="0" w:after="0"/>
            </w:pPr>
            <w:r>
              <w:rPr>
                <w:rFonts w:ascii="Calibri" w:hAnsi="Calibri"/>
                <w:color w:val="1E293B"/>
                <w:sz w:val="19"/>
              </w:rPr>
              <w:t>Five calibrated GeoTIFF DEM rasters (5y, 10y, 25y, 50y, 100y) indexed via affine coordinate transformation (pixel size 0.0002778°). Integrates 24 validated municipal hotspots &amp; 14 river channels.</w:t>
            </w:r>
          </w:p>
        </w:tc>
        <w:tc>
          <w:tcPr>
            <w:tcW w:type="dxa" w:w="2592"/>
            <w:shd w:fill="FFFFFF"/>
            <w:tcMar>
              <w:top w:w="100" w:type="dxa"/>
              <w:bottom w:w="100" w:type="dxa"/>
              <w:left w:w="150" w:type="dxa"/>
              <w:right w:w="150" w:type="dxa"/>
            </w:tcMar>
          </w:tcPr>
          <w:p>
            <w:pPr>
              <w:spacing w:before="0" w:after="0"/>
            </w:pPr>
            <w:r>
              <w:rPr>
                <w:rFonts w:ascii="Calibri" w:hAnsi="Calibri"/>
                <w:color w:val="1E293B"/>
                <w:sz w:val="19"/>
              </w:rPr>
              <w:t>Water Depth (m) at exact building footprint [lat, lng].</w:t>
            </w:r>
          </w:p>
        </w:tc>
      </w:tr>
      <w:tr>
        <w:tc>
          <w:tcPr>
            <w:tcW w:type="dxa" w:w="1728"/>
            <w:shd w:fill="F8FAFC"/>
            <w:tcMar>
              <w:top w:w="100" w:type="dxa"/>
              <w:bottom w:w="100" w:type="dxa"/>
              <w:left w:w="150" w:type="dxa"/>
              <w:right w:w="150" w:type="dxa"/>
            </w:tcMar>
          </w:tcPr>
          <w:p>
            <w:pPr>
              <w:spacing w:before="0" w:after="0"/>
            </w:pPr>
            <w:r>
              <w:rPr>
                <w:rFonts w:ascii="Calibri" w:hAnsi="Calibri"/>
                <w:color w:val="1E293B"/>
                <w:sz w:val="19"/>
              </w:rPr>
              <w:t>Pillar 2: Vulnerability</w:t>
            </w:r>
          </w:p>
        </w:tc>
        <w:tc>
          <w:tcPr>
            <w:tcW w:type="dxa" w:w="2592"/>
            <w:shd w:fill="F8FAFC"/>
            <w:tcMar>
              <w:top w:w="100" w:type="dxa"/>
              <w:bottom w:w="100" w:type="dxa"/>
              <w:left w:w="150" w:type="dxa"/>
              <w:right w:w="150" w:type="dxa"/>
            </w:tcMar>
          </w:tcPr>
          <w:p>
            <w:pPr>
              <w:spacing w:before="0" w:after="0"/>
            </w:pPr>
            <w:r>
              <w:rPr>
                <w:rFonts w:ascii="Calibri" w:hAnsi="Calibri"/>
                <w:color w:val="1E293B"/>
                <w:sz w:val="19"/>
              </w:rPr>
              <w:t>Structural Damage Susceptibility</w:t>
            </w:r>
          </w:p>
        </w:tc>
        <w:tc>
          <w:tcPr>
            <w:tcW w:type="dxa" w:w="3168"/>
            <w:shd w:fill="F8FAFC"/>
            <w:tcMar>
              <w:top w:w="100" w:type="dxa"/>
              <w:bottom w:w="100" w:type="dxa"/>
              <w:left w:w="150" w:type="dxa"/>
              <w:right w:w="150" w:type="dxa"/>
            </w:tcMar>
          </w:tcPr>
          <w:p>
            <w:pPr>
              <w:spacing w:before="0" w:after="0"/>
            </w:pPr>
            <w:r>
              <w:rPr>
                <w:rFonts w:ascii="Calibri" w:hAnsi="Calibri"/>
                <w:color w:val="1E293B"/>
                <w:sz w:val="19"/>
              </w:rPr>
              <w:t>Continuous sigmoid curves based on JRC Huizinga et al. (2017) Africa parameters. Physical damage ceilings and doorstep/plinth thresholds: Mabati (0.0m), Semi-Perm (0.10m), Masonry (0.25m), Concrete RCC (0.30m).</w:t>
            </w:r>
          </w:p>
        </w:tc>
        <w:tc>
          <w:tcPr>
            <w:tcW w:type="dxa" w:w="2592"/>
            <w:shd w:fill="F8FAFC"/>
            <w:tcMar>
              <w:top w:w="100" w:type="dxa"/>
              <w:bottom w:w="100" w:type="dxa"/>
              <w:left w:w="150" w:type="dxa"/>
              <w:right w:w="150" w:type="dxa"/>
            </w:tcMar>
          </w:tcPr>
          <w:p>
            <w:pPr>
              <w:spacing w:before="0" w:after="0"/>
            </w:pPr>
            <w:r>
              <w:rPr>
                <w:rFonts w:ascii="Calibri" w:hAnsi="Calibri"/>
                <w:color w:val="1E293B"/>
                <w:sz w:val="19"/>
              </w:rPr>
              <w:t>Continuous Damage Ratio (0.00% to Cap%) per asset.</w:t>
            </w:r>
          </w:p>
        </w:tc>
      </w:tr>
      <w:tr>
        <w:tc>
          <w:tcPr>
            <w:tcW w:type="dxa" w:w="1728"/>
            <w:shd w:fill="FFFFFF"/>
            <w:tcMar>
              <w:top w:w="100" w:type="dxa"/>
              <w:bottom w:w="100" w:type="dxa"/>
              <w:left w:w="150" w:type="dxa"/>
              <w:right w:w="150" w:type="dxa"/>
            </w:tcMar>
          </w:tcPr>
          <w:p>
            <w:pPr>
              <w:spacing w:before="0" w:after="0"/>
            </w:pPr>
            <w:r>
              <w:rPr>
                <w:rFonts w:ascii="Calibri" w:hAnsi="Calibri"/>
                <w:color w:val="1E293B"/>
                <w:sz w:val="19"/>
              </w:rPr>
              <w:t>Pillar 3: Exposure</w:t>
            </w:r>
          </w:p>
        </w:tc>
        <w:tc>
          <w:tcPr>
            <w:tcW w:type="dxa" w:w="2592"/>
            <w:shd w:fill="FFFFFF"/>
            <w:tcMar>
              <w:top w:w="100" w:type="dxa"/>
              <w:bottom w:w="100" w:type="dxa"/>
              <w:left w:w="150" w:type="dxa"/>
              <w:right w:w="150" w:type="dxa"/>
            </w:tcMar>
          </w:tcPr>
          <w:p>
            <w:pPr>
              <w:spacing w:before="0" w:after="0"/>
            </w:pPr>
            <w:r>
              <w:rPr>
                <w:rFonts w:ascii="Calibri" w:hAnsi="Calibri"/>
                <w:color w:val="1E293B"/>
                <w:sz w:val="19"/>
              </w:rPr>
              <w:t>Asset Geocoding &amp; Replacement Value</w:t>
            </w:r>
          </w:p>
        </w:tc>
        <w:tc>
          <w:tcPr>
            <w:tcW w:type="dxa" w:w="3168"/>
            <w:shd w:fill="FFFFFF"/>
            <w:tcMar>
              <w:top w:w="100" w:type="dxa"/>
              <w:bottom w:w="100" w:type="dxa"/>
              <w:left w:w="150" w:type="dxa"/>
              <w:right w:w="150" w:type="dxa"/>
            </w:tcMar>
          </w:tcPr>
          <w:p>
            <w:pPr>
              <w:spacing w:before="0" w:after="0"/>
            </w:pPr>
            <w:r>
              <w:rPr>
                <w:rFonts w:ascii="Calibri" w:hAnsi="Calibri"/>
                <w:color w:val="1E293B"/>
                <w:sz w:val="19"/>
              </w:rPr>
              <w:t>600-building synthetic baseline (KES 4.82B TIV) across 12 wards (Upper Hill, Industrial Area, Westlands, South C, etc.) + dynamic ingestion engine supporting ad-hoc broker files (DOCX, PDF, CSV, Excel).</w:t>
            </w:r>
          </w:p>
        </w:tc>
        <w:tc>
          <w:tcPr>
            <w:tcW w:type="dxa" w:w="2592"/>
            <w:shd w:fill="FFFFFF"/>
            <w:tcMar>
              <w:top w:w="100" w:type="dxa"/>
              <w:bottom w:w="100" w:type="dxa"/>
              <w:left w:w="150" w:type="dxa"/>
              <w:right w:w="150" w:type="dxa"/>
            </w:tcMar>
          </w:tcPr>
          <w:p>
            <w:pPr>
              <w:spacing w:before="0" w:after="0"/>
            </w:pPr>
            <w:r>
              <w:rPr>
                <w:rFonts w:ascii="Calibri" w:hAnsi="Calibri"/>
                <w:color w:val="1E293B"/>
                <w:sz w:val="19"/>
              </w:rPr>
              <w:t>Geocoded TIV, Floor Area, Cost/m², Structural Typology.</w:t>
            </w:r>
          </w:p>
        </w:tc>
      </w:tr>
      <w:tr>
        <w:tc>
          <w:tcPr>
            <w:tcW w:type="dxa" w:w="1728"/>
            <w:shd w:fill="F8FAFC"/>
            <w:tcMar>
              <w:top w:w="100" w:type="dxa"/>
              <w:bottom w:w="100" w:type="dxa"/>
              <w:left w:w="150" w:type="dxa"/>
              <w:right w:w="150" w:type="dxa"/>
            </w:tcMar>
          </w:tcPr>
          <w:p>
            <w:pPr>
              <w:spacing w:before="0" w:after="0"/>
            </w:pPr>
            <w:r>
              <w:rPr>
                <w:rFonts w:ascii="Calibri" w:hAnsi="Calibri"/>
                <w:color w:val="1E293B"/>
                <w:sz w:val="19"/>
              </w:rPr>
              <w:t>Pillar 4: Financial</w:t>
            </w:r>
          </w:p>
        </w:tc>
        <w:tc>
          <w:tcPr>
            <w:tcW w:type="dxa" w:w="2592"/>
            <w:shd w:fill="F8FAFC"/>
            <w:tcMar>
              <w:top w:w="100" w:type="dxa"/>
              <w:bottom w:w="100" w:type="dxa"/>
              <w:left w:w="150" w:type="dxa"/>
              <w:right w:w="150" w:type="dxa"/>
            </w:tcMar>
          </w:tcPr>
          <w:p>
            <w:pPr>
              <w:spacing w:before="0" w:after="0"/>
            </w:pPr>
            <w:r>
              <w:rPr>
                <w:rFonts w:ascii="Calibri" w:hAnsi="Calibri"/>
                <w:color w:val="1E293B"/>
                <w:sz w:val="19"/>
              </w:rPr>
              <w:t>Actuarial Pricing &amp; Treaty Engine</w:t>
            </w:r>
          </w:p>
        </w:tc>
        <w:tc>
          <w:tcPr>
            <w:tcW w:type="dxa" w:w="3168"/>
            <w:shd w:fill="F8FAFC"/>
            <w:tcMar>
              <w:top w:w="100" w:type="dxa"/>
              <w:bottom w:w="100" w:type="dxa"/>
              <w:left w:w="150" w:type="dxa"/>
              <w:right w:w="150" w:type="dxa"/>
            </w:tcMar>
          </w:tcPr>
          <w:p>
            <w:pPr>
              <w:spacing w:before="0" w:after="0"/>
            </w:pPr>
            <w:r>
              <w:rPr>
                <w:rFonts w:ascii="Calibri" w:hAnsi="Calibri"/>
                <w:color w:val="1E293B"/>
                <w:sz w:val="19"/>
              </w:rPr>
              <w:t>Event Loss Tables (ELT), exceedance probability (EP) curves, trapezoidal numerical integration for Average Annual Loss (AAL), pure burn rate, and Excess-of-Loss (XoL) layer attachment &amp; exhaustion simulation.</w:t>
            </w:r>
          </w:p>
        </w:tc>
        <w:tc>
          <w:tcPr>
            <w:tcW w:type="dxa" w:w="2592"/>
            <w:shd w:fill="F8FAFC"/>
            <w:tcMar>
              <w:top w:w="100" w:type="dxa"/>
              <w:bottom w:w="100" w:type="dxa"/>
              <w:left w:w="150" w:type="dxa"/>
              <w:right w:w="150" w:type="dxa"/>
            </w:tcMar>
          </w:tcPr>
          <w:p>
            <w:pPr>
              <w:spacing w:before="0" w:after="0"/>
            </w:pPr>
            <w:r>
              <w:rPr>
                <w:rFonts w:ascii="Calibri" w:hAnsi="Calibri"/>
                <w:color w:val="1E293B"/>
                <w:sz w:val="19"/>
              </w:rPr>
              <w:t>AAL (KES), 100-Yr PML, Technical Premium, Treaty ROL.</w:t>
            </w:r>
          </w:p>
        </w:tc>
      </w:tr>
    </w:tbl>
    <w:p>
      <w:pPr>
        <w:spacing w:after="24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D21245"/>
              <w:bottom w:val="none"/>
              <w:right w:val="none"/>
            </w:tcBorders>
          </w:tcPr>
          <w:p>
            <w:pPr>
              <w:spacing w:before="0" w:after="60"/>
            </w:pPr>
            <w:r>
              <w:rPr>
                <w:rFonts w:ascii="Calibri" w:hAnsi="Calibri"/>
                <w:b/>
                <w:color w:val="00264D"/>
                <w:sz w:val="22"/>
              </w:rPr>
              <w:t>■  VULNERABILITY CALIBRATION NOTE</w:t>
              <w:br/>
            </w:r>
            <w:r>
              <w:rPr>
                <w:rFonts w:ascii="Calibri" w:hAnsi="Calibri"/>
                <w:color w:val="334155"/>
                <w:sz w:val="20"/>
              </w:rPr>
              <w:t>Engineered Protection Thresholds: Commercial Reinforced Concrete (RCC) buildings feature a calibrated 0.30m (30 cm) plinth resistance threshold representing elevated doorways, basement sump pumps, and curb elevations.</w:t>
            </w:r>
          </w:p>
          <w:p>
            <w:pPr>
              <w:spacing w:before="40" w:after="40"/>
            </w:pPr>
            <w:r>
              <w:rPr>
                <w:rFonts w:ascii="Calibri" w:hAnsi="Calibri"/>
                <w:color w:val="334155"/>
                <w:sz w:val="20"/>
              </w:rPr>
              <w:t>Mathematical Precision: When water depth is below 0.30m, modeled physical damage is 0.00% (KES 0). The platform strictly enforces this physical reality without artificial mock fallbacks across both the asset dossier and portfolio overview.</w:t>
            </w:r>
          </w:p>
        </w:tc>
      </w:tr>
    </w:tbl>
    <w:p>
      <w:pPr>
        <w:spacing w:after="80"/>
      </w:pPr>
    </w:p>
    <w:p>
      <w:pPr>
        <w:pStyle w:val="Heading1"/>
      </w:pPr>
      <w:r>
        <w:rPr>
          <w:color w:val="00264D"/>
        </w:rPr>
        <w:t>3. End-to-End System Workflow &amp; Data Pipeline</w:t>
      </w:r>
    </w:p>
    <w:p>
      <w:pPr>
        <w:spacing w:after="160"/>
      </w:pPr>
      <w:r>
        <w:t>The system executes a seamless end-to-end data pipeline connecting unstructured broker inputs to actuarial outputs. The diagram below outlines the logical flow of data across the platform architecture:</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Pr>
          <w:p>
            <w:pPr>
              <w:spacing w:before="0" w:after="0"/>
            </w:pPr>
            <w:r>
              <w:rPr>
                <w:rFonts w:ascii="Consolas" w:hAnsi="Consolas"/>
                <w:color w:val="38BDF8"/>
                <w:sz w:val="15"/>
              </w:rPr>
              <w:t>┌────────────────────────────────────────────────────────────────────────────────────────┐</w:t>
              <w:br/>
              <w:t>│                          STAGE 1: EXPOSURE INGESTION &amp; PARSING                         │</w:t>
              <w:br/>
              <w:t>│  • Broker Slip (DOCX / PDF / Text)     • CSV / Excel Portfolio     • Baseline 600 TIV  │</w:t>
              <w:br/>
              <w:t>│  └───────────────────┬───────────────────────────┬───────────────────────────┬─────────┘</w:t>
              <w:br/>
              <w:t xml:space="preserve">                       │                           │                           │</w:t>
              <w:br/>
              <w:t xml:space="preserve">                       ▼                           ▼                           ▼</w:t>
              <w:br/>
              <w:t>┌────────────────────────────────────────────────────────────────────────────────────────┐</w:t>
              <w:br/>
              <w:t>│                       STAGE 2: NATURAL LANGUAGE &amp; SPATIAL ENGINE                       │</w:t>
              <w:br/>
              <w:t>│  • Regex &amp; LLM NER (Class, Area, TIV, Ward) • Geocoding Resolver [-1.2847, 36.8247]   │</w:t>
              <w:br/>
              <w:t>└──────────────────────────────────────────┬─────────────────────────────────────────────┘</w:t>
              <w:br/>
              <w:t xml:space="preserve">                                           │</w:t>
              <w:br/>
              <w:t xml:space="preserve">                                           ▼</w:t>
              <w:br/>
              <w:t>┌────────────────────────────────────────────────────────────────────────────────────────┐</w:t>
              <w:br/>
              <w:t>│                         STAGE 3: HYDRODYNAMIC HAZARD SAMPLING                          │</w:t>
              <w:br/>
              <w:t>│  • 5 GeoTIFF Rasters (5y–100y) • Spatial Coordinate Intersect • Physical Depth (m)     │</w:t>
              <w:br/>
              <w:t>│  • 3D Drainage Network Corridors • AI Siltation Choke Points (+15% Surge Penalty)      │</w:t>
              <w:br/>
              <w:t>└──────────────────────────────────────────┬─────────────────────────────────────────────┘</w:t>
              <w:br/>
              <w:t xml:space="preserve">                                           │</w:t>
              <w:br/>
              <w:t xml:space="preserve">                                           ▼</w:t>
              <w:br/>
              <w:t>┌────────────────────────────────────────────────────────────────────────────────────────┐</w:t>
              <w:br/>
              <w:t>│                     STAGE 4: JRC DEPTH-DAMAGE VULNERABILITY MODEL                      │</w:t>
              <w:br/>
              <w:t>│  • Structural Typology Matching (Mabati, Semi-Perm, Masonry, Concrete RCC Grade A+)    │</w:t>
              <w:br/>
              <w:t>│  • Threshold Resistance Evaluation (0.00m to 0.30m) • Continuous Sigmoid Damage Ratio  │</w:t>
              <w:br/>
              <w:t>└──────────────────────────────────────────┬─────────────────────────────────────────────┘</w:t>
              <w:br/>
              <w:t xml:space="preserve">                                           │</w:t>
              <w:br/>
              <w:t xml:space="preserve">                                           ▼</w:t>
              <w:br/>
              <w:t>┌────────────────────────────────────────────────────────────────────────────────────────┐</w:t>
              <w:br/>
              <w:t>│                        STAGE 5: ACTUARIAL FINANCIAL ENGINE                             │</w:t>
              <w:br/>
              <w:t>│  • Event Loss Table (ELT)   • Exceedance Probability Curve   • Trapezoidal AAL Integral│</w:t>
              <w:br/>
              <w:t>│  • 100-Year Modeled PML     • Excess of Loss (XoL) Pricing   • Single-Risk Fac Quotes  │</w:t>
              <w:br/>
              <w:t>└──────────────────────────────────────────┬─────────────────────────────────────────────┘</w:t>
              <w:br/>
              <w:t xml:space="preserve">                                           │</w:t>
              <w:br/>
              <w:t xml:space="preserve">                                           ▼</w:t>
              <w:br/>
              <w:t>┌────────────────────────────────────────────────────────────────────────────────────────┐</w:t>
              <w:br/>
              <w:t>│                      STAGE 6: PRESENTATION, 3D DIGITAL TWIN &amp; EXPORTS                  │</w:t>
              <w:br/>
              <w:t>│  • Mapbox / MapLibre 3D Terrain • Volumetric Surge Towers • Animated Water Currents   │</w:t>
              <w:br/>
              <w:t>│  • Kenya Re Letterhead PDF Slips • Executive Briefings • Full Building Dossiers       │</w:t>
              <w:br/>
              <w:t>└────────────────────────────────────────────────────────────────────────────────────────┘</w:t>
            </w:r>
          </w:p>
        </w:tc>
      </w:tr>
    </w:tbl>
    <w:p>
      <w:pPr>
        <w:spacing w:after="240"/>
      </w:pPr>
    </w:p>
    <w:p>
      <w:pPr>
        <w:pStyle w:val="Heading2"/>
      </w:pPr>
      <w:r>
        <w:rPr>
          <w:color w:val="00264D"/>
        </w:rPr>
        <w:t>Underwriter Operational User Journeys</w:t>
      </w:r>
    </w:p>
    <w:tbl>
      <w:tblPr>
        <w:tblW w:type="auto" w:w="0"/>
        <w:jc w:val="center"/>
        <w:tblLook w:firstColumn="1" w:firstRow="1" w:lastColumn="0" w:lastRow="0" w:noHBand="0" w:noVBand="1" w:val="04A0"/>
      </w:tblPr>
      <w:tblGrid>
        <w:gridCol w:w="3312"/>
        <w:gridCol w:w="3312"/>
        <w:gridCol w:w="3312"/>
      </w:tblGrid>
      <w:tr>
        <w:tc>
          <w:tcPr>
            <w:tcW w:type="dxa" w:w="2160"/>
            <w:shd w:fill="00264D"/>
            <w:tcMar>
              <w:top w:w="120" w:type="dxa"/>
              <w:bottom w:w="120" w:type="dxa"/>
              <w:left w:w="150" w:type="dxa"/>
              <w:right w:w="150" w:type="dxa"/>
            </w:tcMar>
          </w:tcPr>
          <w:p>
            <w:pPr>
              <w:jc w:val="left"/>
            </w:pPr>
            <w:r>
              <w:rPr>
                <w:rFonts w:ascii="Calibri" w:hAnsi="Calibri"/>
                <w:b/>
                <w:color w:val="FFFFFF"/>
                <w:sz w:val="20"/>
              </w:rPr>
              <w:t>User Journey</w:t>
            </w:r>
          </w:p>
        </w:tc>
        <w:tc>
          <w:tcPr>
            <w:tcW w:type="dxa" w:w="3600"/>
            <w:shd w:fill="00264D"/>
            <w:tcMar>
              <w:top w:w="120" w:type="dxa"/>
              <w:bottom w:w="120" w:type="dxa"/>
              <w:left w:w="150" w:type="dxa"/>
              <w:right w:w="150" w:type="dxa"/>
            </w:tcMar>
          </w:tcPr>
          <w:p>
            <w:pPr>
              <w:jc w:val="left"/>
            </w:pPr>
            <w:r>
              <w:rPr>
                <w:rFonts w:ascii="Calibri" w:hAnsi="Calibri"/>
                <w:b/>
                <w:color w:val="FFFFFF"/>
                <w:sz w:val="20"/>
              </w:rPr>
              <w:t>Underwriting Action</w:t>
            </w:r>
          </w:p>
        </w:tc>
        <w:tc>
          <w:tcPr>
            <w:tcW w:type="dxa" w:w="4320"/>
            <w:shd w:fill="00264D"/>
            <w:tcMar>
              <w:top w:w="120" w:type="dxa"/>
              <w:bottom w:w="120" w:type="dxa"/>
              <w:left w:w="150" w:type="dxa"/>
              <w:right w:w="150" w:type="dxa"/>
            </w:tcMar>
          </w:tcPr>
          <w:p>
            <w:pPr>
              <w:jc w:val="left"/>
            </w:pPr>
            <w:r>
              <w:rPr>
                <w:rFonts w:ascii="Calibri" w:hAnsi="Calibri"/>
                <w:b/>
                <w:color w:val="FFFFFF"/>
                <w:sz w:val="20"/>
              </w:rPr>
              <w:t>Platform Mechanism &amp; Output</w:t>
            </w:r>
          </w:p>
        </w:tc>
      </w:tr>
      <w:tr>
        <w:tc>
          <w:tcPr>
            <w:tcW w:type="dxa" w:w="2160"/>
            <w:shd w:fill="FFFFFF"/>
            <w:tcMar>
              <w:top w:w="100" w:type="dxa"/>
              <w:bottom w:w="100" w:type="dxa"/>
              <w:left w:w="150" w:type="dxa"/>
              <w:right w:w="150" w:type="dxa"/>
            </w:tcMar>
          </w:tcPr>
          <w:p>
            <w:pPr>
              <w:spacing w:before="0" w:after="0"/>
            </w:pPr>
            <w:r>
              <w:rPr>
                <w:rFonts w:ascii="Calibri" w:hAnsi="Calibri"/>
                <w:color w:val="1E293B"/>
                <w:sz w:val="19"/>
              </w:rPr>
              <w:t>1. Portfolio Overview &amp; Accumulation</w:t>
            </w:r>
          </w:p>
        </w:tc>
        <w:tc>
          <w:tcPr>
            <w:tcW w:type="dxa" w:w="3600"/>
            <w:shd w:fill="FFFFFF"/>
            <w:tcMar>
              <w:top w:w="100" w:type="dxa"/>
              <w:bottom w:w="100" w:type="dxa"/>
              <w:left w:w="150" w:type="dxa"/>
              <w:right w:w="150" w:type="dxa"/>
            </w:tcMar>
          </w:tcPr>
          <w:p>
            <w:pPr>
              <w:spacing w:before="0" w:after="0"/>
            </w:pPr>
            <w:r>
              <w:rPr>
                <w:rFonts w:ascii="Calibri" w:hAnsi="Calibri"/>
                <w:color w:val="1E293B"/>
                <w:sz w:val="19"/>
              </w:rPr>
              <w:t>Analyze consolidated or single-file portfolio risk concentration.</w:t>
            </w:r>
          </w:p>
        </w:tc>
        <w:tc>
          <w:tcPr>
            <w:tcW w:type="dxa" w:w="4320"/>
            <w:shd w:fill="FFFFFF"/>
            <w:tcMar>
              <w:top w:w="100" w:type="dxa"/>
              <w:bottom w:w="100" w:type="dxa"/>
              <w:left w:w="150" w:type="dxa"/>
              <w:right w:w="150" w:type="dxa"/>
            </w:tcMar>
          </w:tcPr>
          <w:p>
            <w:pPr>
              <w:spacing w:before="0" w:after="0"/>
            </w:pPr>
            <w:r>
              <w:rPr>
                <w:rFonts w:ascii="Calibri" w:hAnsi="Calibri"/>
                <w:color w:val="1E293B"/>
                <w:sz w:val="19"/>
              </w:rPr>
              <w:t>Navigates to Overview &amp; Hazard panels. Inspects TIV (KES), 25y Event Loss, AAL, and 100-Yr PML. Observes spatial clustering across Industrial Area and South C.</w:t>
            </w:r>
          </w:p>
        </w:tc>
      </w:tr>
      <w:tr>
        <w:tc>
          <w:tcPr>
            <w:tcW w:type="dxa" w:w="2160"/>
            <w:shd w:fill="F8FAFC"/>
            <w:tcMar>
              <w:top w:w="100" w:type="dxa"/>
              <w:bottom w:w="100" w:type="dxa"/>
              <w:left w:w="150" w:type="dxa"/>
              <w:right w:w="150" w:type="dxa"/>
            </w:tcMar>
          </w:tcPr>
          <w:p>
            <w:pPr>
              <w:spacing w:before="0" w:after="0"/>
            </w:pPr>
            <w:r>
              <w:rPr>
                <w:rFonts w:ascii="Calibri" w:hAnsi="Calibri"/>
                <w:color w:val="1E293B"/>
                <w:sz w:val="19"/>
              </w:rPr>
              <w:t>2. Interactive 3D Geospatial Audit</w:t>
            </w:r>
          </w:p>
        </w:tc>
        <w:tc>
          <w:tcPr>
            <w:tcW w:type="dxa" w:w="3600"/>
            <w:shd w:fill="F8FAFC"/>
            <w:tcMar>
              <w:top w:w="100" w:type="dxa"/>
              <w:bottom w:w="100" w:type="dxa"/>
              <w:left w:w="150" w:type="dxa"/>
              <w:right w:w="150" w:type="dxa"/>
            </w:tcMar>
          </w:tcPr>
          <w:p>
            <w:pPr>
              <w:spacing w:before="0" w:after="0"/>
            </w:pPr>
            <w:r>
              <w:rPr>
                <w:rFonts w:ascii="Calibri" w:hAnsi="Calibri"/>
                <w:color w:val="1E293B"/>
                <w:sz w:val="19"/>
              </w:rPr>
              <w:t>Audit flood hazard and drainage bottlenecks around high-value buildings.</w:t>
            </w:r>
          </w:p>
        </w:tc>
        <w:tc>
          <w:tcPr>
            <w:tcW w:type="dxa" w:w="4320"/>
            <w:shd w:fill="F8FAFC"/>
            <w:tcMar>
              <w:top w:w="100" w:type="dxa"/>
              <w:bottom w:w="100" w:type="dxa"/>
              <w:left w:w="150" w:type="dxa"/>
              <w:right w:w="150" w:type="dxa"/>
            </w:tcMar>
          </w:tcPr>
          <w:p>
            <w:pPr>
              <w:spacing w:before="0" w:after="0"/>
            </w:pPr>
            <w:r>
              <w:rPr>
                <w:rFonts w:ascii="Calibri" w:hAnsi="Calibri"/>
                <w:color w:val="1E293B"/>
                <w:sz w:val="19"/>
              </w:rPr>
              <w:t>Switches between Mapbox 3D and MapLibre GL. Toggles 3D terrain tilt (60°). Clicks 3D water ribbons to fly along river corridors and trigger 150m proximity exposure scans.</w:t>
            </w:r>
          </w:p>
        </w:tc>
      </w:tr>
      <w:tr>
        <w:tc>
          <w:tcPr>
            <w:tcW w:type="dxa" w:w="2160"/>
            <w:shd w:fill="FFFFFF"/>
            <w:tcMar>
              <w:top w:w="100" w:type="dxa"/>
              <w:bottom w:w="100" w:type="dxa"/>
              <w:left w:w="150" w:type="dxa"/>
              <w:right w:w="150" w:type="dxa"/>
            </w:tcMar>
          </w:tcPr>
          <w:p>
            <w:pPr>
              <w:spacing w:before="0" w:after="0"/>
            </w:pPr>
            <w:r>
              <w:rPr>
                <w:rFonts w:ascii="Calibri" w:hAnsi="Calibri"/>
                <w:color w:val="1E293B"/>
                <w:sz w:val="19"/>
              </w:rPr>
              <w:t>3. Single-Risk Facultative Quoting</w:t>
            </w:r>
          </w:p>
        </w:tc>
        <w:tc>
          <w:tcPr>
            <w:tcW w:type="dxa" w:w="3600"/>
            <w:shd w:fill="FFFFFF"/>
            <w:tcMar>
              <w:top w:w="100" w:type="dxa"/>
              <w:bottom w:w="100" w:type="dxa"/>
              <w:left w:w="150" w:type="dxa"/>
              <w:right w:w="150" w:type="dxa"/>
            </w:tcMar>
          </w:tcPr>
          <w:p>
            <w:pPr>
              <w:spacing w:before="0" w:after="0"/>
            </w:pPr>
            <w:r>
              <w:rPr>
                <w:rFonts w:ascii="Calibri" w:hAnsi="Calibri"/>
                <w:color w:val="1E293B"/>
                <w:sz w:val="19"/>
              </w:rPr>
              <w:t>Price an incoming single-risk commercial property submission.</w:t>
            </w:r>
          </w:p>
        </w:tc>
        <w:tc>
          <w:tcPr>
            <w:tcW w:type="dxa" w:w="4320"/>
            <w:shd w:fill="FFFFFF"/>
            <w:tcMar>
              <w:top w:w="100" w:type="dxa"/>
              <w:bottom w:w="100" w:type="dxa"/>
              <w:left w:w="150" w:type="dxa"/>
              <w:right w:w="150" w:type="dxa"/>
            </w:tcMar>
          </w:tcPr>
          <w:p>
            <w:pPr>
              <w:spacing w:before="0" w:after="0"/>
            </w:pPr>
            <w:r>
              <w:rPr>
                <w:rFonts w:ascii="Calibri" w:hAnsi="Calibri"/>
                <w:color w:val="1E293B"/>
                <w:sz w:val="19"/>
              </w:rPr>
              <w:t>Enters location, floor area, construction class, cost/m², and deductible into Quoting Desk. System computes pure burn rate, technical premium, and generates an official Kenya Re Quote Slip PDF.</w:t>
            </w:r>
          </w:p>
        </w:tc>
      </w:tr>
      <w:tr>
        <w:tc>
          <w:tcPr>
            <w:tcW w:type="dxa" w:w="2160"/>
            <w:shd w:fill="F8FAFC"/>
            <w:tcMar>
              <w:top w:w="100" w:type="dxa"/>
              <w:bottom w:w="100" w:type="dxa"/>
              <w:left w:w="150" w:type="dxa"/>
              <w:right w:w="150" w:type="dxa"/>
            </w:tcMar>
          </w:tcPr>
          <w:p>
            <w:pPr>
              <w:spacing w:before="0" w:after="0"/>
            </w:pPr>
            <w:r>
              <w:rPr>
                <w:rFonts w:ascii="Calibri" w:hAnsi="Calibri"/>
                <w:color w:val="1E293B"/>
                <w:sz w:val="19"/>
              </w:rPr>
              <w:t>4. XoL Treaty Reinsurance Structuring</w:t>
            </w:r>
          </w:p>
        </w:tc>
        <w:tc>
          <w:tcPr>
            <w:tcW w:type="dxa" w:w="3600"/>
            <w:shd w:fill="F8FAFC"/>
            <w:tcMar>
              <w:top w:w="100" w:type="dxa"/>
              <w:bottom w:w="100" w:type="dxa"/>
              <w:left w:w="150" w:type="dxa"/>
              <w:right w:w="150" w:type="dxa"/>
            </w:tcMar>
          </w:tcPr>
          <w:p>
            <w:pPr>
              <w:spacing w:before="0" w:after="0"/>
            </w:pPr>
            <w:r>
              <w:rPr>
                <w:rFonts w:ascii="Calibri" w:hAnsi="Calibri"/>
                <w:color w:val="1E293B"/>
                <w:sz w:val="19"/>
              </w:rPr>
              <w:t>Price and stress-test treaty layers for cedant flood portfolios.</w:t>
            </w:r>
          </w:p>
        </w:tc>
        <w:tc>
          <w:tcPr>
            <w:tcW w:type="dxa" w:w="4320"/>
            <w:shd w:fill="F8FAFC"/>
            <w:tcMar>
              <w:top w:w="100" w:type="dxa"/>
              <w:bottom w:w="100" w:type="dxa"/>
              <w:left w:w="150" w:type="dxa"/>
              <w:right w:w="150" w:type="dxa"/>
            </w:tcMar>
          </w:tcPr>
          <w:p>
            <w:pPr>
              <w:spacing w:before="0" w:after="0"/>
            </w:pPr>
            <w:r>
              <w:rPr>
                <w:rFonts w:ascii="Calibri" w:hAnsi="Calibri"/>
                <w:color w:val="1E293B"/>
                <w:sz w:val="19"/>
              </w:rPr>
              <w:t>Defines Attachment Point (e.g. KES 50M) and Layer Limit (e.g. KES 100M). System evaluates layer attachment probabilities, layer AAL, Rate on Line (ROL), and AI drainage stress factors.</w:t>
            </w:r>
          </w:p>
        </w:tc>
      </w:tr>
      <w:tr>
        <w:tc>
          <w:tcPr>
            <w:tcW w:type="dxa" w:w="2160"/>
            <w:shd w:fill="FFFFFF"/>
            <w:tcMar>
              <w:top w:w="100" w:type="dxa"/>
              <w:bottom w:w="100" w:type="dxa"/>
              <w:left w:w="150" w:type="dxa"/>
              <w:right w:w="150" w:type="dxa"/>
            </w:tcMar>
          </w:tcPr>
          <w:p>
            <w:pPr>
              <w:spacing w:before="0" w:after="0"/>
            </w:pPr>
            <w:r>
              <w:rPr>
                <w:rFonts w:ascii="Calibri" w:hAnsi="Calibri"/>
                <w:color w:val="1E293B"/>
                <w:sz w:val="19"/>
              </w:rPr>
              <w:t>5. Ad-Hoc File Ingestion &amp; Custom Runs</w:t>
            </w:r>
          </w:p>
        </w:tc>
        <w:tc>
          <w:tcPr>
            <w:tcW w:type="dxa" w:w="3600"/>
            <w:shd w:fill="FFFFFF"/>
            <w:tcMar>
              <w:top w:w="100" w:type="dxa"/>
              <w:bottom w:w="100" w:type="dxa"/>
              <w:left w:w="150" w:type="dxa"/>
              <w:right w:w="150" w:type="dxa"/>
            </w:tcMar>
          </w:tcPr>
          <w:p>
            <w:pPr>
              <w:spacing w:before="0" w:after="0"/>
            </w:pPr>
            <w:r>
              <w:rPr>
                <w:rFonts w:ascii="Calibri" w:hAnsi="Calibri"/>
                <w:color w:val="1E293B"/>
                <w:sz w:val="19"/>
              </w:rPr>
              <w:t>Upload new broker test files (DOCX, PDF, CSV) without database pollution.</w:t>
            </w:r>
          </w:p>
        </w:tc>
        <w:tc>
          <w:tcPr>
            <w:tcW w:type="dxa" w:w="4320"/>
            <w:shd w:fill="FFFFFF"/>
            <w:tcMar>
              <w:top w:w="100" w:type="dxa"/>
              <w:bottom w:w="100" w:type="dxa"/>
              <w:left w:w="150" w:type="dxa"/>
              <w:right w:w="150" w:type="dxa"/>
            </w:tcMar>
          </w:tcPr>
          <w:p>
            <w:pPr>
              <w:spacing w:before="0" w:after="0"/>
            </w:pPr>
            <w:r>
              <w:rPr>
                <w:rFonts w:ascii="Calibri" w:hAnsi="Calibri"/>
                <w:color w:val="1E293B"/>
                <w:sz w:val="19"/>
              </w:rPr>
              <w:t>Opens Ingest Modal. Uploads document. System parses assets, runs DEM hazard sampling, evaluates JRC vulnerability, and spawns an isolated custom run.</w:t>
            </w:r>
          </w:p>
        </w:tc>
      </w:tr>
    </w:tbl>
    <w:p>
      <w:pPr>
        <w:spacing w:after="240"/>
      </w:pPr>
    </w:p>
    <w:p>
      <w:pPr>
        <w:pStyle w:val="Heading1"/>
      </w:pPr>
      <w:r>
        <w:rPr>
          <w:color w:val="00264D"/>
        </w:rPr>
        <w:t>4. Comprehensive Tools &amp; Module Specifications</w:t>
      </w:r>
    </w:p>
    <w:p>
      <w:pPr>
        <w:spacing w:after="160"/>
      </w:pPr>
      <w:r>
        <w:t>The platform provides nine integrated modules designed for reinsurance executives, treaty actuaries, and underwriters:</w:t>
      </w:r>
    </w:p>
    <w:p>
      <w:pPr>
        <w:spacing w:before="80" w:after="80"/>
      </w:pPr>
      <w:r>
        <w:rPr>
          <w:rFonts w:ascii="Calibri" w:hAnsi="Calibri"/>
          <w:b/>
          <w:color w:val="00264D"/>
        </w:rPr>
        <w:t xml:space="preserve">•  1. 3D Geospatial Digital Twin (Mapbox GL &amp; MapLibre GL): </w:t>
      </w:r>
      <w:r>
        <w:rPr>
          <w:rFonts w:ascii="Calibri" w:hAnsi="Calibri"/>
          <w:color w:val="334155"/>
        </w:rPr>
        <w:t>Features 60° tilt, 3D extruded building models up to 100m, and raster flood inundation overlays. Equipped with MapProviderSwitcher for offline / MapLibre fallback.</w:t>
      </w:r>
    </w:p>
    <w:p>
      <w:pPr>
        <w:spacing w:before="80" w:after="80"/>
      </w:pPr>
      <w:r>
        <w:rPr>
          <w:rFonts w:ascii="Calibri" w:hAnsi="Calibri"/>
          <w:b/>
          <w:color w:val="00264D"/>
        </w:rPr>
        <w:t xml:space="preserve">•  2. 3D Volumetric Water Corridors &amp; Animated Currents: </w:t>
      </w:r>
      <w:r>
        <w:rPr>
          <w:rFonts w:ascii="Calibri" w:hAnsi="Calibri"/>
          <w:color w:val="334155"/>
        </w:rPr>
        <w:t>Translates 14 natural river stems and municipal canals into physical polygonal 3D ribbons (6m to 15m wide) with water depth extrusions. Animated WebGL photon currents visibly demonstrate downstream flow velocity toward insured assets.</w:t>
      </w:r>
    </w:p>
    <w:p>
      <w:pPr>
        <w:spacing w:before="80" w:after="80"/>
      </w:pPr>
      <w:r>
        <w:rPr>
          <w:rFonts w:ascii="Calibri" w:hAnsi="Calibri"/>
          <w:b/>
          <w:color w:val="00264D"/>
        </w:rPr>
        <w:t xml:space="preserve">•  3. 3D Bottleneck Surge Towers (Hydraulic Choke Points): </w:t>
      </w:r>
      <w:r>
        <w:rPr>
          <w:rFonts w:ascii="Calibri" w:hAnsi="Calibri"/>
          <w:color w:val="334155"/>
        </w:rPr>
        <w:t>Renders 35m–48m volumetric translucent beacon columns at critical AI-detected choke points (Gikomba Bridge, Nyayo Stadium, South C Outfall, Lunga Lunga). Clicking displays siltation capacity loss % and backwater overtopping surge head.</w:t>
      </w:r>
    </w:p>
    <w:p>
      <w:pPr>
        <w:spacing w:before="80" w:after="80"/>
      </w:pPr>
      <w:r>
        <w:rPr>
          <w:rFonts w:ascii="Calibri" w:hAnsi="Calibri"/>
          <w:b/>
          <w:color w:val="00264D"/>
        </w:rPr>
        <w:t xml:space="preserve">•  4. 150m Hydrological Proximity Exposure Scanner: </w:t>
      </w:r>
      <w:r>
        <w:rPr>
          <w:rFonts w:ascii="Calibri" w:hAnsi="Calibri"/>
          <w:color w:val="334155"/>
        </w:rPr>
        <w:t>Clicking any drainage canal calculates the river heading, flies the 3D camera along the channel, illuminates a 150m danger corridor buffer, and aggregates all exposed portfolio buildings and TIV at risk.</w:t>
      </w:r>
    </w:p>
    <w:p>
      <w:pPr>
        <w:spacing w:before="80" w:after="80"/>
      </w:pPr>
      <w:r>
        <w:rPr>
          <w:rFonts w:ascii="Calibri" w:hAnsi="Calibri"/>
          <w:b/>
          <w:color w:val="00264D"/>
        </w:rPr>
        <w:t xml:space="preserve">•  5. Continuous JRC Depth-Damage Vulnerability Engine: </w:t>
      </w:r>
      <w:r>
        <w:rPr>
          <w:rFonts w:ascii="Calibri" w:hAnsi="Calibri"/>
          <w:color w:val="334155"/>
        </w:rPr>
        <w:t>Evaluates physical damage ratios based on JRC Huizinga (2017) sigmoid formulations with calibrated structural doorstep resistance thresholds (0.00m to 0.30m) and physical damage caps.</w:t>
      </w:r>
    </w:p>
    <w:p>
      <w:pPr>
        <w:spacing w:before="80" w:after="80"/>
      </w:pPr>
      <w:r>
        <w:rPr>
          <w:rFonts w:ascii="Calibri" w:hAnsi="Calibri"/>
          <w:b/>
          <w:color w:val="00264D"/>
        </w:rPr>
        <w:t xml:space="preserve">•  6. Actuarial Financial Engine &amp; Trapezoidal AAL Integrator: </w:t>
      </w:r>
      <w:r>
        <w:rPr>
          <w:rFonts w:ascii="Calibri" w:hAnsi="Calibri"/>
          <w:color w:val="334155"/>
        </w:rPr>
        <w:t>Constructs 5-point Exceedance Probability (EP) Curves and integrates Average Annual Loss (AAL) using exact numerical trapezoidal integration. Computes 100-Year Probable Maximum Loss (PML).</w:t>
      </w:r>
    </w:p>
    <w:p>
      <w:pPr>
        <w:spacing w:before="80" w:after="80"/>
      </w:pPr>
      <w:r>
        <w:rPr>
          <w:rFonts w:ascii="Calibri" w:hAnsi="Calibri"/>
          <w:b/>
          <w:color w:val="00264D"/>
        </w:rPr>
        <w:t xml:space="preserve">•  7. Excess-of-Loss (XoL) Treaty Structuring Desk: </w:t>
      </w:r>
      <w:r>
        <w:rPr>
          <w:rFonts w:ascii="Calibri" w:hAnsi="Calibri"/>
          <w:color w:val="334155"/>
        </w:rPr>
        <w:t>Simulates multi-layer non-proportional reinsurance treaties. Computes attachment frequencies, Layer AAL, Pure Risk Premium, Rate on Line (ROL), and AI drainage stress testing.</w:t>
      </w:r>
    </w:p>
    <w:p>
      <w:pPr>
        <w:spacing w:before="80" w:after="80"/>
      </w:pPr>
      <w:r>
        <w:rPr>
          <w:rFonts w:ascii="Calibri" w:hAnsi="Calibri"/>
          <w:b/>
          <w:color w:val="00264D"/>
        </w:rPr>
        <w:t xml:space="preserve">•  8. Single-Risk Facultative Pricing Engine: </w:t>
      </w:r>
      <w:r>
        <w:rPr>
          <w:rFonts w:ascii="Calibri" w:hAnsi="Calibri"/>
          <w:color w:val="334155"/>
        </w:rPr>
        <w:t>Evaluates replacement values, pure flood burn rates, commercial risk loadings, and deductible retentions. Auto-populates from map assets or manual broker slips.</w:t>
      </w:r>
    </w:p>
    <w:p>
      <w:pPr>
        <w:spacing w:before="80" w:after="80"/>
      </w:pPr>
      <w:r>
        <w:rPr>
          <w:rFonts w:ascii="Calibri" w:hAnsi="Calibri"/>
          <w:b/>
          <w:color w:val="00264D"/>
        </w:rPr>
        <w:t xml:space="preserve">•  9. Official Kenya Re PDF Document Export Suite: </w:t>
      </w:r>
      <w:r>
        <w:rPr>
          <w:rFonts w:ascii="Calibri" w:hAnsi="Calibri"/>
          <w:color w:val="334155"/>
        </w:rPr>
        <w:t>Generates print-ready executive documents branded with the official Kenya Re logo, corporate letterheads, and actuarial schedules: Facultative Quote Slips, Executive Briefings, and Asset Dossiers.</w:t>
      </w:r>
    </w:p>
    <w:p>
      <w:pPr>
        <w:spacing w:after="240"/>
      </w:pPr>
    </w:p>
    <w:p>
      <w:pPr>
        <w:pStyle w:val="Heading1"/>
      </w:pPr>
      <w:r>
        <w:rPr>
          <w:color w:val="00264D"/>
        </w:rPr>
        <w:t>5. Mathematical &amp; Actuarial Formulations</w:t>
      </w:r>
    </w:p>
    <w:p>
      <w:pPr>
        <w:spacing w:after="160"/>
      </w:pPr>
      <w:r>
        <w:t>To ensure complete transparency and defensibility during treaty negotiations, all formulas implemented in the Python backend financial and vulnerability engines are mathematically formalized below:</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D21245"/>
              <w:bottom w:val="none"/>
              <w:right w:val="none"/>
            </w:tcBorders>
          </w:tcPr>
          <w:p>
            <w:pPr>
              <w:spacing w:before="0" w:after="60"/>
            </w:pPr>
            <w:r>
              <w:rPr>
                <w:rFonts w:ascii="Calibri" w:hAnsi="Calibri"/>
                <w:b/>
                <w:color w:val="00264D"/>
                <w:sz w:val="22"/>
              </w:rPr>
              <w:t>■  1. Vulnerability Damage Ratio (Continuous Sigmoid Formulation)</w:t>
              <w:br/>
            </w:r>
            <w:r>
              <w:rPr>
                <w:rFonts w:ascii="Calibri" w:hAnsi="Calibri"/>
                <w:color w:val="334155"/>
                <w:sz w:val="20"/>
              </w:rPr>
              <w:t>For flood depth d and construction resistance threshold d_threshold:</w:t>
              <w:br/>
              <w:t>If d &lt;= d_threshold: Damage Ratio = 0.000</w:t>
              <w:br/>
              <w:t>If d &gt; d_threshold: Damage Ratio = min(Cap, Cap / (1 + exp(-k * ((d - d_threshold) - d_midpoint))))</w:t>
              <w:br/>
              <w:t>Where Cap = 0.65 for Concrete RCC (65% ceiling), k = 1.8 slope, midpoint = 1.50m.</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D21245"/>
              <w:bottom w:val="none"/>
              <w:right w:val="none"/>
            </w:tcBorders>
          </w:tcPr>
          <w:p>
            <w:pPr>
              <w:spacing w:before="0" w:after="60"/>
            </w:pPr>
            <w:r>
              <w:rPr>
                <w:rFonts w:ascii="Calibri" w:hAnsi="Calibri"/>
                <w:b/>
                <w:color w:val="00264D"/>
                <w:sz w:val="22"/>
              </w:rPr>
              <w:t>■  2. Asset-Level Financial Gross &amp; Insured Loss</w:t>
              <w:br/>
            </w:r>
            <w:r>
              <w:rPr>
                <w:rFonts w:ascii="Calibri" w:hAnsi="Calibri"/>
                <w:color w:val="334155"/>
                <w:sz w:val="20"/>
              </w:rPr>
              <w:t>Gross Loss (KES) = TIV_kes * Damage_Ratio(depth_m, class)</w:t>
              <w:br/>
              <w:t>Deductible Amount = TIV_kes * Deductible_%</w:t>
              <w:br/>
              <w:t>Insured Loss (KES) = min(TIV_kes * Policy_Limit_%, max(0.0, Gross_Loss - Deductible_Amount))</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D21245"/>
              <w:bottom w:val="none"/>
              <w:right w:val="none"/>
            </w:tcBorders>
          </w:tcPr>
          <w:p>
            <w:pPr>
              <w:spacing w:before="0" w:after="60"/>
            </w:pPr>
            <w:r>
              <w:rPr>
                <w:rFonts w:ascii="Calibri" w:hAnsi="Calibri"/>
                <w:b/>
                <w:color w:val="00264D"/>
                <w:sz w:val="22"/>
              </w:rPr>
              <w:t>■  3. Actuarial Average Annual Loss (AAL) - Trapezoidal Numerical Integration</w:t>
              <w:br/>
            </w:r>
            <w:r>
              <w:rPr>
                <w:rFonts w:ascii="Calibri" w:hAnsi="Calibri"/>
                <w:color w:val="334155"/>
                <w:sz w:val="20"/>
              </w:rPr>
              <w:t>AAL = Sum_{i=1}^{N-1} [ 0.5 * (Loss_i + Loss_{i+1}) * (AEP_i - AEP_{i+1}) ] + [ AEP_last * Loss_last * 0.5 ]</w:t>
              <w:br/>
              <w:t>Where AEP is the Annual Exceedance Probability (5y=0.20, 10y=0.10, 25y=0.04, 50y=0.02, 100y=0.01).</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36" w:space="0" w:color="D21245"/>
              <w:bottom w:val="none"/>
              <w:right w:val="none"/>
            </w:tcBorders>
          </w:tcPr>
          <w:p>
            <w:pPr>
              <w:spacing w:before="0" w:after="60"/>
            </w:pPr>
            <w:r>
              <w:rPr>
                <w:rFonts w:ascii="Calibri" w:hAnsi="Calibri"/>
                <w:b/>
                <w:color w:val="00264D"/>
                <w:sz w:val="22"/>
              </w:rPr>
              <w:t>■  4. Excess of Loss (XoL) Layer Financial Payout</w:t>
              <w:br/>
            </w:r>
            <w:r>
              <w:rPr>
                <w:rFonts w:ascii="Calibri" w:hAnsi="Calibri"/>
                <w:color w:val="334155"/>
                <w:sz w:val="20"/>
              </w:rPr>
              <w:t>For treaty layer with Attachment Point (Att) and Limit (Lim):</w:t>
              <w:br/>
              <w:t>Layer Loss = min(Lim, max(0.0, Event_Loss - Att)) * Share_%</w:t>
              <w:br/>
              <w:t>Rate on Line (ROL) = (Layer_AAL / Lim) * 100.0</w:t>
              <w:br/>
              <w:t>Recommended Treaty Premium = Layer_AAL * Expense_Loading * Profit_Margin</w:t>
            </w:r>
          </w:p>
        </w:tc>
      </w:tr>
    </w:tbl>
    <w:p>
      <w:pPr>
        <w:spacing w:after="80"/>
      </w:pPr>
    </w:p>
    <w:p>
      <w:pPr>
        <w:pStyle w:val="Heading1"/>
      </w:pPr>
      <w:r>
        <w:rPr>
          <w:color w:val="00264D"/>
        </w:rPr>
        <w:t>6. Technical Architecture &amp; Technology Stack</w:t>
      </w:r>
    </w:p>
    <w:tbl>
      <w:tblPr>
        <w:tblW w:type="auto" w:w="0"/>
        <w:jc w:val="center"/>
        <w:tblLook w:firstColumn="1" w:firstRow="1" w:lastColumn="0" w:lastRow="0" w:noHBand="0" w:noVBand="1" w:val="04A0"/>
      </w:tblPr>
      <w:tblGrid>
        <w:gridCol w:w="3312"/>
        <w:gridCol w:w="3312"/>
        <w:gridCol w:w="3312"/>
      </w:tblGrid>
      <w:tr>
        <w:tc>
          <w:tcPr>
            <w:tcW w:type="dxa" w:w="2592"/>
            <w:shd w:fill="00264D"/>
            <w:tcMar>
              <w:top w:w="120" w:type="dxa"/>
              <w:bottom w:w="120" w:type="dxa"/>
              <w:left w:w="150" w:type="dxa"/>
              <w:right w:w="150" w:type="dxa"/>
            </w:tcMar>
          </w:tcPr>
          <w:p>
            <w:pPr>
              <w:jc w:val="left"/>
            </w:pPr>
            <w:r>
              <w:rPr>
                <w:rFonts w:ascii="Calibri" w:hAnsi="Calibri"/>
                <w:b/>
                <w:color w:val="FFFFFF"/>
                <w:sz w:val="20"/>
              </w:rPr>
              <w:t>Layer / Component</w:t>
            </w:r>
          </w:p>
        </w:tc>
        <w:tc>
          <w:tcPr>
            <w:tcW w:type="dxa" w:w="3168"/>
            <w:shd w:fill="00264D"/>
            <w:tcMar>
              <w:top w:w="120" w:type="dxa"/>
              <w:bottom w:w="120" w:type="dxa"/>
              <w:left w:w="150" w:type="dxa"/>
              <w:right w:w="150" w:type="dxa"/>
            </w:tcMar>
          </w:tcPr>
          <w:p>
            <w:pPr>
              <w:jc w:val="left"/>
            </w:pPr>
            <w:r>
              <w:rPr>
                <w:rFonts w:ascii="Calibri" w:hAnsi="Calibri"/>
                <w:b/>
                <w:color w:val="FFFFFF"/>
                <w:sz w:val="20"/>
              </w:rPr>
              <w:t>Technology / Framework</w:t>
            </w:r>
          </w:p>
        </w:tc>
        <w:tc>
          <w:tcPr>
            <w:tcW w:type="dxa" w:w="4320"/>
            <w:shd w:fill="00264D"/>
            <w:tcMar>
              <w:top w:w="120" w:type="dxa"/>
              <w:bottom w:w="120" w:type="dxa"/>
              <w:left w:w="150" w:type="dxa"/>
              <w:right w:w="150" w:type="dxa"/>
            </w:tcMar>
          </w:tcPr>
          <w:p>
            <w:pPr>
              <w:jc w:val="left"/>
            </w:pPr>
            <w:r>
              <w:rPr>
                <w:rFonts w:ascii="Calibri" w:hAnsi="Calibri"/>
                <w:b/>
                <w:color w:val="FFFFFF"/>
                <w:sz w:val="20"/>
              </w:rPr>
              <w:t>Core Responsibility</w:t>
            </w:r>
          </w:p>
        </w:tc>
      </w:tr>
      <w:tr>
        <w:tc>
          <w:tcPr>
            <w:tcW w:type="dxa" w:w="2592"/>
            <w:shd w:fill="FFFFFF"/>
            <w:tcMar>
              <w:top w:w="100" w:type="dxa"/>
              <w:bottom w:w="100" w:type="dxa"/>
              <w:left w:w="150" w:type="dxa"/>
              <w:right w:w="150" w:type="dxa"/>
            </w:tcMar>
          </w:tcPr>
          <w:p>
            <w:pPr>
              <w:spacing w:before="0" w:after="0"/>
            </w:pPr>
            <w:r>
              <w:rPr>
                <w:rFonts w:ascii="Calibri" w:hAnsi="Calibri"/>
                <w:color w:val="1E293B"/>
                <w:sz w:val="19"/>
              </w:rPr>
              <w:t>Frontend UI &amp; Dashboard</w:t>
            </w:r>
          </w:p>
        </w:tc>
        <w:tc>
          <w:tcPr>
            <w:tcW w:type="dxa" w:w="3168"/>
            <w:shd w:fill="FFFFFF"/>
            <w:tcMar>
              <w:top w:w="100" w:type="dxa"/>
              <w:bottom w:w="100" w:type="dxa"/>
              <w:left w:w="150" w:type="dxa"/>
              <w:right w:w="150" w:type="dxa"/>
            </w:tcMar>
          </w:tcPr>
          <w:p>
            <w:pPr>
              <w:spacing w:before="0" w:after="0"/>
            </w:pPr>
            <w:r>
              <w:rPr>
                <w:rFonts w:ascii="Calibri" w:hAnsi="Calibri"/>
                <w:color w:val="1E293B"/>
                <w:sz w:val="19"/>
              </w:rPr>
              <w:t>Next.js 16 (Turbopack), React 19, TypeScript, Tailwind CSS</w:t>
            </w:r>
          </w:p>
        </w:tc>
        <w:tc>
          <w:tcPr>
            <w:tcW w:type="dxa" w:w="4320"/>
            <w:shd w:fill="FFFFFF"/>
            <w:tcMar>
              <w:top w:w="100" w:type="dxa"/>
              <w:bottom w:w="100" w:type="dxa"/>
              <w:left w:w="150" w:type="dxa"/>
              <w:right w:w="150" w:type="dxa"/>
            </w:tcMar>
          </w:tcPr>
          <w:p>
            <w:pPr>
              <w:spacing w:before="0" w:after="0"/>
            </w:pPr>
            <w:r>
              <w:rPr>
                <w:rFonts w:ascii="Calibri" w:hAnsi="Calibri"/>
                <w:color w:val="1E293B"/>
                <w:sz w:val="19"/>
              </w:rPr>
              <w:t>Executive UI, responsive dashboard panels, real-time KPI animations, and state orchestration.</w:t>
            </w:r>
          </w:p>
        </w:tc>
      </w:tr>
      <w:tr>
        <w:tc>
          <w:tcPr>
            <w:tcW w:type="dxa" w:w="2592"/>
            <w:shd w:fill="F8FAFC"/>
            <w:tcMar>
              <w:top w:w="100" w:type="dxa"/>
              <w:bottom w:w="100" w:type="dxa"/>
              <w:left w:w="150" w:type="dxa"/>
              <w:right w:w="150" w:type="dxa"/>
            </w:tcMar>
          </w:tcPr>
          <w:p>
            <w:pPr>
              <w:spacing w:before="0" w:after="0"/>
            </w:pPr>
            <w:r>
              <w:rPr>
                <w:rFonts w:ascii="Calibri" w:hAnsi="Calibri"/>
                <w:color w:val="1E293B"/>
                <w:sz w:val="19"/>
              </w:rPr>
              <w:t>3D Geospatial Engine</w:t>
            </w:r>
          </w:p>
        </w:tc>
        <w:tc>
          <w:tcPr>
            <w:tcW w:type="dxa" w:w="3168"/>
            <w:shd w:fill="F8FAFC"/>
            <w:tcMar>
              <w:top w:w="100" w:type="dxa"/>
              <w:bottom w:w="100" w:type="dxa"/>
              <w:left w:w="150" w:type="dxa"/>
              <w:right w:w="150" w:type="dxa"/>
            </w:tcMar>
          </w:tcPr>
          <w:p>
            <w:pPr>
              <w:spacing w:before="0" w:after="0"/>
            </w:pPr>
            <w:r>
              <w:rPr>
                <w:rFonts w:ascii="Calibri" w:hAnsi="Calibri"/>
                <w:color w:val="1E293B"/>
                <w:sz w:val="19"/>
              </w:rPr>
              <w:t>Mapbox GL JS (v3) &amp; MapLibre GL</w:t>
            </w:r>
          </w:p>
        </w:tc>
        <w:tc>
          <w:tcPr>
            <w:tcW w:type="dxa" w:w="4320"/>
            <w:shd w:fill="F8FAFC"/>
            <w:tcMar>
              <w:top w:w="100" w:type="dxa"/>
              <w:bottom w:w="100" w:type="dxa"/>
              <w:left w:w="150" w:type="dxa"/>
              <w:right w:w="150" w:type="dxa"/>
            </w:tcMar>
          </w:tcPr>
          <w:p>
            <w:pPr>
              <w:spacing w:before="0" w:after="0"/>
            </w:pPr>
            <w:r>
              <w:rPr>
                <w:rFonts w:ascii="Calibri" w:hAnsi="Calibri"/>
                <w:color w:val="1E293B"/>
                <w:sz w:val="19"/>
              </w:rPr>
              <w:t>3D terrain extrusion, volumetric water ribbons, animated flow current loops, and interactive popups.</w:t>
            </w:r>
          </w:p>
        </w:tc>
      </w:tr>
      <w:tr>
        <w:tc>
          <w:tcPr>
            <w:tcW w:type="dxa" w:w="2592"/>
            <w:shd w:fill="FFFFFF"/>
            <w:tcMar>
              <w:top w:w="100" w:type="dxa"/>
              <w:bottom w:w="100" w:type="dxa"/>
              <w:left w:w="150" w:type="dxa"/>
              <w:right w:w="150" w:type="dxa"/>
            </w:tcMar>
          </w:tcPr>
          <w:p>
            <w:pPr>
              <w:spacing w:before="0" w:after="0"/>
            </w:pPr>
            <w:r>
              <w:rPr>
                <w:rFonts w:ascii="Calibri" w:hAnsi="Calibri"/>
                <w:color w:val="1E293B"/>
                <w:sz w:val="19"/>
              </w:rPr>
              <w:t>Charts &amp; Data Viz</w:t>
            </w:r>
          </w:p>
        </w:tc>
        <w:tc>
          <w:tcPr>
            <w:tcW w:type="dxa" w:w="3168"/>
            <w:shd w:fill="FFFFFF"/>
            <w:tcMar>
              <w:top w:w="100" w:type="dxa"/>
              <w:bottom w:w="100" w:type="dxa"/>
              <w:left w:w="150" w:type="dxa"/>
              <w:right w:w="150" w:type="dxa"/>
            </w:tcMar>
          </w:tcPr>
          <w:p>
            <w:pPr>
              <w:spacing w:before="0" w:after="0"/>
            </w:pPr>
            <w:r>
              <w:rPr>
                <w:rFonts w:ascii="Calibri" w:hAnsi="Calibri"/>
                <w:color w:val="1E293B"/>
                <w:sz w:val="19"/>
              </w:rPr>
              <w:t>Recharts, D3 Hexbin, Lucide React</w:t>
            </w:r>
          </w:p>
        </w:tc>
        <w:tc>
          <w:tcPr>
            <w:tcW w:type="dxa" w:w="4320"/>
            <w:shd w:fill="FFFFFF"/>
            <w:tcMar>
              <w:top w:w="100" w:type="dxa"/>
              <w:bottom w:w="100" w:type="dxa"/>
              <w:left w:w="150" w:type="dxa"/>
              <w:right w:w="150" w:type="dxa"/>
            </w:tcMar>
          </w:tcPr>
          <w:p>
            <w:pPr>
              <w:spacing w:before="0" w:after="0"/>
            </w:pPr>
            <w:r>
              <w:rPr>
                <w:rFonts w:ascii="Calibri" w:hAnsi="Calibri"/>
                <w:color w:val="1E293B"/>
                <w:sz w:val="19"/>
              </w:rPr>
              <w:t>Exceedance probability curves, vulnerability curves, loss breakdown charts, and spatial clustering.</w:t>
            </w:r>
          </w:p>
        </w:tc>
      </w:tr>
      <w:tr>
        <w:tc>
          <w:tcPr>
            <w:tcW w:type="dxa" w:w="2592"/>
            <w:shd w:fill="F8FAFC"/>
            <w:tcMar>
              <w:top w:w="100" w:type="dxa"/>
              <w:bottom w:w="100" w:type="dxa"/>
              <w:left w:w="150" w:type="dxa"/>
              <w:right w:w="150" w:type="dxa"/>
            </w:tcMar>
          </w:tcPr>
          <w:p>
            <w:pPr>
              <w:spacing w:before="0" w:after="0"/>
            </w:pPr>
            <w:r>
              <w:rPr>
                <w:rFonts w:ascii="Calibri" w:hAnsi="Calibri"/>
                <w:color w:val="1E293B"/>
                <w:sz w:val="19"/>
              </w:rPr>
              <w:t>Document &amp; PDF Generation</w:t>
            </w:r>
          </w:p>
        </w:tc>
        <w:tc>
          <w:tcPr>
            <w:tcW w:type="dxa" w:w="3168"/>
            <w:shd w:fill="F8FAFC"/>
            <w:tcMar>
              <w:top w:w="100" w:type="dxa"/>
              <w:bottom w:w="100" w:type="dxa"/>
              <w:left w:w="150" w:type="dxa"/>
              <w:right w:w="150" w:type="dxa"/>
            </w:tcMar>
          </w:tcPr>
          <w:p>
            <w:pPr>
              <w:spacing w:before="0" w:after="0"/>
            </w:pPr>
            <w:r>
              <w:rPr>
                <w:rFonts w:ascii="Calibri" w:hAnsi="Calibri"/>
                <w:color w:val="1E293B"/>
                <w:sz w:val="19"/>
              </w:rPr>
              <w:t>jsPDF, jsPDF-AutoTable, python-docx</w:t>
            </w:r>
          </w:p>
        </w:tc>
        <w:tc>
          <w:tcPr>
            <w:tcW w:type="dxa" w:w="4320"/>
            <w:shd w:fill="F8FAFC"/>
            <w:tcMar>
              <w:top w:w="100" w:type="dxa"/>
              <w:bottom w:w="100" w:type="dxa"/>
              <w:left w:w="150" w:type="dxa"/>
              <w:right w:w="150" w:type="dxa"/>
            </w:tcMar>
          </w:tcPr>
          <w:p>
            <w:pPr>
              <w:spacing w:before="0" w:after="0"/>
            </w:pPr>
            <w:r>
              <w:rPr>
                <w:rFonts w:ascii="Calibri" w:hAnsi="Calibri"/>
                <w:color w:val="1E293B"/>
                <w:sz w:val="19"/>
              </w:rPr>
              <w:t>Client-side and server-side branded PDF and DOCX generation with embedded vector letterheads.</w:t>
            </w:r>
          </w:p>
        </w:tc>
      </w:tr>
      <w:tr>
        <w:tc>
          <w:tcPr>
            <w:tcW w:type="dxa" w:w="2592"/>
            <w:shd w:fill="FFFFFF"/>
            <w:tcMar>
              <w:top w:w="100" w:type="dxa"/>
              <w:bottom w:w="100" w:type="dxa"/>
              <w:left w:w="150" w:type="dxa"/>
              <w:right w:w="150" w:type="dxa"/>
            </w:tcMar>
          </w:tcPr>
          <w:p>
            <w:pPr>
              <w:spacing w:before="0" w:after="0"/>
            </w:pPr>
            <w:r>
              <w:rPr>
                <w:rFonts w:ascii="Calibri" w:hAnsi="Calibri"/>
                <w:color w:val="1E293B"/>
                <w:sz w:val="19"/>
              </w:rPr>
              <w:t>Backend API Gateway</w:t>
            </w:r>
          </w:p>
        </w:tc>
        <w:tc>
          <w:tcPr>
            <w:tcW w:type="dxa" w:w="3168"/>
            <w:shd w:fill="FFFFFF"/>
            <w:tcMar>
              <w:top w:w="100" w:type="dxa"/>
              <w:bottom w:w="100" w:type="dxa"/>
              <w:left w:w="150" w:type="dxa"/>
              <w:right w:w="150" w:type="dxa"/>
            </w:tcMar>
          </w:tcPr>
          <w:p>
            <w:pPr>
              <w:spacing w:before="0" w:after="0"/>
            </w:pPr>
            <w:r>
              <w:rPr>
                <w:rFonts w:ascii="Calibri" w:hAnsi="Calibri"/>
                <w:color w:val="1E293B"/>
                <w:sz w:val="19"/>
              </w:rPr>
              <w:t>FastAPI (Python 3.12), Uvicorn</w:t>
            </w:r>
          </w:p>
        </w:tc>
        <w:tc>
          <w:tcPr>
            <w:tcW w:type="dxa" w:w="4320"/>
            <w:shd w:fill="FFFFFF"/>
            <w:tcMar>
              <w:top w:w="100" w:type="dxa"/>
              <w:bottom w:w="100" w:type="dxa"/>
              <w:left w:w="150" w:type="dxa"/>
              <w:right w:w="150" w:type="dxa"/>
            </w:tcMar>
          </w:tcPr>
          <w:p>
            <w:pPr>
              <w:spacing w:before="0" w:after="0"/>
            </w:pPr>
            <w:r>
              <w:rPr>
                <w:rFonts w:ascii="Calibri" w:hAnsi="Calibri"/>
                <w:color w:val="1E293B"/>
                <w:sz w:val="19"/>
              </w:rPr>
              <w:t>High-performance async REST API, automated OpenAPI/Swagger documentation, and validation schemas.</w:t>
            </w:r>
          </w:p>
        </w:tc>
      </w:tr>
      <w:tr>
        <w:tc>
          <w:tcPr>
            <w:tcW w:type="dxa" w:w="2592"/>
            <w:shd w:fill="F8FAFC"/>
            <w:tcMar>
              <w:top w:w="100" w:type="dxa"/>
              <w:bottom w:w="100" w:type="dxa"/>
              <w:left w:w="150" w:type="dxa"/>
              <w:right w:w="150" w:type="dxa"/>
            </w:tcMar>
          </w:tcPr>
          <w:p>
            <w:pPr>
              <w:spacing w:before="0" w:after="0"/>
            </w:pPr>
            <w:r>
              <w:rPr>
                <w:rFonts w:ascii="Calibri" w:hAnsi="Calibri"/>
                <w:color w:val="1E293B"/>
                <w:sz w:val="19"/>
              </w:rPr>
              <w:t>Hydrological Cat Engine</w:t>
            </w:r>
          </w:p>
        </w:tc>
        <w:tc>
          <w:tcPr>
            <w:tcW w:type="dxa" w:w="3168"/>
            <w:shd w:fill="F8FAFC"/>
            <w:tcMar>
              <w:top w:w="100" w:type="dxa"/>
              <w:bottom w:w="100" w:type="dxa"/>
              <w:left w:w="150" w:type="dxa"/>
              <w:right w:w="150" w:type="dxa"/>
            </w:tcMar>
          </w:tcPr>
          <w:p>
            <w:pPr>
              <w:spacing w:before="0" w:after="0"/>
            </w:pPr>
            <w:r>
              <w:rPr>
                <w:rFonts w:ascii="Calibri" w:hAnsi="Calibri"/>
                <w:color w:val="1E293B"/>
                <w:sz w:val="19"/>
              </w:rPr>
              <w:t>NumPy, tifffile (GeoTIFF Affine), Shapely</w:t>
            </w:r>
          </w:p>
        </w:tc>
        <w:tc>
          <w:tcPr>
            <w:tcW w:type="dxa" w:w="4320"/>
            <w:shd w:fill="F8FAFC"/>
            <w:tcMar>
              <w:top w:w="100" w:type="dxa"/>
              <w:bottom w:w="100" w:type="dxa"/>
              <w:left w:w="150" w:type="dxa"/>
              <w:right w:w="150" w:type="dxa"/>
            </w:tcMar>
          </w:tcPr>
          <w:p>
            <w:pPr>
              <w:spacing w:before="0" w:after="0"/>
            </w:pPr>
            <w:r>
              <w:rPr>
                <w:rFonts w:ascii="Calibri" w:hAnsi="Calibri"/>
                <w:color w:val="1E293B"/>
                <w:sz w:val="19"/>
              </w:rPr>
              <w:t>Raster tiepoint parsing, spatial coordinate sampling, matrix calculations, and CLIMADA compliance.</w:t>
            </w:r>
          </w:p>
        </w:tc>
      </w:tr>
      <w:tr>
        <w:tc>
          <w:tcPr>
            <w:tcW w:type="dxa" w:w="2592"/>
            <w:shd w:fill="FFFFFF"/>
            <w:tcMar>
              <w:top w:w="100" w:type="dxa"/>
              <w:bottom w:w="100" w:type="dxa"/>
              <w:left w:w="150" w:type="dxa"/>
              <w:right w:w="150" w:type="dxa"/>
            </w:tcMar>
          </w:tcPr>
          <w:p>
            <w:pPr>
              <w:spacing w:before="0" w:after="0"/>
            </w:pPr>
            <w:r>
              <w:rPr>
                <w:rFonts w:ascii="Calibri" w:hAnsi="Calibri"/>
                <w:color w:val="1E293B"/>
                <w:sz w:val="19"/>
              </w:rPr>
              <w:t>AI Ingestion Engine</w:t>
            </w:r>
          </w:p>
        </w:tc>
        <w:tc>
          <w:tcPr>
            <w:tcW w:type="dxa" w:w="3168"/>
            <w:shd w:fill="FFFFFF"/>
            <w:tcMar>
              <w:top w:w="100" w:type="dxa"/>
              <w:bottom w:w="100" w:type="dxa"/>
              <w:left w:w="150" w:type="dxa"/>
              <w:right w:w="150" w:type="dxa"/>
            </w:tcMar>
          </w:tcPr>
          <w:p>
            <w:pPr>
              <w:spacing w:before="0" w:after="0"/>
            </w:pPr>
            <w:r>
              <w:rPr>
                <w:rFonts w:ascii="Calibri" w:hAnsi="Calibri"/>
                <w:color w:val="1E293B"/>
                <w:sz w:val="19"/>
              </w:rPr>
              <w:t>Custom NLP Entity Recognition, Pydantic</w:t>
            </w:r>
          </w:p>
        </w:tc>
        <w:tc>
          <w:tcPr>
            <w:tcW w:type="dxa" w:w="4320"/>
            <w:shd w:fill="FFFFFF"/>
            <w:tcMar>
              <w:top w:w="100" w:type="dxa"/>
              <w:bottom w:w="100" w:type="dxa"/>
              <w:left w:w="150" w:type="dxa"/>
              <w:right w:w="150" w:type="dxa"/>
            </w:tcMar>
          </w:tcPr>
          <w:p>
            <w:pPr>
              <w:spacing w:before="0" w:after="0"/>
            </w:pPr>
            <w:r>
              <w:rPr>
                <w:rFonts w:ascii="Calibri" w:hAnsi="Calibri"/>
                <w:color w:val="1E293B"/>
                <w:sz w:val="19"/>
              </w:rPr>
              <w:t>Unstructured text parsing, contract extraction, and synthetic portfolio parameterization.</w:t>
            </w:r>
          </w:p>
        </w:tc>
      </w:tr>
    </w:tbl>
    <w:p>
      <w:pPr>
        <w:spacing w:after="320"/>
      </w:pPr>
    </w:p>
    <w:p>
      <w:pPr>
        <w:spacing w:before="400"/>
      </w:pPr>
      <w:r>
        <w:rPr>
          <w:rFonts w:ascii="Calibri" w:hAnsi="Calibri"/>
          <w:b/>
          <w:color w:val="00264D"/>
          <w:sz w:val="19"/>
        </w:rPr>
        <w:t>APPROVED FOR DEPLOYMENT: Kenya Reinsurance Corporation Catastrophe Underwriting Division ©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