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264D"/>
        </w:rPr>
        <w:t>KENYA REINSURANCE CORPORATION</w:t>
      </w:r>
    </w:p>
    <w:p>
      <w:r>
        <w:rPr>
          <w:b/>
          <w:color w:val="D21245"/>
        </w:rPr>
        <w:t>FACULTATIVE REINSURANCE PORTFOLIO SUBMISSION · PROPERTY RISK SLIP</w:t>
      </w:r>
    </w:p>
    <w:p>
      <w:r>
        <w:t>Broker / Cedant: Minet Kenya Insurance Brokers on behalf of Kenindia Assurance</w:t>
        <w:br/>
        <w:t>Policy Ref: CED-FAC-NBO-2026-089</w:t>
        <w:br/>
        <w:t>Period: 01 January 2026 to 31 December 2026</w:t>
        <w:br/>
        <w:t>Location: Upper Hill Commercial Financial District, Nairobi County, Kenya</w:t>
        <w:br/>
        <w:t>Perils Covered: Fire, Allied Perils, Earthquake, and Urban Flash Flood (Pluvial Inundation)</w:t>
        <w:br/>
        <w:t>Aggregate Total Insured Value (TIV): KES 28,500,000,000</w:t>
      </w:r>
    </w:p>
    <w:p>
      <w:pPr>
        <w:pStyle w:val="Heading1"/>
      </w:pPr>
      <w:r>
        <w:t>Schedule of High-Value Commercial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Asset ID</w:t>
            </w:r>
          </w:p>
        </w:tc>
        <w:tc>
          <w:tcPr>
            <w:tcW w:type="dxa" w:w="1440"/>
          </w:tcPr>
          <w:p>
            <w:r>
              <w:t>Property Name</w:t>
            </w:r>
          </w:p>
        </w:tc>
        <w:tc>
          <w:tcPr>
            <w:tcW w:type="dxa" w:w="1440"/>
          </w:tcPr>
          <w:p>
            <w:r>
              <w:t>Typology</w:t>
            </w:r>
          </w:p>
        </w:tc>
        <w:tc>
          <w:tcPr>
            <w:tcW w:type="dxa" w:w="1440"/>
          </w:tcPr>
          <w:p>
            <w:r>
              <w:t>Floor Area (m²)</w:t>
            </w:r>
          </w:p>
        </w:tc>
        <w:tc>
          <w:tcPr>
            <w:tcW w:type="dxa" w:w="1440"/>
          </w:tcPr>
          <w:p>
            <w:r>
              <w:t>TIV (KES)</w:t>
            </w:r>
          </w:p>
        </w:tc>
        <w:tc>
          <w:tcPr>
            <w:tcW w:type="dxa" w:w="1440"/>
          </w:tcPr>
          <w:p>
            <w:r>
              <w:t>Coordinates (Lat, Lon)</w:t>
            </w:r>
          </w:p>
        </w:tc>
      </w:tr>
      <w:tr>
        <w:tc>
          <w:tcPr>
            <w:tcW w:type="dxa" w:w="1440"/>
          </w:tcPr>
          <w:p>
            <w:r>
              <w:t>UH-001</w:t>
            </w:r>
          </w:p>
        </w:tc>
        <w:tc>
          <w:tcPr>
            <w:tcW w:type="dxa" w:w="1440"/>
          </w:tcPr>
          <w:p>
            <w:r>
              <w:t>Britam Tower Annex Commercial Highrise</w:t>
            </w:r>
          </w:p>
        </w:tc>
        <w:tc>
          <w:tcPr>
            <w:tcW w:type="dxa" w:w="1440"/>
          </w:tcPr>
          <w:p>
            <w:r>
              <w:t>Reinforced Concrete (RCC)</w:t>
            </w:r>
          </w:p>
        </w:tc>
        <w:tc>
          <w:tcPr>
            <w:tcW w:type="dxa" w:w="1440"/>
          </w:tcPr>
          <w:p>
            <w:r>
              <w:t>45,000</w:t>
            </w:r>
          </w:p>
        </w:tc>
        <w:tc>
          <w:tcPr>
            <w:tcW w:type="dxa" w:w="1440"/>
          </w:tcPr>
          <w:p>
            <w:r>
              <w:t>4,500,000,000</w:t>
            </w:r>
          </w:p>
        </w:tc>
        <w:tc>
          <w:tcPr>
            <w:tcW w:type="dxa" w:w="1440"/>
          </w:tcPr>
          <w:p>
            <w:r>
              <w:t>-1.3001, 36.8143</w:t>
            </w:r>
          </w:p>
        </w:tc>
      </w:tr>
      <w:tr>
        <w:tc>
          <w:tcPr>
            <w:tcW w:type="dxa" w:w="1440"/>
          </w:tcPr>
          <w:p>
            <w:r>
              <w:t>UH-002</w:t>
            </w:r>
          </w:p>
        </w:tc>
        <w:tc>
          <w:tcPr>
            <w:tcW w:type="dxa" w:w="1440"/>
          </w:tcPr>
          <w:p>
            <w:r>
              <w:t>Prism Tower Upper Hill Corporate Suites</w:t>
            </w:r>
          </w:p>
        </w:tc>
        <w:tc>
          <w:tcPr>
            <w:tcW w:type="dxa" w:w="1440"/>
          </w:tcPr>
          <w:p>
            <w:r>
              <w:t>Reinforced Concrete (RCC)</w:t>
            </w:r>
          </w:p>
        </w:tc>
        <w:tc>
          <w:tcPr>
            <w:tcW w:type="dxa" w:w="1440"/>
          </w:tcPr>
          <w:p>
            <w:r>
              <w:t>38,000</w:t>
            </w:r>
          </w:p>
        </w:tc>
        <w:tc>
          <w:tcPr>
            <w:tcW w:type="dxa" w:w="1440"/>
          </w:tcPr>
          <w:p>
            <w:r>
              <w:t>3,800,000,000</w:t>
            </w:r>
          </w:p>
        </w:tc>
        <w:tc>
          <w:tcPr>
            <w:tcW w:type="dxa" w:w="1440"/>
          </w:tcPr>
          <w:p>
            <w:r>
              <w:t>-1.2989, 36.8122</w:t>
            </w:r>
          </w:p>
        </w:tc>
      </w:tr>
      <w:tr>
        <w:tc>
          <w:tcPr>
            <w:tcW w:type="dxa" w:w="1440"/>
          </w:tcPr>
          <w:p>
            <w:r>
              <w:t>UH-003</w:t>
            </w:r>
          </w:p>
        </w:tc>
        <w:tc>
          <w:tcPr>
            <w:tcW w:type="dxa" w:w="1440"/>
          </w:tcPr>
          <w:p>
            <w:r>
              <w:t>KCB Leadership Center &amp; Towers</w:t>
            </w:r>
          </w:p>
        </w:tc>
        <w:tc>
          <w:tcPr>
            <w:tcW w:type="dxa" w:w="1440"/>
          </w:tcPr>
          <w:p>
            <w:r>
              <w:t>Reinforced Concrete (RCC)</w:t>
            </w:r>
          </w:p>
        </w:tc>
        <w:tc>
          <w:tcPr>
            <w:tcW w:type="dxa" w:w="1440"/>
          </w:tcPr>
          <w:p>
            <w:r>
              <w:t>35,000</w:t>
            </w:r>
          </w:p>
        </w:tc>
        <w:tc>
          <w:tcPr>
            <w:tcW w:type="dxa" w:w="1440"/>
          </w:tcPr>
          <w:p>
            <w:r>
              <w:t>3,500,000,000</w:t>
            </w:r>
          </w:p>
        </w:tc>
        <w:tc>
          <w:tcPr>
            <w:tcW w:type="dxa" w:w="1440"/>
          </w:tcPr>
          <w:p>
            <w:r>
              <w:t>-1.2974, 36.8139</w:t>
            </w:r>
          </w:p>
        </w:tc>
      </w:tr>
      <w:tr>
        <w:tc>
          <w:tcPr>
            <w:tcW w:type="dxa" w:w="1440"/>
          </w:tcPr>
          <w:p>
            <w:r>
              <w:t>UH-004</w:t>
            </w:r>
          </w:p>
        </w:tc>
        <w:tc>
          <w:tcPr>
            <w:tcW w:type="dxa" w:w="1440"/>
          </w:tcPr>
          <w:p>
            <w:r>
              <w:t>Taifa Financial Center</w:t>
            </w:r>
          </w:p>
        </w:tc>
        <w:tc>
          <w:tcPr>
            <w:tcW w:type="dxa" w:w="1440"/>
          </w:tcPr>
          <w:p>
            <w:r>
              <w:t>Reinforced Concrete (RCC)</w:t>
            </w:r>
          </w:p>
        </w:tc>
        <w:tc>
          <w:tcPr>
            <w:tcW w:type="dxa" w:w="1440"/>
          </w:tcPr>
          <w:p>
            <w:r>
              <w:t>32,000</w:t>
            </w:r>
          </w:p>
        </w:tc>
        <w:tc>
          <w:tcPr>
            <w:tcW w:type="dxa" w:w="1440"/>
          </w:tcPr>
          <w:p>
            <w:r>
              <w:t>3,200,000,000</w:t>
            </w:r>
          </w:p>
        </w:tc>
        <w:tc>
          <w:tcPr>
            <w:tcW w:type="dxa" w:w="1440"/>
          </w:tcPr>
          <w:p>
            <w:r>
              <w:t>-1.2982, 36.8165</w:t>
            </w:r>
          </w:p>
        </w:tc>
      </w:tr>
      <w:tr>
        <w:tc>
          <w:tcPr>
            <w:tcW w:type="dxa" w:w="1440"/>
          </w:tcPr>
          <w:p>
            <w:r>
              <w:t>UH-005</w:t>
            </w:r>
          </w:p>
        </w:tc>
        <w:tc>
          <w:tcPr>
            <w:tcW w:type="dxa" w:w="1440"/>
          </w:tcPr>
          <w:p>
            <w:r>
              <w:t>CIC Insurance Plaza Complex</w:t>
            </w:r>
          </w:p>
        </w:tc>
        <w:tc>
          <w:tcPr>
            <w:tcW w:type="dxa" w:w="1440"/>
          </w:tcPr>
          <w:p>
            <w:r>
              <w:t>Reinforced Concrete (RCC)</w:t>
            </w:r>
          </w:p>
        </w:tc>
        <w:tc>
          <w:tcPr>
            <w:tcW w:type="dxa" w:w="1440"/>
          </w:tcPr>
          <w:p>
            <w:r>
              <w:t>28,000</w:t>
            </w:r>
          </w:p>
        </w:tc>
        <w:tc>
          <w:tcPr>
            <w:tcW w:type="dxa" w:w="1440"/>
          </w:tcPr>
          <w:p>
            <w:r>
              <w:t>2,800,000,000</w:t>
            </w:r>
          </w:p>
        </w:tc>
        <w:tc>
          <w:tcPr>
            <w:tcW w:type="dxa" w:w="1440"/>
          </w:tcPr>
          <w:p>
            <w:r>
              <w:t>-1.3015, 36.8171</w:t>
            </w:r>
          </w:p>
        </w:tc>
      </w:tr>
      <w:tr>
        <w:tc>
          <w:tcPr>
            <w:tcW w:type="dxa" w:w="1440"/>
          </w:tcPr>
          <w:p>
            <w:r>
              <w:t>UH-006</w:t>
            </w:r>
          </w:p>
        </w:tc>
        <w:tc>
          <w:tcPr>
            <w:tcW w:type="dxa" w:w="1440"/>
          </w:tcPr>
          <w:p>
            <w:r>
              <w:t>Equity Center Head Office</w:t>
            </w:r>
          </w:p>
        </w:tc>
        <w:tc>
          <w:tcPr>
            <w:tcW w:type="dxa" w:w="1440"/>
          </w:tcPr>
          <w:p>
            <w:r>
              <w:t>Reinforced Concrete (RCC)</w:t>
            </w:r>
          </w:p>
        </w:tc>
        <w:tc>
          <w:tcPr>
            <w:tcW w:type="dxa" w:w="1440"/>
          </w:tcPr>
          <w:p>
            <w:r>
              <w:t>30,000</w:t>
            </w:r>
          </w:p>
        </w:tc>
        <w:tc>
          <w:tcPr>
            <w:tcW w:type="dxa" w:w="1440"/>
          </w:tcPr>
          <w:p>
            <w:r>
              <w:t>3,000,000,000</w:t>
            </w:r>
          </w:p>
        </w:tc>
        <w:tc>
          <w:tcPr>
            <w:tcW w:type="dxa" w:w="1440"/>
          </w:tcPr>
          <w:p>
            <w:r>
              <w:t>-1.3008, 36.8182</w:t>
            </w:r>
          </w:p>
        </w:tc>
      </w:tr>
      <w:tr>
        <w:tc>
          <w:tcPr>
            <w:tcW w:type="dxa" w:w="1440"/>
          </w:tcPr>
          <w:p>
            <w:r>
              <w:t>UH-007</w:t>
            </w:r>
          </w:p>
        </w:tc>
        <w:tc>
          <w:tcPr>
            <w:tcW w:type="dxa" w:w="1440"/>
          </w:tcPr>
          <w:p>
            <w:r>
              <w:t>NHIF Headquarters Wing B</w:t>
            </w:r>
          </w:p>
        </w:tc>
        <w:tc>
          <w:tcPr>
            <w:tcW w:type="dxa" w:w="1440"/>
          </w:tcPr>
          <w:p>
            <w:r>
              <w:t>Reinforced Concrete (RCC)</w:t>
            </w:r>
          </w:p>
        </w:tc>
        <w:tc>
          <w:tcPr>
            <w:tcW w:type="dxa" w:w="1440"/>
          </w:tcPr>
          <w:p>
            <w:r>
              <w:t>26,000</w:t>
            </w:r>
          </w:p>
        </w:tc>
        <w:tc>
          <w:tcPr>
            <w:tcW w:type="dxa" w:w="1440"/>
          </w:tcPr>
          <w:p>
            <w:r>
              <w:t>2,600,000,000</w:t>
            </w:r>
          </w:p>
        </w:tc>
        <w:tc>
          <w:tcPr>
            <w:tcW w:type="dxa" w:w="1440"/>
          </w:tcPr>
          <w:p>
            <w:r>
              <w:t>-1.2961, 36.8201</w:t>
            </w:r>
          </w:p>
        </w:tc>
      </w:tr>
      <w:tr>
        <w:tc>
          <w:tcPr>
            <w:tcW w:type="dxa" w:w="1440"/>
          </w:tcPr>
          <w:p>
            <w:r>
              <w:t>UH-008</w:t>
            </w:r>
          </w:p>
        </w:tc>
        <w:tc>
          <w:tcPr>
            <w:tcW w:type="dxa" w:w="1440"/>
          </w:tcPr>
          <w:p>
            <w:r>
              <w:t>Landmark Plaza Commercial</w:t>
            </w:r>
          </w:p>
        </w:tc>
        <w:tc>
          <w:tcPr>
            <w:tcW w:type="dxa" w:w="1440"/>
          </w:tcPr>
          <w:p>
            <w:r>
              <w:t>Reinforced Concrete (RCC)</w:t>
            </w:r>
          </w:p>
        </w:tc>
        <w:tc>
          <w:tcPr>
            <w:tcW w:type="dxa" w:w="1440"/>
          </w:tcPr>
          <w:p>
            <w:r>
              <w:t>24,500</w:t>
            </w:r>
          </w:p>
        </w:tc>
        <w:tc>
          <w:tcPr>
            <w:tcW w:type="dxa" w:w="1440"/>
          </w:tcPr>
          <w:p>
            <w:r>
              <w:t>2,450,000,000</w:t>
            </w:r>
          </w:p>
        </w:tc>
        <w:tc>
          <w:tcPr>
            <w:tcW w:type="dxa" w:w="1440"/>
          </w:tcPr>
          <w:p>
            <w:r>
              <w:t>-1.2995, 36.8152</w:t>
            </w:r>
          </w:p>
        </w:tc>
      </w:tr>
      <w:tr>
        <w:tc>
          <w:tcPr>
            <w:tcW w:type="dxa" w:w="1440"/>
          </w:tcPr>
          <w:p>
            <w:r>
              <w:t>UH-009</w:t>
            </w:r>
          </w:p>
        </w:tc>
        <w:tc>
          <w:tcPr>
            <w:tcW w:type="dxa" w:w="1440"/>
          </w:tcPr>
          <w:p>
            <w:r>
              <w:t>Kilimani Crest Corporate Park</w:t>
            </w:r>
          </w:p>
        </w:tc>
        <w:tc>
          <w:tcPr>
            <w:tcW w:type="dxa" w:w="1440"/>
          </w:tcPr>
          <w:p>
            <w:r>
              <w:t>Reinforced Concrete (RCC)</w:t>
            </w:r>
          </w:p>
        </w:tc>
        <w:tc>
          <w:tcPr>
            <w:tcW w:type="dxa" w:w="1440"/>
          </w:tcPr>
          <w:p>
            <w:r>
              <w:t>18,000</w:t>
            </w:r>
          </w:p>
        </w:tc>
        <w:tc>
          <w:tcPr>
            <w:tcW w:type="dxa" w:w="1440"/>
          </w:tcPr>
          <w:p>
            <w:r>
              <w:t>1,800,000,000</w:t>
            </w:r>
          </w:p>
        </w:tc>
        <w:tc>
          <w:tcPr>
            <w:tcW w:type="dxa" w:w="1440"/>
          </w:tcPr>
          <w:p>
            <w:r>
              <w:t>-1.2952, 36.8115</w:t>
            </w:r>
          </w:p>
        </w:tc>
      </w:tr>
      <w:tr>
        <w:tc>
          <w:tcPr>
            <w:tcW w:type="dxa" w:w="1440"/>
          </w:tcPr>
          <w:p>
            <w:r>
              <w:t>UH-010</w:t>
            </w:r>
          </w:p>
        </w:tc>
        <w:tc>
          <w:tcPr>
            <w:tcW w:type="dxa" w:w="1440"/>
          </w:tcPr>
          <w:p>
            <w:r>
              <w:t>Hospital Hill Specialist Medical Wing</w:t>
            </w:r>
          </w:p>
        </w:tc>
        <w:tc>
          <w:tcPr>
            <w:tcW w:type="dxa" w:w="1440"/>
          </w:tcPr>
          <w:p>
            <w:r>
              <w:t>Reinforced Concrete (RCC)</w:t>
            </w:r>
          </w:p>
        </w:tc>
        <w:tc>
          <w:tcPr>
            <w:tcW w:type="dxa" w:w="1440"/>
          </w:tcPr>
          <w:p>
            <w:r>
              <w:t>12,000</w:t>
            </w:r>
          </w:p>
        </w:tc>
        <w:tc>
          <w:tcPr>
            <w:tcW w:type="dxa" w:w="1440"/>
          </w:tcPr>
          <w:p>
            <w:r>
              <w:t>850,000,000</w:t>
            </w:r>
          </w:p>
        </w:tc>
        <w:tc>
          <w:tcPr>
            <w:tcW w:type="dxa" w:w="1440"/>
          </w:tcPr>
          <w:p>
            <w:r>
              <w:t>-1.2965, 36.8189</w:t>
            </w:r>
          </w:p>
        </w:tc>
      </w:tr>
    </w:tbl>
    <w:p>
      <w:r>
        <w:br/>
        <w:t>Underwriting Notes:</w:t>
        <w:br/>
        <w:t>All structures represent Grade-A engineered reinforced concrete frameworks with underground parking and sub-grade electrical switchgear. Basement pluvial flood inundation is the primary exposure during extreme return-period rainfall events (25y and 100y scenarios). Submersible bilge pumps and flood gates are installed at UH-001 and UH-003.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