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264D"/>
        </w:rPr>
        <w:t>KENYA REINSURANCE CORPORATION</w:t>
      </w:r>
    </w:p>
    <w:p>
      <w:r>
        <w:rPr>
          <w:b/>
          <w:color w:val="006400"/>
        </w:rPr>
        <w:t>WESTLANDS &amp; PARKLANDS COMMERCIAL PORTFOLIO · TREATY PROPOSAL</w:t>
      </w:r>
    </w:p>
    <w:p>
      <w:r>
        <w:t>Territory: Westlands &amp; Parklands Commercial Corridor, Nairobi, Kenya</w:t>
        <w:br/>
        <w:t>Total Insured Value (TIV): KES 9,200,000,000</w:t>
        <w:br/>
        <w:t>Primary Typologies: Engineered RCC Commercial Towers and Grade-B Masonry Suites</w:t>
        <w:br/>
        <w:t>Primary Watercourse: Nairobi River Chiromo Tributary</w:t>
      </w:r>
    </w:p>
    <w:p>
      <w:pPr>
        <w:pStyle w:val="Heading1"/>
      </w:pPr>
      <w:r>
        <w:t>Portfolio Asset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Asset / Complex</w:t>
            </w:r>
          </w:p>
        </w:tc>
        <w:tc>
          <w:tcPr>
            <w:tcW w:type="dxa" w:w="1728"/>
          </w:tcPr>
          <w:p>
            <w:r>
              <w:t>Typology</w:t>
            </w:r>
          </w:p>
        </w:tc>
        <w:tc>
          <w:tcPr>
            <w:tcW w:type="dxa" w:w="1728"/>
          </w:tcPr>
          <w:p>
            <w:r>
              <w:t>TIV (KES)</w:t>
            </w:r>
          </w:p>
        </w:tc>
        <w:tc>
          <w:tcPr>
            <w:tcW w:type="dxa" w:w="1728"/>
          </w:tcPr>
          <w:p>
            <w:r>
              <w:t>Coordinates</w:t>
            </w:r>
          </w:p>
        </w:tc>
      </w:tr>
      <w:tr>
        <w:tc>
          <w:tcPr>
            <w:tcW w:type="dxa" w:w="1728"/>
          </w:tcPr>
          <w:p>
            <w:r>
              <w:t>WST-01</w:t>
            </w:r>
          </w:p>
        </w:tc>
        <w:tc>
          <w:tcPr>
            <w:tcW w:type="dxa" w:w="1728"/>
          </w:tcPr>
          <w:p>
            <w:r>
              <w:t>Mpaka Road Commercial Plaza</w:t>
            </w:r>
          </w:p>
        </w:tc>
        <w:tc>
          <w:tcPr>
            <w:tcW w:type="dxa" w:w="1728"/>
          </w:tcPr>
          <w:p>
            <w:r>
              <w:t>Reinforced Concrete (RCC)</w:t>
            </w:r>
          </w:p>
        </w:tc>
        <w:tc>
          <w:tcPr>
            <w:tcW w:type="dxa" w:w="1728"/>
          </w:tcPr>
          <w:p>
            <w:r>
              <w:t>2,200,000,000</w:t>
            </w:r>
          </w:p>
        </w:tc>
        <w:tc>
          <w:tcPr>
            <w:tcW w:type="dxa" w:w="1728"/>
          </w:tcPr>
          <w:p>
            <w:r>
              <w:t>-1.2635, 36.8020</w:t>
            </w:r>
          </w:p>
        </w:tc>
      </w:tr>
      <w:tr>
        <w:tc>
          <w:tcPr>
            <w:tcW w:type="dxa" w:w="1728"/>
          </w:tcPr>
          <w:p>
            <w:r>
              <w:t>WST-02</w:t>
            </w:r>
          </w:p>
        </w:tc>
        <w:tc>
          <w:tcPr>
            <w:tcW w:type="dxa" w:w="1728"/>
          </w:tcPr>
          <w:p>
            <w:r>
              <w:t>Chiromo River View Suites</w:t>
            </w:r>
          </w:p>
        </w:tc>
        <w:tc>
          <w:tcPr>
            <w:tcW w:type="dxa" w:w="1728"/>
          </w:tcPr>
          <w:p>
            <w:r>
              <w:t>Reinforced Concrete (RCC)</w:t>
            </w:r>
          </w:p>
        </w:tc>
        <w:tc>
          <w:tcPr>
            <w:tcW w:type="dxa" w:w="1728"/>
          </w:tcPr>
          <w:p>
            <w:r>
              <w:t>1,850,000,000</w:t>
            </w:r>
          </w:p>
        </w:tc>
        <w:tc>
          <w:tcPr>
            <w:tcW w:type="dxa" w:w="1728"/>
          </w:tcPr>
          <w:p>
            <w:r>
              <w:t>-1.2680, 36.8060</w:t>
            </w:r>
          </w:p>
        </w:tc>
      </w:tr>
      <w:tr>
        <w:tc>
          <w:tcPr>
            <w:tcW w:type="dxa" w:w="1728"/>
          </w:tcPr>
          <w:p>
            <w:r>
              <w:t>WST-03</w:t>
            </w:r>
          </w:p>
        </w:tc>
        <w:tc>
          <w:tcPr>
            <w:tcW w:type="dxa" w:w="1728"/>
          </w:tcPr>
          <w:p>
            <w:r>
              <w:t>Parklands 3rd Avenue Medical Chambers</w:t>
            </w:r>
          </w:p>
        </w:tc>
        <w:tc>
          <w:tcPr>
            <w:tcW w:type="dxa" w:w="1728"/>
          </w:tcPr>
          <w:p>
            <w:r>
              <w:t>Permanent Masonry</w:t>
            </w:r>
          </w:p>
        </w:tc>
        <w:tc>
          <w:tcPr>
            <w:tcW w:type="dxa" w:w="1728"/>
          </w:tcPr>
          <w:p>
            <w:r>
              <w:t>1,450,000,000</w:t>
            </w:r>
          </w:p>
        </w:tc>
        <w:tc>
          <w:tcPr>
            <w:tcW w:type="dxa" w:w="1728"/>
          </w:tcPr>
          <w:p>
            <w:r>
              <w:t>-1.2610, 36.8150</w:t>
            </w:r>
          </w:p>
        </w:tc>
      </w:tr>
      <w:tr>
        <w:tc>
          <w:tcPr>
            <w:tcW w:type="dxa" w:w="1728"/>
          </w:tcPr>
          <w:p>
            <w:r>
              <w:t>WST-04</w:t>
            </w:r>
          </w:p>
        </w:tc>
        <w:tc>
          <w:tcPr>
            <w:tcW w:type="dxa" w:w="1728"/>
          </w:tcPr>
          <w:p>
            <w:r>
              <w:t>Sarit Centre Business Annex</w:t>
            </w:r>
          </w:p>
        </w:tc>
        <w:tc>
          <w:tcPr>
            <w:tcW w:type="dxa" w:w="1728"/>
          </w:tcPr>
          <w:p>
            <w:r>
              <w:t>Reinforced Concrete (RCC)</w:t>
            </w:r>
          </w:p>
        </w:tc>
        <w:tc>
          <w:tcPr>
            <w:tcW w:type="dxa" w:w="1728"/>
          </w:tcPr>
          <w:p>
            <w:r>
              <w:t>2,100,000,000</w:t>
            </w:r>
          </w:p>
        </w:tc>
        <w:tc>
          <w:tcPr>
            <w:tcW w:type="dxa" w:w="1728"/>
          </w:tcPr>
          <w:p>
            <w:r>
              <w:t>-1.2590, 36.8040</w:t>
            </w:r>
          </w:p>
        </w:tc>
      </w:tr>
      <w:tr>
        <w:tc>
          <w:tcPr>
            <w:tcW w:type="dxa" w:w="1728"/>
          </w:tcPr>
          <w:p>
            <w:r>
              <w:t>WST-05</w:t>
            </w:r>
          </w:p>
        </w:tc>
        <w:tc>
          <w:tcPr>
            <w:tcW w:type="dxa" w:w="1728"/>
          </w:tcPr>
          <w:p>
            <w:r>
              <w:t>Woodvale Grove Hospitality Suites</w:t>
            </w:r>
          </w:p>
        </w:tc>
        <w:tc>
          <w:tcPr>
            <w:tcW w:type="dxa" w:w="1728"/>
          </w:tcPr>
          <w:p>
            <w:r>
              <w:t>Permanent Masonry</w:t>
            </w:r>
          </w:p>
        </w:tc>
        <w:tc>
          <w:tcPr>
            <w:tcW w:type="dxa" w:w="1728"/>
          </w:tcPr>
          <w:p>
            <w:r>
              <w:t>1,600,000,000</w:t>
            </w:r>
          </w:p>
        </w:tc>
        <w:tc>
          <w:tcPr>
            <w:tcW w:type="dxa" w:w="1728"/>
          </w:tcPr>
          <w:p>
            <w:r>
              <w:t>-1.2650, 36.8055</w:t>
            </w:r>
          </w:p>
        </w:tc>
      </w:tr>
    </w:tbl>
    <w:p>
      <w:r>
        <w:br/>
        <w:t>Risk Characteristics:</w:t>
        <w:br/>
        <w:t>High concentration of underground parking structures and basements along Chiromo Road. Elevated doorstep design at Mpaka Road provides 0.30m defense against flash pluvial runoff.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