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6572"/>
          <w:spacing w:val="60"/>
          <w:sz w:val="18"/>
          <w:szCs w:val="18"/>
        </w:rPr>
        <w:t xml:space="preserve">AISTRA TALENT</w:t>
      </w:r>
    </w:p>
    <w:p>
      <w:pPr>
        <w:spacing w:after="40"/>
      </w:pPr>
      <w:r>
        <w:rPr>
          <w:rFonts w:ascii="Calibri" w:cs="Calibri" w:eastAsia="Calibri" w:hAnsi="Calibri"/>
          <w:b/>
          <w:bCs/>
          <w:color w:val="12263F"/>
          <w:sz w:val="40"/>
          <w:szCs w:val="40"/>
        </w:rPr>
        <w:t xml:space="preserve">Forward Deployed Engineer</w:t>
      </w:r>
    </w:p>
    <w:p>
      <w:pPr>
        <w:pBdr>
          <w:bottom w:val="single" w:color="12263F" w:sz="12" w:space="8"/>
        </w:pBdr>
        <w:spacing w:after="200"/>
      </w:pPr>
      <w:r>
        <w:rPr>
          <w:rFonts w:ascii="Calibri" w:cs="Calibri" w:eastAsia="Calibri" w:hAnsi="Calibri"/>
          <w:color w:val="5A6572"/>
          <w:sz w:val="30"/>
          <w:szCs w:val="30"/>
        </w:rPr>
        <w:t xml:space="preserve">Take-Home Assignment</w:t>
      </w:r>
    </w:p>
    <w:p>
      <w:pPr>
        <w:spacing w:after="140" w:line="276"/>
      </w:pPr>
      <w:r>
        <w:rPr>
          <w:rFonts w:ascii="Calibri" w:cs="Calibri" w:eastAsia="Calibri" w:hAnsi="Calibri"/>
          <w:b/>
          <w:bCs/>
          <w:color w:val="1C2430"/>
          <w:sz w:val="23"/>
          <w:szCs w:val="23"/>
        </w:rPr>
        <w:t xml:space="preserve">Kestrel Provisions Pvt Ltd: Supply Chain Control Tower</w:t>
      </w:r>
    </w:p>
    <w:p>
      <w:pPr>
        <w:spacing w:after="260" w:line="276"/>
      </w:pPr>
      <w:r>
        <w:rPr>
          <w:rFonts w:ascii="Calibri" w:cs="Calibri" w:eastAsia="Calibri" w:hAnsi="Calibri"/>
          <w:color w:val="5A6572"/>
          <w:sz w:val="19"/>
          <w:szCs w:val="19"/>
        </w:rPr>
        <w:t xml:space="preserve">Version 1.1  |  Issued August 2026</w:t>
      </w:r>
    </w:p>
    <w:p>
      <w:pPr>
        <w:pStyle w:val="Heading1"/>
        <w:pBdr>
          <w:bottom w:val="single" w:color="D5DAE0" w:sz="6" w:space="6"/>
        </w:pBdr>
        <w:spacing w:after="160" w:before="340"/>
      </w:pPr>
      <w:r>
        <w:rPr>
          <w:rFonts w:ascii="Calibri" w:cs="Calibri" w:eastAsia="Calibri" w:hAnsi="Calibri"/>
          <w:b/>
          <w:bCs/>
          <w:color w:val="12263F"/>
          <w:sz w:val="28"/>
          <w:szCs w:val="28"/>
        </w:rPr>
        <w:t xml:space="preserve">Before you start</w:t>
      </w:r>
    </w:p>
    <w:p>
      <w:pPr>
        <w:spacing w:after="140" w:line="276"/>
      </w:pPr>
      <w:r>
        <w:rPr>
          <w:rFonts w:ascii="Calibri" w:cs="Calibri" w:eastAsia="Calibri" w:hAnsi="Calibri"/>
          <w:color w:val="1C2430"/>
          <w:sz w:val="21"/>
          <w:szCs w:val="21"/>
        </w:rPr>
        <w:t xml:space="preserve">This is not a test of whether you can finish. It is deliberately scoped larger than the time available.</w:t>
      </w:r>
    </w:p>
    <w:p>
      <w:pPr>
        <w:spacing w:after="140" w:line="276"/>
      </w:pPr>
      <w:r>
        <w:rPr>
          <w:rFonts w:ascii="Calibri" w:cs="Calibri" w:eastAsia="Calibri" w:hAnsi="Calibri"/>
          <w:color w:val="1C2430"/>
          <w:sz w:val="21"/>
          <w:szCs w:val="21"/>
        </w:rPr>
        <w:t xml:space="preserve">We are evaluating three things: what you chose to build, what you chose not to build, and whether the thing you built holds up when someone pokes it. A small, honest, working system with a clear rationale beats a large half-working one every time.</w:t>
      </w:r>
    </w:p>
    <w:p>
      <w:pPr>
        <w:spacing w:after="140" w:line="276"/>
      </w:pPr>
      <w:r>
        <w:rPr>
          <w:rFonts w:ascii="Calibri" w:cs="Calibri" w:eastAsia="Calibri" w:hAnsi="Calibri"/>
          <w:b/>
          <w:bCs/>
          <w:color w:val="1C2430"/>
          <w:sz w:val="21"/>
          <w:szCs w:val="21"/>
        </w:rPr>
        <w:t xml:space="preserve">Time expectation. </w:t>
      </w:r>
      <w:r>
        <w:rPr>
          <w:rFonts w:ascii="Calibri" w:cs="Calibri" w:eastAsia="Calibri" w:hAnsi="Calibri"/>
          <w:color w:val="1C2430"/>
          <w:sz w:val="21"/>
          <w:szCs w:val="21"/>
        </w:rPr>
        <w:t xml:space="preserve">Around six focused hours. You have three working days from receipt. If you need more time, ask HR. Extensions are granted on request and you do not need to give a reason.</w:t>
      </w:r>
    </w:p>
    <w:p>
      <w:pPr>
        <w:spacing w:after="140" w:line="276"/>
      </w:pPr>
      <w:r>
        <w:rPr>
          <w:rFonts w:ascii="Calibri" w:cs="Calibri" w:eastAsia="Calibri" w:hAnsi="Calibri"/>
          <w:b/>
          <w:bCs/>
          <w:color w:val="1C2430"/>
          <w:sz w:val="21"/>
          <w:szCs w:val="21"/>
        </w:rPr>
        <w:t xml:space="preserve">Tooling. </w:t>
      </w:r>
      <w:r>
        <w:rPr>
          <w:rFonts w:ascii="Calibri" w:cs="Calibri" w:eastAsia="Calibri" w:hAnsi="Calibri"/>
          <w:color w:val="1C2430"/>
          <w:sz w:val="21"/>
          <w:szCs w:val="21"/>
        </w:rPr>
        <w:t xml:space="preserve">Use whatever you want, including Claude, Cursor, Copilot, or any other assistant. We use these tools every day and we expect you to. There is no penalty and no separate track for AI-assisted work.</w:t>
      </w:r>
    </w:p>
    <w:p>
      <w:pPr>
        <w:spacing w:after="140" w:line="276"/>
      </w:pPr>
      <w:r>
        <w:rPr>
          <w:rFonts w:ascii="Calibri" w:cs="Calibri" w:eastAsia="Calibri" w:hAnsi="Calibri"/>
          <w:b/>
          <w:bCs/>
          <w:color w:val="1C2430"/>
          <w:sz w:val="21"/>
          <w:szCs w:val="21"/>
        </w:rPr>
        <w:t xml:space="preserve">What you cannot do. </w:t>
      </w:r>
      <w:r>
        <w:rPr>
          <w:rFonts w:ascii="Calibri" w:cs="Calibri" w:eastAsia="Calibri" w:hAnsi="Calibri"/>
          <w:color w:val="1C2430"/>
          <w:sz w:val="21"/>
          <w:szCs w:val="21"/>
        </w:rPr>
        <w:t xml:space="preserve">Do not use a client’s real data. Do not scrape any site other than the one shipped with this pack.</w:t>
      </w:r>
    </w:p>
    <w:p>
      <w:pPr>
        <w:pStyle w:val="Heading1"/>
        <w:pBdr>
          <w:bottom w:val="single" w:color="D5DAE0" w:sz="6" w:space="6"/>
        </w:pBdr>
        <w:spacing w:after="160" w:before="340"/>
      </w:pPr>
      <w:r>
        <w:rPr>
          <w:rFonts w:ascii="Calibri" w:cs="Calibri" w:eastAsia="Calibri" w:hAnsi="Calibri"/>
          <w:b/>
          <w:bCs/>
          <w:color w:val="12263F"/>
          <w:sz w:val="28"/>
          <w:szCs w:val="28"/>
        </w:rPr>
        <w:t xml:space="preserve">1.  The situation</w:t>
      </w:r>
    </w:p>
    <w:p>
      <w:pPr>
        <w:spacing w:after="140" w:line="276"/>
      </w:pPr>
      <w:r>
        <w:rPr>
          <w:rFonts w:ascii="Calibri" w:cs="Calibri" w:eastAsia="Calibri" w:hAnsi="Calibri"/>
          <w:color w:val="1C2430"/>
          <w:sz w:val="21"/>
          <w:szCs w:val="21"/>
        </w:rPr>
        <w:t xml:space="preserve">Kestrel Provisions is a food and grocery distributor. It moves ambient, chilled and frozen products from eight distribution centres to roughly seven hundred retail outlets across five regions in India. Channels are general trade, modern trade, HORECA and e-commerce dark stores. Annual revenue is in the region of INR 900 crore.</w:t>
      </w:r>
    </w:p>
    <w:p>
      <w:pPr>
        <w:spacing w:after="140" w:line="276"/>
      </w:pPr>
      <w:r>
        <w:rPr>
          <w:rFonts w:ascii="Calibri" w:cs="Calibri" w:eastAsia="Calibri" w:hAnsi="Calibri"/>
          <w:color w:val="1C2430"/>
          <w:sz w:val="21"/>
          <w:szCs w:val="21"/>
        </w:rPr>
        <w:t xml:space="preserve">Kestrel runs on a patchwork. Orders arrive from a field sales mobile app, an ERP web portal, and a partner API used by the e-commerce accounts. Deliveries are tracked by two different telematics vendors. Freight is billed by five carriers through a partner logistics platform. Competitor pricing is watched by an analyst who checks a public price tracker manually, once a week, and pastes screenshots into a WhatsApp group.</w:t>
      </w:r>
    </w:p>
    <w:p>
      <w:pPr>
        <w:spacing w:after="140" w:line="276"/>
      </w:pPr>
      <w:r>
        <w:rPr>
          <w:rFonts w:ascii="Calibri" w:cs="Calibri" w:eastAsia="Calibri" w:hAnsi="Calibri"/>
          <w:color w:val="1C2430"/>
          <w:sz w:val="21"/>
          <w:szCs w:val="21"/>
        </w:rPr>
        <w:t xml:space="preserve">The Head of Supply Chain Operations has asked for a control tower. Below is her brief, verbatim, followed by a note from the commercial side.</w:t>
      </w:r>
    </w:p>
    <w:p>
      <w:pPr>
        <w:pStyle w:val="Heading1"/>
        <w:pBdr>
          <w:bottom w:val="single" w:color="D5DAE0" w:sz="6" w:space="6"/>
        </w:pBdr>
        <w:spacing w:after="160" w:before="340"/>
      </w:pPr>
      <w:r>
        <w:rPr>
          <w:rFonts w:ascii="Calibri" w:cs="Calibri" w:eastAsia="Calibri" w:hAnsi="Calibri"/>
          <w:b/>
          <w:bCs/>
          <w:color w:val="12263F"/>
          <w:sz w:val="28"/>
          <w:szCs w:val="28"/>
        </w:rPr>
        <w:t xml:space="preserve">2.  Client brief</w:t>
      </w:r>
    </w:p>
    <w:tbl>
      <w:tblPr>
        <w:tblW w:type="dxa" w:w="9360"/>
        <w:tblBorders>
          <w:top w:val="none"/>
          <w:left w:val="single" w:color="12263F" w:sz="18"/>
          <w:bottom w:val="none"/>
          <w:right w:val="none"/>
          <w:insideH w:val="none"/>
          <w:insideV w:val="none"/>
        </w:tblBorders>
      </w:tblPr>
      <w:tblGrid>
        <w:gridCol w:w="9360"/>
      </w:tblGrid>
      <w:tr>
        <w:tc>
          <w:tcPr>
            <w:tcW w:type="dxa" w:w="9360"/>
            <w:shd w:fill="F4F6F8" w:val="clear"/>
            <w:tcMar>
              <w:top w:type="dxa" w:w="180"/>
              <w:left w:type="dxa" w:w="220"/>
              <w:bottom w:type="dxa" w:w="180"/>
              <w:right w:type="dxa" w:w="200"/>
            </w:tcMar>
          </w:tcPr>
          <w:p>
            <w:pPr>
              <w:spacing w:after="40" w:line="276"/>
            </w:pPr>
            <w:r>
              <w:rPr>
                <w:rFonts w:ascii="Calibri" w:cs="Calibri" w:eastAsia="Calibri" w:hAnsi="Calibri"/>
                <w:b/>
                <w:bCs/>
                <w:color w:val="1C2430"/>
                <w:sz w:val="20"/>
                <w:szCs w:val="20"/>
              </w:rPr>
              <w:t xml:space="preserve">From: </w:t>
            </w:r>
            <w:r>
              <w:rPr>
                <w:rFonts w:ascii="Calibri" w:cs="Calibri" w:eastAsia="Calibri" w:hAnsi="Calibri"/>
                <w:color w:val="1C2430"/>
                <w:sz w:val="20"/>
                <w:szCs w:val="20"/>
              </w:rPr>
              <w:t xml:space="preserve">Divya Raghavan, Head of Supply Chain Operations</w:t>
            </w:r>
          </w:p>
          <w:p>
            <w:pPr>
              <w:spacing w:after="40" w:line="276"/>
            </w:pPr>
            <w:r>
              <w:rPr>
                <w:rFonts w:ascii="Calibri" w:cs="Calibri" w:eastAsia="Calibri" w:hAnsi="Calibri"/>
                <w:b/>
                <w:bCs/>
                <w:color w:val="1C2430"/>
                <w:sz w:val="20"/>
                <w:szCs w:val="20"/>
              </w:rPr>
              <w:t xml:space="preserve">To: </w:t>
            </w:r>
            <w:r>
              <w:rPr>
                <w:rFonts w:ascii="Calibri" w:cs="Calibri" w:eastAsia="Calibri" w:hAnsi="Calibri"/>
                <w:color w:val="1C2430"/>
                <w:sz w:val="20"/>
                <w:szCs w:val="20"/>
              </w:rPr>
              <w:t xml:space="preserve">Delivery team</w:t>
            </w:r>
          </w:p>
          <w:p>
            <w:pPr>
              <w:spacing w:after="160" w:line="276"/>
            </w:pPr>
            <w:r>
              <w:rPr>
                <w:rFonts w:ascii="Calibri" w:cs="Calibri" w:eastAsia="Calibri" w:hAnsi="Calibri"/>
                <w:b/>
                <w:bCs/>
                <w:color w:val="1C2430"/>
                <w:sz w:val="20"/>
                <w:szCs w:val="20"/>
              </w:rPr>
              <w:t xml:space="preserve">Subject: </w:t>
            </w:r>
            <w:r>
              <w:rPr>
                <w:rFonts w:ascii="Calibri" w:cs="Calibri" w:eastAsia="Calibri" w:hAnsi="Calibri"/>
                <w:color w:val="1C2430"/>
                <w:sz w:val="20"/>
                <w:szCs w:val="20"/>
              </w:rPr>
              <w:t xml:space="preserve">What I actually need</w:t>
            </w:r>
          </w:p>
          <w:p>
            <w:pPr>
              <w:spacing w:after="140" w:line="276"/>
            </w:pPr>
            <w:r>
              <w:rPr>
                <w:rFonts w:ascii="Calibri" w:cs="Calibri" w:eastAsia="Calibri" w:hAnsi="Calibri"/>
                <w:color w:val="1C2430"/>
                <w:sz w:val="20"/>
                <w:szCs w:val="20"/>
              </w:rPr>
              <w:t xml:space="preserve">I spend the first ninety minutes of every day reconstructing what happened yesterday. Four people send me four different numbers for the same thing and I have to decide which one is wrong before I can decide anything else.</w:t>
            </w:r>
          </w:p>
          <w:p>
            <w:pPr>
              <w:spacing w:after="140" w:line="276"/>
            </w:pPr>
            <w:r>
              <w:rPr>
                <w:rFonts w:ascii="Calibri" w:cs="Calibri" w:eastAsia="Calibri" w:hAnsi="Calibri"/>
                <w:color w:val="1C2430"/>
                <w:sz w:val="20"/>
                <w:szCs w:val="20"/>
              </w:rPr>
              <w:t xml:space="preserve">What I want is one screen that tells me, without me asking, where we are losing service and where we are losing money. Then I want to be able to ask it questions in plain English, because the questions I have on a Tuesday are not the questions I had on a Monday and I am not going to raise a ticket every time.</w:t>
            </w:r>
          </w:p>
          <w:p>
            <w:pPr>
              <w:spacing w:after="90" w:line="276"/>
            </w:pPr>
            <w:r>
              <w:rPr>
                <w:rFonts w:ascii="Calibri" w:cs="Calibri" w:eastAsia="Calibri" w:hAnsi="Calibri"/>
                <w:color w:val="1C2430"/>
                <w:sz w:val="20"/>
                <w:szCs w:val="20"/>
              </w:rPr>
              <w:t xml:space="preserve">Specifically:</w:t>
            </w:r>
          </w:p>
          <w:p>
            <w:pPr>
              <w:pStyle w:val="ListParagraph"/>
              <w:numPr>
                <w:ilvl w:val="0"/>
                <w:numId w:val="2"/>
              </w:numPr>
              <w:spacing w:after="90" w:line="276"/>
            </w:pPr>
            <w:r>
              <w:rPr>
                <w:rFonts w:ascii="Calibri" w:cs="Calibri" w:eastAsia="Calibri" w:hAnsi="Calibri"/>
                <w:sz w:val="21"/>
                <w:szCs w:val="21"/>
              </w:rPr>
              <w:t xml:space="preserve">Service. Fill rate and on-time-in-full, by region, by warehouse, by route, by outlet. Measured on cases, that is how we commit to customers. I want to see the worst performers immediately, not after four clicks.</w:t>
            </w:r>
          </w:p>
          <w:p>
            <w:pPr>
              <w:pStyle w:val="ListParagraph"/>
              <w:numPr>
                <w:ilvl w:val="0"/>
                <w:numId w:val="2"/>
              </w:numPr>
              <w:spacing w:after="90" w:line="276"/>
            </w:pPr>
            <w:r>
              <w:rPr>
                <w:rFonts w:ascii="Calibri" w:cs="Calibri" w:eastAsia="Calibri" w:hAnsi="Calibri"/>
                <w:sz w:val="21"/>
                <w:szCs w:val="21"/>
              </w:rPr>
              <w:t xml:space="preserve">Cold chain. Temperature excursions, near-expiry stock, and returns caused by cold chain failures. This is where our money quietly disappears.</w:t>
            </w:r>
          </w:p>
          <w:p>
            <w:pPr>
              <w:pStyle w:val="ListParagraph"/>
              <w:numPr>
                <w:ilvl w:val="0"/>
                <w:numId w:val="2"/>
              </w:numPr>
              <w:spacing w:after="90" w:line="276"/>
            </w:pPr>
            <w:r>
              <w:rPr>
                <w:rFonts w:ascii="Calibri" w:cs="Calibri" w:eastAsia="Calibri" w:hAnsi="Calibri"/>
                <w:sz w:val="21"/>
                <w:szCs w:val="21"/>
              </w:rPr>
              <w:t xml:space="preserve">Money. Freight cost per case delivered. Returns and credit notes as a percentage of dispatch value. Where the leakage sits by category and by carrier.</w:t>
            </w:r>
          </w:p>
          <w:p>
            <w:pPr>
              <w:pStyle w:val="ListParagraph"/>
              <w:numPr>
                <w:ilvl w:val="0"/>
                <w:numId w:val="2"/>
              </w:numPr>
              <w:spacing w:after="90" w:line="276"/>
            </w:pPr>
            <w:r>
              <w:rPr>
                <w:rFonts w:ascii="Calibri" w:cs="Calibri" w:eastAsia="Calibri" w:hAnsi="Calibri"/>
                <w:sz w:val="21"/>
                <w:szCs w:val="21"/>
              </w:rPr>
              <w:t xml:space="preserve">Price position. Our MRP against what competitors are actually charging on the shelf. Today’s gap, by city and category. Right now this lives in a WhatsApp group.</w:t>
            </w:r>
          </w:p>
          <w:p>
            <w:pPr>
              <w:pStyle w:val="ListParagraph"/>
              <w:numPr>
                <w:ilvl w:val="0"/>
                <w:numId w:val="2"/>
              </w:numPr>
              <w:spacing w:after="90" w:line="276"/>
            </w:pPr>
            <w:r>
              <w:rPr>
                <w:rFonts w:ascii="Calibri" w:cs="Calibri" w:eastAsia="Calibri" w:hAnsi="Calibri"/>
                <w:sz w:val="21"/>
                <w:szCs w:val="21"/>
              </w:rPr>
              <w:t xml:space="preserve">Ask-anything. I want to type “why did fill rate drop in the West last week” and get an answer with the numbers behind it, not a chart I have to interpret.</w:t>
            </w:r>
          </w:p>
          <w:p>
            <w:pPr>
              <w:spacing w:after="140" w:line="276"/>
            </w:pPr>
            <w:r>
              <w:rPr>
                <w:rFonts w:ascii="Calibri" w:cs="Calibri" w:eastAsia="Calibri" w:hAnsi="Calibri"/>
                <w:color w:val="1C2430"/>
                <w:sz w:val="20"/>
                <w:szCs w:val="20"/>
              </w:rPr>
              <w:t xml:space="preserve">Make it work for the regional managers too, they will want their own view.</w:t>
            </w:r>
          </w:p>
          <w:p>
            <w:pPr>
              <w:spacing w:after="0" w:line="276"/>
            </w:pPr>
            <w:r>
              <w:rPr>
                <w:rFonts w:ascii="Calibri" w:cs="Calibri" w:eastAsia="Calibri" w:hAnsi="Calibri"/>
                <w:color w:val="1C2430"/>
                <w:sz w:val="20"/>
                <w:szCs w:val="20"/>
              </w:rPr>
              <w:t xml:space="preserve">Assume nothing about my patience for setup. If it does not open, I will not use it.</w:t>
            </w:r>
          </w:p>
        </w:tc>
      </w:tr>
    </w:tbl>
    <w:p>
      <w:pPr>
        <w:spacing w:after="120"/>
      </w:pPr>
      <w:r>
        <w:rPr>
          <w:sz w:val="12"/>
          <w:szCs w:val="12"/>
        </w:rPr>
        <w:t xml:space="preserve"/>
      </w:r>
    </w:p>
    <w:tbl>
      <w:tblPr>
        <w:tblW w:type="dxa" w:w="9360"/>
        <w:tblBorders>
          <w:top w:val="none"/>
          <w:left w:val="single" w:color="12263F" w:sz="18"/>
          <w:bottom w:val="none"/>
          <w:right w:val="none"/>
          <w:insideH w:val="none"/>
          <w:insideV w:val="none"/>
        </w:tblBorders>
      </w:tblPr>
      <w:tblGrid>
        <w:gridCol w:w="9360"/>
      </w:tblGrid>
      <w:tr>
        <w:tc>
          <w:tcPr>
            <w:tcW w:type="dxa" w:w="9360"/>
            <w:shd w:fill="F4F6F8" w:val="clear"/>
            <w:tcMar>
              <w:top w:type="dxa" w:w="180"/>
              <w:left w:type="dxa" w:w="220"/>
              <w:bottom w:type="dxa" w:w="180"/>
              <w:right w:type="dxa" w:w="200"/>
            </w:tcMar>
          </w:tcPr>
          <w:p>
            <w:pPr>
              <w:spacing w:after="40" w:line="276"/>
            </w:pPr>
            <w:r>
              <w:rPr>
                <w:rFonts w:ascii="Calibri" w:cs="Calibri" w:eastAsia="Calibri" w:hAnsi="Calibri"/>
                <w:b/>
                <w:bCs/>
                <w:color w:val="1C2430"/>
                <w:sz w:val="20"/>
                <w:szCs w:val="20"/>
              </w:rPr>
              <w:t xml:space="preserve">From: </w:t>
            </w:r>
            <w:r>
              <w:rPr>
                <w:rFonts w:ascii="Calibri" w:cs="Calibri" w:eastAsia="Calibri" w:hAnsi="Calibri"/>
                <w:color w:val="1C2430"/>
                <w:sz w:val="20"/>
                <w:szCs w:val="20"/>
              </w:rPr>
              <w:t xml:space="preserve">Rakesh Menon, National Sales Manager</w:t>
            </w:r>
          </w:p>
          <w:p>
            <w:pPr>
              <w:spacing w:after="160" w:line="276"/>
            </w:pPr>
            <w:r>
              <w:rPr>
                <w:rFonts w:ascii="Calibri" w:cs="Calibri" w:eastAsia="Calibri" w:hAnsi="Calibri"/>
                <w:b/>
                <w:bCs/>
                <w:color w:val="1C2430"/>
                <w:sz w:val="20"/>
                <w:szCs w:val="20"/>
              </w:rPr>
              <w:t xml:space="preserve">Subject: </w:t>
            </w:r>
            <w:r>
              <w:rPr>
                <w:rFonts w:ascii="Calibri" w:cs="Calibri" w:eastAsia="Calibri" w:hAnsi="Calibri"/>
                <w:color w:val="1C2430"/>
                <w:sz w:val="20"/>
                <w:szCs w:val="20"/>
              </w:rPr>
              <w:t xml:space="preserve">RE: What I actually need</w:t>
            </w:r>
          </w:p>
          <w:p>
            <w:pPr>
              <w:spacing w:after="140" w:line="276"/>
            </w:pPr>
            <w:r>
              <w:rPr>
                <w:rFonts w:ascii="Calibri" w:cs="Calibri" w:eastAsia="Calibri" w:hAnsi="Calibri"/>
                <w:color w:val="1C2430"/>
                <w:sz w:val="20"/>
                <w:szCs w:val="20"/>
              </w:rPr>
              <w:t xml:space="preserve">Adding one thing. Fill rate has to be reported in eaches, not cases. Modern trade penalise us on units short, not cases short, and half our SKU base ships in mixed configurations anyway. The supply chain team have always run it on cases and it is why our numbers never match the customer’s numbers.</w:t>
            </w:r>
          </w:p>
          <w:p>
            <w:pPr>
              <w:spacing w:after="0" w:line="276"/>
            </w:pPr>
            <w:r>
              <w:rPr>
                <w:rFonts w:ascii="Calibri" w:cs="Calibri" w:eastAsia="Calibri" w:hAnsi="Calibri"/>
                <w:color w:val="1C2430"/>
                <w:sz w:val="20"/>
                <w:szCs w:val="20"/>
              </w:rPr>
              <w:t xml:space="preserve">Also please make sure Q1 is on the front page. The board asks about Q1 first, every time.</w:t>
            </w:r>
          </w:p>
        </w:tc>
      </w:tr>
    </w:tbl>
    <w:p>
      <w:pPr>
        <w:spacing w:after="0" w:before="140"/>
      </w:pPr>
      <w:r>
        <w:rPr>
          <w:rFonts w:ascii="Calibri" w:cs="Calibri" w:eastAsia="Calibri" w:hAnsi="Calibri"/>
          <w:i/>
          <w:iCs/>
          <w:color w:val="5A6572"/>
          <w:sz w:val="19"/>
          <w:szCs w:val="19"/>
        </w:rPr>
        <w:t xml:space="preserve">(Kestrel’s financial year runs April to March.)</w:t>
      </w:r>
    </w:p>
    <w:p>
      <w:pPr>
        <w:pStyle w:val="Heading1"/>
        <w:pBdr>
          <w:bottom w:val="single" w:color="D5DAE0" w:sz="6" w:space="6"/>
        </w:pBdr>
        <w:spacing w:after="160" w:before="340"/>
      </w:pPr>
      <w:r>
        <w:rPr>
          <w:rFonts w:ascii="Calibri" w:cs="Calibri" w:eastAsia="Calibri" w:hAnsi="Calibri"/>
          <w:b/>
          <w:bCs/>
          <w:color w:val="12263F"/>
          <w:sz w:val="28"/>
          <w:szCs w:val="28"/>
        </w:rPr>
        <w:t xml:space="preserve">3.  What we have given you</w:t>
      </w:r>
    </w:p>
    <w:p>
      <w:pPr>
        <w:spacing w:after="140" w:line="276"/>
      </w:pPr>
      <w:r>
        <w:rPr>
          <w:rFonts w:ascii="Calibri" w:cs="Calibri" w:eastAsia="Calibri" w:hAnsi="Calibri"/>
          <w:color w:val="1C2430"/>
          <w:sz w:val="21"/>
          <w:szCs w:val="21"/>
        </w:rPr>
        <w:t xml:space="preserve">Everything is in this pack. Nothing requires an account, a credit card, or a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60"/>
        <w:gridCol w:w="2200"/>
      </w:tblGrid>
      <w:tr>
        <w:trPr>
          <w:tblHeader/>
        </w:trPr>
        <w:tc>
          <w:tcPr>
            <w:tcW w:type="dxa" w:w="2500"/>
            <w:shd w:fill="12263F"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Asset</w:t>
            </w:r>
          </w:p>
        </w:tc>
        <w:tc>
          <w:tcPr>
            <w:tcW w:type="dxa" w:w="4660"/>
            <w:shd w:fill="12263F"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is</w:t>
            </w:r>
          </w:p>
        </w:tc>
        <w:tc>
          <w:tcPr>
            <w:tcW w:type="dxa" w:w="2200"/>
            <w:shd w:fill="12263F"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Where</w:t>
            </w:r>
          </w:p>
        </w:tc>
      </w:tr>
      <w:tr>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data/kestrel_ops.db</w:t>
            </w:r>
          </w:p>
        </w:tc>
        <w:tc>
          <w:tcPr>
            <w:tcW w:type="dxa" w:w="466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SQLite. 13 tables, ~820,000 rows, 18 months to 30 June 2026</w:t>
            </w:r>
          </w:p>
        </w:tc>
        <w:tc>
          <w:tcPr>
            <w:tcW w:type="dxa" w:w="2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/data</w:t>
            </w:r>
          </w:p>
        </w:tc>
      </w:tr>
      <w:tr>
        <w:tc>
          <w:tcPr>
            <w:tcW w:type="dxa" w:w="250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data/csv/</w:t>
            </w:r>
          </w:p>
        </w:tc>
        <w:tc>
          <w:tcPr>
            <w:tcW w:type="dxa" w:w="466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The same tables as CSV, if you prefer</w:t>
            </w:r>
          </w:p>
        </w:tc>
        <w:tc>
          <w:tcPr>
            <w:tcW w:type="dxa" w:w="220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/data/csv</w:t>
            </w:r>
          </w:p>
        </w:tc>
      </w:tr>
      <w:tr>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bazaarpulse_site/</w:t>
            </w:r>
          </w:p>
        </w:tc>
        <w:tc>
          <w:tcPr>
            <w:tcW w:type="dxa" w:w="466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 static competitor price tracker. This is your scrape target</w:t>
            </w:r>
          </w:p>
        </w:tc>
        <w:tc>
          <w:tcPr>
            <w:tcW w:type="dxa" w:w="2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/bazaarpulse_site</w:t>
            </w:r>
          </w:p>
        </w:tc>
      </w:tr>
      <w:tr>
        <w:tc>
          <w:tcPr>
            <w:tcW w:type="dxa" w:w="250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partner_api/server.py</w:t>
            </w:r>
          </w:p>
        </w:tc>
        <w:tc>
          <w:tcPr>
            <w:tcW w:type="dxa" w:w="466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A mock carrier billing API. Runs locally on port 8088</w:t>
            </w:r>
          </w:p>
        </w:tc>
        <w:tc>
          <w:tcPr>
            <w:tcW w:type="dxa" w:w="220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/partner_api</w:t>
            </w:r>
          </w:p>
        </w:tc>
      </w:tr>
      <w:tr>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02_Data_Dictionary.md</w:t>
            </w:r>
          </w:p>
        </w:tc>
        <w:tc>
          <w:tcPr>
            <w:tcW w:type="dxa" w:w="466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Partial documentation of the database</w:t>
            </w:r>
          </w:p>
        </w:tc>
        <w:tc>
          <w:tcPr>
            <w:tcW w:type="dxa" w:w="2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root</w:t>
            </w:r>
          </w:p>
        </w:tc>
      </w:tr>
      <w:tr>
        <w:tc>
          <w:tcPr>
            <w:tcW w:type="dxa" w:w="250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03_External_Sources.md</w:t>
            </w:r>
          </w:p>
        </w:tc>
        <w:tc>
          <w:tcPr>
            <w:tcW w:type="dxa" w:w="466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How to reach the site, the mock API, and two public APIs</w:t>
            </w:r>
          </w:p>
        </w:tc>
        <w:tc>
          <w:tcPr>
            <w:tcW w:type="dxa" w:w="220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root</w:t>
            </w:r>
          </w:p>
        </w:tc>
      </w:tr>
    </w:tbl>
    <w:p>
      <w:pPr>
        <w:spacing w:after="140" w:before="160" w:line="276"/>
      </w:pPr>
      <w:r>
        <w:rPr>
          <w:rFonts w:ascii="Calibri" w:cs="Calibri" w:eastAsia="Calibri" w:hAnsi="Calibri"/>
          <w:sz w:val="21"/>
          <w:szCs w:val="21"/>
        </w:rPr>
        <w:t xml:space="preserve">The data dictionary is incomplete. That is not an oversight. Real client documentation is always incomplete, and how you handle the gaps is part of what we are looking at.</w:t>
      </w:r>
    </w:p>
    <w:p>
      <w:pPr>
        <w:pStyle w:val="Heading1"/>
        <w:pBdr>
          <w:bottom w:val="single" w:color="D5DAE0" w:sz="6" w:space="6"/>
        </w:pBdr>
        <w:spacing w:after="160" w:before="340"/>
      </w:pPr>
      <w:r>
        <w:rPr>
          <w:rFonts w:ascii="Calibri" w:cs="Calibri" w:eastAsia="Calibri" w:hAnsi="Calibri"/>
          <w:b/>
          <w:bCs/>
          <w:color w:val="12263F"/>
          <w:sz w:val="28"/>
          <w:szCs w:val="28"/>
        </w:rPr>
        <w:t xml:space="preserve">4.  What we are asking you to build</w:t>
      </w:r>
    </w:p>
    <w:p>
      <w:pPr>
        <w:spacing w:after="140" w:line="276"/>
      </w:pPr>
      <w:r>
        <w:rPr>
          <w:rFonts w:ascii="Calibri" w:cs="Calibri" w:eastAsia="Calibri" w:hAnsi="Calibri"/>
          <w:b/>
          <w:bCs/>
          <w:color w:val="1C2430"/>
          <w:sz w:val="21"/>
          <w:szCs w:val="21"/>
        </w:rPr>
        <w:t xml:space="preserve">You decide.</w:t>
      </w:r>
    </w:p>
    <w:p>
      <w:pPr>
        <w:spacing w:after="140" w:line="276"/>
      </w:pPr>
      <w:r>
        <w:rPr>
          <w:rFonts w:ascii="Calibri" w:cs="Calibri" w:eastAsia="Calibri" w:hAnsi="Calibri"/>
          <w:color w:val="1C2430"/>
          <w:sz w:val="21"/>
          <w:szCs w:val="21"/>
        </w:rPr>
        <w:t xml:space="preserve">Read the brief above. Work out what a system that answers it looks like, work out how much of that you can build properly in the time you have, and build that.</w:t>
      </w:r>
    </w:p>
    <w:p>
      <w:pPr>
        <w:spacing w:after="140" w:line="276"/>
      </w:pPr>
      <w:r>
        <w:rPr>
          <w:rFonts w:ascii="Calibri" w:cs="Calibri" w:eastAsia="Calibri" w:hAnsi="Calibri"/>
          <w:color w:val="1C2430"/>
          <w:sz w:val="21"/>
          <w:szCs w:val="21"/>
        </w:rPr>
        <w:t xml:space="preserve">We are deliberately not giving you a feature list. Reading an ambiguous brief and deciding what to build is most of this job. Handing you the answer would remove the only part of the exercise we cannot assess any other way.</w:t>
      </w:r>
    </w:p>
    <w:p>
      <w:pPr>
        <w:spacing w:after="140" w:line="276"/>
      </w:pPr>
      <w:r>
        <w:rPr>
          <w:rFonts w:ascii="Calibri" w:cs="Calibri" w:eastAsia="Calibri" w:hAnsi="Calibri"/>
          <w:color w:val="1C2430"/>
          <w:sz w:val="21"/>
          <w:szCs w:val="21"/>
        </w:rPr>
        <w:t xml:space="preserve">Two things are not optional.</w:t>
      </w:r>
    </w:p>
    <w:p>
      <w:pPr>
        <w:spacing w:after="140" w:line="276"/>
      </w:pPr>
      <w:r>
        <w:rPr>
          <w:rFonts w:ascii="Calibri" w:cs="Calibri" w:eastAsia="Calibri" w:hAnsi="Calibri"/>
          <w:b/>
          <w:bCs/>
          <w:color w:val="1C2430"/>
          <w:sz w:val="21"/>
          <w:szCs w:val="21"/>
        </w:rPr>
        <w:t xml:space="preserve">A working system. </w:t>
      </w:r>
      <w:r>
        <w:rPr>
          <w:rFonts w:ascii="Calibri" w:cs="Calibri" w:eastAsia="Calibri" w:hAnsi="Calibri"/>
          <w:color w:val="1C2430"/>
          <w:sz w:val="21"/>
          <w:szCs w:val="21"/>
        </w:rPr>
        <w:t xml:space="preserve">Something a person can open and use, starting from a clean checkout on a documented command. Not a notebook, not a slide deck, not a design.</w:t>
      </w:r>
    </w:p>
    <w:p>
      <w:pPr>
        <w:spacing w:after="90" w:line="276"/>
      </w:pPr>
      <w:r>
        <w:rPr>
          <w:rFonts w:ascii="Calibri" w:cs="Calibri" w:eastAsia="Calibri" w:hAnsi="Calibri"/>
          <w:b/>
          <w:bCs/>
          <w:color w:val="1C2430"/>
          <w:sz w:val="21"/>
          <w:szCs w:val="21"/>
        </w:rPr>
        <w:t xml:space="preserve">Two documents in the repository.</w:t>
      </w:r>
    </w:p>
    <w:p>
      <w:pPr>
        <w:pStyle w:val="ListParagraph"/>
        <w:numPr>
          <w:ilvl w:val="0"/>
          <w:numId w:val="3"/>
        </w:numPr>
        <w:spacing w:after="90" w:line="276"/>
      </w:pPr>
      <w:r>
        <w:rPr>
          <w:rFonts w:ascii="Calibri" w:cs="Calibri" w:eastAsia="Calibri" w:hAnsi="Calibri"/>
          <w:b/>
          <w:bCs/>
          <w:sz w:val="21"/>
          <w:szCs w:val="21"/>
        </w:rPr>
        <w:t xml:space="preserve">README.md</w:t>
      </w:r>
      <w:r>
        <w:rPr>
          <w:rFonts w:ascii="Calibri" w:cs="Calibri" w:eastAsia="Calibri" w:hAnsi="Calibri"/>
          <w:sz w:val="21"/>
          <w:szCs w:val="21"/>
        </w:rPr>
        <w:t xml:space="preserve">. How to run it. Cold start, one machine, no tribal knowledge.</w:t>
      </w:r>
    </w:p>
    <w:p>
      <w:pPr>
        <w:pStyle w:val="ListParagraph"/>
        <w:numPr>
          <w:ilvl w:val="0"/>
          <w:numId w:val="3"/>
        </w:numPr>
        <w:spacing w:after="90" w:line="276"/>
      </w:pPr>
      <w:r>
        <w:rPr>
          <w:rFonts w:ascii="Calibri" w:cs="Calibri" w:eastAsia="Calibri" w:hAnsi="Calibri"/>
          <w:b/>
          <w:bCs/>
          <w:sz w:val="21"/>
          <w:szCs w:val="21"/>
        </w:rPr>
        <w:t xml:space="preserve">DECISIONS.md</w:t>
      </w:r>
      <w:r>
        <w:rPr>
          <w:rFonts w:ascii="Calibri" w:cs="Calibri" w:eastAsia="Calibri" w:hAnsi="Calibri"/>
          <w:sz w:val="21"/>
          <w:szCs w:val="21"/>
        </w:rPr>
        <w:t xml:space="preserve">, one page maximum. What you built. What you deliberately did not build. What you assumed where the brief was unclear or contradicted itself. What you would do next with two more weeks. What breaks first in production.</w:t>
      </w:r>
    </w:p>
    <w:p>
      <w:pPr>
        <w:spacing w:after="140" w:before="140" w:line="276"/>
      </w:pPr>
      <w:r>
        <w:rPr>
          <w:rFonts w:ascii="Calibri" w:cs="Calibri" w:eastAsia="Calibri" w:hAnsi="Calibri"/>
          <w:b/>
          <w:bCs/>
          <w:sz w:val="21"/>
          <w:szCs w:val="21"/>
        </w:rPr>
        <w:t xml:space="preserve">We read DECISIONS.md before we read the code.</w:t>
      </w:r>
    </w:p>
    <w:p>
      <w:pPr>
        <w:spacing w:after="140" w:line="276"/>
      </w:pPr>
      <w:r>
        <w:rPr>
          <w:rFonts w:ascii="Calibri" w:cs="Calibri" w:eastAsia="Calibri" w:hAnsi="Calibri"/>
          <w:color w:val="1C2430"/>
          <w:sz w:val="21"/>
          <w:szCs w:val="21"/>
        </w:rPr>
        <w:t xml:space="preserve">Where the brief is ambiguous, make a judgement and record it. We are more interested in the judgement than in the answer you land on.</w:t>
      </w:r>
    </w:p>
    <w:p>
      <w:pPr>
        <w:pStyle w:val="Heading1"/>
        <w:pBdr>
          <w:bottom w:val="single" w:color="D5DAE0" w:sz="6" w:space="6"/>
        </w:pBdr>
        <w:spacing w:after="160" w:before="340"/>
      </w:pPr>
      <w:r>
        <w:rPr>
          <w:rFonts w:ascii="Calibri" w:cs="Calibri" w:eastAsia="Calibri" w:hAnsi="Calibri"/>
          <w:b/>
          <w:bCs/>
          <w:color w:val="12263F"/>
          <w:sz w:val="28"/>
          <w:szCs w:val="28"/>
        </w:rPr>
        <w:t xml:space="preserve">5.  The kind of thing Divya asks</w:t>
      </w:r>
    </w:p>
    <w:p>
      <w:pPr>
        <w:spacing w:after="140" w:line="276"/>
      </w:pPr>
      <w:r>
        <w:rPr>
          <w:rFonts w:ascii="Calibri" w:cs="Calibri" w:eastAsia="Calibri" w:hAnsi="Calibri"/>
          <w:color w:val="5A6572"/>
          <w:sz w:val="21"/>
          <w:szCs w:val="21"/>
        </w:rPr>
        <w:t xml:space="preserve">Illustrative, not a specification. Some of these may not be worth building for. Use them to sense check whatever you do build; we will run a different set against your submission.</w:t>
      </w:r>
    </w:p>
    <w:p>
      <w:pPr>
        <w:pStyle w:val="ListParagraph"/>
        <w:numPr>
          <w:ilvl w:val="0"/>
          <w:numId w:val="4"/>
        </w:numPr>
        <w:spacing w:after="90" w:line="276"/>
      </w:pPr>
      <w:r>
        <w:rPr>
          <w:rFonts w:ascii="Calibri" w:cs="Calibri" w:eastAsia="Calibri" w:hAnsi="Calibri"/>
          <w:sz w:val="21"/>
          <w:szCs w:val="21"/>
        </w:rPr>
        <w:t xml:space="preserve">Which five outlets had the lowest case fill rate last month, excluding closed and test outlets?</w:t>
      </w:r>
    </w:p>
    <w:p>
      <w:pPr>
        <w:pStyle w:val="ListParagraph"/>
        <w:numPr>
          <w:ilvl w:val="0"/>
          <w:numId w:val="4"/>
        </w:numPr>
        <w:spacing w:after="90" w:line="276"/>
      </w:pPr>
      <w:r>
        <w:rPr>
          <w:rFonts w:ascii="Calibri" w:cs="Calibri" w:eastAsia="Calibri" w:hAnsi="Calibri"/>
          <w:sz w:val="21"/>
          <w:szCs w:val="21"/>
        </w:rPr>
        <w:t xml:space="preserve">What was OTIF by region for the last complete quarter?</w:t>
      </w:r>
    </w:p>
    <w:p>
      <w:pPr>
        <w:pStyle w:val="ListParagraph"/>
        <w:numPr>
          <w:ilvl w:val="0"/>
          <w:numId w:val="4"/>
        </w:numPr>
        <w:spacing w:after="90" w:line="276"/>
      </w:pPr>
      <w:r>
        <w:rPr>
          <w:rFonts w:ascii="Calibri" w:cs="Calibri" w:eastAsia="Calibri" w:hAnsi="Calibri"/>
          <w:sz w:val="21"/>
          <w:szCs w:val="21"/>
        </w:rPr>
        <w:t xml:space="preserve">Which categories drive the largest value of returns, and what is the leading reason code?</w:t>
      </w:r>
    </w:p>
    <w:p>
      <w:pPr>
        <w:pStyle w:val="ListParagraph"/>
        <w:numPr>
          <w:ilvl w:val="0"/>
          <w:numId w:val="4"/>
        </w:numPr>
        <w:spacing w:after="90" w:line="276"/>
      </w:pPr>
      <w:r>
        <w:rPr>
          <w:rFonts w:ascii="Calibri" w:cs="Calibri" w:eastAsia="Calibri" w:hAnsi="Calibri"/>
          <w:sz w:val="21"/>
          <w:szCs w:val="21"/>
        </w:rPr>
        <w:t xml:space="preserve">Temperature excursions per hundred chilled deliveries, by month.</w:t>
      </w:r>
    </w:p>
    <w:p>
      <w:pPr>
        <w:pStyle w:val="ListParagraph"/>
        <w:numPr>
          <w:ilvl w:val="0"/>
          <w:numId w:val="4"/>
        </w:numPr>
        <w:spacing w:after="90" w:line="276"/>
      </w:pPr>
      <w:r>
        <w:rPr>
          <w:rFonts w:ascii="Calibri" w:cs="Calibri" w:eastAsia="Calibri" w:hAnsi="Calibri"/>
          <w:sz w:val="21"/>
          <w:szCs w:val="21"/>
        </w:rPr>
        <w:t xml:space="preserve">Which routes are more than two hours late on more than one delivery in ten?</w:t>
      </w:r>
    </w:p>
    <w:p>
      <w:pPr>
        <w:pStyle w:val="ListParagraph"/>
        <w:numPr>
          <w:ilvl w:val="0"/>
          <w:numId w:val="4"/>
        </w:numPr>
        <w:spacing w:after="90" w:line="276"/>
      </w:pPr>
      <w:r>
        <w:rPr>
          <w:rFonts w:ascii="Calibri" w:cs="Calibri" w:eastAsia="Calibri" w:hAnsi="Calibri"/>
          <w:sz w:val="21"/>
          <w:szCs w:val="21"/>
        </w:rPr>
        <w:t xml:space="preserve">For our top twenty SKUs by value, how does our MRP compare with the lowest observed competitor price in Mumbai?</w:t>
      </w:r>
    </w:p>
    <w:p>
      <w:pPr>
        <w:pStyle w:val="ListParagraph"/>
        <w:numPr>
          <w:ilvl w:val="0"/>
          <w:numId w:val="4"/>
        </w:numPr>
        <w:spacing w:after="90" w:line="276"/>
      </w:pPr>
      <w:r>
        <w:rPr>
          <w:rFonts w:ascii="Calibri" w:cs="Calibri" w:eastAsia="Calibri" w:hAnsi="Calibri"/>
          <w:sz w:val="21"/>
          <w:szCs w:val="21"/>
        </w:rPr>
        <w:t xml:space="preserve">Freight cost per delivered case, by warehouse, for the last quarter.</w:t>
      </w:r>
    </w:p>
    <w:p>
      <w:pPr>
        <w:pStyle w:val="ListParagraph"/>
        <w:numPr>
          <w:ilvl w:val="0"/>
          <w:numId w:val="4"/>
        </w:numPr>
        <w:spacing w:after="90" w:line="276"/>
      </w:pPr>
      <w:r>
        <w:rPr>
          <w:rFonts w:ascii="Calibri" w:cs="Calibri" w:eastAsia="Calibri" w:hAnsi="Calibri"/>
          <w:sz w:val="21"/>
          <w:szCs w:val="21"/>
        </w:rPr>
        <w:t xml:space="preserve">Which outlets ordered a discontinued SKU after its discontinuation date?</w:t>
      </w:r>
    </w:p>
    <w:p>
      <w:pPr>
        <w:pStyle w:val="Heading1"/>
        <w:pBdr>
          <w:bottom w:val="single" w:color="D5DAE0" w:sz="6" w:space="6"/>
        </w:pBdr>
        <w:spacing w:after="160" w:before="340"/>
      </w:pPr>
      <w:r>
        <w:rPr>
          <w:rFonts w:ascii="Calibri" w:cs="Calibri" w:eastAsia="Calibri" w:hAnsi="Calibri"/>
          <w:b/>
          <w:bCs/>
          <w:color w:val="12263F"/>
          <w:sz w:val="28"/>
          <w:szCs w:val="28"/>
        </w:rPr>
        <w:t xml:space="preserve">6.  Submission</w:t>
      </w:r>
    </w:p>
    <w:p>
      <w:pPr>
        <w:spacing w:after="140" w:line="276"/>
      </w:pPr>
      <w:r>
        <w:rPr>
          <w:rFonts w:ascii="Calibri" w:cs="Calibri" w:eastAsia="Calibri" w:hAnsi="Calibri"/>
          <w:color w:val="1C2430"/>
          <w:sz w:val="21"/>
          <w:szCs w:val="21"/>
        </w:rPr>
        <w:t xml:space="preserve">A single GitHub repository, public or shared with the address HR gave you. Nothing else. No video, no deck.</w:t>
      </w:r>
    </w:p>
    <w:p>
      <w:pPr>
        <w:spacing w:after="140" w:line="276"/>
      </w:pPr>
      <w:r>
        <w:rPr>
          <w:rFonts w:ascii="Calibri" w:cs="Calibri" w:eastAsia="Calibri" w:hAnsi="Calibri"/>
          <w:color w:val="1C2430"/>
          <w:sz w:val="21"/>
          <w:szCs w:val="21"/>
        </w:rPr>
        <w:t xml:space="preserve">Your repository must contain the running code, the </w:t>
      </w:r>
      <w:r>
        <w:rPr>
          <w:rFonts w:ascii="Consolas" w:cs="Consolas" w:eastAsia="Consolas" w:hAnsi="Consolas"/>
          <w:color w:val="1C2430"/>
          <w:sz w:val="21"/>
          <w:szCs w:val="21"/>
        </w:rPr>
        <w:t xml:space="preserve">README</w:t>
      </w:r>
      <w:r>
        <w:rPr>
          <w:rFonts w:ascii="Calibri" w:cs="Calibri" w:eastAsia="Calibri" w:hAnsi="Calibri"/>
          <w:color w:val="1C2430"/>
          <w:sz w:val="21"/>
          <w:szCs w:val="21"/>
        </w:rPr>
        <w:t xml:space="preserve"> and </w:t>
      </w:r>
      <w:r>
        <w:rPr>
          <w:rFonts w:ascii="Consolas" w:cs="Consolas" w:eastAsia="Consolas" w:hAnsi="Consolas"/>
          <w:color w:val="1C2430"/>
          <w:sz w:val="21"/>
          <w:szCs w:val="21"/>
        </w:rPr>
        <w:t xml:space="preserve">DECISIONS.md</w:t>
      </w:r>
      <w:r>
        <w:rPr>
          <w:rFonts w:ascii="Calibri" w:cs="Calibri" w:eastAsia="Calibri" w:hAnsi="Calibri"/>
          <w:color w:val="1C2430"/>
          <w:sz w:val="21"/>
          <w:szCs w:val="21"/>
        </w:rPr>
        <w:t xml:space="preserve">. Commit as you go rather than in one push at the end; we read commit history and it works in your favour.</w:t>
      </w:r>
    </w:p>
    <w:p>
      <w:pPr>
        <w:spacing w:after="140" w:line="276"/>
      </w:pPr>
      <w:r>
        <w:rPr>
          <w:rFonts w:ascii="Calibri" w:cs="Calibri" w:eastAsia="Calibri" w:hAnsi="Calibri"/>
          <w:color w:val="1C2430"/>
          <w:sz w:val="21"/>
          <w:szCs w:val="21"/>
        </w:rPr>
        <w:t xml:space="preserve">If your system needs the database file to run, do not commit it. Reference the path and let us supply it.</w:t>
      </w:r>
    </w:p>
    <w:p>
      <w:pPr>
        <w:pStyle w:val="Heading1"/>
        <w:pBdr>
          <w:bottom w:val="single" w:color="D5DAE0" w:sz="6" w:space="6"/>
        </w:pBdr>
        <w:spacing w:after="160" w:before="340"/>
      </w:pPr>
      <w:r>
        <w:rPr>
          <w:rFonts w:ascii="Calibri" w:cs="Calibri" w:eastAsia="Calibri" w:hAnsi="Calibri"/>
          <w:b/>
          <w:bCs/>
          <w:color w:val="12263F"/>
          <w:sz w:val="28"/>
          <w:szCs w:val="28"/>
        </w:rPr>
        <w:t xml:space="preserve">7.  How this is assessed</w:t>
      </w:r>
    </w:p>
    <w:p>
      <w:pPr>
        <w:spacing w:after="140" w:line="276"/>
      </w:pPr>
      <w:r>
        <w:rPr>
          <w:rFonts w:ascii="Calibri" w:cs="Calibri" w:eastAsia="Calibri" w:hAnsi="Calibri"/>
          <w:color w:val="1C2430"/>
          <w:sz w:val="21"/>
          <w:szCs w:val="21"/>
        </w:rPr>
        <w:t xml:space="preserve">Your submission is read before your first interview. That interview is a defence of it. Expect to be asked why you made specific choices, what you would do differently, and what happens to your design when the data volume goes up by two orders of magnitude.</w:t>
      </w:r>
    </w:p>
    <w:p>
      <w:pPr>
        <w:spacing w:after="140" w:line="276"/>
      </w:pPr>
      <w:r>
        <w:rPr>
          <w:rFonts w:ascii="Calibri" w:cs="Calibri" w:eastAsia="Calibri" w:hAnsi="Calibri"/>
          <w:color w:val="1C2430"/>
          <w:sz w:val="21"/>
          <w:szCs w:val="21"/>
        </w:rPr>
        <w:t xml:space="preserve">A modest submission that is well understood and honestly described will go further than an ambitious one you cannot account for.</w:t>
      </w:r>
    </w:p>
    <w:p>
      <w:pPr>
        <w:pStyle w:val="Heading1"/>
        <w:pBdr>
          <w:bottom w:val="single" w:color="D5DAE0" w:sz="6" w:space="6"/>
        </w:pBdr>
        <w:spacing w:after="160" w:before="340"/>
      </w:pPr>
      <w:r>
        <w:rPr>
          <w:rFonts w:ascii="Calibri" w:cs="Calibri" w:eastAsia="Calibri" w:hAnsi="Calibri"/>
          <w:b/>
          <w:bCs/>
          <w:color w:val="12263F"/>
          <w:sz w:val="28"/>
          <w:szCs w:val="28"/>
        </w:rPr>
        <w:t xml:space="preserve">8.  Notes on the data</w:t>
      </w:r>
    </w:p>
    <w:p>
      <w:pPr>
        <w:spacing w:after="140" w:line="276"/>
      </w:pPr>
      <w:r>
        <w:rPr>
          <w:rFonts w:ascii="Calibri" w:cs="Calibri" w:eastAsia="Calibri" w:hAnsi="Calibri"/>
          <w:color w:val="1C2430"/>
          <w:sz w:val="21"/>
          <w:szCs w:val="21"/>
        </w:rPr>
        <w:t xml:space="preserve">The database is synthetic and generated for this exercise. It is not clean. Neither is anything you will meet in the field. Every distributor we have worked with has had the same categories of problem in their data, and finding them is part of the job rather than an obstacle to it.</w:t>
      </w:r>
    </w:p>
    <w:p>
      <w:pPr>
        <w:spacing w:after="140" w:line="276"/>
      </w:pPr>
      <w:r>
        <w:rPr>
          <w:rFonts w:ascii="Calibri" w:cs="Calibri" w:eastAsia="Calibri" w:hAnsi="Calibri"/>
          <w:color w:val="1C2430"/>
          <w:sz w:val="21"/>
          <w:szCs w:val="21"/>
        </w:rPr>
        <w:t xml:space="preserve">You are not expected to fix the data. You are expected to notice.</w:t>
      </w:r>
    </w:p>
    <w:p>
      <w:pPr>
        <w:pBdr>
          <w:bottom w:val="single" w:color="D5DAE0" w:sz="6" w:space="4"/>
        </w:pBdr>
        <w:spacing w:after="200" w:before="200"/>
      </w:pPr>
      <w:r>
        <w:rPr>
          <w:sz w:val="2"/>
          <w:szCs w:val="2"/>
        </w:rPr>
        <w:t xml:space="preserve"/>
      </w:r>
    </w:p>
    <w:p>
      <w:pPr>
        <w:spacing w:after="140" w:line="276"/>
      </w:pPr>
      <w:r>
        <w:rPr>
          <w:rFonts w:ascii="Calibri" w:cs="Calibri" w:eastAsia="Calibri" w:hAnsi="Calibri"/>
          <w:i/>
          <w:iCs/>
          <w:color w:val="5A6572"/>
          <w:sz w:val="18"/>
          <w:szCs w:val="18"/>
        </w:rPr>
        <w:t xml:space="preserve">Kestrel Provisions, BazaarPulse and all named individuals are fictional. All data is synthetic and generated for assessment purposes.</w:t>
      </w:r>
    </w:p>
    <w:sectPr>
      <w:pgSz w:w="11906" w:h="16838"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2026-08-11T04:37:16.715Z</dcterms:created>
  <dcterms:modified xsi:type="dcterms:W3CDTF">2026-08-11T04:37:16.716Z</dcterms:modified>
</cp:coreProperties>
</file>

<file path=docProps/custom.xml><?xml version="1.0" encoding="utf-8"?>
<Properties xmlns="http://schemas.openxmlformats.org/officeDocument/2006/custom-properties" xmlns:vt="http://schemas.openxmlformats.org/officeDocument/2006/docPropsVTypes"/>
</file>