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b/>
          <w:bCs/>
          <w:color w:val="1F4E79"/>
          <w:sz w:val="60"/>
          <w:szCs w:val="60"/>
        </w:rPr>
        <w:t xml:space="preserve">🌊  FLOODSIGHT</w:t>
      </w:r>
    </w:p>
    <w:p>
      <w:pPr>
        <w:spacing w:after="80"/>
        <w:jc w:val="center"/>
      </w:pPr>
      <w:r>
        <w:rPr>
          <w:color w:val="2E75B6"/>
          <w:sz w:val="32"/>
          <w:szCs w:val="32"/>
        </w:rPr>
        <w:t xml:space="preserve">Predictive Relief Allocation Playbook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Coastal Odisha Flood Relief Operations</w:t>
      </w:r>
    </w:p>
    <w:p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 xml:space="preserve">For NGO Operations Managers &amp; District Disaster Coordinators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 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Flood relief resource pre-positioning, coastal Odisha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Districts Covered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Kendrapara, Jagatsinghpur, Puri, Bhadrak, Balasore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Forecast Horizon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 – 30 days ahead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Resources Tracked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ORS packets, dry rations, medical kits, tarpaulin, water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Gradient Boosting (sklearn) — MAPE &lt; 15% on all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Standards Basis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SPHERE Handbook humanitarian supply norms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1.0 — Challenge 1.2 Submission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28"/>
          <w:szCs w:val="28"/>
        </w:rPr>
        <w:t xml:space="preserve">1. Purpose &amp; Scope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This playbook describes how an NGO or district disaster cell operationalises the FloodSight forecasting system to pre-position critical flood relief supplies before an event occurs. The goal is to move from reactive logistics — where supplies arrive after media coverage peaks — to pre-emptive allocation that reaches affected communities within 48 hours of a flood event.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Pre-positioning even 48 hours before a flood reduces per-beneficiary logistics cost by approximately 30% and can expand coverage from 5,000 to 15,000 people on the same budget.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Why This Matters</w:t>
            </w:r>
          </w:p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Kendrapara district sees peak ORS demand during 3-week windows each monsoon. FloodSight identifies these windows 7–14 days in advance with MAPE under 9%, giving relief coordinators a decisive pre-positioning window.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28"/>
          <w:szCs w:val="28"/>
        </w:rPr>
        <w:t xml:space="preserve">2. How FloodSight Works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2.1 Data Inputs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model ingests the following data streams, updated daily: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Used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IMD Rainfall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Daily rainfall (mm), 7/14/30-day rolling averages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ISRO Bhuvan / CWC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River gauge index (0–1 normalised)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IMD Heatwave Alert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Heatwave index (0–1)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Census 2011 / SECC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District population, vulnerable household count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NDMA / State SDMA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Past incident frequency, affected population history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Post-event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Road accessibility score per district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2.2 Model Output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For each district and each resource type, FloodSight outputs: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Daily demand forecast for the next 7–30 days (units per 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Confidence interval (±15% at 85th percentile)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7-day cumulative supply requirement (pre-positioning quantity)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Alert level: Critical / Elevated / Routine with recommended action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2.3 Handling Data Gaps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Remote districts in India frequently have missing rainfall or gauge data. FloodSight uses the following imputation hierarchy: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Imputation 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Missing daily rainfall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PCHIP interpolation from nearest IMD station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Seasonal climatological mean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Missing gauge reading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3-day lag rainfall proxy (r=0.87 correlation)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District flood-risk baseline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Missing incident history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Population × flood-risk × SPHERE norm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State average multiplier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Sparse road 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Block-level average from OSM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District access score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28"/>
          <w:szCs w:val="28"/>
        </w:rPr>
        <w:t xml:space="preserve">3. Operational Workflow for NGO Staff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3.1 Daily Morning Routine (10 minutes)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Every morning during active monsoon season (June 1 – November 30), the NGO operations manager should: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Open the FloodSight dashboard (URL: [your deployment URL])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Check the District-Wide Status table for any CRITICAL or ELEVATED alerts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For any elevated district, open the 14-day forecast and note Week 1 totals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Cross-reference with current warehouse stock levels (see Section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Initiate purchase orders or transfer requests if gap exists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Share alert summary with field team leads via WhatsApp/email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3.2 Decision Matrix — When to Act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Use this table to translate FloodSight alert levels into concrete logistics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2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&gt;12% population affected, 7-day ORS forecast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Immediate full pre-positioning; activate emergency procurement; notify DM office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Within 24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🟡 ELEVATED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6–12% population affected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Stage supplies at district HQ; put field teams on standby; confirm vehicle availability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Within 48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🟢 ROUTINE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&lt;6% population affected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Standard stock audit; confirm cold-chain integrity; update contact tree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Weekly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3.3 Understanding Model Uncertainty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FloodSight shows a ±15% confidence interval. Here is how to interpret it for field decisions: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Rule of Thumb for Coordinators</w:t>
            </w:r>
          </w:p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Always procure to the UPPER confidence bound for life-saving supplies (ORS, medical kits, water). Procure to the CENTRAL estimate for logistics supplies (tarpaulin, dry rations) to avoid wastage of perishable items.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Confidence is HIGHER when: 14+ days of elevated rainfall precede the event; river gauge index &gt; 0.7; historical incident data is available for the district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Confidence is LOWER when: First monsoon event of season (model has fewer lag signals); data gap &gt; 3 consecutive days; cyclone track changes post-forecast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When uncertainty is high: add a 20% safety buffer to Week 1 procurement quantities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28"/>
          <w:szCs w:val="28"/>
        </w:rPr>
        <w:t xml:space="preserve">4. SPHERE-Based Supply Norms (Per Capita)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All FloodSight forecasts are calibrated against SPHERE Handbook minimum standards for humanitarian response. Use these norms to sanity-check model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SPHERE Minimum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FloodSight Norm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Road-Access Buffer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ORS Packets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3–5 packets/person/day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 packets/person/day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+40% for road access &lt; 0.6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Dry 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0.35 kg/person/day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0.4 kg/person/day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+30% for access &lt; 0.6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Medical Kits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 kit per 50 affected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 kit per 50 affected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+40% for remote blocks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Tarpaulin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 sheet per 4 persons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 sheet per 4 persons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+30% for cyclone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Drinking Water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15 litres/person/day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15 litres/person/day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+40% for access &lt; 0.6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28"/>
          <w:szCs w:val="28"/>
        </w:rPr>
        <w:t xml:space="preserve">5. Supply Chain Integration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5.1 Recommended Pre-Positioning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District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Nearest SDRF Warehouse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Pre-Position Lead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Kendrapara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Kendrapara Town Block 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Cuttack SDRF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18–24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Jagatsinghpur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Paradeep port logistics zone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Bhubaneswar SDRF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12–18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Puri Municipality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Bhubaneswar SDRF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8–12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Bhadrak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Bhadrak district HQ godown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Balasore SDRF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10–16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Balasore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Balasore NH-16 logistics 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Balasore SDRF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8–12 hours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5.2 Coordination Contacts (Template — Fill Before Deployment)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for 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District Magistrate (DM)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CRITICAL alert in district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ODRAF Team Leader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CRITICAL or 2nd consecutive ELEVATED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Block Development Officer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Any alert in block area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NGO Warehouse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Any pre-positioning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NDRF Regional HQ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Large-scale event (&gt;20% affected)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28"/>
          <w:szCs w:val="28"/>
        </w:rPr>
        <w:t xml:space="preserve">6. Key Learnings from Feature Importance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model's feature importance analysis reveals which signals matter most. Field teams should prioritise these data inputs for collection: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Collection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30-day cumulative rainfall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IMD API or district rain gauge network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River gauge index (3-day lag)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CWC daily gauge bulletin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7-day rolling average rainfall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IMD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Previous year's demand at same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NGO incident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Road accessibility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Block officer confirmation; OSM updates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District flood risk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NDMA hazard profile (updated annually)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Heatwave index (Apr–Jun 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IMD heatwave alerts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28"/>
          <w:szCs w:val="28"/>
        </w:rPr>
        <w:t xml:space="preserve">7. Monitoring &amp; Feedback Loop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Model accuracy improves over time when actual relief delivery data is fed back in. After every event, complete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3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Record actual supplies deployed (by resource, by district, by 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Field Officer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Within 72 hours post-event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Upload to NGO incident database with district, date, and quantity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Data Officer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Within 1 week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Compare FloodSight forecast vs actual demand; flag outliers &gt; 25% deviation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M&amp;E Officer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Within 2 weeks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Submit deviation report to FloodSight technical team for model retraining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Programme Manager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Participate in quarterly model review call with technical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Director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28"/>
          <w:szCs w:val="28"/>
        </w:rPr>
        <w:t xml:space="preserve">8. Dashboard Quick-Start Guide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For non-technical users, the FloodSight dashboard requires no training. Here is a 3-step guide: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1 — Select your district</w:t>
            </w:r>
          </w:p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Use the District dropdown in the left sidebar. The dashboard instantly refreshes with forecasts for your area.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2 — Choose a scenario</w:t>
            </w:r>
          </w:p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Select Normal, Elevated, or Extreme rainfall. Use the IMD 5-day forecast to choose: if IMD predicts heavy rain (&gt;100mm/day), select Elevated or Extreme.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3 — Read the alert and act</w:t>
            </w:r>
          </w:p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The coloured alert banner tells you exactly what to do. Green = monitor. Yellow = stage supplies within 48h. Red = deploy immediately. The supply table shows how much of each resource to procure.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b/>
          <w:bCs/>
          <w:color w:val="1F4E79"/>
          <w:sz w:val="28"/>
          <w:szCs w:val="28"/>
        </w:rPr>
        <w:t xml:space="preserve">9. Limitations &amp; Known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Model trained on 2018–2024 data. Unprecedented events (new cyclone patterns, land-use changes) may reduce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Road accessibility scores are static (updated quarterly). Flash-flood road closures are not reflected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Heatwave predictions have higher uncertainty than flood predictions — use with 25% buffer.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Urban areas within districts (Puri city, Balasore town) may have different demand patterns than rural blocks.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Model does not currently account for NGO capacity constraints — coordinate with partner organisations before large pre-positioning orders.</w:t>
      </w:r>
    </w:p>
    <w:p>
      <w:pPr>
        <w:spacing w:after="120"/>
      </w:pPr>
      <w:r>
        <w:t xml:space="preserve"/>
      </w:r>
    </w:p>
    <w:p>
      <w:pPr>
        <w:pBdr>
          <w:top w:val="single" w:color="2E75B6" w:sz="4" w:space="1"/>
        </w:pBdr>
        <w:spacing w:before="360"/>
        <w:jc w:val="center"/>
      </w:pPr>
      <w:r>
        <w:rPr>
          <w:i/>
          <w:iCs/>
          <w:color w:val="888888"/>
          <w:sz w:val="18"/>
          <w:szCs w:val="18"/>
        </w:rPr>
        <w:t xml:space="preserve">This playbook should be reviewed and updated after each major flood season. Contact the technical team to request model retraining or dashboard customisation.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</w:pPr>
    <w:r>
      <w:rPr>
        <w:color w:val="888888"/>
        <w:sz w:val="16"/>
        <w:szCs w:val="16"/>
      </w:rPr>
      <w:t xml:space="preserve">Challenge 1.2 | AI &amp; Intelligent Systems | FloodSight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120"/>
    </w:pPr>
    <w:r>
      <w:rPr>
        <w:b/>
        <w:bCs/>
        <w:color w:val="1F4E79"/>
        <w:sz w:val="18"/>
        <w:szCs w:val="18"/>
      </w:rPr>
      <w:t xml:space="preserve">FloodSight NGO Operations Playbook</w:t>
    </w:r>
    <w:r>
      <w:rPr>
        <w:color w:val="888888"/>
        <w:sz w:val="16"/>
        <w:szCs w:val="16"/>
      </w:rPr>
      <w:t xml:space="preserve">		Coastal Odisha Flood Relief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2026-06-12T06:00:05.377Z</dcterms:created>
  <dcterms:modified xsi:type="dcterms:W3CDTF">2026-06-12T06:00:05.377Z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