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D0F4F45">
      <w:pPr>
        <w:pStyle w:val="style0"/>
        <w:spacing w:before="800"/>
        <w:rPr/>
      </w:pPr>
    </w:p>
    <w:p w14:paraId="FB0327A1">
      <w:pPr>
        <w:pStyle w:val="style0"/>
        <w:spacing w:after="720"/>
        <w:jc w:val="center"/>
        <w:rPr/>
      </w:pPr>
      <w:r>
        <w:rPr>
          <w:b/>
          <w:color w:val="1E293B"/>
          <w:sz w:val="24"/>
        </w:rPr>
        <w:t>DEPARTMENT OF COMPUTER SCIENCE &amp; ENGINEERING</w:t>
      </w:r>
    </w:p>
    <w:p w14:paraId="AFCE6E0D">
      <w:pPr>
        <w:pStyle w:val="style0"/>
        <w:spacing w:after="240"/>
        <w:jc w:val="center"/>
        <w:rPr/>
      </w:pPr>
      <w:r>
        <w:rPr>
          <w:rFonts w:ascii="Arial" w:hAnsi="Arial"/>
          <w:b/>
          <w:color w:val="1b365d"/>
          <w:sz w:val="48"/>
        </w:rPr>
        <w:t>SOFTWARE REQUIREMENTS</w:t>
      </w:r>
      <w:r>
        <w:rPr>
          <w:rFonts w:ascii="Arial" w:hAnsi="Arial"/>
          <w:b/>
          <w:color w:val="1b365d"/>
          <w:sz w:val="48"/>
        </w:rPr>
        <w:br/>
      </w:r>
      <w:r>
        <w:rPr>
          <w:rFonts w:ascii="Arial" w:hAnsi="Arial"/>
          <w:b/>
          <w:color w:val="1b365d"/>
          <w:sz w:val="48"/>
        </w:rPr>
        <w:t>SPECIFICATION (SRS)</w:t>
      </w:r>
    </w:p>
    <w:p w14:paraId="5A8DC5FF">
      <w:pPr>
        <w:pStyle w:val="style0"/>
        <w:spacing w:after="960"/>
        <w:jc w:val="center"/>
        <w:rPr/>
      </w:pPr>
      <w:r>
        <w:rPr>
          <w:b/>
          <w:color w:val="1E293B"/>
          <w:sz w:val="24"/>
        </w:rPr>
        <w:t>Project Title: Valerune — Web-Based Retail Inventory Management System</w:t>
      </w:r>
    </w:p>
    <w:p w14:paraId="0A9065EA">
      <w:pPr>
        <w:pStyle w:val="style0"/>
        <w:spacing w:after="800"/>
        <w:jc w:val="center"/>
        <w:rPr/>
      </w:pPr>
      <w:r>
        <w:rPr>
          <w:color w:val="b4becd"/>
        </w:rPr>
        <w:t>————————————————————————————</w:t>
      </w:r>
    </w:p>
    <w:tbl>
      <w:tblPr>
        <w:tblW w:w="0" w:type="auto"/>
        <w:jc w:val="center"/>
        <w:tblLayout w:type="fixed"/>
        <w:tblLook w:val="04A0" w:firstRow="1" w:lastRow="0" w:firstColumn="1" w:lastColumn="0" w:noHBand="0" w:noVBand="1"/>
      </w:tblPr>
      <w:tblGrid>
        <w:gridCol w:w="4680"/>
        <w:gridCol w:w="4680"/>
      </w:tblGrid>
      <w:tr w14:paraId="AB14604D">
        <w:trPr>
          <w:jc w:val="center"/>
        </w:trPr>
        <w:tc>
          <w:tcPr>
            <w:tcW w:w="4608" w:type="dxa"/>
            <w:tcBorders/>
            <w:shd w:fill="F8FAFC"/>
            <w:tcMar>
              <w:top w:w="150" w:type="dxa"/>
              <w:bottom w:w="150" w:type="dxa"/>
              <w:left w:w="150" w:type="dxa"/>
              <w:right w:w="150" w:type="dxa"/>
            </w:tcMar>
          </w:tcPr>
          <w:p>
            <w:r>
              <w:t>SUBMITTED BY:</w:t>
              <w:br/>
              <w:t>1. Student Developer (Roll No: [Roll Number])</w:t>
              <w:br/>
              <w:t>2. Student Developer (Roll No: [Roll Number])</w:t>
              <w:br/>
              <w:br/>
              <w:t>Degree: Bachelor of Technology (B.Tech)</w:t>
              <w:br/>
              <w:t>Academic Year: 2026 - 2027</w:t>
            </w:r>
          </w:p>
        </w:tc>
        <w:tc>
          <w:tcPr>
            <w:tcW w:w="4752" w:type="dxa"/>
            <w:tcBorders/>
            <w:shd w:fill="F8FAFC"/>
            <w:tcMar>
              <w:top w:w="150" w:type="dxa"/>
              <w:bottom w:w="150" w:type="dxa"/>
              <w:left w:w="150" w:type="dxa"/>
              <w:right w:w="150" w:type="dxa"/>
            </w:tcMar>
          </w:tcPr>
          <w:p>
            <w:r>
              <w:t>UNDER THE GUIDANCE OF:</w:t>
              <w:br/>
              <w:t>Prof. / Dr. [Project Guide Name]</w:t>
              <w:br/>
              <w:t>Assistant Professor / Senior Faculty</w:t>
              <w:br/>
              <w:t>Department of Computer Science &amp; Engg.</w:t>
              <w:br/>
              <w:br/>
              <w:t>Status: 3rd Year Project Specification</w:t>
              <w:br/>
              <w:t>Date of Submission: October 2026</w:t>
            </w:r>
          </w:p>
        </w:tc>
      </w:tr>
    </w:tbl>
    <w:p w14:paraId="493EE50B">
      <w:pPr>
        <w:pStyle w:val="style0"/>
        <w:rPr/>
      </w:pPr>
      <w:r>
        <w:br w:type="page"/>
      </w:r>
    </w:p>
    <w:p w14:paraId="3C4FB85E">
      <w:pPr>
        <w:pStyle w:val="style0"/>
        <w:keepNext/>
        <w:spacing w:before="320" w:after="120"/>
        <w:rPr/>
      </w:pPr>
      <w:r>
        <w:rPr>
          <w:rFonts w:ascii="Arial" w:hAnsi="Arial"/>
          <w:b/>
          <w:color w:val="1b365d"/>
          <w:sz w:val="30"/>
        </w:rPr>
        <w:t>Document Revision &amp; Approval History</w:t>
      </w:r>
    </w:p>
    <w:tbl>
      <w:tblPr>
        <w:tblW w:w="0" w:type="auto"/>
        <w:jc w:val="center"/>
        <w:tblLook w:val="04A0" w:firstRow="1" w:lastRow="0" w:firstColumn="1" w:lastColumn="0" w:noHBand="0" w:noVBand="1"/>
      </w:tblPr>
      <w:tblGrid>
        <w:gridCol w:w="1152"/>
        <w:gridCol w:w="1584"/>
        <w:gridCol w:w="3168"/>
        <w:gridCol w:w="1728"/>
        <w:gridCol w:w="1728"/>
      </w:tblGrid>
      <w:tr w14:paraId="F4F0815C">
        <w:trPr>
          <w:jc w:val="center"/>
        </w:trPr>
        <w:tc>
          <w:tcPr>
            <w:tcW w:w="1152" w:type="dxa"/>
            <w:tcBorders/>
            <w:shd w:val="nil" w:color="auto" w:fill="1b365d"/>
            <w:tcMar>
              <w:top w:w="100" w:type="dxa"/>
              <w:left w:w="100" w:type="dxa"/>
              <w:bottom w:w="100" w:type="dxa"/>
              <w:right w:w="100" w:type="dxa"/>
            </w:tcMar>
            <w:shd w:fill="1E293B"/>
            <w:tcMar>
              <w:top w:w="120" w:type="dxa"/>
              <w:bottom w:w="120" w:type="dxa"/>
              <w:left w:w="150" w:type="dxa"/>
              <w:right w:w="150" w:type="dxa"/>
            </w:tcMar>
          </w:tcPr>
          <w:p>
            <w:r>
              <w:rPr>
                <w:b/>
                <w:color w:val="FFFFFF"/>
                <w:sz w:val="19"/>
              </w:rPr>
              <w:t>Version</w:t>
            </w:r>
          </w:p>
        </w:tc>
        <w:tc>
          <w:tcPr>
            <w:tcW w:w="1440" w:type="dxa"/>
            <w:tcBorders/>
            <w:shd w:val="nil" w:color="auto" w:fill="1b365d"/>
            <w:tcMar>
              <w:top w:w="100" w:type="dxa"/>
              <w:left w:w="100" w:type="dxa"/>
              <w:bottom w:w="100" w:type="dxa"/>
              <w:right w:w="100" w:type="dxa"/>
            </w:tcMar>
            <w:shd w:fill="1E293B"/>
            <w:tcMar>
              <w:top w:w="120" w:type="dxa"/>
              <w:bottom w:w="120" w:type="dxa"/>
              <w:left w:w="150" w:type="dxa"/>
              <w:right w:w="150" w:type="dxa"/>
            </w:tcMar>
          </w:tcPr>
          <w:p>
            <w:r>
              <w:rPr>
                <w:b/>
                <w:color w:val="FFFFFF"/>
                <w:sz w:val="19"/>
              </w:rPr>
              <w:t>Date</w:t>
            </w:r>
          </w:p>
        </w:tc>
        <w:tc>
          <w:tcPr>
            <w:tcW w:w="3888" w:type="dxa"/>
            <w:tcBorders/>
            <w:shd w:val="nil" w:color="auto" w:fill="1b365d"/>
            <w:tcMar>
              <w:top w:w="100" w:type="dxa"/>
              <w:left w:w="100" w:type="dxa"/>
              <w:bottom w:w="100" w:type="dxa"/>
              <w:right w:w="100" w:type="dxa"/>
            </w:tcMar>
            <w:shd w:fill="1E293B"/>
            <w:tcMar>
              <w:top w:w="120" w:type="dxa"/>
              <w:bottom w:w="120" w:type="dxa"/>
              <w:left w:w="150" w:type="dxa"/>
              <w:right w:w="150" w:type="dxa"/>
            </w:tcMar>
          </w:tcPr>
          <w:p>
            <w:r>
              <w:rPr>
                <w:b/>
                <w:color w:val="FFFFFF"/>
                <w:sz w:val="19"/>
              </w:rPr>
              <w:t>Description / Major Changes</w:t>
            </w:r>
          </w:p>
        </w:tc>
        <w:tc>
          <w:tcPr>
            <w:tcW w:w="1440" w:type="dxa"/>
            <w:tcBorders/>
            <w:shd w:val="nil" w:color="auto" w:fill="1b365d"/>
            <w:tcMar>
              <w:top w:w="100" w:type="dxa"/>
              <w:left w:w="100" w:type="dxa"/>
              <w:bottom w:w="100" w:type="dxa"/>
              <w:right w:w="100" w:type="dxa"/>
            </w:tcMar>
            <w:shd w:fill="1E293B"/>
            <w:tcMar>
              <w:top w:w="120" w:type="dxa"/>
              <w:bottom w:w="120" w:type="dxa"/>
              <w:left w:w="150" w:type="dxa"/>
              <w:right w:w="150" w:type="dxa"/>
            </w:tcMar>
          </w:tcPr>
          <w:p>
            <w:r>
              <w:rPr>
                <w:b/>
                <w:color w:val="FFFFFF"/>
                <w:sz w:val="19"/>
              </w:rPr>
              <w:t>Prepared By</w:t>
            </w:r>
          </w:p>
        </w:tc>
        <w:tc>
          <w:tcPr>
            <w:tcW w:w="1440" w:type="dxa"/>
            <w:tcBorders/>
            <w:shd w:val="nil" w:color="auto" w:fill="1b365d"/>
            <w:tcMar>
              <w:top w:w="100" w:type="dxa"/>
              <w:left w:w="100" w:type="dxa"/>
              <w:bottom w:w="100" w:type="dxa"/>
              <w:right w:w="100" w:type="dxa"/>
            </w:tcMar>
            <w:shd w:fill="1E293B"/>
            <w:tcMar>
              <w:top w:w="120" w:type="dxa"/>
              <w:bottom w:w="120" w:type="dxa"/>
              <w:left w:w="150" w:type="dxa"/>
              <w:right w:w="150" w:type="dxa"/>
            </w:tcMar>
          </w:tcPr>
          <w:p>
            <w:r>
              <w:rPr>
                <w:b/>
                <w:color w:val="FFFFFF"/>
                <w:sz w:val="19"/>
              </w:rPr>
              <w:t>Reviewed By</w:t>
            </w:r>
          </w:p>
        </w:tc>
      </w:tr>
      <w:tr w14:paraId="77D15904">
        <w:tblPrEx/>
        <w:trPr>
          <w:jc w:val="center"/>
        </w:trPr>
        <w:tc>
          <w:tcPr>
            <w:tcW w:w="115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0.1</w:t>
            </w:r>
          </w:p>
        </w:tc>
        <w:tc>
          <w:tcPr>
            <w:tcW w:w="144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15-Sep-2026</w:t>
            </w:r>
          </w:p>
        </w:tc>
        <w:tc>
          <w:tcPr>
            <w:tcW w:w="388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Initial Architecture Draft &amp; Scope Definition</w:t>
            </w:r>
          </w:p>
        </w:tc>
        <w:tc>
          <w:tcPr>
            <w:tcW w:w="144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Engineering Team</w:t>
            </w:r>
          </w:p>
        </w:tc>
        <w:tc>
          <w:tcPr>
            <w:tcW w:w="144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Project Guide</w:t>
            </w:r>
          </w:p>
        </w:tc>
      </w:tr>
      <w:tr w14:paraId="309386E3">
        <w:tblPrEx/>
        <w:trPr>
          <w:jc w:val="center"/>
        </w:trPr>
        <w:tc>
          <w:tcPr>
            <w:tcW w:w="115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1.0</w:t>
            </w:r>
          </w:p>
        </w:tc>
        <w:tc>
          <w:tcPr>
            <w:tcW w:w="144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28-Sep-2026</w:t>
            </w:r>
          </w:p>
        </w:tc>
        <w:tc>
          <w:tcPr>
            <w:tcW w:w="388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Added Warehouse Management &amp; Supplier CRUD API Modules</w:t>
            </w:r>
          </w:p>
        </w:tc>
        <w:tc>
          <w:tcPr>
            <w:tcW w:w="144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Engineering Team</w:t>
            </w:r>
          </w:p>
        </w:tc>
        <w:tc>
          <w:tcPr>
            <w:tcW w:w="144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Project Guide</w:t>
            </w:r>
          </w:p>
        </w:tc>
      </w:tr>
      <w:tr>
        <w:tc>
          <w:tcPr>
            <w:tcW w:type="dxa" w:w="1152"/>
            <w:shd w:fill="FFFFFF"/>
            <w:tcMar>
              <w:top w:w="100" w:type="dxa"/>
              <w:bottom w:w="100" w:type="dxa"/>
              <w:left w:w="150" w:type="dxa"/>
              <w:right w:w="150" w:type="dxa"/>
            </w:tcMar>
          </w:tcPr>
          <w:p>
            <w:r>
              <w:rPr>
                <w:color w:val="334155"/>
                <w:sz w:val="18"/>
              </w:rPr>
              <w:t>1.2</w:t>
            </w:r>
          </w:p>
        </w:tc>
        <w:tc>
          <w:tcPr>
            <w:tcW w:type="dxa" w:w="1440"/>
            <w:shd w:fill="FFFFFF"/>
            <w:tcMar>
              <w:top w:w="100" w:type="dxa"/>
              <w:bottom w:w="100" w:type="dxa"/>
              <w:left w:w="150" w:type="dxa"/>
              <w:right w:w="150" w:type="dxa"/>
            </w:tcMar>
          </w:tcPr>
          <w:p>
            <w:r>
              <w:rPr>
                <w:color w:val="334155"/>
                <w:sz w:val="18"/>
              </w:rPr>
              <w:t>30-Sep-2026</w:t>
            </w:r>
          </w:p>
        </w:tc>
        <w:tc>
          <w:tcPr>
            <w:tcW w:type="dxa" w:w="3888"/>
            <w:shd w:fill="FFFFFF"/>
            <w:tcMar>
              <w:top w:w="100" w:type="dxa"/>
              <w:bottom w:w="100" w:type="dxa"/>
              <w:left w:w="150" w:type="dxa"/>
              <w:right w:w="150" w:type="dxa"/>
            </w:tcMar>
          </w:tcPr>
          <w:p>
            <w:r>
              <w:rPr>
                <w:color w:val="334155"/>
                <w:sz w:val="18"/>
              </w:rPr>
              <w:t>Integrated JWT Security Filter &amp; Order Fulfillment Workflow</w:t>
            </w:r>
          </w:p>
        </w:tc>
        <w:tc>
          <w:tcPr>
            <w:tcW w:type="dxa" w:w="1440"/>
            <w:shd w:fill="FFFFFF"/>
            <w:tcMar>
              <w:top w:w="100" w:type="dxa"/>
              <w:bottom w:w="100" w:type="dxa"/>
              <w:left w:w="150" w:type="dxa"/>
              <w:right w:w="150" w:type="dxa"/>
            </w:tcMar>
          </w:tcPr>
          <w:p>
            <w:r>
              <w:rPr>
                <w:color w:val="334155"/>
                <w:sz w:val="18"/>
              </w:rPr>
              <w:t>Engineering Team</w:t>
            </w:r>
          </w:p>
        </w:tc>
        <w:tc>
          <w:tcPr>
            <w:tcW w:type="dxa" w:w="1440"/>
            <w:shd w:fill="FFFFFF"/>
            <w:tcMar>
              <w:top w:w="100" w:type="dxa"/>
              <w:bottom w:w="100" w:type="dxa"/>
              <w:left w:w="150" w:type="dxa"/>
              <w:right w:w="150" w:type="dxa"/>
            </w:tcMar>
          </w:tcPr>
          <w:p>
            <w:r>
              <w:rPr>
                <w:color w:val="334155"/>
                <w:sz w:val="18"/>
              </w:rPr>
              <w:t>Project Guide</w:t>
            </w:r>
          </w:p>
        </w:tc>
      </w:tr>
      <w:tr>
        <w:tc>
          <w:tcPr>
            <w:tcW w:type="dxa" w:w="1152"/>
            <w:shd w:fill="F8FAFC"/>
            <w:tcMar>
              <w:top w:w="100" w:type="dxa"/>
              <w:bottom w:w="100" w:type="dxa"/>
              <w:left w:w="150" w:type="dxa"/>
              <w:right w:w="150" w:type="dxa"/>
            </w:tcMar>
          </w:tcPr>
          <w:p>
            <w:r>
              <w:rPr>
                <w:color w:val="334155"/>
                <w:sz w:val="18"/>
              </w:rPr>
              <w:t>2.0</w:t>
            </w:r>
          </w:p>
        </w:tc>
        <w:tc>
          <w:tcPr>
            <w:tcW w:type="dxa" w:w="1440"/>
            <w:shd w:fill="F8FAFC"/>
            <w:tcMar>
              <w:top w:w="100" w:type="dxa"/>
              <w:bottom w:w="100" w:type="dxa"/>
              <w:left w:w="150" w:type="dxa"/>
              <w:right w:w="150" w:type="dxa"/>
            </w:tcMar>
          </w:tcPr>
          <w:p>
            <w:r>
              <w:rPr>
                <w:color w:val="334155"/>
                <w:sz w:val="18"/>
              </w:rPr>
              <w:t>01-Oct-2026</w:t>
            </w:r>
          </w:p>
        </w:tc>
        <w:tc>
          <w:tcPr>
            <w:tcW w:type="dxa" w:w="3888"/>
            <w:shd w:fill="F8FAFC"/>
            <w:tcMar>
              <w:top w:w="100" w:type="dxa"/>
              <w:bottom w:w="100" w:type="dxa"/>
              <w:left w:w="150" w:type="dxa"/>
              <w:right w:w="150" w:type="dxa"/>
            </w:tcMar>
          </w:tcPr>
          <w:p>
            <w:r>
              <w:rPr>
                <w:color w:val="334155"/>
                <w:sz w:val="18"/>
              </w:rPr>
              <w:t>Final 3rd Year Mid-Term SRS Baseline (IEEE Std 830-1998)</w:t>
            </w:r>
          </w:p>
        </w:tc>
        <w:tc>
          <w:tcPr>
            <w:tcW w:type="dxa" w:w="1440"/>
            <w:shd w:fill="F8FAFC"/>
            <w:tcMar>
              <w:top w:w="100" w:type="dxa"/>
              <w:bottom w:w="100" w:type="dxa"/>
              <w:left w:w="150" w:type="dxa"/>
              <w:right w:w="150" w:type="dxa"/>
            </w:tcMar>
          </w:tcPr>
          <w:p>
            <w:r>
              <w:rPr>
                <w:color w:val="334155"/>
                <w:sz w:val="18"/>
              </w:rPr>
              <w:t>Engineering Team</w:t>
            </w:r>
          </w:p>
        </w:tc>
        <w:tc>
          <w:tcPr>
            <w:tcW w:type="dxa" w:w="1440"/>
            <w:shd w:fill="F8FAFC"/>
            <w:tcMar>
              <w:top w:w="100" w:type="dxa"/>
              <w:bottom w:w="100" w:type="dxa"/>
              <w:left w:w="150" w:type="dxa"/>
              <w:right w:w="150" w:type="dxa"/>
            </w:tcMar>
          </w:tcPr>
          <w:p>
            <w:r>
              <w:rPr>
                <w:color w:val="334155"/>
                <w:sz w:val="18"/>
              </w:rPr>
              <w:t>HOD / Committee</w:t>
            </w:r>
          </w:p>
        </w:tc>
      </w:tr>
    </w:tbl>
    <w:p w14:paraId="B4EA4E38">
      <w:pPr>
        <w:rPr/>
      </w:pPr>
    </w:p>
    <w:tbl>
      <w:tblPr>
        <w:tblW w:w="0" w:type="auto"/>
        <w:jc w:val="center"/>
        <w:tblLayout w:type="fixed"/>
        <w:tblLook w:val="04A0" w:firstRow="1" w:lastRow="0" w:firstColumn="1" w:lastColumn="0" w:noHBand="0" w:noVBand="1"/>
      </w:tblPr>
      <w:tblGrid>
        <w:gridCol w:w="9360"/>
      </w:tblGrid>
      <w:tr w14:paraId="EDD9E81A">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tcPr>
          <w:p w14:paraId="DB8B99BF">
            <w:pPr>
              <w:pStyle w:val="style0"/>
              <w:spacing w:before="40" w:after="40" w:lineRule="auto" w:line="276"/>
              <w:rPr/>
            </w:pPr>
            <w:r>
              <w:rPr>
                <w:rFonts w:ascii="Arial" w:hAnsi="Arial"/>
                <w:b/>
                <w:color w:val="2b2d42"/>
                <w:sz w:val="20"/>
              </w:rPr>
              <w:t xml:space="preserve">Guidance Note: </w:t>
            </w:r>
            <w:r>
              <w:rPr>
                <w:rFonts w:ascii="Arial" w:hAnsi="Arial"/>
                <w:color w:val="2b2d42"/>
                <w:sz w:val="20"/>
              </w:rPr>
              <w:t>This Software Requirements Specification document conforms to the IEEE 830-1998 standard recommended practice. All sections are strictly designed for 3rd-year university lab evaluation, project reviews, and system design baselines.</w:t>
            </w:r>
          </w:p>
        </w:tc>
      </w:tr>
    </w:tbl>
    <w:p w14:paraId="E0E94B8C">
      <w:pPr>
        <w:pStyle w:val="style0"/>
        <w:spacing w:after="40"/>
        <w:rPr/>
      </w:pPr>
    </w:p>
    <w:p w14:paraId="C3650B36">
      <w:pPr>
        <w:pStyle w:val="style0"/>
        <w:keepNext/>
        <w:spacing w:before="320" w:after="120"/>
        <w:rPr/>
      </w:pPr>
      <w:r>
        <w:rPr>
          <w:rFonts w:ascii="Arial" w:hAnsi="Arial"/>
          <w:b/>
          <w:color w:val="1b365d"/>
          <w:sz w:val="30"/>
        </w:rPr>
        <w:t>1. Introduction</w:t>
      </w:r>
    </w:p>
    <w:p w14:paraId="7856551A">
      <w:pPr>
        <w:pStyle w:val="style0"/>
        <w:keepNext/>
        <w:spacing w:before="240" w:after="80"/>
        <w:rPr/>
      </w:pPr>
      <w:r>
        <w:rPr>
          <w:rFonts w:ascii="Arial" w:hAnsi="Arial"/>
          <w:b/>
          <w:color w:val="4b6b94"/>
          <w:sz w:val="25"/>
        </w:rPr>
        <w:t>1.1 Purpose</w:t>
      </w:r>
    </w:p>
    <w:p w14:paraId="A189071E">
      <w:pPr>
        <w:pStyle w:val="style0"/>
        <w:rPr/>
      </w:pPr>
      <w:r>
        <w:t xml:space="preserve">The purpose of this Software Requirements Specification (SRS) document is to provide a complete, clear, and unambiguous definition of the functionality, external interfaces, performance targets, and constraints of the proposed system: </w:t>
      </w:r>
      <w:r>
        <w:rPr>
          <w:b/>
        </w:rPr>
        <w:t>'&lt;Project Title&gt;'</w:t>
      </w:r>
      <w:r>
        <w:t>. This specification serves as a binding reference agreement between student developers, project evaluators, academic supervisors, and prospective end users during the 3rd-year engineering curriculum.</w:t>
      </w:r>
    </w:p>
    <w:p w14:paraId="6A4CB1E2">
      <w:pPr>
        <w:pStyle w:val="style0"/>
        <w:keepNext/>
        <w:spacing w:before="240" w:after="80"/>
        <w:rPr/>
      </w:pPr>
      <w:r>
        <w:rPr>
          <w:rFonts w:ascii="Arial" w:hAnsi="Arial"/>
          <w:b/>
          <w:color w:val="4b6b94"/>
          <w:sz w:val="25"/>
        </w:rPr>
        <w:t>1.2 Scope of the System</w:t>
      </w:r>
    </w:p>
    <w:p w14:paraId="85F58075">
      <w:pPr>
        <w:pStyle w:val="style0"/>
        <w:rPr/>
      </w:pPr>
      <w:r>
        <w:t>The proposed application is designed to solve retail supply chain inefficiencies by delivering an end-to-end, multi-tier web platform (Valerune) that integrates customer e-commerce interactions with administrative multi-warehouse stock management, supplier tracking, and order fulfillment.</w:t>
      </w:r>
    </w:p>
    <w:p w14:paraId="424BE460">
      <w:pPr>
        <w:pStyle w:val="style48"/>
        <w:rPr/>
      </w:pPr>
      <w:r>
        <w:t>In-Scope Capabilities: Responsive Customer Storefront, Product Catalog CRUD, Multi-Warehouse Inventory Allocation across 4 regional hubs (WH-NORTH, WH-CENTRAL, WH-WEST, WH-SOUTH), Stock Movement Audit Logging (INBOUND, OUTBOUND, ADJUSTMENT, RESERVATION), Order Fulfillment State Transitions (PENDING -&gt; PROCESSING -&gt; COMPLETED / CANCELLED), Supplier Directory Tracking, and Stateless JWT Security with Role-Based Access Control (CUSTOMER, ADMIN).</w:t>
      </w:r>
    </w:p>
    <w:p w14:paraId="066FB973">
      <w:pPr>
        <w:pStyle w:val="style48"/>
        <w:rPr/>
      </w:pPr>
      <w:r>
        <w:t>Out-of-Scope Boundaries: Real-world credit card payment gateway terminals, physical hardware barcode/RFID scanner devices, and third-party logistics (3PL) courier API integrations.</w:t>
      </w:r>
    </w:p>
    <w:p w14:paraId="655F29A0">
      <w:pPr>
        <w:pStyle w:val="style48"/>
        <w:rPr/>
      </w:pPr>
      <w:r>
        <w:t>Expected Benefits: Reduction of stockouts by automated reorder alerts, improved audit accuracy, elimination of manual inventory processing errors, and real-time visibility across geographically distributed warehouse hubs.</w:t>
      </w:r>
    </w:p>
    <w:p w14:paraId="FC0841CE">
      <w:pPr>
        <w:pStyle w:val="style0"/>
        <w:keepNext/>
        <w:spacing w:before="240" w:after="80"/>
        <w:rPr/>
      </w:pPr>
      <w:r>
        <w:rPr>
          <w:rFonts w:ascii="Arial" w:hAnsi="Arial"/>
          <w:b/>
          <w:color w:val="4b6b94"/>
          <w:sz w:val="25"/>
        </w:rPr>
        <w:t>1.3 Definitions, Acronyms, and Abbreviations</w:t>
      </w:r>
    </w:p>
    <w:tbl>
      <w:tblPr>
        <w:tblW w:w="0" w:type="auto"/>
        <w:jc w:val="center"/>
        <w:tblLayout w:type="fixed"/>
        <w:tblLook w:val="04A0" w:firstRow="1" w:lastRow="0" w:firstColumn="1" w:lastColumn="0" w:noHBand="0" w:noVBand="1"/>
      </w:tblPr>
      <w:tblGrid>
        <w:gridCol w:w="3120"/>
        <w:gridCol w:w="3120"/>
        <w:gridCol w:w="3120"/>
      </w:tblGrid>
      <w:tr w14:paraId="BF576D87">
        <w:trPr>
          <w:jc w:val="center"/>
        </w:trPr>
        <w:tc>
          <w:tcPr>
            <w:tcW w:w="1728"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Category</w:t>
            </w:r>
          </w:p>
        </w:tc>
        <w:tc>
          <w:tcPr>
            <w:tcW w:w="216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Term / Acronym</w:t>
            </w:r>
          </w:p>
        </w:tc>
        <w:tc>
          <w:tcPr>
            <w:tcW w:w="5472"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Definition / Standard Context</w:t>
            </w:r>
          </w:p>
        </w:tc>
      </w:tr>
      <w:tr w14:paraId="55FA6FEB">
        <w:tblPrEx/>
        <w:trPr>
          <w:jc w:val="center"/>
        </w:trPr>
        <w:tc>
          <w:tcPr>
            <w:tcW w:w="172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Standard</w:t>
            </w:r>
          </w:p>
        </w:tc>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SRS</w:t>
            </w:r>
          </w:p>
        </w:tc>
        <w:tc>
          <w:tcPr>
            <w:tcW w:w="547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Software Requirements Specification (IEEE Std 830-1998 format).</w:t>
            </w:r>
          </w:p>
        </w:tc>
      </w:tr>
      <w:tr w14:paraId="B95BBC18">
        <w:tblPrEx/>
        <w:trPr>
          <w:jc w:val="center"/>
        </w:trPr>
        <w:tc>
          <w:tcPr>
            <w:tcW w:w="172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Architecture</w:t>
            </w:r>
          </w:p>
        </w:tc>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API</w:t>
            </w:r>
          </w:p>
        </w:tc>
        <w:tc>
          <w:tcPr>
            <w:tcW w:w="547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Application Programming Interface for data interchange via JSON/HTTPS.</w:t>
            </w:r>
          </w:p>
        </w:tc>
      </w:tr>
      <w:tr w14:paraId="44537F93">
        <w:tblPrEx/>
        <w:trPr>
          <w:jc w:val="center"/>
        </w:trPr>
        <w:tc>
          <w:tcPr>
            <w:tcW w:w="172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Security</w:t>
            </w:r>
          </w:p>
        </w:tc>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JWT / RBAC</w:t>
            </w:r>
          </w:p>
        </w:tc>
        <w:tc>
          <w:tcPr>
            <w:tcW w:w="547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JSON Web Token for stateless authorization; Role-Based Access Control.</w:t>
            </w:r>
          </w:p>
        </w:tc>
      </w:tr>
      <w:tr w14:paraId="FE2FD84F">
        <w:tblPrEx/>
        <w:trPr>
          <w:jc w:val="center"/>
        </w:trPr>
        <w:tc>
          <w:tcPr>
            <w:tcW w:w="172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Database</w:t>
            </w:r>
          </w:p>
        </w:tc>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CRUD</w:t>
            </w:r>
          </w:p>
        </w:tc>
        <w:tc>
          <w:tcPr>
            <w:tcW w:w="547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Create, Read, Update, Delete basic data manipulation operations.</w:t>
            </w:r>
          </w:p>
        </w:tc>
      </w:tr>
      <w:tr w14:paraId="C22413DC">
        <w:tblPrEx/>
        <w:trPr>
          <w:jc w:val="center"/>
        </w:trPr>
        <w:tc>
          <w:tcPr>
            <w:tcW w:w="172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Network</w:t>
            </w:r>
          </w:p>
        </w:tc>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REST</w:t>
            </w:r>
          </w:p>
        </w:tc>
        <w:tc>
          <w:tcPr>
            <w:tcW w:w="547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Representational State Transfer stateless software architectural style.</w:t>
            </w:r>
          </w:p>
        </w:tc>
      </w:tr>
      <w:tr w14:paraId="96FD8216">
        <w:tblPrEx/>
        <w:trPr>
          <w:jc w:val="center"/>
        </w:trPr>
        <w:tc>
          <w:tcPr>
            <w:tcW w:w="172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ORM</w:t>
            </w:r>
          </w:p>
        </w:tc>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JPA / Hibernate</w:t>
            </w:r>
          </w:p>
        </w:tc>
        <w:tc>
          <w:tcPr>
            <w:tcW w:w="547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Java Persistence API / Object-Relational Mapping for relational DB entities.</w:t>
            </w:r>
          </w:p>
        </w:tc>
      </w:tr>
      <w:tr>
        <w:tc>
          <w:tcPr>
            <w:tcW w:type="dxa" w:w="1728"/>
            <w:shd w:fill="FFFFFF"/>
            <w:tcMar>
              <w:top w:w="100" w:type="dxa"/>
              <w:bottom w:w="100" w:type="dxa"/>
              <w:left w:w="150" w:type="dxa"/>
              <w:right w:w="150" w:type="dxa"/>
            </w:tcMar>
          </w:tcPr>
          <w:p>
            <w:r>
              <w:rPr>
                <w:color w:val="334155"/>
                <w:sz w:val="18"/>
              </w:rPr>
              <w:t>Domain</w:t>
            </w:r>
          </w:p>
        </w:tc>
        <w:tc>
          <w:tcPr>
            <w:tcW w:type="dxa" w:w="2160"/>
            <w:shd w:fill="FFFFFF"/>
            <w:tcMar>
              <w:top w:w="100" w:type="dxa"/>
              <w:bottom w:w="100" w:type="dxa"/>
              <w:left w:w="150" w:type="dxa"/>
              <w:right w:w="150" w:type="dxa"/>
            </w:tcMar>
          </w:tcPr>
          <w:p>
            <w:r>
              <w:rPr>
                <w:color w:val="334155"/>
                <w:sz w:val="18"/>
              </w:rPr>
              <w:t>SKU</w:t>
            </w:r>
          </w:p>
        </w:tc>
        <w:tc>
          <w:tcPr>
            <w:tcW w:type="dxa" w:w="5472"/>
            <w:shd w:fill="FFFFFF"/>
            <w:tcMar>
              <w:top w:w="100" w:type="dxa"/>
              <w:bottom w:w="100" w:type="dxa"/>
              <w:left w:w="150" w:type="dxa"/>
              <w:right w:w="150" w:type="dxa"/>
            </w:tcMar>
          </w:tcPr>
          <w:p>
            <w:r>
              <w:rPr>
                <w:color w:val="334155"/>
                <w:sz w:val="18"/>
              </w:rPr>
              <w:t>Stock Keeping Unit unique product identification code.</w:t>
            </w:r>
          </w:p>
        </w:tc>
      </w:tr>
    </w:tbl>
    <w:p w14:paraId="AC57021F">
      <w:pPr>
        <w:pStyle w:val="style0"/>
        <w:keepNext/>
        <w:spacing w:before="240" w:after="80"/>
        <w:rPr/>
      </w:pPr>
      <w:r>
        <w:rPr>
          <w:rFonts w:ascii="Arial" w:hAnsi="Arial"/>
          <w:b/>
          <w:color w:val="4b6b94"/>
          <w:sz w:val="25"/>
        </w:rPr>
        <w:t>1.4 References</w:t>
      </w:r>
    </w:p>
    <w:p w14:paraId="FF93D011">
      <w:pPr>
        <w:pStyle w:val="style48"/>
        <w:rPr/>
      </w:pPr>
      <w:r>
        <w:rPr>
          <w:b/>
        </w:rPr>
        <w:t xml:space="preserve">IEEE Std 830-1998: </w:t>
      </w:r>
      <w:r>
        <w:t>IEEE Recommended Practice for Software Requirements Specifications.</w:t>
      </w:r>
    </w:p>
    <w:p w14:paraId="8405CD08">
      <w:pPr>
        <w:pStyle w:val="style48"/>
        <w:rPr/>
      </w:pPr>
      <w:r>
        <w:rPr>
          <w:b/>
        </w:rPr>
        <w:t xml:space="preserve">Software Engineering (10th Edition): </w:t>
      </w:r>
      <w:r>
        <w:t>Ian Sommerville, Pearson Education.</w:t>
      </w:r>
    </w:p>
    <w:p w14:paraId="CA896570">
      <w:pPr>
        <w:pStyle w:val="style48"/>
        <w:rPr/>
      </w:pPr>
      <w:r>
        <w:t>Relevant Documentation: Spring Boot 3.3 Reference Documentation, React 19 Developer Guide, PostgreSQL 17 Interactive Manual, RFC 7519 JSON Web Token Specification.</w:t>
      </w:r>
    </w:p>
    <w:p w14:paraId="1575AF8B">
      <w:pPr>
        <w:pStyle w:val="style0"/>
        <w:keepNext/>
        <w:spacing w:before="240" w:after="80"/>
        <w:rPr/>
      </w:pPr>
      <w:r>
        <w:rPr>
          <w:rFonts w:ascii="Arial" w:hAnsi="Arial"/>
          <w:b/>
          <w:color w:val="4b6b94"/>
          <w:sz w:val="25"/>
        </w:rPr>
        <w:t>1.5 Document Overview</w:t>
      </w:r>
    </w:p>
    <w:p w14:paraId="31A9B9DE">
      <w:pPr>
        <w:pStyle w:val="style0"/>
        <w:rPr/>
      </w:pPr>
      <w:r>
        <w:t>The remainder of this SRS is partitioned into structural sections: Section 2 outlines the product perspective, target user personas, operational context, and design constraints. Section 3 itemizes detailed functional requirements organized into logical software modules. Section 4 specifies external interfaces (UI, Hardware, Software, Network). Section 5 defines non-functional attributes (Performance, Reliability, Security). Finally, Section 6 provides standard academic modeling diagrams.</w:t>
      </w:r>
    </w:p>
    <w:p w14:paraId="2210EBC0">
      <w:pPr>
        <w:pStyle w:val="style0"/>
        <w:keepNext/>
        <w:spacing w:before="320" w:after="120"/>
        <w:rPr/>
      </w:pPr>
      <w:r>
        <w:rPr>
          <w:rFonts w:ascii="Arial" w:hAnsi="Arial"/>
          <w:b/>
          <w:color w:val="1b365d"/>
          <w:sz w:val="30"/>
        </w:rPr>
        <w:t>2. Overall Description</w:t>
      </w:r>
    </w:p>
    <w:p w14:paraId="C9DD0701">
      <w:pPr>
        <w:pStyle w:val="style0"/>
        <w:keepNext/>
        <w:spacing w:before="240" w:after="80"/>
        <w:rPr/>
      </w:pPr>
      <w:r>
        <w:rPr>
          <w:rFonts w:ascii="Arial" w:hAnsi="Arial"/>
          <w:b/>
          <w:color w:val="4b6b94"/>
          <w:sz w:val="25"/>
        </w:rPr>
        <w:t>2.1 Product Perspective</w:t>
      </w:r>
    </w:p>
    <w:p w14:paraId="CFD49640">
      <w:pPr>
        <w:pStyle w:val="style0"/>
        <w:rPr/>
      </w:pPr>
      <w:r>
        <w:t>The project is structured as a self-contained multi-tier system (comprising a presentation layer, an application/API logic tier, and a persistent database backend). It interfaces with external services (such as cloud storage or messaging gateways) strictly through secure, authenticated RESTful endpoints.</w:t>
      </w:r>
    </w:p>
    <w:tbl>
      <w:tblPr>
        <w:tblW w:w="0" w:type="auto"/>
        <w:jc w:val="center"/>
        <w:tblLayout w:type="fixed"/>
        <w:tblLook w:val="04A0" w:firstRow="1" w:lastRow="0" w:firstColumn="1" w:lastColumn="0" w:noHBand="0" w:noVBand="1"/>
      </w:tblPr>
      <w:tblGrid>
        <w:gridCol w:w="9360"/>
      </w:tblGrid>
      <w:tr w14:paraId="C99334F5">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shd w:fill="F8FAFC"/>
            <w:tcMar>
              <w:top w:w="150" w:type="dxa"/>
              <w:bottom w:w="150" w:type="dxa"/>
              <w:left w:w="150" w:type="dxa"/>
              <w:right w:w="150" w:type="dxa"/>
            </w:tcMar>
          </w:tcPr>
          <w:p>
            <w:pPr>
              <w:jc w:val="center"/>
            </w:pPr>
            <w:r>
              <w:rPr>
                <w:b/>
                <w:color w:val="1E293B"/>
                <w:sz w:val="19"/>
              </w:rPr>
              <w:t>[Valerune System Context &amp; High-Level Architecture]</w:t>
              <w:br/>
              <w:br/>
              <w:t>React 19 / TypeScript SPA Frontend  &lt;--&gt;  REST HTTP/JSON + Authorization: Bearer &lt;JWT&gt;</w:t>
              <w:br/>
              <w:t xml:space="preserve">  &lt;--&gt;  Spring Boot 3.3.0 REST Backend (Port 8080)  &lt;--&gt;  Spring Data JPA / Hibernate</w:t>
              <w:br/>
              <w:t xml:space="preserve">  &lt;--&gt;  PostgreSQL 17 Database Engine (Port 5432 / Database: retail_inventory)</w:t>
            </w:r>
          </w:p>
        </w:tc>
      </w:tr>
    </w:tbl>
    <w:p w14:paraId="F0E18E86">
      <w:pPr>
        <w:pStyle w:val="style0"/>
        <w:spacing w:after="40"/>
        <w:rPr/>
      </w:pPr>
    </w:p>
    <w:p w14:paraId="547B00B7">
      <w:pPr>
        <w:pStyle w:val="style0"/>
        <w:keepNext/>
        <w:spacing w:before="240" w:after="80"/>
        <w:rPr/>
      </w:pPr>
      <w:r>
        <w:rPr>
          <w:rFonts w:ascii="Arial" w:hAnsi="Arial"/>
          <w:b/>
          <w:color w:val="4b6b94"/>
          <w:sz w:val="25"/>
        </w:rPr>
        <w:t>2.2 User Classes and Characteristics</w:t>
      </w:r>
    </w:p>
    <w:p w14:paraId="26065A4B">
      <w:pPr>
        <w:pStyle w:val="style0"/>
        <w:rPr/>
      </w:pPr>
      <w:r>
        <w:t>The target software accommodates distinct user personas with varying access hierarchies:</w:t>
      </w:r>
    </w:p>
    <w:tbl>
      <w:tblPr>
        <w:tblW w:w="0" w:type="auto"/>
        <w:jc w:val="center"/>
        <w:tblLook w:val="04A0" w:firstRow="1" w:lastRow="0" w:firstColumn="1" w:lastColumn="0" w:noHBand="0" w:noVBand="1"/>
      </w:tblPr>
      <w:tblGrid>
        <w:gridCol w:w="2160"/>
        <w:gridCol w:w="3168"/>
        <w:gridCol w:w="4032"/>
      </w:tblGrid>
      <w:tr w14:paraId="A0C69001">
        <w:trPr>
          <w:jc w:val="center"/>
        </w:trPr>
        <w:tc>
          <w:tcPr>
            <w:tcW w:w="216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User Role / Persona</w:t>
            </w:r>
          </w:p>
        </w:tc>
        <w:tc>
          <w:tcPr>
            <w:tcW w:w="216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Technical Proficiency</w:t>
            </w:r>
          </w:p>
        </w:tc>
        <w:tc>
          <w:tcPr>
            <w:tcW w:w="504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Core Responsibilities &amp; Rights</w:t>
            </w:r>
          </w:p>
        </w:tc>
      </w:tr>
      <w:tr w14:paraId="66B6F654">
        <w:tblPrEx/>
        <w:trPr>
          <w:jc w:val="center"/>
        </w:trPr>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System Administrator</w:t>
            </w:r>
          </w:p>
        </w:tc>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High (DevOps / Inventory Mgmt)</w:t>
            </w:r>
          </w:p>
        </w:tc>
        <w:tc>
          <w:tcPr>
            <w:tcW w:w="504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Full access: Product catalog CRUD, warehouse stock adjustments, supplier directory management, order fulfillment, and stock audit logs.</w:t>
            </w:r>
          </w:p>
        </w:tc>
      </w:tr>
      <w:tr w14:paraId="BD8A7959">
        <w:tblPrEx/>
        <w:trPr>
          <w:jc w:val="center"/>
        </w:trPr>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Registered End User</w:t>
            </w:r>
          </w:p>
        </w:tc>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Intermediate (General Web User)</w:t>
            </w:r>
          </w:p>
        </w:tc>
        <w:tc>
          <w:tcPr>
            <w:tcW w:w="504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Authenticated profile management, shopping cart, wishlist, checkout order placement, and customer order history tracking.</w:t>
            </w:r>
          </w:p>
        </w:tc>
      </w:tr>
      <w:tr w14:paraId="C58ED0EB">
        <w:tblPrEx/>
        <w:trPr>
          <w:jc w:val="center"/>
        </w:trPr>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Guest / Public Visitor</w:t>
            </w:r>
          </w:p>
        </w:tc>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Basic</w:t>
            </w:r>
          </w:p>
        </w:tc>
        <w:tc>
          <w:tcPr>
            <w:tcW w:w="504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Read-only access to public storefront catalog, product detail pages, search, multi-category filtering, and self-registration.</w:t>
            </w:r>
          </w:p>
        </w:tc>
      </w:tr>
    </w:tbl>
    <w:p w14:paraId="004A7BC2">
      <w:pPr>
        <w:pStyle w:val="style0"/>
        <w:keepNext/>
        <w:spacing w:before="240" w:after="80"/>
        <w:rPr/>
      </w:pPr>
      <w:r>
        <w:rPr>
          <w:rFonts w:ascii="Arial" w:hAnsi="Arial"/>
          <w:b/>
          <w:color w:val="4b6b94"/>
          <w:sz w:val="25"/>
        </w:rPr>
        <w:t>2.3 Operating Environment</w:t>
      </w:r>
    </w:p>
    <w:p w14:paraId="7B418BE3">
      <w:pPr>
        <w:pStyle w:val="style0"/>
        <w:rPr/>
      </w:pPr>
      <w:r>
        <w:t>The application operates within the following software and hardware environments:</w:t>
      </w:r>
    </w:p>
    <w:p w14:paraId="63B51210">
      <w:pPr>
        <w:pStyle w:val="style48"/>
        <w:rPr/>
      </w:pPr>
      <w:r>
        <w:rPr>
          <w:b/>
        </w:rPr>
        <w:t xml:space="preserve">Client Requirements: </w:t>
      </w:r>
      <w:r>
        <w:t>Modern web browser (Google Chrome &gt;= v110, Mozilla Firefox &gt;= v108, Edge, Safari); minimum display resolution 1366x768 for desktop, responsive view down to 360x640.</w:t>
      </w:r>
    </w:p>
    <w:p w14:paraId="2ED82138">
      <w:pPr>
        <w:pStyle w:val="style48"/>
        <w:rPr/>
      </w:pPr>
      <w:r>
        <w:rPr>
          <w:b/>
        </w:rPr>
        <w:t xml:space="preserve">Server Runtime Environment: </w:t>
      </w:r>
      <w:r>
        <w:t>Linux (Ubuntu 22.04 LTS / Debian 12) or Windows Server; Python 3.10+ / Node.js 18 LTS / Java 17 LTS.</w:t>
      </w:r>
    </w:p>
    <w:p w14:paraId="8A6D0D08">
      <w:pPr>
        <w:pStyle w:val="style48"/>
        <w:rPr/>
      </w:pPr>
      <w:r>
        <w:rPr>
          <w:b/>
        </w:rPr>
        <w:t xml:space="preserve">Database Storage Tier: </w:t>
      </w:r>
      <w:r>
        <w:t>PostgreSQL 15 / MySQL 8.0 / MongoDB 6.0 Enterprise or community editions.</w:t>
      </w:r>
    </w:p>
    <w:p w14:paraId="CB81EAF3">
      <w:pPr>
        <w:pStyle w:val="style0"/>
        <w:keepNext/>
        <w:spacing w:before="240" w:after="80"/>
        <w:rPr/>
      </w:pPr>
      <w:r>
        <w:rPr>
          <w:rFonts w:ascii="Arial" w:hAnsi="Arial"/>
          <w:b/>
          <w:color w:val="4b6b94"/>
          <w:sz w:val="25"/>
        </w:rPr>
        <w:t>2.4 Design and Implementation Constraints</w:t>
      </w:r>
    </w:p>
    <w:p w14:paraId="EEB4559E">
      <w:pPr>
        <w:pStyle w:val="style48"/>
        <w:rPr/>
      </w:pPr>
      <w:r>
        <w:rPr>
          <w:b/>
        </w:rPr>
        <w:t xml:space="preserve">Academic Budget Constraint: </w:t>
      </w:r>
      <w:r>
        <w:t>Utilization of free-tier cloud resources (e.g., Render, Railway, AWS Educate, or local containerized hosting).</w:t>
      </w:r>
    </w:p>
    <w:p w14:paraId="FD7E994F">
      <w:pPr>
        <w:pStyle w:val="style48"/>
        <w:rPr/>
      </w:pPr>
      <w:r>
        <w:rPr>
          <w:b/>
        </w:rPr>
        <w:t xml:space="preserve">Security Compliance: </w:t>
      </w:r>
      <w:r>
        <w:t>Passwords stored exclusively as salted hashes (PBKDF2 or Bcrypt); token invalidation upon user logout.</w:t>
      </w:r>
    </w:p>
    <w:p w14:paraId="B5100553">
      <w:pPr>
        <w:pStyle w:val="style48"/>
        <w:rPr/>
      </w:pPr>
      <w:r>
        <w:rPr>
          <w:b/>
        </w:rPr>
        <w:t xml:space="preserve">Modularity Standards: </w:t>
      </w:r>
      <w:r>
        <w:t>Adherence to Model-View-Controller (MVC) or modular REST service patterns to ensure clean separation of concerns.</w:t>
      </w:r>
    </w:p>
    <w:p w14:paraId="64627022">
      <w:pPr>
        <w:pStyle w:val="style0"/>
        <w:keepNext/>
        <w:spacing w:before="240" w:after="80"/>
        <w:rPr/>
      </w:pPr>
      <w:r>
        <w:rPr>
          <w:rFonts w:ascii="Arial" w:hAnsi="Arial"/>
          <w:b/>
          <w:color w:val="4b6b94"/>
          <w:sz w:val="25"/>
        </w:rPr>
        <w:t>2.5 Assumptions and Dependencies</w:t>
      </w:r>
    </w:p>
    <w:p w14:paraId="35F46617">
      <w:pPr>
        <w:pStyle w:val="style48"/>
        <w:rPr/>
      </w:pPr>
      <w:r>
        <w:rPr>
          <w:b/>
        </w:rPr>
        <w:t xml:space="preserve">Assumptions: </w:t>
      </w:r>
      <w:r>
        <w:t>Users possess continuous Internet connectivity with minimal bandwidth of 2 Mbps; client clocks are synchronized via NTP.</w:t>
      </w:r>
    </w:p>
    <w:p w14:paraId="55A22110">
      <w:pPr>
        <w:pStyle w:val="style48"/>
        <w:rPr/>
      </w:pPr>
      <w:r>
        <w:rPr>
          <w:b/>
        </w:rPr>
        <w:t xml:space="preserve">Dependencies: </w:t>
      </w:r>
      <w:r>
        <w:t>Continuous availability of third-party public APIs (e.g., Google OAuth 2.0, Geocoding service, or external model repository).</w:t>
      </w:r>
    </w:p>
    <w:p w14:paraId="689043C9">
      <w:pPr>
        <w:pStyle w:val="style0"/>
        <w:keepNext/>
        <w:spacing w:before="320" w:after="120"/>
        <w:rPr/>
      </w:pPr>
      <w:r>
        <w:rPr>
          <w:rFonts w:ascii="Arial" w:hAnsi="Arial"/>
          <w:b/>
          <w:color w:val="1b365d"/>
          <w:sz w:val="30"/>
        </w:rPr>
        <w:t>3. System Features and Functional Requirements</w:t>
      </w:r>
    </w:p>
    <w:p w14:paraId="A6A4D279">
      <w:pPr>
        <w:pStyle w:val="style0"/>
        <w:rPr/>
      </w:pPr>
      <w:r>
        <w:t>Requirements are categorized by functional subsystem modules with unique requirement identifiers (FR-x.x):</w:t>
      </w:r>
    </w:p>
    <w:p w14:paraId="CD39FA37">
      <w:pPr>
        <w:pStyle w:val="style0"/>
        <w:keepNext/>
        <w:spacing w:before="240" w:after="80"/>
        <w:rPr/>
      </w:pPr>
      <w:r>
        <w:rPr>
          <w:rFonts w:ascii="Arial" w:hAnsi="Arial"/>
          <w:b/>
          <w:color w:val="4b6b94"/>
          <w:sz w:val="25"/>
        </w:rPr>
        <w:t>3.1 Module 1: Authentication and Access Governance</w:t>
      </w:r>
    </w:p>
    <w:tbl>
      <w:tblPr>
        <w:tblW w:w="0" w:type="auto"/>
        <w:jc w:val="center"/>
        <w:tblLook w:val="04A0" w:firstRow="1" w:lastRow="0" w:firstColumn="1" w:lastColumn="0" w:noHBand="0" w:noVBand="1"/>
      </w:tblPr>
      <w:tblGrid>
        <w:gridCol w:w="1440"/>
        <w:gridCol w:w="3168"/>
        <w:gridCol w:w="3600"/>
        <w:gridCol w:w="1152"/>
      </w:tblGrid>
      <w:tr w14:paraId="FC7D8B21">
        <w:trPr>
          <w:jc w:val="center"/>
        </w:trPr>
        <w:tc>
          <w:tcPr>
            <w:tcW w:w="1152"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Req ID</w:t>
            </w:r>
          </w:p>
        </w:tc>
        <w:tc>
          <w:tcPr>
            <w:tcW w:w="2592"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Feature Description</w:t>
            </w:r>
          </w:p>
        </w:tc>
        <w:tc>
          <w:tcPr>
            <w:tcW w:w="4320"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Input / Validation Rule</w:t>
            </w:r>
          </w:p>
        </w:tc>
        <w:tc>
          <w:tcPr>
            <w:tcW w:w="1296"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Priority</w:t>
            </w:r>
          </w:p>
        </w:tc>
      </w:tr>
      <w:tr w14:paraId="5E54E7DB">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FR-1.1</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User Account Registration</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Email, Name, Password (&gt;=6 chars). Defaults to CUSTOMER role.</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14:paraId="8C1A4C29">
        <w:tblPrEx/>
        <w:trPr>
          <w:jc w:val="center"/>
        </w:trPr>
        <w:tc>
          <w:tcPr>
            <w:tcW w:w="115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FR-1.2</w:t>
            </w:r>
          </w:p>
        </w:tc>
        <w:tc>
          <w:tcPr>
            <w:tcW w:w="259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Secure Credential Login</w:t>
            </w:r>
          </w:p>
        </w:tc>
        <w:tc>
          <w:tcPr>
            <w:tcW w:w="4320"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Registered Email + Password; verifies BCrypt hash and returns JWT token.</w:t>
            </w:r>
          </w:p>
        </w:tc>
        <w:tc>
          <w:tcPr>
            <w:tcW w:w="1296"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High</w:t>
            </w:r>
          </w:p>
        </w:tc>
      </w:tr>
      <w:tr w14:paraId="54AEA80F">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FR-1.3</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BCrypt Password Hashing</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Hashes all raw passwords using BCrypt algorithm prior to DB persistence.</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FR-1.4</w:t>
            </w:r>
          </w:p>
        </w:tc>
        <w:tc>
          <w:tcPr>
            <w:tcW w:type="dxa" w:w="2592"/>
            <w:shd w:fill="F8FAFC"/>
            <w:tcMar>
              <w:top w:w="100" w:type="dxa"/>
              <w:bottom w:w="100" w:type="dxa"/>
              <w:left w:w="150" w:type="dxa"/>
              <w:right w:w="150" w:type="dxa"/>
            </w:tcMar>
          </w:tcPr>
          <w:p>
            <w:r>
              <w:rPr>
                <w:color w:val="334155"/>
                <w:sz w:val="18"/>
              </w:rPr>
              <w:t>Stateless JWT Issuance</w:t>
            </w:r>
          </w:p>
        </w:tc>
        <w:tc>
          <w:tcPr>
            <w:tcW w:type="dxa" w:w="4320"/>
            <w:shd w:fill="F8FAFC"/>
            <w:tcMar>
              <w:top w:w="100" w:type="dxa"/>
              <w:bottom w:w="100" w:type="dxa"/>
              <w:left w:w="150" w:type="dxa"/>
              <w:right w:w="150" w:type="dxa"/>
            </w:tcMar>
          </w:tcPr>
          <w:p>
            <w:r>
              <w:rPr>
                <w:color w:val="334155"/>
                <w:sz w:val="18"/>
              </w:rPr>
              <w:t>Generates signed 512-bit HMAC JWT token upon successful authentication.</w:t>
            </w:r>
          </w:p>
        </w:tc>
        <w:tc>
          <w:tcPr>
            <w:tcW w:type="dxa" w:w="1296"/>
            <w:shd w:fill="F8FAFC"/>
            <w:tcMar>
              <w:top w:w="100" w:type="dxa"/>
              <w:bottom w:w="100" w:type="dxa"/>
              <w:left w:w="150" w:type="dxa"/>
              <w:right w:w="150" w:type="dxa"/>
            </w:tcMar>
          </w:tcPr>
          <w:p>
            <w:r>
              <w:rPr>
                <w:color w:val="334155"/>
                <w:sz w:val="18"/>
              </w:rPr>
              <w:t>High</w:t>
            </w:r>
          </w:p>
        </w:tc>
      </w:tr>
      <w:tr>
        <w:tc>
          <w:tcPr>
            <w:tcW w:type="dxa" w:w="1152"/>
            <w:shd w:fill="FFFFFF"/>
            <w:tcMar>
              <w:top w:w="100" w:type="dxa"/>
              <w:bottom w:w="100" w:type="dxa"/>
              <w:left w:w="150" w:type="dxa"/>
              <w:right w:w="150" w:type="dxa"/>
            </w:tcMar>
          </w:tcPr>
          <w:p>
            <w:r>
              <w:rPr>
                <w:color w:val="334155"/>
                <w:sz w:val="18"/>
              </w:rPr>
              <w:t>FR-1.5</w:t>
            </w:r>
          </w:p>
        </w:tc>
        <w:tc>
          <w:tcPr>
            <w:tcW w:type="dxa" w:w="2592"/>
            <w:shd w:fill="FFFFFF"/>
            <w:tcMar>
              <w:top w:w="100" w:type="dxa"/>
              <w:bottom w:w="100" w:type="dxa"/>
              <w:left w:w="150" w:type="dxa"/>
              <w:right w:w="150" w:type="dxa"/>
            </w:tcMar>
          </w:tcPr>
          <w:p>
            <w:r>
              <w:rPr>
                <w:color w:val="334155"/>
                <w:sz w:val="18"/>
              </w:rPr>
              <w:t>Role-Based Route Guard</w:t>
            </w:r>
          </w:p>
        </w:tc>
        <w:tc>
          <w:tcPr>
            <w:tcW w:type="dxa" w:w="4320"/>
            <w:shd w:fill="FFFFFF"/>
            <w:tcMar>
              <w:top w:w="100" w:type="dxa"/>
              <w:bottom w:w="100" w:type="dxa"/>
              <w:left w:w="150" w:type="dxa"/>
              <w:right w:w="150" w:type="dxa"/>
            </w:tcMar>
          </w:tcPr>
          <w:p>
            <w:r>
              <w:rPr>
                <w:color w:val="334155"/>
                <w:sz w:val="18"/>
              </w:rPr>
              <w:t>Restricts /admin frontend routes and admin REST APIs to ADMIN role.</w:t>
            </w:r>
          </w:p>
        </w:tc>
        <w:tc>
          <w:tcPr>
            <w:tcW w:type="dxa" w:w="1296"/>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FR-1.6</w:t>
            </w:r>
          </w:p>
        </w:tc>
        <w:tc>
          <w:tcPr>
            <w:tcW w:type="dxa" w:w="2592"/>
            <w:shd w:fill="F8FAFC"/>
            <w:tcMar>
              <w:top w:w="100" w:type="dxa"/>
              <w:bottom w:w="100" w:type="dxa"/>
              <w:left w:w="150" w:type="dxa"/>
              <w:right w:w="150" w:type="dxa"/>
            </w:tcMar>
          </w:tcPr>
          <w:p>
            <w:r>
              <w:rPr>
                <w:color w:val="334155"/>
                <w:sz w:val="18"/>
              </w:rPr>
              <w:t>Get Current User Profile</w:t>
            </w:r>
          </w:p>
        </w:tc>
        <w:tc>
          <w:tcPr>
            <w:tcW w:type="dxa" w:w="4320"/>
            <w:shd w:fill="F8FAFC"/>
            <w:tcMar>
              <w:top w:w="100" w:type="dxa"/>
              <w:bottom w:w="100" w:type="dxa"/>
              <w:left w:w="150" w:type="dxa"/>
              <w:right w:w="150" w:type="dxa"/>
            </w:tcMar>
          </w:tcPr>
          <w:p>
            <w:r>
              <w:rPr>
                <w:color w:val="334155"/>
                <w:sz w:val="18"/>
              </w:rPr>
              <w:t>Extracts user profile using Bearer JWT token from Authorization header.</w:t>
            </w:r>
          </w:p>
        </w:tc>
        <w:tc>
          <w:tcPr>
            <w:tcW w:type="dxa" w:w="1296"/>
            <w:shd w:fill="F8FAFC"/>
            <w:tcMar>
              <w:top w:w="100" w:type="dxa"/>
              <w:bottom w:w="100" w:type="dxa"/>
              <w:left w:w="150" w:type="dxa"/>
              <w:right w:w="150" w:type="dxa"/>
            </w:tcMar>
          </w:tcPr>
          <w:p>
            <w:r>
              <w:rPr>
                <w:color w:val="334155"/>
                <w:sz w:val="18"/>
              </w:rPr>
              <w:t>Medium</w:t>
            </w:r>
          </w:p>
        </w:tc>
      </w:tr>
      <w:tr>
        <w:tc>
          <w:tcPr>
            <w:tcW w:type="dxa" w:w="1152"/>
            <w:shd w:fill="FFFFFF"/>
            <w:tcMar>
              <w:top w:w="100" w:type="dxa"/>
              <w:bottom w:w="100" w:type="dxa"/>
              <w:left w:w="150" w:type="dxa"/>
              <w:right w:w="150" w:type="dxa"/>
            </w:tcMar>
          </w:tcPr>
          <w:p>
            <w:r>
              <w:rPr>
                <w:color w:val="334155"/>
                <w:sz w:val="18"/>
              </w:rPr>
              <w:t>FR-1.7</w:t>
            </w:r>
          </w:p>
        </w:tc>
        <w:tc>
          <w:tcPr>
            <w:tcW w:type="dxa" w:w="2592"/>
            <w:shd w:fill="FFFFFF"/>
            <w:tcMar>
              <w:top w:w="100" w:type="dxa"/>
              <w:bottom w:w="100" w:type="dxa"/>
              <w:left w:w="150" w:type="dxa"/>
              <w:right w:w="150" w:type="dxa"/>
            </w:tcMar>
          </w:tcPr>
          <w:p>
            <w:r>
              <w:rPr>
                <w:color w:val="334155"/>
                <w:sz w:val="18"/>
              </w:rPr>
              <w:t>User Session Logout</w:t>
            </w:r>
          </w:p>
        </w:tc>
        <w:tc>
          <w:tcPr>
            <w:tcW w:type="dxa" w:w="4320"/>
            <w:shd w:fill="FFFFFF"/>
            <w:tcMar>
              <w:top w:w="100" w:type="dxa"/>
              <w:bottom w:w="100" w:type="dxa"/>
              <w:left w:w="150" w:type="dxa"/>
              <w:right w:w="150" w:type="dxa"/>
            </w:tcMar>
          </w:tcPr>
          <w:p>
            <w:r>
              <w:rPr>
                <w:color w:val="334155"/>
                <w:sz w:val="18"/>
              </w:rPr>
              <w:t>Clears SecurityContextHolder and client localStorage JWT token.</w:t>
            </w:r>
          </w:p>
        </w:tc>
        <w:tc>
          <w:tcPr>
            <w:tcW w:type="dxa" w:w="1296"/>
            <w:shd w:fill="FFFFFF"/>
            <w:tcMar>
              <w:top w:w="100" w:type="dxa"/>
              <w:bottom w:w="100" w:type="dxa"/>
              <w:left w:w="150" w:type="dxa"/>
              <w:right w:w="150" w:type="dxa"/>
            </w:tcMar>
          </w:tcPr>
          <w:p>
            <w:r>
              <w:rPr>
                <w:color w:val="334155"/>
                <w:sz w:val="18"/>
              </w:rPr>
              <w:t>Medium</w:t>
            </w:r>
          </w:p>
        </w:tc>
      </w:tr>
    </w:tbl>
    <w:p w14:paraId="0396B554">
      <w:pPr>
        <w:pStyle w:val="style0"/>
        <w:keepNext/>
        <w:spacing w:before="240" w:after="80"/>
        <w:rPr/>
      </w:pPr>
      <w:r>
        <w:rPr>
          <w:rFonts w:ascii="Arial" w:hAnsi="Arial"/>
          <w:b/>
          <w:color w:val="4b6b94"/>
          <w:sz w:val="25"/>
        </w:rPr>
        <w:t>3.2 Module 2: Core Processing &amp; Business Operations</w:t>
      </w:r>
    </w:p>
    <w:tbl>
      <w:tblPr>
        <w:tblW w:w="0" w:type="auto"/>
        <w:jc w:val="center"/>
        <w:tblLook w:val="04A0" w:firstRow="1" w:lastRow="0" w:firstColumn="1" w:lastColumn="0" w:noHBand="0" w:noVBand="1"/>
      </w:tblPr>
      <w:tblGrid>
        <w:gridCol w:w="1440"/>
        <w:gridCol w:w="3168"/>
        <w:gridCol w:w="3600"/>
        <w:gridCol w:w="1152"/>
      </w:tblGrid>
      <w:tr w14:paraId="A408222B">
        <w:trPr>
          <w:jc w:val="center"/>
        </w:trPr>
        <w:tc>
          <w:tcPr>
            <w:tcW w:w="1152" w:type="dxa"/>
            <w:tcBorders/>
            <w:shd w:val="nil" w:color="auto" w:fill="4b6b94"/>
            <w:tcMar>
              <w:top w:w="80" w:type="dxa"/>
              <w:left w:w="100" w:type="dxa"/>
              <w:bottom w:w="80" w:type="dxa"/>
              <w:right w:w="100" w:type="dxa"/>
            </w:tcMar>
            <w:shd w:fill="1E293B"/>
            <w:tcMar>
              <w:top w:w="120" w:type="dxa"/>
              <w:bottom w:w="120" w:type="dxa"/>
              <w:left w:w="150" w:type="dxa"/>
              <w:right w:w="150" w:type="dxa"/>
            </w:tcMar>
          </w:tcPr>
          <w:p>
            <w:r>
              <w:rPr>
                <w:b/>
                <w:color w:val="FFFFFF"/>
                <w:sz w:val="19"/>
              </w:rPr>
              <w:t>Req ID</w:t>
            </w:r>
          </w:p>
        </w:tc>
        <w:tc>
          <w:tcPr>
            <w:tcW w:w="2592" w:type="dxa"/>
            <w:tcBorders/>
            <w:shd w:val="nil" w:color="auto" w:fill="4b6b94"/>
            <w:tcMar>
              <w:top w:w="80" w:type="dxa"/>
              <w:left w:w="100" w:type="dxa"/>
              <w:bottom w:w="80" w:type="dxa"/>
              <w:right w:w="100" w:type="dxa"/>
            </w:tcMar>
            <w:shd w:fill="1E293B"/>
            <w:tcMar>
              <w:top w:w="120" w:type="dxa"/>
              <w:bottom w:w="120" w:type="dxa"/>
              <w:left w:w="150" w:type="dxa"/>
              <w:right w:w="150" w:type="dxa"/>
            </w:tcMar>
          </w:tcPr>
          <w:p>
            <w:r>
              <w:rPr>
                <w:b/>
                <w:color w:val="FFFFFF"/>
                <w:sz w:val="19"/>
              </w:rPr>
              <w:t>Feature Description</w:t>
            </w:r>
          </w:p>
        </w:tc>
        <w:tc>
          <w:tcPr>
            <w:tcW w:w="4320" w:type="dxa"/>
            <w:tcBorders/>
            <w:shd w:val="nil" w:color="auto" w:fill="4b6b94"/>
            <w:tcMar>
              <w:top w:w="80" w:type="dxa"/>
              <w:left w:w="100" w:type="dxa"/>
              <w:bottom w:w="80" w:type="dxa"/>
              <w:right w:w="100" w:type="dxa"/>
            </w:tcMar>
            <w:shd w:fill="1E293B"/>
            <w:tcMar>
              <w:top w:w="120" w:type="dxa"/>
              <w:bottom w:w="120" w:type="dxa"/>
              <w:left w:w="150" w:type="dxa"/>
              <w:right w:w="150" w:type="dxa"/>
            </w:tcMar>
          </w:tcPr>
          <w:p>
            <w:r>
              <w:rPr>
                <w:b/>
                <w:color w:val="FFFFFF"/>
                <w:sz w:val="19"/>
              </w:rPr>
              <w:t>Input / Validation Rule</w:t>
            </w:r>
          </w:p>
        </w:tc>
        <w:tc>
          <w:tcPr>
            <w:tcW w:w="1296" w:type="dxa"/>
            <w:tcBorders/>
            <w:shd w:val="nil" w:color="auto" w:fill="4b6b94"/>
            <w:tcMar>
              <w:top w:w="80" w:type="dxa"/>
              <w:left w:w="100" w:type="dxa"/>
              <w:bottom w:w="80" w:type="dxa"/>
              <w:right w:w="100" w:type="dxa"/>
            </w:tcMar>
            <w:shd w:fill="1E293B"/>
            <w:tcMar>
              <w:top w:w="120" w:type="dxa"/>
              <w:bottom w:w="120" w:type="dxa"/>
              <w:left w:w="150" w:type="dxa"/>
              <w:right w:w="150" w:type="dxa"/>
            </w:tcMar>
          </w:tcPr>
          <w:p>
            <w:r>
              <w:rPr>
                <w:b/>
                <w:color w:val="FFFFFF"/>
                <w:sz w:val="19"/>
              </w:rPr>
              <w:t>Priority</w:t>
            </w:r>
          </w:p>
        </w:tc>
      </w:tr>
      <w:tr w14:paraId="35697AE5">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FR-2.1</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Create Product Entry</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Requires unique SKU (VAL-***), non-empty name, price &gt; 0, category.</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14:paraId="F1F7C420">
        <w:tblPrEx/>
        <w:trPr>
          <w:jc w:val="center"/>
        </w:trPr>
        <w:tc>
          <w:tcPr>
            <w:tcW w:w="115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FR-2.2</w:t>
            </w:r>
          </w:p>
        </w:tc>
        <w:tc>
          <w:tcPr>
            <w:tcW w:w="259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Retrieve Retail Catalog</w:t>
            </w:r>
          </w:p>
        </w:tc>
        <w:tc>
          <w:tcPr>
            <w:tcW w:w="4320"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Returns list of active products with price, rating, category, image URL.</w:t>
            </w:r>
          </w:p>
        </w:tc>
        <w:tc>
          <w:tcPr>
            <w:tcW w:w="1296"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High</w:t>
            </w:r>
          </w:p>
        </w:tc>
      </w:tr>
      <w:tr w14:paraId="3F083C14">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FR-2.3</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Product Detail Lookup</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Fetches specific product record by UUID string.</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FR-2.4</w:t>
            </w:r>
          </w:p>
        </w:tc>
        <w:tc>
          <w:tcPr>
            <w:tcW w:type="dxa" w:w="2592"/>
            <w:shd w:fill="F8FAFC"/>
            <w:tcMar>
              <w:top w:w="100" w:type="dxa"/>
              <w:bottom w:w="100" w:type="dxa"/>
              <w:left w:w="150" w:type="dxa"/>
              <w:right w:w="150" w:type="dxa"/>
            </w:tcMar>
          </w:tcPr>
          <w:p>
            <w:r>
              <w:rPr>
                <w:color w:val="334155"/>
                <w:sz w:val="18"/>
              </w:rPr>
              <w:t>Update Product Profile</w:t>
            </w:r>
          </w:p>
        </w:tc>
        <w:tc>
          <w:tcPr>
            <w:tcW w:type="dxa" w:w="4320"/>
            <w:shd w:fill="F8FAFC"/>
            <w:tcMar>
              <w:top w:w="100" w:type="dxa"/>
              <w:bottom w:w="100" w:type="dxa"/>
              <w:left w:w="150" w:type="dxa"/>
              <w:right w:w="150" w:type="dxa"/>
            </w:tcMar>
          </w:tcPr>
          <w:p>
            <w:r>
              <w:rPr>
                <w:color w:val="334155"/>
                <w:sz w:val="18"/>
              </w:rPr>
              <w:t>Modifies product attributes while preserving SKU uniqueness.</w:t>
            </w:r>
          </w:p>
        </w:tc>
        <w:tc>
          <w:tcPr>
            <w:tcW w:type="dxa" w:w="1296"/>
            <w:shd w:fill="F8FAFC"/>
            <w:tcMar>
              <w:top w:w="100" w:type="dxa"/>
              <w:bottom w:w="100" w:type="dxa"/>
              <w:left w:w="150" w:type="dxa"/>
              <w:right w:w="150" w:type="dxa"/>
            </w:tcMar>
          </w:tcPr>
          <w:p>
            <w:r>
              <w:rPr>
                <w:color w:val="334155"/>
                <w:sz w:val="18"/>
              </w:rPr>
              <w:t>Medium</w:t>
            </w:r>
          </w:p>
        </w:tc>
      </w:tr>
      <w:tr>
        <w:tc>
          <w:tcPr>
            <w:tcW w:type="dxa" w:w="1152"/>
            <w:shd w:fill="FFFFFF"/>
            <w:tcMar>
              <w:top w:w="100" w:type="dxa"/>
              <w:bottom w:w="100" w:type="dxa"/>
              <w:left w:w="150" w:type="dxa"/>
              <w:right w:w="150" w:type="dxa"/>
            </w:tcMar>
          </w:tcPr>
          <w:p>
            <w:r>
              <w:rPr>
                <w:color w:val="334155"/>
                <w:sz w:val="18"/>
              </w:rPr>
              <w:t>FR-2.5</w:t>
            </w:r>
          </w:p>
        </w:tc>
        <w:tc>
          <w:tcPr>
            <w:tcW w:type="dxa" w:w="2592"/>
            <w:shd w:fill="FFFFFF"/>
            <w:tcMar>
              <w:top w:w="100" w:type="dxa"/>
              <w:bottom w:w="100" w:type="dxa"/>
              <w:left w:w="150" w:type="dxa"/>
              <w:right w:w="150" w:type="dxa"/>
            </w:tcMar>
          </w:tcPr>
          <w:p>
            <w:r>
              <w:rPr>
                <w:color w:val="334155"/>
                <w:sz w:val="18"/>
              </w:rPr>
              <w:t>Soft Delete Product</w:t>
            </w:r>
          </w:p>
        </w:tc>
        <w:tc>
          <w:tcPr>
            <w:tcW w:type="dxa" w:w="4320"/>
            <w:shd w:fill="FFFFFF"/>
            <w:tcMar>
              <w:top w:w="100" w:type="dxa"/>
              <w:bottom w:w="100" w:type="dxa"/>
              <w:left w:w="150" w:type="dxa"/>
              <w:right w:w="150" w:type="dxa"/>
            </w:tcMar>
          </w:tcPr>
          <w:p>
            <w:r>
              <w:rPr>
                <w:color w:val="334155"/>
                <w:sz w:val="18"/>
              </w:rPr>
              <w:t>Sets active flag to false without deleting historical transaction data.</w:t>
            </w:r>
          </w:p>
        </w:tc>
        <w:tc>
          <w:tcPr>
            <w:tcW w:type="dxa" w:w="1296"/>
            <w:shd w:fill="FFFFFF"/>
            <w:tcMar>
              <w:top w:w="100" w:type="dxa"/>
              <w:bottom w:w="100" w:type="dxa"/>
              <w:left w:w="150" w:type="dxa"/>
              <w:right w:w="150" w:type="dxa"/>
            </w:tcMar>
          </w:tcPr>
          <w:p>
            <w:r>
              <w:rPr>
                <w:color w:val="334155"/>
                <w:sz w:val="18"/>
              </w:rPr>
              <w:t>Medium</w:t>
            </w:r>
          </w:p>
        </w:tc>
      </w:tr>
      <w:tr>
        <w:tc>
          <w:tcPr>
            <w:tcW w:type="dxa" w:w="1152"/>
            <w:shd w:fill="F8FAFC"/>
            <w:tcMar>
              <w:top w:w="100" w:type="dxa"/>
              <w:bottom w:w="100" w:type="dxa"/>
              <w:left w:w="150" w:type="dxa"/>
              <w:right w:w="150" w:type="dxa"/>
            </w:tcMar>
          </w:tcPr>
          <w:p>
            <w:r>
              <w:rPr>
                <w:color w:val="334155"/>
                <w:sz w:val="18"/>
              </w:rPr>
              <w:t>FR-2.6</w:t>
            </w:r>
          </w:p>
        </w:tc>
        <w:tc>
          <w:tcPr>
            <w:tcW w:type="dxa" w:w="2592"/>
            <w:shd w:fill="F8FAFC"/>
            <w:tcMar>
              <w:top w:w="100" w:type="dxa"/>
              <w:bottom w:w="100" w:type="dxa"/>
              <w:left w:w="150" w:type="dxa"/>
              <w:right w:w="150" w:type="dxa"/>
            </w:tcMar>
          </w:tcPr>
          <w:p>
            <w:r>
              <w:rPr>
                <w:color w:val="334155"/>
                <w:sz w:val="18"/>
              </w:rPr>
              <w:t>Search &amp; Filter Catalog</w:t>
            </w:r>
          </w:p>
        </w:tc>
        <w:tc>
          <w:tcPr>
            <w:tcW w:type="dxa" w:w="4320"/>
            <w:shd w:fill="F8FAFC"/>
            <w:tcMar>
              <w:top w:w="100" w:type="dxa"/>
              <w:bottom w:w="100" w:type="dxa"/>
              <w:left w:w="150" w:type="dxa"/>
              <w:right w:w="150" w:type="dxa"/>
            </w:tcMar>
          </w:tcPr>
          <w:p>
            <w:r>
              <w:rPr>
                <w:color w:val="334155"/>
                <w:sz w:val="18"/>
              </w:rPr>
              <w:t>Filters catalog by keyword text, category, price range, and sorting.</w:t>
            </w:r>
          </w:p>
        </w:tc>
        <w:tc>
          <w:tcPr>
            <w:tcW w:type="dxa" w:w="1296"/>
            <w:shd w:fill="F8FAFC"/>
            <w:tcMar>
              <w:top w:w="100" w:type="dxa"/>
              <w:bottom w:w="100" w:type="dxa"/>
              <w:left w:w="150" w:type="dxa"/>
              <w:right w:w="150" w:type="dxa"/>
            </w:tcMar>
          </w:tcPr>
          <w:p>
            <w:r>
              <w:rPr>
                <w:color w:val="334155"/>
                <w:sz w:val="18"/>
              </w:rPr>
              <w:t>High</w:t>
            </w:r>
          </w:p>
        </w:tc>
      </w:tr>
      <w:tr>
        <w:tc>
          <w:tcPr>
            <w:tcW w:type="dxa" w:w="1152"/>
            <w:shd w:fill="FFFFFF"/>
            <w:tcMar>
              <w:top w:w="100" w:type="dxa"/>
              <w:bottom w:w="100" w:type="dxa"/>
              <w:left w:w="150" w:type="dxa"/>
              <w:right w:w="150" w:type="dxa"/>
            </w:tcMar>
          </w:tcPr>
          <w:p>
            <w:r>
              <w:rPr>
                <w:color w:val="334155"/>
                <w:sz w:val="18"/>
              </w:rPr>
              <w:t>FR-3.1</w:t>
            </w:r>
          </w:p>
        </w:tc>
        <w:tc>
          <w:tcPr>
            <w:tcW w:type="dxa" w:w="2592"/>
            <w:shd w:fill="FFFFFF"/>
            <w:tcMar>
              <w:top w:w="100" w:type="dxa"/>
              <w:bottom w:w="100" w:type="dxa"/>
              <w:left w:w="150" w:type="dxa"/>
              <w:right w:w="150" w:type="dxa"/>
            </w:tcMar>
          </w:tcPr>
          <w:p>
            <w:r>
              <w:rPr>
                <w:color w:val="334155"/>
                <w:sz w:val="18"/>
              </w:rPr>
              <w:t>Register Warehouse Hub</w:t>
            </w:r>
          </w:p>
        </w:tc>
        <w:tc>
          <w:tcPr>
            <w:tcW w:type="dxa" w:w="4320"/>
            <w:shd w:fill="FFFFFF"/>
            <w:tcMar>
              <w:top w:w="100" w:type="dxa"/>
              <w:bottom w:w="100" w:type="dxa"/>
              <w:left w:w="150" w:type="dxa"/>
              <w:right w:w="150" w:type="dxa"/>
            </w:tcMar>
          </w:tcPr>
          <w:p>
            <w:r>
              <w:rPr>
                <w:color w:val="334155"/>
                <w:sz w:val="18"/>
              </w:rPr>
              <w:t>Requires unique code (WH-***), name, location, capacity &gt; 0.</w:t>
            </w:r>
          </w:p>
        </w:tc>
        <w:tc>
          <w:tcPr>
            <w:tcW w:type="dxa" w:w="1296"/>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FR-4.1</w:t>
            </w:r>
          </w:p>
        </w:tc>
        <w:tc>
          <w:tcPr>
            <w:tcW w:type="dxa" w:w="2592"/>
            <w:shd w:fill="F8FAFC"/>
            <w:tcMar>
              <w:top w:w="100" w:type="dxa"/>
              <w:bottom w:w="100" w:type="dxa"/>
              <w:left w:w="150" w:type="dxa"/>
              <w:right w:w="150" w:type="dxa"/>
            </w:tcMar>
          </w:tcPr>
          <w:p>
            <w:r>
              <w:rPr>
                <w:color w:val="334155"/>
                <w:sz w:val="18"/>
              </w:rPr>
              <w:t>Create Stock Mapping</w:t>
            </w:r>
          </w:p>
        </w:tc>
        <w:tc>
          <w:tcPr>
            <w:tcW w:type="dxa" w:w="4320"/>
            <w:shd w:fill="F8FAFC"/>
            <w:tcMar>
              <w:top w:w="100" w:type="dxa"/>
              <w:bottom w:w="100" w:type="dxa"/>
              <w:left w:w="150" w:type="dxa"/>
              <w:right w:w="150" w:type="dxa"/>
            </w:tcMar>
          </w:tcPr>
          <w:p>
            <w:r>
              <w:rPr>
                <w:color w:val="334155"/>
                <w:sz w:val="18"/>
              </w:rPr>
              <w:t>Maps product UUID to warehouse code with initial quantity &gt;= 0.</w:t>
            </w:r>
          </w:p>
        </w:tc>
        <w:tc>
          <w:tcPr>
            <w:tcW w:type="dxa" w:w="1296"/>
            <w:shd w:fill="F8FAFC"/>
            <w:tcMar>
              <w:top w:w="100" w:type="dxa"/>
              <w:bottom w:w="100" w:type="dxa"/>
              <w:left w:w="150" w:type="dxa"/>
              <w:right w:w="150" w:type="dxa"/>
            </w:tcMar>
          </w:tcPr>
          <w:p>
            <w:r>
              <w:rPr>
                <w:color w:val="334155"/>
                <w:sz w:val="18"/>
              </w:rPr>
              <w:t>High</w:t>
            </w:r>
          </w:p>
        </w:tc>
      </w:tr>
      <w:tr>
        <w:tc>
          <w:tcPr>
            <w:tcW w:type="dxa" w:w="1152"/>
            <w:shd w:fill="FFFFFF"/>
            <w:tcMar>
              <w:top w:w="100" w:type="dxa"/>
              <w:bottom w:w="100" w:type="dxa"/>
              <w:left w:w="150" w:type="dxa"/>
              <w:right w:w="150" w:type="dxa"/>
            </w:tcMar>
          </w:tcPr>
          <w:p>
            <w:r>
              <w:rPr>
                <w:color w:val="334155"/>
                <w:sz w:val="18"/>
              </w:rPr>
              <w:t>FR-4.3</w:t>
            </w:r>
          </w:p>
        </w:tc>
        <w:tc>
          <w:tcPr>
            <w:tcW w:type="dxa" w:w="2592"/>
            <w:shd w:fill="FFFFFF"/>
            <w:tcMar>
              <w:top w:w="100" w:type="dxa"/>
              <w:bottom w:w="100" w:type="dxa"/>
              <w:left w:w="150" w:type="dxa"/>
              <w:right w:w="150" w:type="dxa"/>
            </w:tcMar>
          </w:tcPr>
          <w:p>
            <w:r>
              <w:rPr>
                <w:color w:val="334155"/>
                <w:sz w:val="18"/>
              </w:rPr>
              <w:t>Stock Level Adjustment</w:t>
            </w:r>
          </w:p>
        </w:tc>
        <w:tc>
          <w:tcPr>
            <w:tcW w:type="dxa" w:w="4320"/>
            <w:shd w:fill="FFFFFF"/>
            <w:tcMar>
              <w:top w:w="100" w:type="dxa"/>
              <w:bottom w:w="100" w:type="dxa"/>
              <w:left w:w="150" w:type="dxa"/>
              <w:right w:w="150" w:type="dxa"/>
            </w:tcMar>
          </w:tcPr>
          <w:p>
            <w:r>
              <w:rPr>
                <w:color w:val="334155"/>
                <w:sz w:val="18"/>
              </w:rPr>
              <w:t>Updates quantity on hand and reserved with non-negative validation.</w:t>
            </w:r>
          </w:p>
        </w:tc>
        <w:tc>
          <w:tcPr>
            <w:tcW w:type="dxa" w:w="1296"/>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FR-4.4</w:t>
            </w:r>
          </w:p>
        </w:tc>
        <w:tc>
          <w:tcPr>
            <w:tcW w:type="dxa" w:w="2592"/>
            <w:shd w:fill="F8FAFC"/>
            <w:tcMar>
              <w:top w:w="100" w:type="dxa"/>
              <w:bottom w:w="100" w:type="dxa"/>
              <w:left w:w="150" w:type="dxa"/>
              <w:right w:w="150" w:type="dxa"/>
            </w:tcMar>
          </w:tcPr>
          <w:p>
            <w:r>
              <w:rPr>
                <w:color w:val="334155"/>
                <w:sz w:val="18"/>
              </w:rPr>
              <w:t>Low Stock Alerting</w:t>
            </w:r>
          </w:p>
        </w:tc>
        <w:tc>
          <w:tcPr>
            <w:tcW w:type="dxa" w:w="4320"/>
            <w:shd w:fill="F8FAFC"/>
            <w:tcMar>
              <w:top w:w="100" w:type="dxa"/>
              <w:bottom w:w="100" w:type="dxa"/>
              <w:left w:w="150" w:type="dxa"/>
              <w:right w:w="150" w:type="dxa"/>
            </w:tcMar>
          </w:tcPr>
          <w:p>
            <w:r>
              <w:rPr>
                <w:color w:val="334155"/>
                <w:sz w:val="18"/>
              </w:rPr>
              <w:t>Triggers warning whenever quantity on hand &lt;= reorder level.</w:t>
            </w:r>
          </w:p>
        </w:tc>
        <w:tc>
          <w:tcPr>
            <w:tcW w:type="dxa" w:w="1296"/>
            <w:shd w:fill="F8FAFC"/>
            <w:tcMar>
              <w:top w:w="100" w:type="dxa"/>
              <w:bottom w:w="100" w:type="dxa"/>
              <w:left w:w="150" w:type="dxa"/>
              <w:right w:w="150" w:type="dxa"/>
            </w:tcMar>
          </w:tcPr>
          <w:p>
            <w:r>
              <w:rPr>
                <w:color w:val="334155"/>
                <w:sz w:val="18"/>
              </w:rPr>
              <w:t>High</w:t>
            </w:r>
          </w:p>
        </w:tc>
      </w:tr>
      <w:tr>
        <w:tc>
          <w:tcPr>
            <w:tcW w:type="dxa" w:w="1152"/>
            <w:shd w:fill="FFFFFF"/>
            <w:tcMar>
              <w:top w:w="100" w:type="dxa"/>
              <w:bottom w:w="100" w:type="dxa"/>
              <w:left w:w="150" w:type="dxa"/>
              <w:right w:w="150" w:type="dxa"/>
            </w:tcMar>
          </w:tcPr>
          <w:p>
            <w:r>
              <w:rPr>
                <w:color w:val="334155"/>
                <w:sz w:val="18"/>
              </w:rPr>
              <w:t>FR-4.5</w:t>
            </w:r>
          </w:p>
        </w:tc>
        <w:tc>
          <w:tcPr>
            <w:tcW w:type="dxa" w:w="2592"/>
            <w:shd w:fill="FFFFFF"/>
            <w:tcMar>
              <w:top w:w="100" w:type="dxa"/>
              <w:bottom w:w="100" w:type="dxa"/>
              <w:left w:w="150" w:type="dxa"/>
              <w:right w:w="150" w:type="dxa"/>
            </w:tcMar>
          </w:tcPr>
          <w:p>
            <w:r>
              <w:rPr>
                <w:color w:val="334155"/>
                <w:sz w:val="18"/>
              </w:rPr>
              <w:t>Optimistic Locking Control</w:t>
            </w:r>
          </w:p>
        </w:tc>
        <w:tc>
          <w:tcPr>
            <w:tcW w:type="dxa" w:w="4320"/>
            <w:shd w:fill="FFFFFF"/>
            <w:tcMar>
              <w:top w:w="100" w:type="dxa"/>
              <w:bottom w:w="100" w:type="dxa"/>
              <w:left w:w="150" w:type="dxa"/>
              <w:right w:w="150" w:type="dxa"/>
            </w:tcMar>
          </w:tcPr>
          <w:p>
            <w:r>
              <w:rPr>
                <w:color w:val="334155"/>
                <w:sz w:val="18"/>
              </w:rPr>
              <w:t>Enforces version field check to prevent concurrent stock overwrite errors.</w:t>
            </w:r>
          </w:p>
        </w:tc>
        <w:tc>
          <w:tcPr>
            <w:tcW w:type="dxa" w:w="1296"/>
            <w:shd w:fill="FFFFFF"/>
            <w:tcMar>
              <w:top w:w="100" w:type="dxa"/>
              <w:bottom w:w="100" w:type="dxa"/>
              <w:left w:w="150" w:type="dxa"/>
              <w:right w:w="150" w:type="dxa"/>
            </w:tcMar>
          </w:tcPr>
          <w:p>
            <w:r>
              <w:rPr>
                <w:color w:val="334155"/>
                <w:sz w:val="18"/>
              </w:rPr>
              <w:t>High</w:t>
            </w:r>
          </w:p>
        </w:tc>
      </w:tr>
    </w:tbl>
    <w:p w14:paraId="098DF4DA">
      <w:pPr>
        <w:pStyle w:val="style0"/>
        <w:keepNext/>
        <w:spacing w:before="240" w:after="80"/>
        <w:rPr/>
      </w:pPr>
      <w:r>
        <w:rPr>
          <w:rFonts w:ascii="Arial" w:hAnsi="Arial"/>
          <w:b/>
          <w:color w:val="4b6b94"/>
          <w:sz w:val="25"/>
        </w:rPr>
        <w:t>3.3 Module 3: Reporting, Visualization &amp; Administrative Control</w:t>
      </w:r>
    </w:p>
    <w:tbl>
      <w:tblPr>
        <w:tblW w:w="0" w:type="auto"/>
        <w:jc w:val="center"/>
        <w:tblLook w:val="04A0" w:firstRow="1" w:lastRow="0" w:firstColumn="1" w:lastColumn="0" w:noHBand="0" w:noVBand="1"/>
      </w:tblPr>
      <w:tblGrid>
        <w:gridCol w:w="1440"/>
        <w:gridCol w:w="3168"/>
        <w:gridCol w:w="3600"/>
        <w:gridCol w:w="1152"/>
      </w:tblGrid>
      <w:tr w14:paraId="2FC97675">
        <w:trPr>
          <w:jc w:val="center"/>
        </w:trPr>
        <w:tc>
          <w:tcPr>
            <w:tcW w:w="1152"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Req ID</w:t>
            </w:r>
          </w:p>
        </w:tc>
        <w:tc>
          <w:tcPr>
            <w:tcW w:w="2592"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Feature Description</w:t>
            </w:r>
          </w:p>
        </w:tc>
        <w:tc>
          <w:tcPr>
            <w:tcW w:w="4320"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Input / Validation Rule</w:t>
            </w:r>
          </w:p>
        </w:tc>
        <w:tc>
          <w:tcPr>
            <w:tcW w:w="1296"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Priority</w:t>
            </w:r>
          </w:p>
        </w:tc>
      </w:tr>
      <w:tr w14:paraId="14BF9388">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FR-5.1</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Log Movement Audit Event</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Records stock transaction (INBOUND, OUTBOUND, ADJUSTMENT, RESERVATION).</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14:paraId="41B5AEBC">
        <w:tblPrEx/>
        <w:trPr>
          <w:jc w:val="center"/>
        </w:trPr>
        <w:tc>
          <w:tcPr>
            <w:tcW w:w="115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FR-6.1</w:t>
            </w:r>
          </w:p>
        </w:tc>
        <w:tc>
          <w:tcPr>
            <w:tcW w:w="2592"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Create Sales Order</w:t>
            </w:r>
          </w:p>
        </w:tc>
        <w:tc>
          <w:tcPr>
            <w:tcW w:w="4320"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Accepts order payload with line items, total calculation, and warehouse code.</w:t>
            </w:r>
          </w:p>
        </w:tc>
        <w:tc>
          <w:tcPr>
            <w:tcW w:w="1296" w:type="dxa"/>
            <w:tcBorders/>
            <w:shd w:val="nil" w:color="auto" w:fill="ffffff"/>
            <w:tcMar>
              <w:top w:w="70" w:type="dxa"/>
              <w:left w:w="90" w:type="dxa"/>
              <w:bottom w:w="70" w:type="dxa"/>
              <w:right w:w="90" w:type="dxa"/>
            </w:tcMar>
            <w:shd w:fill="F8FAFC"/>
            <w:tcMar>
              <w:top w:w="100" w:type="dxa"/>
              <w:bottom w:w="100" w:type="dxa"/>
              <w:left w:w="150" w:type="dxa"/>
              <w:right w:w="150" w:type="dxa"/>
            </w:tcMar>
          </w:tcPr>
          <w:p>
            <w:r>
              <w:rPr>
                <w:color w:val="334155"/>
                <w:sz w:val="18"/>
              </w:rPr>
              <w:t>High</w:t>
            </w:r>
          </w:p>
        </w:tc>
      </w:tr>
      <w:tr w14:paraId="890EB836">
        <w:tblPrEx/>
        <w:trPr>
          <w:jc w:val="center"/>
        </w:trPr>
        <w:tc>
          <w:tcPr>
            <w:tcW w:w="115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FR-6.2</w:t>
            </w:r>
          </w:p>
        </w:tc>
        <w:tc>
          <w:tcPr>
            <w:tcW w:w="2592"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Inventory Reservation</w:t>
            </w:r>
          </w:p>
        </w:tc>
        <w:tc>
          <w:tcPr>
            <w:tcW w:w="4320"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Automatically deducts quantity from on-hand and reserves stock.</w:t>
            </w:r>
          </w:p>
        </w:tc>
        <w:tc>
          <w:tcPr>
            <w:tcW w:w="1296" w:type="dxa"/>
            <w:tcBorders/>
            <w:shd w:val="nil" w:color="auto" w:fill="f4f6f9"/>
            <w:tcMar>
              <w:top w:w="70" w:type="dxa"/>
              <w:left w:w="90" w:type="dxa"/>
              <w:bottom w:w="70" w:type="dxa"/>
              <w:right w:w="90" w:type="dxa"/>
            </w:tcMar>
            <w:shd w:fill="FFFFFF"/>
            <w:tcMar>
              <w:top w:w="100" w:type="dxa"/>
              <w:bottom w:w="100" w:type="dxa"/>
              <w:left w:w="150" w:type="dxa"/>
              <w:right w:w="150" w:type="dxa"/>
            </w:tcMar>
          </w:tcPr>
          <w:p>
            <w:r>
              <w:rPr>
                <w:color w:val="334155"/>
                <w:sz w:val="18"/>
              </w:rPr>
              <w:t>High</w:t>
            </w:r>
          </w:p>
        </w:tc>
      </w:tr>
      <w:tr>
        <w:tc>
          <w:tcPr>
            <w:tcW w:type="dxa" w:w="1152"/>
            <w:shd w:fill="F8FAFC"/>
            <w:tcMar>
              <w:top w:w="100" w:type="dxa"/>
              <w:bottom w:w="100" w:type="dxa"/>
              <w:left w:w="150" w:type="dxa"/>
              <w:right w:w="150" w:type="dxa"/>
            </w:tcMar>
          </w:tcPr>
          <w:p>
            <w:r>
              <w:rPr>
                <w:color w:val="334155"/>
                <w:sz w:val="18"/>
              </w:rPr>
              <w:t>FR-6.4</w:t>
            </w:r>
          </w:p>
        </w:tc>
        <w:tc>
          <w:tcPr>
            <w:tcW w:type="dxa" w:w="2592"/>
            <w:shd w:fill="F8FAFC"/>
            <w:tcMar>
              <w:top w:w="100" w:type="dxa"/>
              <w:bottom w:w="100" w:type="dxa"/>
              <w:left w:w="150" w:type="dxa"/>
              <w:right w:w="150" w:type="dxa"/>
            </w:tcMar>
          </w:tcPr>
          <w:p>
            <w:r>
              <w:rPr>
                <w:color w:val="334155"/>
                <w:sz w:val="18"/>
              </w:rPr>
              <w:t>Order Fulfillment Workflow</w:t>
            </w:r>
          </w:p>
        </w:tc>
        <w:tc>
          <w:tcPr>
            <w:tcW w:type="dxa" w:w="4320"/>
            <w:shd w:fill="F8FAFC"/>
            <w:tcMar>
              <w:top w:w="100" w:type="dxa"/>
              <w:bottom w:w="100" w:type="dxa"/>
              <w:left w:w="150" w:type="dxa"/>
              <w:right w:w="150" w:type="dxa"/>
            </w:tcMar>
          </w:tcPr>
          <w:p>
            <w:r>
              <w:rPr>
                <w:color w:val="334155"/>
                <w:sz w:val="18"/>
              </w:rPr>
              <w:t>Transitions order status (PENDING -&gt; PROCESSING -&gt; COMPLETED / CANCELLED).</w:t>
            </w:r>
          </w:p>
        </w:tc>
        <w:tc>
          <w:tcPr>
            <w:tcW w:type="dxa" w:w="1296"/>
            <w:shd w:fill="F8FAFC"/>
            <w:tcMar>
              <w:top w:w="100" w:type="dxa"/>
              <w:bottom w:w="100" w:type="dxa"/>
              <w:left w:w="150" w:type="dxa"/>
              <w:right w:w="150" w:type="dxa"/>
            </w:tcMar>
          </w:tcPr>
          <w:p>
            <w:r>
              <w:rPr>
                <w:color w:val="334155"/>
                <w:sz w:val="18"/>
              </w:rPr>
              <w:t>High</w:t>
            </w:r>
          </w:p>
        </w:tc>
      </w:tr>
      <w:tr>
        <w:tc>
          <w:tcPr>
            <w:tcW w:type="dxa" w:w="1152"/>
            <w:shd w:fill="FFFFFF"/>
            <w:tcMar>
              <w:top w:w="100" w:type="dxa"/>
              <w:bottom w:w="100" w:type="dxa"/>
              <w:left w:w="150" w:type="dxa"/>
              <w:right w:w="150" w:type="dxa"/>
            </w:tcMar>
          </w:tcPr>
          <w:p>
            <w:r>
              <w:rPr>
                <w:color w:val="334155"/>
                <w:sz w:val="18"/>
              </w:rPr>
              <w:t>FR-7.1</w:t>
            </w:r>
          </w:p>
        </w:tc>
        <w:tc>
          <w:tcPr>
            <w:tcW w:type="dxa" w:w="2592"/>
            <w:shd w:fill="FFFFFF"/>
            <w:tcMar>
              <w:top w:w="100" w:type="dxa"/>
              <w:bottom w:w="100" w:type="dxa"/>
              <w:left w:w="150" w:type="dxa"/>
              <w:right w:w="150" w:type="dxa"/>
            </w:tcMar>
          </w:tcPr>
          <w:p>
            <w:r>
              <w:rPr>
                <w:color w:val="334155"/>
                <w:sz w:val="18"/>
              </w:rPr>
              <w:t>Register Vendor Supplier</w:t>
            </w:r>
          </w:p>
        </w:tc>
        <w:tc>
          <w:tcPr>
            <w:tcW w:type="dxa" w:w="4320"/>
            <w:shd w:fill="FFFFFF"/>
            <w:tcMar>
              <w:top w:w="100" w:type="dxa"/>
              <w:bottom w:w="100" w:type="dxa"/>
              <w:left w:w="150" w:type="dxa"/>
              <w:right w:w="150" w:type="dxa"/>
            </w:tcMar>
          </w:tcPr>
          <w:p>
            <w:r>
              <w:rPr>
                <w:color w:val="334155"/>
                <w:sz w:val="18"/>
              </w:rPr>
              <w:t>Requires unique supplier code, company name, contact name, email, phone.</w:t>
            </w:r>
          </w:p>
        </w:tc>
        <w:tc>
          <w:tcPr>
            <w:tcW w:type="dxa" w:w="1296"/>
            <w:shd w:fill="FFFFFF"/>
            <w:tcMar>
              <w:top w:w="100" w:type="dxa"/>
              <w:bottom w:w="100" w:type="dxa"/>
              <w:left w:w="150" w:type="dxa"/>
              <w:right w:w="150" w:type="dxa"/>
            </w:tcMar>
          </w:tcPr>
          <w:p>
            <w:r>
              <w:rPr>
                <w:color w:val="334155"/>
                <w:sz w:val="18"/>
              </w:rPr>
              <w:t>Medium</w:t>
            </w:r>
          </w:p>
        </w:tc>
      </w:tr>
      <w:tr>
        <w:tc>
          <w:tcPr>
            <w:tcW w:type="dxa" w:w="1152"/>
            <w:shd w:fill="F8FAFC"/>
            <w:tcMar>
              <w:top w:w="100" w:type="dxa"/>
              <w:bottom w:w="100" w:type="dxa"/>
              <w:left w:w="150" w:type="dxa"/>
              <w:right w:w="150" w:type="dxa"/>
            </w:tcMar>
          </w:tcPr>
          <w:p>
            <w:r>
              <w:rPr>
                <w:color w:val="334155"/>
                <w:sz w:val="18"/>
              </w:rPr>
              <w:t>FR-8.1</w:t>
            </w:r>
          </w:p>
        </w:tc>
        <w:tc>
          <w:tcPr>
            <w:tcW w:type="dxa" w:w="2592"/>
            <w:shd w:fill="F8FAFC"/>
            <w:tcMar>
              <w:top w:w="100" w:type="dxa"/>
              <w:bottom w:w="100" w:type="dxa"/>
              <w:left w:w="150" w:type="dxa"/>
              <w:right w:w="150" w:type="dxa"/>
            </w:tcMar>
          </w:tcPr>
          <w:p>
            <w:r>
              <w:rPr>
                <w:color w:val="334155"/>
                <w:sz w:val="18"/>
              </w:rPr>
              <w:t>Operations Dashboard Metrics</w:t>
            </w:r>
          </w:p>
        </w:tc>
        <w:tc>
          <w:tcPr>
            <w:tcW w:type="dxa" w:w="4320"/>
            <w:shd w:fill="F8FAFC"/>
            <w:tcMar>
              <w:top w:w="100" w:type="dxa"/>
              <w:bottom w:w="100" w:type="dxa"/>
              <w:left w:w="150" w:type="dxa"/>
              <w:right w:w="150" w:type="dxa"/>
            </w:tcMar>
          </w:tcPr>
          <w:p>
            <w:r>
              <w:rPr>
                <w:color w:val="334155"/>
                <w:sz w:val="18"/>
              </w:rPr>
              <w:t>Aggregates total products, total stock, low-stock count, active orders.</w:t>
            </w:r>
          </w:p>
        </w:tc>
        <w:tc>
          <w:tcPr>
            <w:tcW w:type="dxa" w:w="1296"/>
            <w:shd w:fill="F8FAFC"/>
            <w:tcMar>
              <w:top w:w="100" w:type="dxa"/>
              <w:bottom w:w="100" w:type="dxa"/>
              <w:left w:w="150" w:type="dxa"/>
              <w:right w:w="150" w:type="dxa"/>
            </w:tcMar>
          </w:tcPr>
          <w:p>
            <w:r>
              <w:rPr>
                <w:color w:val="334155"/>
                <w:sz w:val="18"/>
              </w:rPr>
              <w:t>Medium</w:t>
            </w:r>
          </w:p>
        </w:tc>
      </w:tr>
      <w:tr>
        <w:tc>
          <w:tcPr>
            <w:tcW w:type="dxa" w:w="1152"/>
            <w:shd w:fill="FFFFFF"/>
            <w:tcMar>
              <w:top w:w="100" w:type="dxa"/>
              <w:bottom w:w="100" w:type="dxa"/>
              <w:left w:w="150" w:type="dxa"/>
              <w:right w:w="150" w:type="dxa"/>
            </w:tcMar>
          </w:tcPr>
          <w:p>
            <w:r>
              <w:rPr>
                <w:color w:val="334155"/>
                <w:sz w:val="18"/>
              </w:rPr>
              <w:t>FR-8.3</w:t>
            </w:r>
          </w:p>
        </w:tc>
        <w:tc>
          <w:tcPr>
            <w:tcW w:type="dxa" w:w="2592"/>
            <w:shd w:fill="FFFFFF"/>
            <w:tcMar>
              <w:top w:w="100" w:type="dxa"/>
              <w:bottom w:w="100" w:type="dxa"/>
              <w:left w:w="150" w:type="dxa"/>
              <w:right w:w="150" w:type="dxa"/>
            </w:tcMar>
          </w:tcPr>
          <w:p>
            <w:r>
              <w:rPr>
                <w:color w:val="334155"/>
                <w:sz w:val="18"/>
              </w:rPr>
              <w:t>DataInitializer Seeding</w:t>
            </w:r>
          </w:p>
        </w:tc>
        <w:tc>
          <w:tcPr>
            <w:tcW w:type="dxa" w:w="4320"/>
            <w:shd w:fill="FFFFFF"/>
            <w:tcMar>
              <w:top w:w="100" w:type="dxa"/>
              <w:bottom w:w="100" w:type="dxa"/>
              <w:left w:w="150" w:type="dxa"/>
              <w:right w:w="150" w:type="dxa"/>
            </w:tcMar>
          </w:tcPr>
          <w:p>
            <w:r>
              <w:rPr>
                <w:color w:val="334155"/>
                <w:sz w:val="18"/>
              </w:rPr>
              <w:t>Seeds 50 Valerune retail products and 4 warehouse records on startup.</w:t>
            </w:r>
          </w:p>
        </w:tc>
        <w:tc>
          <w:tcPr>
            <w:tcW w:type="dxa" w:w="1296"/>
            <w:shd w:fill="FFFFFF"/>
            <w:tcMar>
              <w:top w:w="100" w:type="dxa"/>
              <w:bottom w:w="100" w:type="dxa"/>
              <w:left w:w="150" w:type="dxa"/>
              <w:right w:w="150" w:type="dxa"/>
            </w:tcMar>
          </w:tcPr>
          <w:p>
            <w:r>
              <w:rPr>
                <w:color w:val="334155"/>
                <w:sz w:val="18"/>
              </w:rPr>
              <w:t>High</w:t>
            </w:r>
          </w:p>
        </w:tc>
      </w:tr>
    </w:tbl>
    <w:p w14:paraId="C531E270">
      <w:pPr>
        <w:pStyle w:val="style0"/>
        <w:keepNext/>
        <w:spacing w:before="320" w:after="120"/>
        <w:rPr/>
      </w:pPr>
      <w:r>
        <w:rPr>
          <w:rFonts w:ascii="Arial" w:hAnsi="Arial"/>
          <w:b/>
          <w:color w:val="1b365d"/>
          <w:sz w:val="30"/>
        </w:rPr>
        <w:t>4. External Interface Requirements</w:t>
      </w:r>
    </w:p>
    <w:p w14:paraId="A2E39DA8">
      <w:pPr>
        <w:pStyle w:val="style0"/>
        <w:keepNext/>
        <w:spacing w:before="240" w:after="80"/>
        <w:rPr/>
      </w:pPr>
      <w:r>
        <w:rPr>
          <w:rFonts w:ascii="Arial" w:hAnsi="Arial"/>
          <w:b/>
          <w:color w:val="4b6b94"/>
          <w:sz w:val="25"/>
        </w:rPr>
        <w:t>4.1 User Interfaces (UI)</w:t>
      </w:r>
    </w:p>
    <w:p w14:paraId="1B3B1134">
      <w:pPr>
        <w:pStyle w:val="style0"/>
        <w:rPr/>
      </w:pPr>
      <w:r>
        <w:t>The interface will follow standard UX usability best practices (clean navigation bar, breadcrumbs, modal validation dialogs). All forms must provide immediate visual feedback (success banners or inline error alerts under erroneous fields).</w:t>
      </w:r>
    </w:p>
    <w:tbl>
      <w:tblPr>
        <w:tblW w:w="0" w:type="auto"/>
        <w:jc w:val="center"/>
        <w:tblLayout w:type="fixed"/>
        <w:tblLook w:val="04A0" w:firstRow="1" w:lastRow="0" w:firstColumn="1" w:lastColumn="0" w:noHBand="0" w:noVBand="1"/>
      </w:tblPr>
      <w:tblGrid>
        <w:gridCol w:w="9360"/>
      </w:tblGrid>
      <w:tr w14:paraId="484EFFA0">
        <w:trPr>
          <w:jc w:val="center"/>
        </w:trPr>
        <w:tc>
          <w:tcPr>
            <w:tcW w:w="9360" w:type="dxa"/>
            <w:tcBorders>
              <w:top w:val="none" w:sz="4" w:space="0" w:color="auto"/>
              <w:left w:val="single" w:sz="24" w:space="0" w:color="1b365d"/>
              <w:bottom w:val="none" w:sz="4" w:space="0" w:color="auto"/>
              <w:right w:val="none" w:sz="4" w:space="0" w:color="auto"/>
            </w:tcBorders>
            <w:shd w:val="nil" w:color="auto" w:fill="f4f6f9"/>
            <w:tcMar>
              <w:top w:w="140" w:type="dxa"/>
              <w:left w:w="200" w:type="dxa"/>
              <w:bottom w:w="140" w:type="dxa"/>
              <w:right w:w="180" w:type="dxa"/>
            </w:tcMar>
            <w:shd w:fill="F8FAFC"/>
            <w:tcMar>
              <w:top w:w="150" w:type="dxa"/>
              <w:bottom w:w="150" w:type="dxa"/>
              <w:left w:w="150" w:type="dxa"/>
              <w:right w:w="150" w:type="dxa"/>
            </w:tcMar>
          </w:tcPr>
          <w:p>
            <w:pPr>
              <w:jc w:val="center"/>
            </w:pPr>
            <w:r>
              <w:rPr>
                <w:b/>
                <w:color w:val="1E293B"/>
                <w:sz w:val="19"/>
              </w:rPr>
              <w:t>[Valerune User Interface Architecture &amp; Screen Flows]</w:t>
              <w:br/>
              <w:br/>
              <w:t>1. Customer Storefront Home &amp; Shop Page (Hero, Filter Bar, Product Cards, Cart &amp; Wishlist Drawers)</w:t>
              <w:br/>
              <w:t>2. Product Detail &amp; Checkout Interface (Variant Selectors, Shipping Form, Order Confirmation)</w:t>
              <w:br/>
              <w:t>3. Admin Operations Console (KPI Metrics Widgets, Product CRUD Table, Inventory Adjuster, Stock Audit Log)</w:t>
            </w:r>
          </w:p>
        </w:tc>
      </w:tr>
    </w:tbl>
    <w:p w14:paraId="2956E896">
      <w:pPr>
        <w:pStyle w:val="style0"/>
        <w:spacing w:after="40"/>
        <w:rPr/>
      </w:pPr>
    </w:p>
    <w:p w14:paraId="B71759F2">
      <w:pPr>
        <w:pStyle w:val="style0"/>
        <w:keepNext/>
        <w:spacing w:before="240" w:after="80"/>
        <w:rPr/>
      </w:pPr>
      <w:r>
        <w:rPr>
          <w:rFonts w:ascii="Arial" w:hAnsi="Arial"/>
          <w:b/>
          <w:color w:val="4b6b94"/>
          <w:sz w:val="25"/>
        </w:rPr>
        <w:t>4.2 Hardware Interfaces</w:t>
      </w:r>
    </w:p>
    <w:p w14:paraId="D4A70FFF">
      <w:pPr>
        <w:pStyle w:val="style0"/>
        <w:rPr/>
      </w:pPr>
      <w:r>
        <w:t>Specification of physical interaction points:</w:t>
      </w:r>
    </w:p>
    <w:p w14:paraId="D403401E">
      <w:pPr>
        <w:pStyle w:val="style48"/>
        <w:rPr/>
      </w:pPr>
      <w:r>
        <w:rPr>
          <w:b/>
        </w:rPr>
        <w:t xml:space="preserve">Standard Deployment: </w:t>
      </w:r>
      <w:r>
        <w:t>Standard input/output peripherals (Keyboard, Mouse, Display &gt;= 720p).</w:t>
      </w:r>
    </w:p>
    <w:p w14:paraId="5F95D991">
      <w:pPr>
        <w:pStyle w:val="style48"/>
        <w:rPr/>
      </w:pPr>
      <w:r>
        <w:rPr>
          <w:b/>
        </w:rPr>
        <w:t xml:space="preserve">Embedded / IoT Variants (if applicable): </w:t>
      </w:r>
      <w:r>
        <w:t>Microcontroller I/O interfaces (e.g., ESP32 GPIO, I2C, SPI sensors, USB UART serial communications).</w:t>
      </w:r>
    </w:p>
    <w:p w14:paraId="7E881398">
      <w:pPr>
        <w:pStyle w:val="style0"/>
        <w:keepNext/>
        <w:spacing w:before="240" w:after="80"/>
        <w:rPr/>
      </w:pPr>
      <w:r>
        <w:rPr>
          <w:rFonts w:ascii="Arial" w:hAnsi="Arial"/>
          <w:b/>
          <w:color w:val="4b6b94"/>
          <w:sz w:val="25"/>
        </w:rPr>
        <w:t>4.3 Software Interfaces</w:t>
      </w:r>
    </w:p>
    <w:p w14:paraId="213CA793">
      <w:pPr>
        <w:pStyle w:val="style48"/>
        <w:rPr/>
      </w:pPr>
      <w:r>
        <w:rPr>
          <w:b/>
        </w:rPr>
        <w:t xml:space="preserve">Relational Database Connector: </w:t>
      </w:r>
      <w:r>
        <w:t>SQLAlchemy / Sequelize ORM interfacing with MySQL/PostgreSQL via standard TCP ports.</w:t>
      </w:r>
    </w:p>
    <w:p w14:paraId="BF285ADF">
      <w:pPr>
        <w:pStyle w:val="style48"/>
        <w:rPr/>
      </w:pPr>
      <w:r>
        <w:rPr>
          <w:b/>
        </w:rPr>
        <w:t xml:space="preserve">External Cloud Utilities: </w:t>
      </w:r>
      <w:r>
        <w:t>Amazon Web Services (S3 bucket for document storage) / Cloudinary for image optimization.</w:t>
      </w:r>
    </w:p>
    <w:p w14:paraId="48540F70">
      <w:pPr>
        <w:pStyle w:val="style0"/>
        <w:keepNext/>
        <w:spacing w:before="240" w:after="80"/>
        <w:rPr/>
      </w:pPr>
      <w:r>
        <w:rPr>
          <w:rFonts w:ascii="Arial" w:hAnsi="Arial"/>
          <w:b/>
          <w:color w:val="4b6b94"/>
          <w:sz w:val="25"/>
        </w:rPr>
        <w:t>4.4 Communication Interfaces</w:t>
      </w:r>
    </w:p>
    <w:p w14:paraId="B3D8B882">
      <w:pPr>
        <w:pStyle w:val="style48"/>
        <w:rPr/>
      </w:pPr>
      <w:r>
        <w:rPr>
          <w:b/>
        </w:rPr>
        <w:t xml:space="preserve">Web Traffic Protocol: </w:t>
      </w:r>
      <w:r>
        <w:t>HTTPS (Hypertext Transfer Protocol Secure over Port 443 with TLS 1.3).</w:t>
      </w:r>
    </w:p>
    <w:p w14:paraId="8616FCF2">
      <w:pPr>
        <w:pStyle w:val="style48"/>
        <w:rPr/>
      </w:pPr>
      <w:r>
        <w:rPr>
          <w:b/>
        </w:rPr>
        <w:t xml:space="preserve">Data Serialization: </w:t>
      </w:r>
      <w:r>
        <w:t>All payload bodies exchanged using standard UTF-8 encoded application/json format.</w:t>
      </w:r>
    </w:p>
    <w:p w14:paraId="B785BBA8">
      <w:pPr>
        <w:pStyle w:val="style0"/>
        <w:keepNext/>
        <w:spacing w:before="320" w:after="120"/>
        <w:rPr/>
      </w:pPr>
      <w:r>
        <w:rPr>
          <w:rFonts w:ascii="Arial" w:hAnsi="Arial"/>
          <w:b/>
          <w:color w:val="1b365d"/>
          <w:sz w:val="30"/>
        </w:rPr>
        <w:t>5. Non-Functional Requirements (NFRs)</w:t>
      </w:r>
    </w:p>
    <w:tbl>
      <w:tblPr>
        <w:tblW w:w="0" w:type="auto"/>
        <w:jc w:val="center"/>
        <w:tblLook w:val="04A0" w:firstRow="1" w:lastRow="0" w:firstColumn="1" w:lastColumn="0" w:noHBand="0" w:noVBand="1"/>
      </w:tblPr>
      <w:tblGrid>
        <w:gridCol w:w="2160"/>
        <w:gridCol w:w="3168"/>
        <w:gridCol w:w="4032"/>
      </w:tblGrid>
      <w:tr w14:paraId="BEF1001E">
        <w:trPr>
          <w:jc w:val="center"/>
        </w:trPr>
        <w:tc>
          <w:tcPr>
            <w:tcW w:w="1872"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Attribute</w:t>
            </w:r>
          </w:p>
        </w:tc>
        <w:tc>
          <w:tcPr>
            <w:tcW w:w="360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Target Metric / Standard</w:t>
            </w:r>
          </w:p>
        </w:tc>
        <w:tc>
          <w:tcPr>
            <w:tcW w:w="3888"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Verification &amp; Testing Method</w:t>
            </w:r>
          </w:p>
        </w:tc>
      </w:tr>
      <w:tr w14:paraId="C8553BD6">
        <w:tblPrEx/>
        <w:trPr>
          <w:jc w:val="center"/>
        </w:trPr>
        <w:tc>
          <w:tcPr>
            <w:tcW w:w="187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5.1 Performance</w:t>
            </w:r>
          </w:p>
        </w:tc>
        <w:tc>
          <w:tcPr>
            <w:tcW w:w="360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Page load latency &lt; 1.5s; REST API response time &lt; 350ms for query endpoints.</w:t>
            </w:r>
          </w:p>
        </w:tc>
        <w:tc>
          <w:tcPr>
            <w:tcW w:w="388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Postman &amp; Spring Boot Actuator health/metrics endpoints.</w:t>
            </w:r>
          </w:p>
        </w:tc>
      </w:tr>
      <w:tr w14:paraId="94B083C9">
        <w:tblPrEx/>
        <w:trPr>
          <w:jc w:val="center"/>
        </w:trPr>
        <w:tc>
          <w:tcPr>
            <w:tcW w:w="187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5.2 Security</w:t>
            </w:r>
          </w:p>
        </w:tc>
        <w:tc>
          <w:tcPr>
            <w:tcW w:w="360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Zero plain-text passwords (BCrypt hashed); 512-bit HMAC JWT tokens; SQL injection immunity via JPA parameterized queries.</w:t>
            </w:r>
          </w:p>
        </w:tc>
        <w:tc>
          <w:tcPr>
            <w:tcW w:w="388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Security code review &amp; JUnit spring-security test suite.</w:t>
            </w:r>
          </w:p>
        </w:tc>
      </w:tr>
      <w:tr w14:paraId="BDD655CF">
        <w:tblPrEx/>
        <w:trPr>
          <w:jc w:val="center"/>
        </w:trPr>
        <w:tc>
          <w:tcPr>
            <w:tcW w:w="187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5.3 Reliability</w:t>
            </w:r>
          </w:p>
        </w:tc>
        <w:tc>
          <w:tcPr>
            <w:tcW w:w="360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System uptime &gt;= 99% during demonstration; database transaction rollback on runtime exceptions.</w:t>
            </w:r>
          </w:p>
        </w:tc>
        <w:tc>
          <w:tcPr>
            <w:tcW w:w="388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JUnit 5 integration test suite (126 tests passing).</w:t>
            </w:r>
          </w:p>
        </w:tc>
      </w:tr>
      <w:tr w14:paraId="F006DD87">
        <w:tblPrEx/>
        <w:trPr>
          <w:jc w:val="center"/>
        </w:trPr>
        <w:tc>
          <w:tcPr>
            <w:tcW w:w="187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5.4 Portability</w:t>
            </w:r>
          </w:p>
        </w:tc>
        <w:tc>
          <w:tcPr>
            <w:tcW w:w="360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Cross-browser execution (Chrome, Edge, Firefox, Safari); fully responsive viewport (mobile to desktop).</w:t>
            </w:r>
          </w:p>
        </w:tc>
        <w:tc>
          <w:tcPr>
            <w:tcW w:w="388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Responsive viewport inspection in Developer Tools across devices.</w:t>
            </w:r>
          </w:p>
        </w:tc>
      </w:tr>
      <w:tr>
        <w:tc>
          <w:tcPr>
            <w:tcW w:type="dxa" w:w="1872"/>
            <w:shd w:fill="FFFFFF"/>
            <w:tcMar>
              <w:top w:w="100" w:type="dxa"/>
              <w:bottom w:w="100" w:type="dxa"/>
              <w:left w:w="150" w:type="dxa"/>
              <w:right w:w="150" w:type="dxa"/>
            </w:tcMar>
          </w:tcPr>
          <w:p>
            <w:r>
              <w:rPr>
                <w:color w:val="334155"/>
                <w:sz w:val="18"/>
              </w:rPr>
              <w:t>5.5 Maintainability</w:t>
            </w:r>
          </w:p>
        </w:tc>
        <w:tc>
          <w:tcPr>
            <w:tcW w:type="dxa" w:w="3600"/>
            <w:shd w:fill="FFFFFF"/>
            <w:tcMar>
              <w:top w:w="100" w:type="dxa"/>
              <w:bottom w:w="100" w:type="dxa"/>
              <w:left w:w="150" w:type="dxa"/>
              <w:right w:w="150" w:type="dxa"/>
            </w:tcMar>
          </w:tcPr>
          <w:p>
            <w:r>
              <w:rPr>
                <w:color w:val="334155"/>
                <w:sz w:val="18"/>
              </w:rPr>
              <w:t>Layered Spring Boot architecture (Controller-Service-Repository); modular React TypeScript components.</w:t>
            </w:r>
          </w:p>
        </w:tc>
        <w:tc>
          <w:tcPr>
            <w:tcW w:type="dxa" w:w="3888"/>
            <w:shd w:fill="FFFFFF"/>
            <w:tcMar>
              <w:top w:w="100" w:type="dxa"/>
              <w:bottom w:w="100" w:type="dxa"/>
              <w:left w:w="150" w:type="dxa"/>
              <w:right w:w="150" w:type="dxa"/>
            </w:tcMar>
          </w:tcPr>
          <w:p>
            <w:r>
              <w:rPr>
                <w:color w:val="334155"/>
                <w:sz w:val="18"/>
              </w:rPr>
              <w:t>Static code audit &amp; TypeScript compiler verification.</w:t>
            </w:r>
          </w:p>
        </w:tc>
      </w:tr>
    </w:tbl>
    <w:p w14:paraId="1DE9D5E6">
      <w:pPr>
        <w:pStyle w:val="style0"/>
        <w:keepNext/>
        <w:spacing w:before="320" w:after="120"/>
        <w:rPr/>
      </w:pPr>
      <w:r>
        <w:rPr>
          <w:rFonts w:ascii="Arial" w:hAnsi="Arial"/>
          <w:b/>
          <w:color w:val="1b365d"/>
          <w:sz w:val="30"/>
        </w:rPr>
        <w:t>6. System Design and Analysis Models</w:t>
      </w:r>
    </w:p>
    <w:p w14:paraId="9A25F6B4">
      <w:pPr>
        <w:pStyle w:val="style0"/>
        <w:rPr/>
      </w:pPr>
      <w:r>
        <w:t>University evaluation rubrics require standard graphical analysis models illustrating the dynamic and static behavior of the application:</w:t>
      </w:r>
    </w:p>
    <w:tbl>
      <w:tblPr>
        <w:tblW w:w="0" w:type="auto"/>
        <w:jc w:val="center"/>
        <w:tblLook w:val="04A0" w:firstRow="1" w:lastRow="0" w:firstColumn="1" w:lastColumn="0" w:noHBand="0" w:noVBand="1"/>
      </w:tblPr>
      <w:tblGrid>
        <w:gridCol w:w="2304"/>
        <w:gridCol w:w="3168"/>
        <w:gridCol w:w="3888"/>
      </w:tblGrid>
      <w:tr w14:paraId="9BACB6C1">
        <w:trPr>
          <w:jc w:val="center"/>
        </w:trPr>
        <w:tc>
          <w:tcPr>
            <w:tcW w:w="2160"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Diagram Type</w:t>
            </w:r>
          </w:p>
        </w:tc>
        <w:tc>
          <w:tcPr>
            <w:tcW w:w="4032"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Objective &amp; Scope</w:t>
            </w:r>
          </w:p>
        </w:tc>
        <w:tc>
          <w:tcPr>
            <w:tcW w:w="3168" w:type="dxa"/>
            <w:tcBorders/>
            <w:shd w:val="nil" w:color="auto" w:fill="1b365d"/>
            <w:tcMar>
              <w:top w:w="90" w:type="dxa"/>
              <w:left w:w="100" w:type="dxa"/>
              <w:bottom w:w="90" w:type="dxa"/>
              <w:right w:w="100" w:type="dxa"/>
            </w:tcMar>
            <w:shd w:fill="1E293B"/>
            <w:tcMar>
              <w:top w:w="120" w:type="dxa"/>
              <w:bottom w:w="120" w:type="dxa"/>
              <w:left w:w="150" w:type="dxa"/>
              <w:right w:w="150" w:type="dxa"/>
            </w:tcMar>
          </w:tcPr>
          <w:p>
            <w:r>
              <w:rPr>
                <w:b/>
                <w:color w:val="FFFFFF"/>
                <w:sz w:val="19"/>
              </w:rPr>
              <w:t>Deliverable Format</w:t>
            </w:r>
          </w:p>
        </w:tc>
      </w:tr>
      <w:tr w14:paraId="D7D9013D">
        <w:tblPrEx/>
        <w:trPr>
          <w:jc w:val="center"/>
        </w:trPr>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Use Case Diagram</w:t>
            </w:r>
          </w:p>
        </w:tc>
        <w:tc>
          <w:tcPr>
            <w:tcW w:w="403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Maps user actors (Administrator, Registered Customer, Guest) to discrete functional interactions.</w:t>
            </w:r>
          </w:p>
        </w:tc>
        <w:tc>
          <w:tcPr>
            <w:tcW w:w="316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UML Standard diagram + Actor mapping table.</w:t>
            </w:r>
          </w:p>
        </w:tc>
      </w:tr>
      <w:tr w14:paraId="94F1E689">
        <w:tblPrEx/>
        <w:trPr>
          <w:jc w:val="center"/>
        </w:trPr>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Data Flow Diagram (DFD)</w:t>
            </w:r>
          </w:p>
        </w:tc>
        <w:tc>
          <w:tcPr>
            <w:tcW w:w="403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Illustrates information flow: Level 0 (Context) and Level 1 (Process Decomposition).</w:t>
            </w:r>
          </w:p>
        </w:tc>
        <w:tc>
          <w:tcPr>
            <w:tcW w:w="316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Gane-Sarson / Yourdon &amp; Coad flow breakdown.</w:t>
            </w:r>
          </w:p>
        </w:tc>
      </w:tr>
      <w:tr w14:paraId="53797EE3">
        <w:tblPrEx/>
        <w:trPr>
          <w:jc w:val="center"/>
        </w:trPr>
        <w:tc>
          <w:tcPr>
            <w:tcW w:w="2160"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Entity-Relationship (ERD)</w:t>
            </w:r>
          </w:p>
        </w:tc>
        <w:tc>
          <w:tcPr>
            <w:tcW w:w="4032"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Details 8 normalized 3NF database entities, primary/foreign keys, and relationships.</w:t>
            </w:r>
          </w:p>
        </w:tc>
        <w:tc>
          <w:tcPr>
            <w:tcW w:w="3168" w:type="dxa"/>
            <w:tcBorders/>
            <w:shd w:val="nil" w:color="auto" w:fill="f4f6f9"/>
            <w:tcMar>
              <w:top w:w="80" w:type="dxa"/>
              <w:left w:w="100" w:type="dxa"/>
              <w:bottom w:w="80" w:type="dxa"/>
              <w:right w:w="100" w:type="dxa"/>
            </w:tcMar>
            <w:shd w:fill="FFFFFF"/>
            <w:tcMar>
              <w:top w:w="100" w:type="dxa"/>
              <w:bottom w:w="100" w:type="dxa"/>
              <w:left w:w="150" w:type="dxa"/>
              <w:right w:w="150" w:type="dxa"/>
            </w:tcMar>
          </w:tcPr>
          <w:p>
            <w:r>
              <w:rPr>
                <w:color w:val="334155"/>
                <w:sz w:val="18"/>
              </w:rPr>
              <w:t>Crow's Foot notation schema with 3NF normalization notes.</w:t>
            </w:r>
          </w:p>
        </w:tc>
      </w:tr>
      <w:tr w14:paraId="DEB7784D">
        <w:tblPrEx/>
        <w:trPr>
          <w:jc w:val="center"/>
        </w:trPr>
        <w:tc>
          <w:tcPr>
            <w:tcW w:w="2160"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Sequence Diagram</w:t>
            </w:r>
          </w:p>
        </w:tc>
        <w:tc>
          <w:tcPr>
            <w:tcW w:w="4032"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Chronological sequence of messages between UI, Controller, Service, Repository, and DB.</w:t>
            </w:r>
          </w:p>
        </w:tc>
        <w:tc>
          <w:tcPr>
            <w:tcW w:w="3168" w:type="dxa"/>
            <w:tcBorders/>
            <w:shd w:val="nil" w:color="auto" w:fill="ffffff"/>
            <w:tcMar>
              <w:top w:w="80" w:type="dxa"/>
              <w:left w:w="100" w:type="dxa"/>
              <w:bottom w:w="80" w:type="dxa"/>
              <w:right w:w="100" w:type="dxa"/>
            </w:tcMar>
            <w:shd w:fill="F8FAFC"/>
            <w:tcMar>
              <w:top w:w="100" w:type="dxa"/>
              <w:bottom w:w="100" w:type="dxa"/>
              <w:left w:w="150" w:type="dxa"/>
              <w:right w:w="150" w:type="dxa"/>
            </w:tcMar>
          </w:tcPr>
          <w:p>
            <w:r>
              <w:rPr>
                <w:color w:val="334155"/>
                <w:sz w:val="18"/>
              </w:rPr>
              <w:t>UML Sequence diagram detailing happy-path authentication.</w:t>
            </w:r>
          </w:p>
        </w:tc>
      </w:tr>
    </w:tbl>
    <w:p w14:paraId="A05738C1">
      <w:pPr>
        <w:pStyle w:val="style0"/>
        <w:keepNext/>
        <w:spacing w:before="320" w:after="120"/>
        <w:rPr/>
      </w:pPr>
      <w:r>
        <w:rPr>
          <w:rFonts w:ascii="Arial" w:hAnsi="Arial"/>
          <w:b/>
          <w:color w:val="1b365d"/>
          <w:sz w:val="30"/>
        </w:rPr>
        <w:t>7. Academic Review &amp; Sign-Off</w:t>
      </w:r>
    </w:p>
    <w:p w14:paraId="F2118FBA">
      <w:pPr>
        <w:pStyle w:val="style0"/>
        <w:rPr/>
      </w:pPr>
      <w:r>
        <w:t>This Software Requirements Specification document has been submitted and reviewed by the academic supervisory panel:</w:t>
      </w:r>
    </w:p>
    <w:tbl>
      <w:tblPr>
        <w:tblW w:w="0" w:type="auto"/>
        <w:jc w:val="center"/>
        <w:tblLook w:val="04A0" w:firstRow="1" w:lastRow="0" w:firstColumn="1" w:lastColumn="0" w:noHBand="0" w:noVBand="1"/>
      </w:tblPr>
      <w:tblGrid>
        <w:gridCol w:w="3024"/>
        <w:gridCol w:w="3168"/>
        <w:gridCol w:w="3168"/>
      </w:tblGrid>
      <w:tr w14:paraId="9C9BBA40">
        <w:trPr>
          <w:jc w:val="center"/>
        </w:trPr>
        <w:tc>
          <w:tcPr>
            <w:tcW w:w="3024"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Project Coordinator / Guide</w:t>
            </w:r>
          </w:p>
        </w:tc>
        <w:tc>
          <w:tcPr>
            <w:tcW w:w="3024"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Internal Examiner</w:t>
            </w:r>
          </w:p>
        </w:tc>
        <w:tc>
          <w:tcPr>
            <w:tcW w:w="3312" w:type="dxa"/>
            <w:tcBorders/>
            <w:shd w:val="nil" w:color="auto" w:fill="1b365d"/>
            <w:tcMar>
              <w:top w:w="80" w:type="dxa"/>
              <w:left w:w="100" w:type="dxa"/>
              <w:bottom w:w="80" w:type="dxa"/>
              <w:right w:w="100" w:type="dxa"/>
            </w:tcMar>
            <w:shd w:fill="1E293B"/>
            <w:tcMar>
              <w:top w:w="120" w:type="dxa"/>
              <w:bottom w:w="120" w:type="dxa"/>
              <w:left w:w="150" w:type="dxa"/>
              <w:right w:w="150" w:type="dxa"/>
            </w:tcMar>
          </w:tcPr>
          <w:p>
            <w:r>
              <w:rPr>
                <w:b/>
                <w:color w:val="FFFFFF"/>
                <w:sz w:val="19"/>
              </w:rPr>
              <w:t>Head of Department (HOD)</w:t>
            </w:r>
          </w:p>
        </w:tc>
      </w:tr>
      <w:tr w14:paraId="FE15A2BA">
        <w:tblPrEx/>
        <w:trPr>
          <w:jc w:val="center"/>
        </w:trPr>
        <w:tc>
          <w:tcPr>
            <w:tcW w:w="3024" w:type="dxa"/>
            <w:tcBorders/>
            <w:tcMar>
              <w:top w:w="300" w:type="dxa"/>
              <w:left w:w="100" w:type="dxa"/>
              <w:bottom w:w="100" w:type="dxa"/>
              <w:right w:w="100" w:type="dxa"/>
            </w:tcMar>
            <w:shd w:fill="FFFFFF"/>
            <w:tcMar>
              <w:top w:w="100" w:type="dxa"/>
              <w:bottom w:w="100" w:type="dxa"/>
              <w:left w:w="150" w:type="dxa"/>
              <w:right w:w="150" w:type="dxa"/>
            </w:tcMar>
          </w:tcPr>
          <w:p>
            <w:r>
              <w:rPr>
                <w:color w:val="334155"/>
                <w:sz w:val="18"/>
              </w:rPr>
              <w:t>Signature: __________________</w:t>
              <w:br/>
              <w:t>Name: Prof. / Dr. [Project Guide Name]</w:t>
              <w:br/>
              <w:t>Date: ____/____/2026</w:t>
            </w:r>
          </w:p>
        </w:tc>
        <w:tc>
          <w:tcPr>
            <w:tcW w:w="3024" w:type="dxa"/>
            <w:tcBorders/>
            <w:tcMar>
              <w:top w:w="300" w:type="dxa"/>
              <w:left w:w="100" w:type="dxa"/>
              <w:bottom w:w="100" w:type="dxa"/>
              <w:right w:w="100" w:type="dxa"/>
            </w:tcMar>
            <w:shd w:fill="FFFFFF"/>
            <w:tcMar>
              <w:top w:w="100" w:type="dxa"/>
              <w:bottom w:w="100" w:type="dxa"/>
              <w:left w:w="150" w:type="dxa"/>
              <w:right w:w="150" w:type="dxa"/>
            </w:tcMar>
          </w:tcPr>
          <w:p>
            <w:r>
              <w:rPr>
                <w:color w:val="334155"/>
                <w:sz w:val="18"/>
              </w:rPr>
              <w:t>Signature: __________________</w:t>
              <w:br/>
              <w:t>Name: [Internal Examiner Name]</w:t>
              <w:br/>
              <w:t>Date: ____/____/2026</w:t>
            </w:r>
          </w:p>
        </w:tc>
        <w:tc>
          <w:tcPr>
            <w:tcW w:w="3312" w:type="dxa"/>
            <w:tcBorders/>
            <w:tcMar>
              <w:top w:w="300" w:type="dxa"/>
              <w:left w:w="100" w:type="dxa"/>
              <w:bottom w:w="100" w:type="dxa"/>
              <w:right w:w="100" w:type="dxa"/>
            </w:tcMar>
            <w:shd w:fill="FFFFFF"/>
            <w:tcMar>
              <w:top w:w="100" w:type="dxa"/>
              <w:bottom w:w="100" w:type="dxa"/>
              <w:left w:w="150" w:type="dxa"/>
              <w:right w:w="150" w:type="dxa"/>
            </w:tcMar>
          </w:tcPr>
          <w:p>
            <w:r>
              <w:rPr>
                <w:color w:val="334155"/>
                <w:sz w:val="18"/>
              </w:rPr>
              <w:t>Signature: __________________</w:t>
              <w:br/>
              <w:t>Name: Head of Department</w:t>
              <w:br/>
              <w:t>Date: ____/____/2026</w:t>
            </w:r>
          </w:p>
        </w:tc>
      </w:tr>
    </w:tbl>
    <w:p w14:paraId="E5CEF2C4">
      <w:pPr>
        <w:rPr/>
      </w:pPr>
    </w:p>
    <w:sectPr>
      <w:headerReference w:type="default" r:id="rId2"/>
      <w:footerReference w:type="default" r:id="rId3"/>
      <w:pgSz w:w="12240" w:h="15840" w:orient="portrait"/>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8B30E386">
    <w:pPr>
      <w:pStyle w:val="style32"/>
      <w:jc w:val="center"/>
      <w:rPr/>
    </w:pPr>
    <w:r>
      <w:rPr>
        <w:rFonts w:ascii="Arial" w:hAnsi="Arial"/>
        <w:color w:val="78828c"/>
        <w:sz w:val="17"/>
      </w:rPr>
      <w:t>Page Reference - IEEE Std 830-1998 Academic Template</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61064CC5">
    <w:pPr>
      <w:pStyle w:val="style31"/>
      <w:jc w:val="right"/>
      <w:rPr/>
    </w:pPr>
    <w:r>
      <w:rPr>
        <w:rFonts w:ascii="Arial" w:hAnsi="Arial"/>
        <w:color w:val="78828c"/>
        <w:sz w:val="17"/>
      </w:rPr>
      <w:t>Software Requirements Specification | B.Tech Project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80" w:lineRule="auto" w:line="276"/>
    </w:pPr>
    <w:rPr>
      <w:rFonts w:ascii="Arial" w:hAnsi="Arial"/>
      <w:color w:val="2b2d42"/>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cc66c393-3d3b-438a-aeb0-9a22a016f3e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c1c6cf7e-6a08-4e6b-b467-1a78964ec282"/>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ca06e5f2-9c95-4d3c-ac41-e6b0d897c2f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1da0699a-bf62-4645-b913-f3d6f4567983"/>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222f7757-d3a6-4c31-bfdb-fa79cf41299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80cea29c-f357-48ae-a7ff-2110c922ce1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289d28fb-c44c-4fe5-8197-0038c2ba58b7"/>
    <w:basedOn w:val="style65"/>
    <w:next w:val="style4108"/>
    <w:link w:val="style180"/>
    <w:uiPriority w:val="29"/>
    <w:rPr>
      <w:i/>
      <w:iCs/>
      <w:color w:val="000000"/>
    </w:rPr>
  </w:style>
  <w:style w:type="character" w:customStyle="1" w:styleId="style4109">
    <w:name w:val="Heading 4 Char_e318f507-f360-46d3-b5ef-a086a017061d"/>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eb6b9b8c-3960-4a4b-96f2-4256b9daf94f"/>
    <w:basedOn w:val="style65"/>
    <w:next w:val="style4110"/>
    <w:link w:val="style5"/>
    <w:uiPriority w:val="9"/>
    <w:rPr>
      <w:rFonts w:ascii="Calibri" w:cs="宋体" w:eastAsia="ＭＳ ゴシック" w:hAnsi="Calibri"/>
      <w:color w:val="243f60"/>
    </w:rPr>
  </w:style>
  <w:style w:type="character" w:customStyle="1" w:styleId="style4111">
    <w:name w:val="Heading 6 Char_f8d83a59-6d50-488e-a844-da829035032b"/>
    <w:basedOn w:val="style65"/>
    <w:next w:val="style4111"/>
    <w:link w:val="style6"/>
    <w:uiPriority w:val="9"/>
    <w:rPr>
      <w:rFonts w:ascii="Calibri" w:cs="宋体" w:eastAsia="ＭＳ ゴシック" w:hAnsi="Calibri"/>
      <w:i/>
      <w:iCs/>
      <w:color w:val="243f60"/>
    </w:rPr>
  </w:style>
  <w:style w:type="character" w:customStyle="1" w:styleId="style4112">
    <w:name w:val="Heading 7 Char_c3da4b19-d1e1-48dd-89fa-c5e179556173"/>
    <w:basedOn w:val="style65"/>
    <w:next w:val="style4112"/>
    <w:link w:val="style7"/>
    <w:uiPriority w:val="9"/>
    <w:rPr>
      <w:rFonts w:ascii="Calibri" w:cs="宋体" w:eastAsia="ＭＳ ゴシック" w:hAnsi="Calibri"/>
      <w:i/>
      <w:iCs/>
      <w:color w:val="404040"/>
    </w:rPr>
  </w:style>
  <w:style w:type="character" w:customStyle="1" w:styleId="style4113">
    <w:name w:val="Heading 8 Char_ac8e62e3-7ed1-4c73-b4e1-34e5ac460095"/>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83ad7a35-bdaf-4f4c-aa0c-4543fc019991"/>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29fe2b4f-ae1d-4cc8-a019-54c6dc27e924"/>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1438</Words>
  <Pages>1</Pages>
  <Characters>9649</Characters>
  <Application>WPS Office</Application>
  <DocSecurity>0</DocSecurity>
  <Paragraphs>250</Paragraphs>
  <ScaleCrop>false</ScaleCrop>
  <LinksUpToDate>false</LinksUpToDate>
  <CharactersWithSpaces>10870</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2026-09-30T03:41:08Z</dcterms:created>
  <dc:creator>python-docx</dc:creator>
  <dc:description>generated by python-docx</dc:description>
  <lastModifiedBy>SM-A736B</lastModifiedBy>
  <dcterms:modified xsi:type="dcterms:W3CDTF">2026-09-30T03:41:08Z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4982a83ec7144a10aa6e012031cd53c9_23</vt:lpwstr>
  </property>
</Properties>
</file>