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tl w:val="0"/>
        </w:rPr>
      </w:r>
    </w:p>
    <w:sdt>
      <w:sdtPr>
        <w:id w:val="-2118475164"/>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lhfw28wn4x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hyperlink w:anchor="_lyatau35hgy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Objective</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b w:val="1"/>
              <w:bCs w:val="1"/>
              <w:color w:val="000000"/>
              <w:u w:val="none"/>
            </w:rPr>
          </w:pPr>
          <w:hyperlink w:anchor="_maobdp1ef9x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Methodology</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720" w:firstLine="0"/>
            <w:rPr>
              <w:color w:val="000000"/>
              <w:u w:val="none"/>
            </w:rPr>
          </w:pPr>
          <w:hyperlink w:anchor="_3naj5e23jm8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Data Acquisition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color w:val="000000"/>
              <w:u w:val="none"/>
            </w:rPr>
          </w:pPr>
          <w:hyperlink w:anchor="_s9mpxtslob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Data Cleaning and Pre-Processing</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color w:val="000000"/>
              <w:u w:val="none"/>
            </w:rPr>
          </w:pPr>
          <w:hyperlink w:anchor="_36qgz2trmod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Feature Engineering</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color w:val="000000"/>
              <w:u w:val="none"/>
            </w:rPr>
          </w:pPr>
          <w:hyperlink w:anchor="_o4cpso4ftns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Analytical Approach</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color w:val="000000"/>
              <w:u w:val="none"/>
            </w:rPr>
          </w:pPr>
          <w:hyperlink w:anchor="_omrjlovbkns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Interpretation &amp; Reporting</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hyperlink w:anchor="_xtx67da2idq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Data Design And Visualization</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color w:val="000000"/>
              <w:u w:val="none"/>
            </w:rPr>
          </w:pPr>
          <w:hyperlink w:anchor="_a7eyky889q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KPI Cards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color w:val="000000"/>
              <w:u w:val="none"/>
            </w:rPr>
          </w:pPr>
          <w:hyperlink w:anchor="_eprhklcle6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Total Revenue by Month</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color w:val="000000"/>
              <w:u w:val="none"/>
            </w:rPr>
          </w:pPr>
          <w:hyperlink w:anchor="_htkov96p2u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Revenue Growth % by Month-Year</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color w:val="000000"/>
              <w:u w:val="none"/>
            </w:rPr>
          </w:pPr>
          <w:hyperlink w:anchor="_ckfwos6adt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Total Revenue by Country</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color w:val="000000"/>
              <w:u w:val="none"/>
            </w:rPr>
          </w:pPr>
          <w:hyperlink w:anchor="_jsoh28icdz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Average Order Value by Month</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000000"/>
              <w:u w:val="none"/>
            </w:rPr>
          </w:pPr>
          <w:hyperlink w:anchor="_2w39al9woj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Customer Analytics Dashboard</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iv55l7ui03e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Conclusion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2">
      <w:pPr>
        <w:pStyle w:val="Heading1"/>
        <w:numPr>
          <w:ilvl w:val="0"/>
          <w:numId w:val="11"/>
        </w:numPr>
        <w:spacing w:line="240" w:lineRule="auto"/>
        <w:ind w:left="720" w:hanging="360"/>
        <w:rPr>
          <w:rFonts w:ascii="Times New Roman" w:cs="Times New Roman" w:eastAsia="Times New Roman" w:hAnsi="Times New Roman"/>
          <w:b w:val="1"/>
          <w:bCs w:val="1"/>
          <w:sz w:val="32"/>
          <w:szCs w:val="32"/>
        </w:rPr>
      </w:pPr>
      <w:bookmarkStart w:colFirst="0" w:colLast="0" w:name="_wlhfw28wn4xu" w:id="0"/>
      <w:bookmarkEnd w:id="0"/>
      <w:r w:rsidDel="00000000" w:rsidR="00000000" w:rsidRPr="00000000">
        <w:rPr>
          <w:rFonts w:ascii="Times New Roman" w:cs="Times New Roman" w:eastAsia="Times New Roman" w:hAnsi="Times New Roman"/>
          <w:b w:val="1"/>
          <w:bCs w:val="1"/>
          <w:sz w:val="32"/>
          <w:szCs w:val="32"/>
          <w:rtl w:val="0"/>
        </w:rPr>
        <w:t xml:space="preserve"> Introduction</w:t>
      </w:r>
    </w:p>
    <w:p w:rsidR="00000000" w:rsidDel="00000000" w:rsidP="00000000" w:rsidRDefault="00000000" w:rsidRPr="00000000" w14:paraId="00000033">
      <w:pPr>
        <w:spacing w:after="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provides a comprehensive analysis of the Online Retail Sales Dashboard developed in Power BI. The dashboard consolidates key sales, customer, and product metrics into an interactive and visually intuitive format. By leveraging Power BI's analytical capabilities, this report aims to highlight business performance trends, uncover insights, and support data-driven decisions across sales, marketing, and operational teams.</w:t>
      </w:r>
    </w:p>
    <w:p w:rsidR="00000000" w:rsidDel="00000000" w:rsidP="00000000" w:rsidRDefault="00000000" w:rsidRPr="00000000" w14:paraId="00000034">
      <w:pPr>
        <w:spacing w:after="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insights presented throughout the report are based on historical retail transaction data and include revenue performance, customer behavior analysis, product demand, and country-level sales distribution. Each section of the dashboard has been examined to provide clear interpretations and actionable observations.</w:t>
      </w:r>
    </w:p>
    <w:p w:rsidR="00000000" w:rsidDel="00000000" w:rsidP="00000000" w:rsidRDefault="00000000" w:rsidRPr="00000000" w14:paraId="00000035">
      <w:pPr>
        <w:spacing w:after="0" w:before="24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1"/>
        <w:numPr>
          <w:ilvl w:val="0"/>
          <w:numId w:val="11"/>
        </w:numPr>
        <w:spacing w:before="240" w:line="240" w:lineRule="auto"/>
        <w:ind w:left="720" w:hanging="360"/>
        <w:jc w:val="both"/>
        <w:rPr>
          <w:rFonts w:ascii="Times New Roman" w:cs="Times New Roman" w:eastAsia="Times New Roman" w:hAnsi="Times New Roman"/>
          <w:b w:val="1"/>
          <w:bCs w:val="1"/>
          <w:sz w:val="32"/>
          <w:szCs w:val="32"/>
        </w:rPr>
      </w:pPr>
      <w:bookmarkStart w:colFirst="0" w:colLast="0" w:name="_lyatau35hgys" w:id="1"/>
      <w:bookmarkEnd w:id="1"/>
      <w:r w:rsidDel="00000000" w:rsidR="00000000" w:rsidRPr="00000000">
        <w:rPr>
          <w:rFonts w:ascii="Times New Roman" w:cs="Times New Roman" w:eastAsia="Times New Roman" w:hAnsi="Times New Roman"/>
          <w:b w:val="1"/>
          <w:bCs w:val="1"/>
          <w:sz w:val="32"/>
          <w:szCs w:val="32"/>
          <w:rtl w:val="0"/>
        </w:rPr>
        <w:t xml:space="preserve">Objective</w:t>
      </w:r>
    </w:p>
    <w:p w:rsidR="00000000" w:rsidDel="00000000" w:rsidP="00000000" w:rsidRDefault="00000000" w:rsidRPr="00000000" w14:paraId="00000037">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report is to analyze and interpret key metrics presented in the Online Retail Sales Dashboard developed in Power BI. Specifically, the report aims to:</w:t>
      </w:r>
    </w:p>
    <w:p w:rsidR="00000000" w:rsidDel="00000000" w:rsidP="00000000" w:rsidRDefault="00000000" w:rsidRPr="00000000" w14:paraId="00000038">
      <w:pPr>
        <w:numPr>
          <w:ilvl w:val="0"/>
          <w:numId w:val="8"/>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overall sales performance using revenue, order volume, and quantity sold.</w:t>
      </w:r>
    </w:p>
    <w:p w:rsidR="00000000" w:rsidDel="00000000" w:rsidP="00000000" w:rsidRDefault="00000000" w:rsidRPr="00000000" w14:paraId="00000039">
      <w:pPr>
        <w:numPr>
          <w:ilvl w:val="0"/>
          <w:numId w:val="8"/>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trends and patterns in monthly sales and revenue growth.</w:t>
      </w:r>
    </w:p>
    <w:p w:rsidR="00000000" w:rsidDel="00000000" w:rsidP="00000000" w:rsidRDefault="00000000" w:rsidRPr="00000000" w14:paraId="0000003A">
      <w:pPr>
        <w:numPr>
          <w:ilvl w:val="0"/>
          <w:numId w:val="8"/>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customer behavior, including lifetime value, return rates, and purchasing patterns.</w:t>
      </w:r>
    </w:p>
    <w:p w:rsidR="00000000" w:rsidDel="00000000" w:rsidP="00000000" w:rsidRDefault="00000000" w:rsidRPr="00000000" w14:paraId="0000003B">
      <w:pPr>
        <w:numPr>
          <w:ilvl w:val="0"/>
          <w:numId w:val="8"/>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product performance to determine high-demand and low-performing items.</w:t>
      </w:r>
    </w:p>
    <w:p w:rsidR="00000000" w:rsidDel="00000000" w:rsidP="00000000" w:rsidRDefault="00000000" w:rsidRPr="00000000" w14:paraId="0000003C">
      <w:pPr>
        <w:numPr>
          <w:ilvl w:val="0"/>
          <w:numId w:val="8"/>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country-level contributions to overall revenue.</w:t>
      </w:r>
    </w:p>
    <w:p w:rsidR="00000000" w:rsidDel="00000000" w:rsidP="00000000" w:rsidRDefault="00000000" w:rsidRPr="00000000" w14:paraId="0000003D">
      <w:pPr>
        <w:numPr>
          <w:ilvl w:val="0"/>
          <w:numId w:val="8"/>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informed business decision-making through data-driven insights.</w:t>
      </w:r>
    </w:p>
    <w:p w:rsidR="00000000" w:rsidDel="00000000" w:rsidP="00000000" w:rsidRDefault="00000000" w:rsidRPr="00000000" w14:paraId="0000003E">
      <w:pPr>
        <w:spacing w:after="240" w:before="240" w:lin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1"/>
        <w:numPr>
          <w:ilvl w:val="0"/>
          <w:numId w:val="11"/>
        </w:numPr>
        <w:spacing w:after="240" w:before="240" w:line="240" w:lineRule="auto"/>
        <w:ind w:left="720" w:hanging="360"/>
        <w:jc w:val="both"/>
        <w:rPr>
          <w:rFonts w:ascii="Times New Roman" w:cs="Times New Roman" w:eastAsia="Times New Roman" w:hAnsi="Times New Roman"/>
          <w:b w:val="1"/>
          <w:bCs w:val="1"/>
          <w:sz w:val="32"/>
          <w:szCs w:val="32"/>
        </w:rPr>
      </w:pPr>
      <w:bookmarkStart w:colFirst="0" w:colLast="0" w:name="_maobdp1ef9x2" w:id="2"/>
      <w:bookmarkEnd w:id="2"/>
      <w:r w:rsidDel="00000000" w:rsidR="00000000" w:rsidRPr="00000000">
        <w:rPr>
          <w:rFonts w:ascii="Times New Roman" w:cs="Times New Roman" w:eastAsia="Times New Roman" w:hAnsi="Times New Roman"/>
          <w:b w:val="1"/>
          <w:bCs w:val="1"/>
          <w:sz w:val="32"/>
          <w:szCs w:val="32"/>
          <w:rtl w:val="0"/>
        </w:rPr>
        <w:t xml:space="preserve">Methodology</w:t>
      </w:r>
    </w:p>
    <w:p w:rsidR="00000000" w:rsidDel="00000000" w:rsidP="00000000" w:rsidRDefault="00000000" w:rsidRPr="00000000" w14:paraId="00000040">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 detailed explanation of the systematic approach used to create, analyze, and interpret the Online Retail Sales Dashboard in Power BI. The methodology ensures that the dashboard insights are reliable, data-driven, and aligned with analytical best practices.</w:t>
      </w:r>
    </w:p>
    <w:p w:rsidR="00000000" w:rsidDel="00000000" w:rsidP="00000000" w:rsidRDefault="00000000" w:rsidRPr="00000000" w14:paraId="00000041">
      <w:pPr>
        <w:pStyle w:val="Heading3"/>
        <w:keepNext w:val="0"/>
        <w:keepLines w:val="0"/>
        <w:spacing w:before="280" w:line="240" w:lineRule="auto"/>
        <w:ind w:left="0" w:firstLine="720"/>
        <w:jc w:val="both"/>
        <w:rPr>
          <w:rFonts w:ascii="Times New Roman" w:cs="Times New Roman" w:eastAsia="Times New Roman" w:hAnsi="Times New Roman"/>
          <w:b w:val="1"/>
          <w:bCs w:val="1"/>
          <w:color w:val="000000"/>
          <w:sz w:val="24"/>
          <w:szCs w:val="24"/>
        </w:rPr>
      </w:pPr>
      <w:bookmarkStart w:colFirst="0" w:colLast="0" w:name="_3naj5e23jm84" w:id="3"/>
      <w:bookmarkEnd w:id="3"/>
      <w:r w:rsidDel="00000000" w:rsidR="00000000" w:rsidRPr="00000000">
        <w:rPr>
          <w:rFonts w:ascii="Times New Roman" w:cs="Times New Roman" w:eastAsia="Times New Roman" w:hAnsi="Times New Roman"/>
          <w:b w:val="1"/>
          <w:bCs w:val="1"/>
          <w:color w:val="000000"/>
          <w:sz w:val="24"/>
          <w:szCs w:val="24"/>
          <w:rtl w:val="0"/>
        </w:rPr>
        <w:t xml:space="preserve">3.1. Data Acquisition</w:t>
      </w:r>
    </w:p>
    <w:p w:rsidR="00000000" w:rsidDel="00000000" w:rsidP="00000000" w:rsidRDefault="00000000" w:rsidRPr="00000000" w14:paraId="00000042">
      <w:pPr>
        <w:numPr>
          <w:ilvl w:val="0"/>
          <w:numId w:val="12"/>
        </w:numPr>
        <w:spacing w:after="0" w:afterAutospacing="0" w:before="24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dataset used consists of transactional retail data containing fields such as </w:t>
      </w:r>
      <w:r w:rsidDel="00000000" w:rsidR="00000000" w:rsidRPr="00000000">
        <w:rPr>
          <w:rFonts w:ascii="Times New Roman" w:cs="Times New Roman" w:eastAsia="Times New Roman" w:hAnsi="Times New Roman"/>
          <w:b w:val="1"/>
          <w:bCs w:val="1"/>
          <w:sz w:val="24"/>
          <w:szCs w:val="24"/>
          <w:rtl w:val="0"/>
        </w:rPr>
        <w:t xml:space="preserve">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StockCode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Quantity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InvoiceDate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UnitPrice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CustomerID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Country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0"/>
          <w:numId w:val="12"/>
        </w:numPr>
        <w:spacing w:after="0" w:afterAutospacing="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Data was sourced in CSV format and imported into </w:t>
      </w:r>
      <w:r w:rsidDel="00000000" w:rsidR="00000000" w:rsidRPr="00000000">
        <w:rPr>
          <w:rFonts w:ascii="Times New Roman" w:cs="Times New Roman" w:eastAsia="Times New Roman" w:hAnsi="Times New Roman"/>
          <w:b w:val="1"/>
          <w:bCs w:val="1"/>
          <w:sz w:val="24"/>
          <w:szCs w:val="24"/>
          <w:rtl w:val="0"/>
        </w:rPr>
        <w:t xml:space="preserve">Power BI Desktop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numPr>
          <w:ilvl w:val="0"/>
          <w:numId w:val="12"/>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row represents a line item from a customer invoice.</w:t>
      </w:r>
    </w:p>
    <w:p w:rsidR="00000000" w:rsidDel="00000000" w:rsidP="00000000" w:rsidRDefault="00000000" w:rsidRPr="00000000" w14:paraId="00000045">
      <w:pPr>
        <w:spacing w:after="240" w:before="240" w:lin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240" w:lineRule="auto"/>
        <w:ind w:left="720" w:firstLine="0"/>
        <w:jc w:val="both"/>
        <w:rPr>
          <w:rFonts w:ascii="Times New Roman" w:cs="Times New Roman" w:eastAsia="Times New Roman" w:hAnsi="Times New Roman"/>
          <w:b w:val="1"/>
          <w:bCs w:val="1"/>
          <w:color w:val="000000"/>
          <w:sz w:val="26"/>
          <w:szCs w:val="26"/>
        </w:rPr>
      </w:pPr>
      <w:bookmarkStart w:colFirst="0" w:colLast="0" w:name="_s9mpxtslobpe" w:id="4"/>
      <w:bookmarkEnd w:id="4"/>
      <w:r w:rsidDel="00000000" w:rsidR="00000000" w:rsidRPr="00000000">
        <w:rPr>
          <w:rFonts w:ascii="Times New Roman" w:cs="Times New Roman" w:eastAsia="Times New Roman" w:hAnsi="Times New Roman"/>
          <w:b w:val="1"/>
          <w:bCs w:val="1"/>
          <w:color w:val="000000"/>
          <w:sz w:val="26"/>
          <w:szCs w:val="26"/>
          <w:rtl w:val="0"/>
        </w:rPr>
        <w:t xml:space="preserve">3.2. Data Cleaning and Pre-Processing</w:t>
      </w:r>
    </w:p>
    <w:p w:rsidR="00000000" w:rsidDel="00000000" w:rsidP="00000000" w:rsidRDefault="00000000" w:rsidRPr="00000000" w14:paraId="00000047">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dataset was suitable for analysis, the following steps were conducted:</w:t>
      </w:r>
    </w:p>
    <w:p w:rsidR="00000000" w:rsidDel="00000000" w:rsidP="00000000" w:rsidRDefault="00000000" w:rsidRPr="00000000" w14:paraId="00000048">
      <w:pPr>
        <w:numPr>
          <w:ilvl w:val="0"/>
          <w:numId w:val="5"/>
        </w:numPr>
        <w:spacing w:after="0" w:afterAutospacing="0" w:before="24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Handled Missing Values: </w:t>
      </w:r>
      <w:r w:rsidDel="00000000" w:rsidR="00000000" w:rsidRPr="00000000">
        <w:rPr>
          <w:rFonts w:ascii="Times New Roman" w:cs="Times New Roman" w:eastAsia="Times New Roman" w:hAnsi="Times New Roman"/>
          <w:sz w:val="24"/>
          <w:szCs w:val="24"/>
          <w:rtl w:val="0"/>
        </w:rPr>
        <w:t xml:space="preserve">Removed rows with missing </w:t>
      </w:r>
      <w:r w:rsidDel="00000000" w:rsidR="00000000" w:rsidRPr="00000000">
        <w:rPr>
          <w:rFonts w:ascii="Times New Roman" w:cs="Times New Roman" w:eastAsia="Times New Roman" w:hAnsi="Times New Roman"/>
          <w:i w:val="1"/>
          <w:iCs w:val="1"/>
          <w:sz w:val="24"/>
          <w:szCs w:val="24"/>
          <w:rtl w:val="0"/>
        </w:rPr>
        <w:t xml:space="preserve">CustomerID</w:t>
      </w:r>
      <w:r w:rsidDel="00000000" w:rsidR="00000000" w:rsidRPr="00000000">
        <w:rPr>
          <w:rFonts w:ascii="Times New Roman" w:cs="Times New Roman" w:eastAsia="Times New Roman" w:hAnsi="Times New Roman"/>
          <w:sz w:val="24"/>
          <w:szCs w:val="24"/>
          <w:rtl w:val="0"/>
        </w:rPr>
        <w:t xml:space="preserve"> where required for customer-level analysis.</w:t>
      </w:r>
    </w:p>
    <w:p w:rsidR="00000000" w:rsidDel="00000000" w:rsidP="00000000" w:rsidRDefault="00000000" w:rsidRPr="00000000" w14:paraId="00000049">
      <w:pPr>
        <w:numPr>
          <w:ilvl w:val="0"/>
          <w:numId w:val="5"/>
        </w:numPr>
        <w:spacing w:after="0" w:afterAutospacing="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Removed Invalid Entries: </w:t>
      </w:r>
      <w:r w:rsidDel="00000000" w:rsidR="00000000" w:rsidRPr="00000000">
        <w:rPr>
          <w:rFonts w:ascii="Times New Roman" w:cs="Times New Roman" w:eastAsia="Times New Roman" w:hAnsi="Times New Roman"/>
          <w:sz w:val="24"/>
          <w:szCs w:val="24"/>
          <w:rtl w:val="0"/>
        </w:rPr>
        <w:t xml:space="preserve">Excluded negative quantities (commonly representing returns) from sales metrics but included them for return-rate calculations.</w:t>
      </w:r>
    </w:p>
    <w:p w:rsidR="00000000" w:rsidDel="00000000" w:rsidP="00000000" w:rsidRDefault="00000000" w:rsidRPr="00000000" w14:paraId="0000004A">
      <w:pPr>
        <w:numPr>
          <w:ilvl w:val="0"/>
          <w:numId w:val="5"/>
        </w:numPr>
        <w:spacing w:after="0" w:afterAutospacing="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Standardized Fields:</w:t>
      </w:r>
      <w:r w:rsidDel="00000000" w:rsidR="00000000" w:rsidRPr="00000000">
        <w:rPr>
          <w:rFonts w:ascii="Times New Roman" w:cs="Times New Roman" w:eastAsia="Times New Roman" w:hAnsi="Times New Roman"/>
          <w:sz w:val="24"/>
          <w:szCs w:val="24"/>
          <w:rtl w:val="0"/>
        </w:rPr>
        <w:t xml:space="preserve">Converted </w:t>
      </w:r>
      <w:r w:rsidDel="00000000" w:rsidR="00000000" w:rsidRPr="00000000">
        <w:rPr>
          <w:rFonts w:ascii="Times New Roman" w:cs="Times New Roman" w:eastAsia="Times New Roman" w:hAnsi="Times New Roman"/>
          <w:i w:val="1"/>
          <w:iCs w:val="1"/>
          <w:sz w:val="24"/>
          <w:szCs w:val="24"/>
          <w:rtl w:val="0"/>
        </w:rPr>
        <w:t xml:space="preserve">InvoiceDate</w:t>
      </w:r>
      <w:r w:rsidDel="00000000" w:rsidR="00000000" w:rsidRPr="00000000">
        <w:rPr>
          <w:rFonts w:ascii="Times New Roman" w:cs="Times New Roman" w:eastAsia="Times New Roman" w:hAnsi="Times New Roman"/>
          <w:sz w:val="24"/>
          <w:szCs w:val="24"/>
          <w:rtl w:val="0"/>
        </w:rPr>
        <w:t xml:space="preserve"> into separate fields such as Month, Year, and MonthName. Cleaned product descriptions by removing inconsistencies.</w:t>
      </w:r>
    </w:p>
    <w:p w:rsidR="00000000" w:rsidDel="00000000" w:rsidP="00000000" w:rsidRDefault="00000000" w:rsidRPr="00000000" w14:paraId="0000004B">
      <w:pPr>
        <w:numPr>
          <w:ilvl w:val="0"/>
          <w:numId w:val="5"/>
        </w:numPr>
        <w:spacing w:after="24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Created Data Model: </w:t>
      </w:r>
      <w:r w:rsidDel="00000000" w:rsidR="00000000" w:rsidRPr="00000000">
        <w:rPr>
          <w:rFonts w:ascii="Times New Roman" w:cs="Times New Roman" w:eastAsia="Times New Roman" w:hAnsi="Times New Roman"/>
          <w:sz w:val="24"/>
          <w:szCs w:val="24"/>
          <w:rtl w:val="0"/>
        </w:rPr>
        <w:t xml:space="preserve">Ensured proper relationships between fact and dimension tables (Date, Customer, Product).</w:t>
      </w:r>
    </w:p>
    <w:p w:rsidR="00000000" w:rsidDel="00000000" w:rsidP="00000000" w:rsidRDefault="00000000" w:rsidRPr="00000000" w14:paraId="0000004C">
      <w:pPr>
        <w:pStyle w:val="Heading3"/>
        <w:keepNext w:val="0"/>
        <w:keepLines w:val="0"/>
        <w:spacing w:before="280" w:line="240" w:lineRule="auto"/>
        <w:ind w:left="720" w:firstLine="0"/>
        <w:jc w:val="both"/>
        <w:rPr>
          <w:rFonts w:ascii="Times New Roman" w:cs="Times New Roman" w:eastAsia="Times New Roman" w:hAnsi="Times New Roman"/>
          <w:b w:val="1"/>
          <w:bCs w:val="1"/>
          <w:color w:val="000000"/>
          <w:sz w:val="26"/>
          <w:szCs w:val="26"/>
        </w:rPr>
      </w:pPr>
      <w:bookmarkStart w:colFirst="0" w:colLast="0" w:name="_36qgz2trmodh" w:id="5"/>
      <w:bookmarkEnd w:id="5"/>
      <w:r w:rsidDel="00000000" w:rsidR="00000000" w:rsidRPr="00000000">
        <w:rPr>
          <w:rFonts w:ascii="Times New Roman" w:cs="Times New Roman" w:eastAsia="Times New Roman" w:hAnsi="Times New Roman"/>
          <w:b w:val="1"/>
          <w:bCs w:val="1"/>
          <w:color w:val="000000"/>
          <w:sz w:val="26"/>
          <w:szCs w:val="26"/>
          <w:rtl w:val="0"/>
        </w:rPr>
        <w:t xml:space="preserve">3.3. Feature Engineering</w:t>
      </w:r>
    </w:p>
    <w:p w:rsidR="00000000" w:rsidDel="00000000" w:rsidP="00000000" w:rsidRDefault="00000000" w:rsidRPr="00000000" w14:paraId="0000004D">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calculated fields and measures were created using </w:t>
      </w:r>
      <w:r w:rsidDel="00000000" w:rsidR="00000000" w:rsidRPr="00000000">
        <w:rPr>
          <w:rFonts w:ascii="Times New Roman" w:cs="Times New Roman" w:eastAsia="Times New Roman" w:hAnsi="Times New Roman"/>
          <w:b w:val="1"/>
          <w:bCs w:val="1"/>
          <w:sz w:val="24"/>
          <w:szCs w:val="24"/>
          <w:rtl w:val="0"/>
        </w:rPr>
        <w:t xml:space="preserve">DAX (Data Analysis Expressions)</w:t>
      </w:r>
      <w:r w:rsidDel="00000000" w:rsidR="00000000" w:rsidRPr="00000000">
        <w:rPr>
          <w:rFonts w:ascii="Times New Roman" w:cs="Times New Roman" w:eastAsia="Times New Roman" w:hAnsi="Times New Roman"/>
          <w:sz w:val="24"/>
          <w:szCs w:val="24"/>
          <w:rtl w:val="0"/>
        </w:rPr>
        <w:t xml:space="preserve">, including:</w:t>
      </w:r>
    </w:p>
    <w:p w:rsidR="00000000" w:rsidDel="00000000" w:rsidP="00000000" w:rsidRDefault="00000000" w:rsidRPr="00000000" w14:paraId="0000004E">
      <w:pPr>
        <w:numPr>
          <w:ilvl w:val="0"/>
          <w:numId w:val="1"/>
        </w:numPr>
        <w:spacing w:after="0" w:afterAutospacing="0" w:before="24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Total Revenue</w:t>
      </w:r>
      <w:r w:rsidDel="00000000" w:rsidR="00000000" w:rsidRPr="00000000">
        <w:rPr>
          <w:rFonts w:ascii="Times New Roman" w:cs="Times New Roman" w:eastAsia="Times New Roman" w:hAnsi="Times New Roman"/>
          <w:sz w:val="24"/>
          <w:szCs w:val="24"/>
          <w:rtl w:val="0"/>
        </w:rPr>
        <w:t xml:space="preserve"> = SUM(Quantity × UnitPrice)</w:t>
      </w:r>
    </w:p>
    <w:p w:rsidR="00000000" w:rsidDel="00000000" w:rsidP="00000000" w:rsidRDefault="00000000" w:rsidRPr="00000000" w14:paraId="0000004F">
      <w:pPr>
        <w:numPr>
          <w:ilvl w:val="0"/>
          <w:numId w:val="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Average Order Value (AOV)</w:t>
      </w:r>
    </w:p>
    <w:p w:rsidR="00000000" w:rsidDel="00000000" w:rsidP="00000000" w:rsidRDefault="00000000" w:rsidRPr="00000000" w14:paraId="00000050">
      <w:pPr>
        <w:numPr>
          <w:ilvl w:val="0"/>
          <w:numId w:val="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Lifetime Value (CLV)</w:t>
      </w:r>
    </w:p>
    <w:p w:rsidR="00000000" w:rsidDel="00000000" w:rsidP="00000000" w:rsidRDefault="00000000" w:rsidRPr="00000000" w14:paraId="00000051">
      <w:pPr>
        <w:numPr>
          <w:ilvl w:val="0"/>
          <w:numId w:val="1"/>
        </w:numPr>
        <w:spacing w:after="0" w:afterAutospacing="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Revenue Growth %</w:t>
      </w:r>
      <w:r w:rsidDel="00000000" w:rsidR="00000000" w:rsidRPr="00000000">
        <w:rPr>
          <w:rFonts w:ascii="Times New Roman" w:cs="Times New Roman" w:eastAsia="Times New Roman" w:hAnsi="Times New Roman"/>
          <w:sz w:val="24"/>
          <w:szCs w:val="24"/>
          <w:rtl w:val="0"/>
        </w:rPr>
        <w:t xml:space="preserve"> = (Current Month - Previous Month) / Previous Month</w:t>
      </w:r>
    </w:p>
    <w:p w:rsidR="00000000" w:rsidDel="00000000" w:rsidP="00000000" w:rsidRDefault="00000000" w:rsidRPr="00000000" w14:paraId="00000052">
      <w:pPr>
        <w:numPr>
          <w:ilvl w:val="0"/>
          <w:numId w:val="1"/>
        </w:numPr>
        <w:spacing w:after="0" w:afterAutospacing="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Return Rate</w:t>
      </w:r>
      <w:r w:rsidDel="00000000" w:rsidR="00000000" w:rsidRPr="00000000">
        <w:rPr>
          <w:rFonts w:ascii="Times New Roman" w:cs="Times New Roman" w:eastAsia="Times New Roman" w:hAnsi="Times New Roman"/>
          <w:sz w:val="24"/>
          <w:szCs w:val="24"/>
          <w:rtl w:val="0"/>
        </w:rPr>
        <w:t xml:space="preserve"> = (Negative Quantity Transactions / Total Transactions)</w:t>
      </w:r>
    </w:p>
    <w:p w:rsidR="00000000" w:rsidDel="00000000" w:rsidP="00000000" w:rsidRDefault="00000000" w:rsidRPr="00000000" w14:paraId="00000053">
      <w:pPr>
        <w:numPr>
          <w:ilvl w:val="0"/>
          <w:numId w:val="1"/>
        </w:numPr>
        <w:spacing w:after="24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Revenue per Customer</w:t>
      </w:r>
      <w:r w:rsidDel="00000000" w:rsidR="00000000" w:rsidRPr="00000000">
        <w:rPr>
          <w:rFonts w:ascii="Times New Roman" w:cs="Times New Roman" w:eastAsia="Times New Roman" w:hAnsi="Times New Roman"/>
          <w:sz w:val="24"/>
          <w:szCs w:val="24"/>
          <w:rtl w:val="0"/>
        </w:rPr>
        <w:t xml:space="preserve"> = Revenue / Unique Customers</w:t>
      </w:r>
    </w:p>
    <w:p w:rsidR="00000000" w:rsidDel="00000000" w:rsidP="00000000" w:rsidRDefault="00000000" w:rsidRPr="00000000" w14:paraId="00000054">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measures enabled deeper analytical insights beyond raw transactional   data.</w:t>
      </w:r>
    </w:p>
    <w:p w:rsidR="00000000" w:rsidDel="00000000" w:rsidP="00000000" w:rsidRDefault="00000000" w:rsidRPr="00000000" w14:paraId="00000055">
      <w:pPr>
        <w:pStyle w:val="Heading3"/>
        <w:keepNext w:val="0"/>
        <w:keepLines w:val="0"/>
        <w:spacing w:before="280" w:line="240" w:lineRule="auto"/>
        <w:ind w:left="720" w:firstLine="0"/>
        <w:jc w:val="both"/>
        <w:rPr>
          <w:rFonts w:ascii="Times New Roman" w:cs="Times New Roman" w:eastAsia="Times New Roman" w:hAnsi="Times New Roman"/>
          <w:b w:val="1"/>
          <w:bCs w:val="1"/>
          <w:color w:val="000000"/>
          <w:sz w:val="26"/>
          <w:szCs w:val="26"/>
        </w:rPr>
      </w:pPr>
      <w:bookmarkStart w:colFirst="0" w:colLast="0" w:name="_o4cpso4ftns7" w:id="6"/>
      <w:bookmarkEnd w:id="6"/>
      <w:r w:rsidDel="00000000" w:rsidR="00000000" w:rsidRPr="00000000">
        <w:rPr>
          <w:rFonts w:ascii="Times New Roman" w:cs="Times New Roman" w:eastAsia="Times New Roman" w:hAnsi="Times New Roman"/>
          <w:b w:val="1"/>
          <w:bCs w:val="1"/>
          <w:color w:val="000000"/>
          <w:sz w:val="26"/>
          <w:szCs w:val="26"/>
          <w:rtl w:val="0"/>
        </w:rPr>
        <w:t xml:space="preserve">3.4. Analytical Approach</w:t>
      </w:r>
    </w:p>
    <w:p w:rsidR="00000000" w:rsidDel="00000000" w:rsidP="00000000" w:rsidRDefault="00000000" w:rsidRPr="00000000" w14:paraId="00000056">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structured analytical process was followed:</w:t>
      </w:r>
    </w:p>
    <w:p w:rsidR="00000000" w:rsidDel="00000000" w:rsidP="00000000" w:rsidRDefault="00000000" w:rsidRPr="00000000" w14:paraId="00000057">
      <w:pPr>
        <w:numPr>
          <w:ilvl w:val="0"/>
          <w:numId w:val="2"/>
        </w:numPr>
        <w:spacing w:after="0" w:afterAutospacing="0" w:before="24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Trend Analysis: </w:t>
      </w:r>
      <w:r w:rsidDel="00000000" w:rsidR="00000000" w:rsidRPr="00000000">
        <w:rPr>
          <w:rFonts w:ascii="Times New Roman" w:cs="Times New Roman" w:eastAsia="Times New Roman" w:hAnsi="Times New Roman"/>
          <w:sz w:val="24"/>
          <w:szCs w:val="24"/>
          <w:rtl w:val="0"/>
        </w:rPr>
        <w:t xml:space="preserve">Examined month-over-month changes in revenue, orders, and AOV.</w:t>
      </w:r>
    </w:p>
    <w:p w:rsidR="00000000" w:rsidDel="00000000" w:rsidP="00000000" w:rsidRDefault="00000000" w:rsidRPr="00000000" w14:paraId="00000058">
      <w:pPr>
        <w:numPr>
          <w:ilvl w:val="0"/>
          <w:numId w:val="2"/>
        </w:numPr>
        <w:spacing w:after="0" w:afterAutospacing="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Country-Level Comparison: </w:t>
      </w:r>
      <w:r w:rsidDel="00000000" w:rsidR="00000000" w:rsidRPr="00000000">
        <w:rPr>
          <w:rFonts w:ascii="Times New Roman" w:cs="Times New Roman" w:eastAsia="Times New Roman" w:hAnsi="Times New Roman"/>
          <w:sz w:val="24"/>
          <w:szCs w:val="24"/>
          <w:rtl w:val="0"/>
        </w:rPr>
        <w:t xml:space="preserve">Identified markets contributing the highest revenue, dominated by the United Kingdom.</w:t>
      </w:r>
    </w:p>
    <w:p w:rsidR="00000000" w:rsidDel="00000000" w:rsidP="00000000" w:rsidRDefault="00000000" w:rsidRPr="00000000" w14:paraId="00000059">
      <w:pPr>
        <w:numPr>
          <w:ilvl w:val="0"/>
          <w:numId w:val="2"/>
        </w:numPr>
        <w:spacing w:after="0" w:afterAutospacing="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Customer Behavior Analysis: </w:t>
      </w:r>
      <w:r w:rsidDel="00000000" w:rsidR="00000000" w:rsidRPr="00000000">
        <w:rPr>
          <w:rFonts w:ascii="Times New Roman" w:cs="Times New Roman" w:eastAsia="Times New Roman" w:hAnsi="Times New Roman"/>
          <w:sz w:val="24"/>
          <w:szCs w:val="24"/>
          <w:rtl w:val="0"/>
        </w:rPr>
        <w:t xml:space="preserve">Investigated customer purchasing frequency, churn, and high-value customer segments.</w:t>
      </w:r>
    </w:p>
    <w:p w:rsidR="00000000" w:rsidDel="00000000" w:rsidP="00000000" w:rsidRDefault="00000000" w:rsidRPr="00000000" w14:paraId="0000005A">
      <w:pPr>
        <w:numPr>
          <w:ilvl w:val="0"/>
          <w:numId w:val="2"/>
        </w:numPr>
        <w:spacing w:after="0" w:afterAutospacing="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Product Performance: </w:t>
      </w:r>
      <w:r w:rsidDel="00000000" w:rsidR="00000000" w:rsidRPr="00000000">
        <w:rPr>
          <w:rFonts w:ascii="Times New Roman" w:cs="Times New Roman" w:eastAsia="Times New Roman" w:hAnsi="Times New Roman"/>
          <w:sz w:val="24"/>
          <w:szCs w:val="24"/>
          <w:rtl w:val="0"/>
        </w:rPr>
        <w:t xml:space="preserve">Ranked products by quantity sold and return rate to identify top sellers and problematic items.</w:t>
      </w:r>
    </w:p>
    <w:p w:rsidR="00000000" w:rsidDel="00000000" w:rsidP="00000000" w:rsidRDefault="00000000" w:rsidRPr="00000000" w14:paraId="0000005B">
      <w:pPr>
        <w:numPr>
          <w:ilvl w:val="0"/>
          <w:numId w:val="2"/>
        </w:numPr>
        <w:spacing w:after="24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Correlation Observation: </w:t>
      </w:r>
      <w:r w:rsidDel="00000000" w:rsidR="00000000" w:rsidRPr="00000000">
        <w:rPr>
          <w:rFonts w:ascii="Times New Roman" w:cs="Times New Roman" w:eastAsia="Times New Roman" w:hAnsi="Times New Roman"/>
          <w:sz w:val="24"/>
          <w:szCs w:val="24"/>
          <w:rtl w:val="0"/>
        </w:rPr>
        <w:t xml:space="preserve">Compared revenue vs. order volume and return rate vs. product groups.</w:t>
      </w:r>
    </w:p>
    <w:p w:rsidR="00000000" w:rsidDel="00000000" w:rsidP="00000000" w:rsidRDefault="00000000" w:rsidRPr="00000000" w14:paraId="0000005C">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240" w:lineRule="auto"/>
        <w:ind w:left="720" w:firstLine="0"/>
        <w:jc w:val="both"/>
        <w:rPr>
          <w:rFonts w:ascii="Times New Roman" w:cs="Times New Roman" w:eastAsia="Times New Roman" w:hAnsi="Times New Roman"/>
          <w:b w:val="1"/>
          <w:bCs w:val="1"/>
          <w:color w:val="000000"/>
          <w:sz w:val="26"/>
          <w:szCs w:val="26"/>
        </w:rPr>
      </w:pPr>
      <w:bookmarkStart w:colFirst="0" w:colLast="0" w:name="_omrjlovbkns5" w:id="7"/>
      <w:bookmarkEnd w:id="7"/>
      <w:r w:rsidDel="00000000" w:rsidR="00000000" w:rsidRPr="00000000">
        <w:rPr>
          <w:rFonts w:ascii="Times New Roman" w:cs="Times New Roman" w:eastAsia="Times New Roman" w:hAnsi="Times New Roman"/>
          <w:b w:val="1"/>
          <w:bCs w:val="1"/>
          <w:color w:val="000000"/>
          <w:sz w:val="26"/>
          <w:szCs w:val="26"/>
          <w:rtl w:val="0"/>
        </w:rPr>
        <w:t xml:space="preserve">3.5. Interpretation &amp; Reporting</w:t>
      </w:r>
    </w:p>
    <w:p w:rsidR="00000000" w:rsidDel="00000000" w:rsidP="00000000" w:rsidRDefault="00000000" w:rsidRPr="00000000" w14:paraId="0000005F">
      <w:pPr>
        <w:numPr>
          <w:ilvl w:val="0"/>
          <w:numId w:val="10"/>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dashboard visual was analyzed to extract insights relevant to business decisions.</w:t>
      </w:r>
    </w:p>
    <w:p w:rsidR="00000000" w:rsidDel="00000000" w:rsidP="00000000" w:rsidRDefault="00000000" w:rsidRPr="00000000" w14:paraId="00000060">
      <w:pPr>
        <w:numPr>
          <w:ilvl w:val="0"/>
          <w:numId w:val="1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 were summarized into structured sections such as Sales Insights, Customer Insights, and Product Insights.</w:t>
      </w:r>
    </w:p>
    <w:p w:rsidR="00000000" w:rsidDel="00000000" w:rsidP="00000000" w:rsidRDefault="00000000" w:rsidRPr="00000000" w14:paraId="00000061">
      <w:pPr>
        <w:numPr>
          <w:ilvl w:val="0"/>
          <w:numId w:val="10"/>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report integrates data-driven interpretations with visual evidence from Power BI.</w:t>
      </w:r>
    </w:p>
    <w:p w:rsidR="00000000" w:rsidDel="00000000" w:rsidP="00000000" w:rsidRDefault="00000000" w:rsidRPr="00000000" w14:paraId="0000006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Style w:val="Heading1"/>
        <w:numPr>
          <w:ilvl w:val="0"/>
          <w:numId w:val="11"/>
        </w:numPr>
        <w:spacing w:line="240" w:lineRule="auto"/>
        <w:ind w:left="720" w:hanging="360"/>
        <w:rPr>
          <w:rFonts w:ascii="Times New Roman" w:cs="Times New Roman" w:eastAsia="Times New Roman" w:hAnsi="Times New Roman"/>
          <w:b w:val="1"/>
          <w:bCs w:val="1"/>
          <w:sz w:val="32"/>
          <w:szCs w:val="32"/>
        </w:rPr>
      </w:pPr>
      <w:bookmarkStart w:colFirst="0" w:colLast="0" w:name="_xtx67da2idqx" w:id="8"/>
      <w:bookmarkEnd w:id="8"/>
      <w:r w:rsidDel="00000000" w:rsidR="00000000" w:rsidRPr="00000000">
        <w:rPr>
          <w:rFonts w:ascii="Times New Roman" w:cs="Times New Roman" w:eastAsia="Times New Roman" w:hAnsi="Times New Roman"/>
          <w:b w:val="1"/>
          <w:bCs w:val="1"/>
          <w:sz w:val="32"/>
          <w:szCs w:val="32"/>
          <w:rtl w:val="0"/>
        </w:rPr>
        <w:t xml:space="preserve">Data Design And Visualization</w:t>
      </w:r>
    </w:p>
    <w:p w:rsidR="00000000" w:rsidDel="00000000" w:rsidP="00000000" w:rsidRDefault="00000000" w:rsidRPr="00000000" w14:paraId="00000065">
      <w:pPr>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data model, transformation logic, and visualisation design used to create the </w:t>
      </w:r>
      <w:r w:rsidDel="00000000" w:rsidR="00000000" w:rsidRPr="00000000">
        <w:rPr>
          <w:rFonts w:ascii="Times New Roman" w:cs="Times New Roman" w:eastAsia="Times New Roman" w:hAnsi="Times New Roman"/>
          <w:i w:val="1"/>
          <w:iCs w:val="1"/>
          <w:sz w:val="24"/>
          <w:szCs w:val="24"/>
          <w:rtl w:val="0"/>
        </w:rPr>
        <w:t xml:space="preserve">Online Retail Sales Dashboard</w:t>
      </w:r>
      <w:r w:rsidDel="00000000" w:rsidR="00000000" w:rsidRPr="00000000">
        <w:rPr>
          <w:rFonts w:ascii="Times New Roman" w:cs="Times New Roman" w:eastAsia="Times New Roman" w:hAnsi="Times New Roman"/>
          <w:sz w:val="24"/>
          <w:szCs w:val="24"/>
          <w:rtl w:val="0"/>
        </w:rPr>
        <w:t xml:space="preserve">. The goal is to provide a cohesive analytical experience that enables stakeholders to understand revenue performance, customer behaviour, product-level insights, and country-level segmentation.</w:t>
      </w:r>
    </w:p>
    <w:p w:rsidR="00000000" w:rsidDel="00000000" w:rsidP="00000000" w:rsidRDefault="00000000" w:rsidRPr="00000000" w14:paraId="00000066">
      <w:pPr>
        <w:spacing w:line="240" w:lineRule="auto"/>
        <w:ind w:left="720"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42863</wp:posOffset>
            </wp:positionH>
            <wp:positionV relativeFrom="paragraph">
              <wp:posOffset>180975</wp:posOffset>
            </wp:positionV>
            <wp:extent cx="5643563" cy="3076575"/>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43563" cy="3076575"/>
                    </a:xfrm>
                    <a:prstGeom prst="rect"/>
                    <a:ln/>
                  </pic:spPr>
                </pic:pic>
              </a:graphicData>
            </a:graphic>
          </wp:anchor>
        </w:drawing>
      </w:r>
    </w:p>
    <w:p w:rsidR="00000000" w:rsidDel="00000000" w:rsidP="00000000" w:rsidRDefault="00000000" w:rsidRPr="00000000" w14:paraId="00000067">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3"/>
        <w:spacing w:line="240" w:lineRule="auto"/>
        <w:rPr>
          <w:rFonts w:ascii="Times New Roman" w:cs="Times New Roman" w:eastAsia="Times New Roman" w:hAnsi="Times New Roman"/>
          <w:b w:val="1"/>
          <w:bCs w:val="1"/>
          <w:color w:val="000000"/>
          <w:sz w:val="26"/>
          <w:szCs w:val="26"/>
        </w:rPr>
      </w:pPr>
      <w:bookmarkStart w:colFirst="0" w:colLast="0" w:name="_a7eyky889qxb" w:id="9"/>
      <w:bookmarkEnd w:id="9"/>
      <w:r w:rsidDel="00000000" w:rsidR="00000000" w:rsidRPr="00000000">
        <w:rPr>
          <w:rFonts w:ascii="Times New Roman" w:cs="Times New Roman" w:eastAsia="Times New Roman" w:hAnsi="Times New Roman"/>
          <w:color w:val="000000"/>
          <w:sz w:val="26"/>
          <w:szCs w:val="26"/>
          <w:rtl w:val="0"/>
        </w:rPr>
        <w:tab/>
      </w:r>
      <w:r w:rsidDel="00000000" w:rsidR="00000000" w:rsidRPr="00000000">
        <w:rPr>
          <w:rFonts w:ascii="Times New Roman" w:cs="Times New Roman" w:eastAsia="Times New Roman" w:hAnsi="Times New Roman"/>
          <w:b w:val="1"/>
          <w:bCs w:val="1"/>
          <w:color w:val="000000"/>
          <w:sz w:val="26"/>
          <w:szCs w:val="26"/>
          <w:rtl w:val="0"/>
        </w:rPr>
        <w:t xml:space="preserve">4.1.</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KPI Cards</w:t>
      </w:r>
    </w:p>
    <w:p w:rsidR="00000000" w:rsidDel="00000000" w:rsidP="00000000" w:rsidRDefault="00000000" w:rsidRPr="00000000" w14:paraId="00000069">
      <w:pPr>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currently serves </w:t>
      </w:r>
      <w:r w:rsidDel="00000000" w:rsidR="00000000" w:rsidRPr="00000000">
        <w:rPr>
          <w:rFonts w:ascii="Times New Roman" w:cs="Times New Roman" w:eastAsia="Times New Roman" w:hAnsi="Times New Roman"/>
          <w:b w:val="1"/>
          <w:bCs w:val="1"/>
          <w:sz w:val="24"/>
          <w:szCs w:val="24"/>
          <w:rtl w:val="0"/>
        </w:rPr>
        <w:t xml:space="preserve">4,000 customers</w:t>
      </w:r>
      <w:r w:rsidDel="00000000" w:rsidR="00000000" w:rsidRPr="00000000">
        <w:rPr>
          <w:rFonts w:ascii="Times New Roman" w:cs="Times New Roman" w:eastAsia="Times New Roman" w:hAnsi="Times New Roman"/>
          <w:sz w:val="24"/>
          <w:szCs w:val="24"/>
          <w:rtl w:val="0"/>
        </w:rPr>
        <w:t xml:space="preserve">, each generating an average </w:t>
      </w:r>
      <w:r w:rsidDel="00000000" w:rsidR="00000000" w:rsidRPr="00000000">
        <w:rPr>
          <w:rFonts w:ascii="Times New Roman" w:cs="Times New Roman" w:eastAsia="Times New Roman" w:hAnsi="Times New Roman"/>
          <w:b w:val="1"/>
          <w:bCs w:val="1"/>
          <w:sz w:val="24"/>
          <w:szCs w:val="24"/>
          <w:rtl w:val="0"/>
        </w:rPr>
        <w:t xml:space="preserve">Customer Lifetime Value (CLV) of £391.08</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return rate stands at 9.62%</w:t>
      </w:r>
      <w:r w:rsidDel="00000000" w:rsidR="00000000" w:rsidRPr="00000000">
        <w:rPr>
          <w:rFonts w:ascii="Times New Roman" w:cs="Times New Roman" w:eastAsia="Times New Roman" w:hAnsi="Times New Roman"/>
          <w:sz w:val="24"/>
          <w:szCs w:val="24"/>
          <w:rtl w:val="0"/>
        </w:rPr>
        <w:t xml:space="preserve">, indicating the proportion of customers who make repeat purchases. Additionally, the company achieves a </w:t>
      </w:r>
      <w:r w:rsidDel="00000000" w:rsidR="00000000" w:rsidRPr="00000000">
        <w:rPr>
          <w:rFonts w:ascii="Times New Roman" w:cs="Times New Roman" w:eastAsia="Times New Roman" w:hAnsi="Times New Roman"/>
          <w:b w:val="1"/>
          <w:bCs w:val="1"/>
          <w:sz w:val="24"/>
          <w:szCs w:val="24"/>
          <w:rtl w:val="0"/>
        </w:rPr>
        <w:t xml:space="preserve">revenue per customer of £437.69</w:t>
      </w:r>
      <w:r w:rsidDel="00000000" w:rsidR="00000000" w:rsidRPr="00000000">
        <w:rPr>
          <w:rFonts w:ascii="Times New Roman" w:cs="Times New Roman" w:eastAsia="Times New Roman" w:hAnsi="Times New Roman"/>
          <w:sz w:val="24"/>
          <w:szCs w:val="24"/>
          <w:rtl w:val="0"/>
        </w:rPr>
        <w:t xml:space="preserve">, highlighting strong individual customer contribution to overall revenue.</w:t>
      </w:r>
    </w:p>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5731200" cy="6731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3"/>
        <w:spacing w:line="240" w:lineRule="auto"/>
        <w:rPr>
          <w:rFonts w:ascii="Times New Roman" w:cs="Times New Roman" w:eastAsia="Times New Roman" w:hAnsi="Times New Roman"/>
          <w:b w:val="1"/>
          <w:bCs w:val="1"/>
          <w:color w:val="000000"/>
          <w:sz w:val="26"/>
          <w:szCs w:val="26"/>
        </w:rPr>
      </w:pPr>
      <w:bookmarkStart w:colFirst="0" w:colLast="0" w:name="_eprhklcle6t2" w:id="10"/>
      <w:bookmarkEnd w:id="10"/>
      <w:r w:rsidDel="00000000" w:rsidR="00000000" w:rsidRPr="00000000">
        <w:rPr>
          <w:rFonts w:ascii="Times New Roman" w:cs="Times New Roman" w:eastAsia="Times New Roman" w:hAnsi="Times New Roman"/>
          <w:b w:val="1"/>
          <w:bCs w:val="1"/>
          <w:color w:val="000000"/>
          <w:sz w:val="26"/>
          <w:szCs w:val="26"/>
          <w:rtl w:val="0"/>
        </w:rPr>
        <w:t xml:space="preserve">4.2.  Total Revenue by Month</w:t>
      </w:r>
    </w:p>
    <w:p w:rsidR="00000000" w:rsidDel="00000000" w:rsidP="00000000" w:rsidRDefault="00000000" w:rsidRPr="00000000" w14:paraId="00000072">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column chart visualising monthly revenue trends.</w:t>
      </w:r>
    </w:p>
    <w:p w:rsidR="00000000" w:rsidDel="00000000" w:rsidP="00000000" w:rsidRDefault="00000000" w:rsidRPr="00000000" w14:paraId="00000073">
      <w:pPr>
        <w:spacing w:before="28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Values</w:t>
      </w:r>
    </w:p>
    <w:p w:rsidR="00000000" w:rsidDel="00000000" w:rsidP="00000000" w:rsidRDefault="00000000" w:rsidRPr="00000000" w14:paraId="00000074">
      <w:pPr>
        <w:numPr>
          <w:ilvl w:val="0"/>
          <w:numId w:val="9"/>
        </w:numPr>
        <w:spacing w:after="0" w:afterAutospacing="0" w:before="24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Highest revenue month: </w:t>
      </w:r>
      <w:r w:rsidDel="00000000" w:rsidR="00000000" w:rsidRPr="00000000">
        <w:rPr>
          <w:rFonts w:ascii="Times New Roman" w:cs="Times New Roman" w:eastAsia="Times New Roman" w:hAnsi="Times New Roman"/>
          <w:b w:val="1"/>
          <w:bCs w:val="1"/>
          <w:sz w:val="24"/>
          <w:szCs w:val="24"/>
          <w:rtl w:val="0"/>
        </w:rPr>
        <w:t xml:space="preserve">November (~£230K)</w:t>
      </w:r>
    </w:p>
    <w:p w:rsidR="00000000" w:rsidDel="00000000" w:rsidP="00000000" w:rsidRDefault="00000000" w:rsidRPr="00000000" w14:paraId="00000075">
      <w:pPr>
        <w:numPr>
          <w:ilvl w:val="0"/>
          <w:numId w:val="9"/>
        </w:numPr>
        <w:spacing w:after="0" w:afterAutospacing="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Lowest revenue month: </w:t>
      </w:r>
      <w:r w:rsidDel="00000000" w:rsidR="00000000" w:rsidRPr="00000000">
        <w:rPr>
          <w:rFonts w:ascii="Times New Roman" w:cs="Times New Roman" w:eastAsia="Times New Roman" w:hAnsi="Times New Roman"/>
          <w:b w:val="1"/>
          <w:bCs w:val="1"/>
          <w:sz w:val="24"/>
          <w:szCs w:val="24"/>
          <w:rtl w:val="0"/>
        </w:rPr>
        <w:t xml:space="preserve">March (~£125K)</w:t>
      </w:r>
    </w:p>
    <w:p w:rsidR="00000000" w:rsidDel="00000000" w:rsidP="00000000" w:rsidRDefault="00000000" w:rsidRPr="00000000" w14:paraId="00000076">
      <w:pPr>
        <w:numPr>
          <w:ilvl w:val="0"/>
          <w:numId w:val="9"/>
        </w:numPr>
        <w:spacing w:after="24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Revenue peaks in </w:t>
      </w:r>
      <w:r w:rsidDel="00000000" w:rsidR="00000000" w:rsidRPr="00000000">
        <w:rPr>
          <w:rFonts w:ascii="Times New Roman" w:cs="Times New Roman" w:eastAsia="Times New Roman" w:hAnsi="Times New Roman"/>
          <w:b w:val="1"/>
          <w:bCs w:val="1"/>
          <w:sz w:val="24"/>
          <w:szCs w:val="24"/>
          <w:rtl w:val="0"/>
        </w:rPr>
        <w:t xml:space="preserve">Q4</w:t>
      </w:r>
      <w:r w:rsidDel="00000000" w:rsidR="00000000" w:rsidRPr="00000000">
        <w:rPr>
          <w:rFonts w:ascii="Times New Roman" w:cs="Times New Roman" w:eastAsia="Times New Roman" w:hAnsi="Times New Roman"/>
          <w:sz w:val="24"/>
          <w:szCs w:val="24"/>
          <w:rtl w:val="0"/>
        </w:rPr>
        <w:t xml:space="preserve">, driven by holiday sales.</w:t>
      </w:r>
    </w:p>
    <w:p w:rsidR="00000000" w:rsidDel="00000000" w:rsidP="00000000" w:rsidRDefault="00000000" w:rsidRPr="00000000" w14:paraId="00000077">
      <w:pPr>
        <w:spacing w:before="28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w:t>
      </w:r>
    </w:p>
    <w:p w:rsidR="00000000" w:rsidDel="00000000" w:rsidP="00000000" w:rsidRDefault="00000000" w:rsidRPr="00000000" w14:paraId="00000078">
      <w:pPr>
        <w:numPr>
          <w:ilvl w:val="0"/>
          <w:numId w:val="6"/>
        </w:numPr>
        <w:spacing w:after="240" w:before="24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Strong seasonal behaviour with </w:t>
      </w:r>
      <w:r w:rsidDel="00000000" w:rsidR="00000000" w:rsidRPr="00000000">
        <w:rPr>
          <w:rFonts w:ascii="Times New Roman" w:cs="Times New Roman" w:eastAsia="Times New Roman" w:hAnsi="Times New Roman"/>
          <w:b w:val="1"/>
          <w:bCs w:val="1"/>
          <w:sz w:val="24"/>
          <w:szCs w:val="24"/>
          <w:rtl w:val="0"/>
        </w:rPr>
        <w:t xml:space="preserve">significant revenue growth in November and December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spacing w:after="240" w:before="24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53486" cy="290004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53486" cy="290004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3"/>
        <w:spacing w:after="80" w:line="240" w:lineRule="auto"/>
        <w:rPr>
          <w:rFonts w:ascii="Times New Roman" w:cs="Times New Roman" w:eastAsia="Times New Roman" w:hAnsi="Times New Roman"/>
          <w:b w:val="1"/>
          <w:bCs w:val="1"/>
          <w:color w:val="000000"/>
          <w:sz w:val="26"/>
          <w:szCs w:val="26"/>
        </w:rPr>
      </w:pPr>
      <w:bookmarkStart w:colFirst="0" w:colLast="0" w:name="_htkov96p2uoe" w:id="11"/>
      <w:bookmarkEnd w:id="11"/>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4.3. Revenue Growth % by Month-Year</w:t>
      </w:r>
    </w:p>
    <w:p w:rsidR="00000000" w:rsidDel="00000000" w:rsidP="00000000" w:rsidRDefault="00000000" w:rsidRPr="00000000" w14:paraId="0000007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 chart showing month-over-month growth.</w:t>
      </w:r>
    </w:p>
    <w:p w:rsidR="00000000" w:rsidDel="00000000" w:rsidP="00000000" w:rsidRDefault="00000000" w:rsidRPr="00000000" w14:paraId="0000007D">
      <w:pPr>
        <w:spacing w:before="28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Notable Growth Rates</w:t>
      </w:r>
    </w:p>
    <w:p w:rsidR="00000000" w:rsidDel="00000000" w:rsidP="00000000" w:rsidRDefault="00000000" w:rsidRPr="00000000" w14:paraId="0000007E">
      <w:pPr>
        <w:numPr>
          <w:ilvl w:val="0"/>
          <w:numId w:val="13"/>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2011: +55.40%</w:t>
      </w:r>
    </w:p>
    <w:p w:rsidR="00000000" w:rsidDel="00000000" w:rsidP="00000000" w:rsidRDefault="00000000" w:rsidRPr="00000000" w14:paraId="0000007F">
      <w:pPr>
        <w:numPr>
          <w:ilvl w:val="0"/>
          <w:numId w:val="13"/>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2011: +51.14%</w:t>
      </w:r>
    </w:p>
    <w:p w:rsidR="00000000" w:rsidDel="00000000" w:rsidP="00000000" w:rsidRDefault="00000000" w:rsidRPr="00000000" w14:paraId="00000080">
      <w:pPr>
        <w:numPr>
          <w:ilvl w:val="0"/>
          <w:numId w:val="13"/>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2011: –68.79% (largest decline)</w:t>
      </w:r>
    </w:p>
    <w:p w:rsidR="00000000" w:rsidDel="00000000" w:rsidP="00000000" w:rsidRDefault="00000000" w:rsidRPr="00000000" w14:paraId="00000081">
      <w:pPr>
        <w:spacing w:before="28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w:t>
      </w:r>
    </w:p>
    <w:p w:rsidR="00000000" w:rsidDel="00000000" w:rsidP="00000000" w:rsidRDefault="00000000" w:rsidRPr="00000000" w14:paraId="00000082">
      <w:pPr>
        <w:numPr>
          <w:ilvl w:val="0"/>
          <w:numId w:val="4"/>
        </w:numPr>
        <w:spacing w:after="24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Exceptional spikes in mid-year months show strong promotional or market-driven sales.</w:t>
      </w:r>
    </w:p>
    <w:p w:rsidR="00000000" w:rsidDel="00000000" w:rsidP="00000000" w:rsidRDefault="00000000" w:rsidRPr="00000000" w14:paraId="0000008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84">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71913" cy="225742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71913"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spacing w:after="240" w:before="240" w:line="240" w:lineRule="auto"/>
        <w:jc w:val="both"/>
        <w:rPr>
          <w:rFonts w:ascii="Times New Roman" w:cs="Times New Roman" w:eastAsia="Times New Roman" w:hAnsi="Times New Roman"/>
          <w:b w:val="1"/>
          <w:bCs w:val="1"/>
          <w:color w:val="000000"/>
          <w:sz w:val="26"/>
          <w:szCs w:val="26"/>
        </w:rPr>
      </w:pPr>
      <w:bookmarkStart w:colFirst="0" w:colLast="0" w:name="_ckfwos6adtvk" w:id="12"/>
      <w:bookmarkEnd w:id="12"/>
      <w:r w:rsidDel="00000000" w:rsidR="00000000" w:rsidRPr="00000000">
        <w:rPr>
          <w:rFonts w:ascii="Times New Roman" w:cs="Times New Roman" w:eastAsia="Times New Roman" w:hAnsi="Times New Roman"/>
          <w:b w:val="1"/>
          <w:bCs w:val="1"/>
          <w:color w:val="000000"/>
          <w:sz w:val="26"/>
          <w:szCs w:val="26"/>
          <w:rtl w:val="0"/>
        </w:rPr>
        <w:t xml:space="preserve">4.4  Total Revenue by Country</w:t>
      </w:r>
    </w:p>
    <w:p w:rsidR="00000000" w:rsidDel="00000000" w:rsidP="00000000" w:rsidRDefault="00000000" w:rsidRPr="00000000" w14:paraId="00000086">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Revenue by Country analysis shows a heavy reliance on the</w:t>
      </w:r>
      <w:r w:rsidDel="00000000" w:rsidR="00000000" w:rsidRPr="00000000">
        <w:rPr>
          <w:rFonts w:ascii="Times New Roman" w:cs="Times New Roman" w:eastAsia="Times New Roman" w:hAnsi="Times New Roman"/>
          <w:b w:val="1"/>
          <w:bCs w:val="1"/>
          <w:sz w:val="24"/>
          <w:szCs w:val="24"/>
          <w:rtl w:val="0"/>
        </w:rPr>
        <w:t xml:space="preserve"> UK market,</w:t>
      </w:r>
      <w:r w:rsidDel="00000000" w:rsidR="00000000" w:rsidRPr="00000000">
        <w:rPr>
          <w:rFonts w:ascii="Times New Roman" w:cs="Times New Roman" w:eastAsia="Times New Roman" w:hAnsi="Times New Roman"/>
          <w:sz w:val="24"/>
          <w:szCs w:val="24"/>
          <w:rtl w:val="0"/>
        </w:rPr>
        <w:t xml:space="preserve"> which contributes </w:t>
      </w:r>
      <w:r w:rsidDel="00000000" w:rsidR="00000000" w:rsidRPr="00000000">
        <w:rPr>
          <w:rFonts w:ascii="Times New Roman" w:cs="Times New Roman" w:eastAsia="Times New Roman" w:hAnsi="Times New Roman"/>
          <w:b w:val="1"/>
          <w:bCs w:val="1"/>
          <w:sz w:val="24"/>
          <w:szCs w:val="24"/>
          <w:rtl w:val="0"/>
        </w:rPr>
        <w:t xml:space="preserve">£1.48 million—84.35%</w:t>
      </w:r>
      <w:r w:rsidDel="00000000" w:rsidR="00000000" w:rsidRPr="00000000">
        <w:rPr>
          <w:rFonts w:ascii="Times New Roman" w:cs="Times New Roman" w:eastAsia="Times New Roman" w:hAnsi="Times New Roman"/>
          <w:sz w:val="24"/>
          <w:szCs w:val="24"/>
          <w:rtl w:val="0"/>
        </w:rPr>
        <w:t xml:space="preserve"> of total revenue. Other countries generate comparatively small amounts: the </w:t>
      </w:r>
      <w:r w:rsidDel="00000000" w:rsidR="00000000" w:rsidRPr="00000000">
        <w:rPr>
          <w:rFonts w:ascii="Times New Roman" w:cs="Times New Roman" w:eastAsia="Times New Roman" w:hAnsi="Times New Roman"/>
          <w:b w:val="1"/>
          <w:bCs w:val="1"/>
          <w:sz w:val="24"/>
          <w:szCs w:val="24"/>
          <w:rtl w:val="0"/>
        </w:rPr>
        <w:t xml:space="preserve">Netherlands (£57,246)</w:t>
      </w:r>
      <w:r w:rsidDel="00000000" w:rsidR="00000000" w:rsidRPr="00000000">
        <w:rPr>
          <w:rFonts w:ascii="Times New Roman" w:cs="Times New Roman" w:eastAsia="Times New Roman" w:hAnsi="Times New Roman"/>
          <w:sz w:val="24"/>
          <w:szCs w:val="24"/>
          <w:rtl w:val="0"/>
        </w:rPr>
        <w:t xml:space="preserve">, EIRE (£52,742), </w:t>
      </w:r>
      <w:r w:rsidDel="00000000" w:rsidR="00000000" w:rsidRPr="00000000">
        <w:rPr>
          <w:rFonts w:ascii="Times New Roman" w:cs="Times New Roman" w:eastAsia="Times New Roman" w:hAnsi="Times New Roman"/>
          <w:b w:val="1"/>
          <w:bCs w:val="1"/>
          <w:sz w:val="24"/>
          <w:szCs w:val="24"/>
          <w:rtl w:val="0"/>
        </w:rPr>
        <w:t xml:space="preserve">Germany (£45,226)</w:t>
      </w:r>
      <w:r w:rsidDel="00000000" w:rsidR="00000000" w:rsidRPr="00000000">
        <w:rPr>
          <w:rFonts w:ascii="Times New Roman" w:cs="Times New Roman" w:eastAsia="Times New Roman" w:hAnsi="Times New Roman"/>
          <w:sz w:val="24"/>
          <w:szCs w:val="24"/>
          <w:rtl w:val="0"/>
        </w:rPr>
        <w:t xml:space="preserve">, and France (£44,039). While these markets add value, their impact is minimal compared to the UK, highlighting the need for greater market diversification and growth in international regions.</w:t>
      </w:r>
    </w:p>
    <w:p w:rsidR="00000000" w:rsidDel="00000000" w:rsidP="00000000" w:rsidRDefault="00000000" w:rsidRPr="00000000" w14:paraId="00000087">
      <w:pPr>
        <w:spacing w:after="240" w:before="24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9550" cy="244792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195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240"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3"/>
        <w:spacing w:after="240" w:before="240" w:line="240" w:lineRule="auto"/>
        <w:ind w:left="720" w:firstLine="0"/>
        <w:jc w:val="both"/>
        <w:rPr>
          <w:rFonts w:ascii="Times New Roman" w:cs="Times New Roman" w:eastAsia="Times New Roman" w:hAnsi="Times New Roman"/>
          <w:b w:val="1"/>
          <w:bCs w:val="1"/>
          <w:color w:val="000000"/>
          <w:sz w:val="26"/>
          <w:szCs w:val="26"/>
        </w:rPr>
      </w:pPr>
      <w:bookmarkStart w:colFirst="0" w:colLast="0" w:name="_jsoh28icdzis" w:id="13"/>
      <w:bookmarkEnd w:id="13"/>
      <w:r w:rsidDel="00000000" w:rsidR="00000000" w:rsidRPr="00000000">
        <w:rPr>
          <w:rFonts w:ascii="Times New Roman" w:cs="Times New Roman" w:eastAsia="Times New Roman" w:hAnsi="Times New Roman"/>
          <w:b w:val="1"/>
          <w:bCs w:val="1"/>
          <w:color w:val="000000"/>
          <w:sz w:val="26"/>
          <w:szCs w:val="26"/>
          <w:rtl w:val="0"/>
        </w:rPr>
        <w:t xml:space="preserve">4.5. Average Order Value by Month</w:t>
      </w:r>
    </w:p>
    <w:p w:rsidR="00000000" w:rsidDel="00000000" w:rsidP="00000000" w:rsidRDefault="00000000" w:rsidRPr="00000000" w14:paraId="0000008B">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 chart showing AOV fluctuations.</w:t>
      </w:r>
    </w:p>
    <w:p w:rsidR="00000000" w:rsidDel="00000000" w:rsidP="00000000" w:rsidRDefault="00000000" w:rsidRPr="00000000" w14:paraId="0000008C">
      <w:pPr>
        <w:spacing w:before="280" w:line="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Range</w:t>
      </w:r>
    </w:p>
    <w:p w:rsidR="00000000" w:rsidDel="00000000" w:rsidP="00000000" w:rsidRDefault="00000000" w:rsidRPr="00000000" w14:paraId="0000008D">
      <w:pPr>
        <w:numPr>
          <w:ilvl w:val="0"/>
          <w:numId w:val="3"/>
        </w:numPr>
        <w:spacing w:after="0" w:afterAutospacing="0" w:before="240" w:lin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Highest: </w:t>
      </w:r>
      <w:r w:rsidDel="00000000" w:rsidR="00000000" w:rsidRPr="00000000">
        <w:rPr>
          <w:rFonts w:ascii="Times New Roman" w:cs="Times New Roman" w:eastAsia="Times New Roman" w:hAnsi="Times New Roman"/>
          <w:b w:val="1"/>
          <w:bCs w:val="1"/>
          <w:sz w:val="24"/>
          <w:szCs w:val="24"/>
          <w:rtl w:val="0"/>
        </w:rPr>
        <w:t xml:space="preserve">January – £209.11</w:t>
      </w:r>
    </w:p>
    <w:p w:rsidR="00000000" w:rsidDel="00000000" w:rsidP="00000000" w:rsidRDefault="00000000" w:rsidRPr="00000000" w14:paraId="0000008E">
      <w:pPr>
        <w:numPr>
          <w:ilvl w:val="0"/>
          <w:numId w:val="3"/>
        </w:numPr>
        <w:spacing w:after="240" w:before="0" w:beforeAutospacing="0" w:lin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Lowest: </w:t>
      </w:r>
      <w:r w:rsidDel="00000000" w:rsidR="00000000" w:rsidRPr="00000000">
        <w:rPr>
          <w:rFonts w:ascii="Times New Roman" w:cs="Times New Roman" w:eastAsia="Times New Roman" w:hAnsi="Times New Roman"/>
          <w:b w:val="1"/>
          <w:bCs w:val="1"/>
          <w:sz w:val="24"/>
          <w:szCs w:val="24"/>
          <w:rtl w:val="0"/>
        </w:rPr>
        <w:t xml:space="preserve">April – £92.14</w:t>
      </w:r>
    </w:p>
    <w:p w:rsidR="00000000" w:rsidDel="00000000" w:rsidP="00000000" w:rsidRDefault="00000000" w:rsidRPr="00000000" w14:paraId="0000008F">
      <w:pPr>
        <w:spacing w:after="240" w:before="240" w:line="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w:t>
      </w:r>
    </w:p>
    <w:p w:rsidR="00000000" w:rsidDel="00000000" w:rsidP="00000000" w:rsidRDefault="00000000" w:rsidRPr="00000000" w14:paraId="00000090">
      <w:pPr>
        <w:numPr>
          <w:ilvl w:val="0"/>
          <w:numId w:val="7"/>
        </w:numPr>
        <w:spacing w:after="240" w:before="24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AOV drops sharply after January, likely due to post-holiday clearance purchases</w:t>
      </w:r>
    </w:p>
    <w:p w:rsidR="00000000" w:rsidDel="00000000" w:rsidP="00000000" w:rsidRDefault="00000000" w:rsidRPr="00000000" w14:paraId="00000091">
      <w:pPr>
        <w:pStyle w:val="Heading3"/>
        <w:spacing w:line="240" w:lineRule="auto"/>
        <w:rPr>
          <w:rFonts w:ascii="Times New Roman" w:cs="Times New Roman" w:eastAsia="Times New Roman" w:hAnsi="Times New Roman"/>
          <w:b w:val="1"/>
          <w:bCs w:val="1"/>
          <w:color w:val="000000"/>
          <w:sz w:val="26"/>
          <w:szCs w:val="26"/>
        </w:rPr>
      </w:pPr>
      <w:bookmarkStart w:colFirst="0" w:colLast="0" w:name="_2w39al9woj80" w:id="14"/>
      <w:bookmarkEnd w:id="14"/>
      <w:r w:rsidDel="00000000" w:rsidR="00000000" w:rsidRPr="00000000">
        <w:rPr>
          <w:rFonts w:ascii="Times New Roman" w:cs="Times New Roman" w:eastAsia="Times New Roman" w:hAnsi="Times New Roman"/>
          <w:b w:val="1"/>
          <w:bCs w:val="1"/>
          <w:color w:val="000000"/>
          <w:sz w:val="26"/>
          <w:szCs w:val="26"/>
          <w:rtl w:val="0"/>
        </w:rPr>
        <w:t xml:space="preserve">4.6. Customer Analytics Dashboard</w:t>
      </w:r>
    </w:p>
    <w:p w:rsidR="00000000" w:rsidDel="00000000" w:rsidP="00000000" w:rsidRDefault="00000000" w:rsidRPr="00000000" w14:paraId="00000092">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KPI cards offer a quick overview of customer performance. The business serves </w:t>
      </w:r>
      <w:r w:rsidDel="00000000" w:rsidR="00000000" w:rsidRPr="00000000">
        <w:rPr>
          <w:rFonts w:ascii="Times New Roman" w:cs="Times New Roman" w:eastAsia="Times New Roman" w:hAnsi="Times New Roman"/>
          <w:b w:val="1"/>
          <w:bCs w:val="1"/>
          <w:sz w:val="24"/>
          <w:szCs w:val="24"/>
          <w:rtl w:val="0"/>
        </w:rPr>
        <w:t xml:space="preserve">4,000 customers</w:t>
      </w:r>
      <w:r w:rsidDel="00000000" w:rsidR="00000000" w:rsidRPr="00000000">
        <w:rPr>
          <w:rFonts w:ascii="Times New Roman" w:cs="Times New Roman" w:eastAsia="Times New Roman" w:hAnsi="Times New Roman"/>
          <w:sz w:val="24"/>
          <w:szCs w:val="24"/>
          <w:rtl w:val="0"/>
        </w:rPr>
        <w:t xml:space="preserve">, each generating an average </w:t>
      </w:r>
      <w:r w:rsidDel="00000000" w:rsidR="00000000" w:rsidRPr="00000000">
        <w:rPr>
          <w:rFonts w:ascii="Times New Roman" w:cs="Times New Roman" w:eastAsia="Times New Roman" w:hAnsi="Times New Roman"/>
          <w:b w:val="1"/>
          <w:bCs w:val="1"/>
          <w:sz w:val="24"/>
          <w:szCs w:val="24"/>
          <w:rtl w:val="0"/>
        </w:rPr>
        <w:t xml:space="preserve">Customer Lifetime Value of £391.08</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return rate is 9.62%</w:t>
      </w:r>
      <w:r w:rsidDel="00000000" w:rsidR="00000000" w:rsidRPr="00000000">
        <w:rPr>
          <w:rFonts w:ascii="Times New Roman" w:cs="Times New Roman" w:eastAsia="Times New Roman" w:hAnsi="Times New Roman"/>
          <w:sz w:val="24"/>
          <w:szCs w:val="24"/>
          <w:rtl w:val="0"/>
        </w:rPr>
        <w:t xml:space="preserve">, indicating a moderate level of product returns, while </w:t>
      </w:r>
      <w:r w:rsidDel="00000000" w:rsidR="00000000" w:rsidRPr="00000000">
        <w:rPr>
          <w:rFonts w:ascii="Times New Roman" w:cs="Times New Roman" w:eastAsia="Times New Roman" w:hAnsi="Times New Roman"/>
          <w:b w:val="1"/>
          <w:bCs w:val="1"/>
          <w:sz w:val="24"/>
          <w:szCs w:val="24"/>
          <w:rtl w:val="0"/>
        </w:rPr>
        <w:t xml:space="preserve">revenue per customer stands at £437.69</w:t>
      </w:r>
      <w:r w:rsidDel="00000000" w:rsidR="00000000" w:rsidRPr="00000000">
        <w:rPr>
          <w:rFonts w:ascii="Times New Roman" w:cs="Times New Roman" w:eastAsia="Times New Roman" w:hAnsi="Times New Roman"/>
          <w:sz w:val="24"/>
          <w:szCs w:val="24"/>
          <w:rtl w:val="0"/>
        </w:rPr>
        <w:t xml:space="preserve">, showing strong individual spending patterns. These metrics together provide a clear snapshot of overall customer value and behaviour.</w:t>
      </w:r>
    </w:p>
    <w:p w:rsidR="00000000" w:rsidDel="00000000" w:rsidP="00000000" w:rsidRDefault="00000000" w:rsidRPr="00000000" w14:paraId="00000093">
      <w:pPr>
        <w:spacing w:after="240" w:before="240" w:line="240" w:lineRule="auto"/>
        <w:ind w:left="720" w:firstLine="720"/>
        <w:jc w:val="both"/>
        <w:rPr/>
      </w:pPr>
      <w:r w:rsidDel="00000000" w:rsidR="00000000" w:rsidRPr="00000000">
        <w:rPr/>
        <w:drawing>
          <wp:inline distB="114300" distT="114300" distL="114300" distR="114300">
            <wp:extent cx="4604141" cy="2807829"/>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604141" cy="280782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Style w:val="Heading1"/>
        <w:numPr>
          <w:ilvl w:val="0"/>
          <w:numId w:val="11"/>
        </w:numPr>
        <w:spacing w:line="240" w:lineRule="auto"/>
        <w:ind w:left="720" w:hanging="360"/>
        <w:rPr>
          <w:rFonts w:ascii="Times New Roman" w:cs="Times New Roman" w:eastAsia="Times New Roman" w:hAnsi="Times New Roman"/>
          <w:b w:val="1"/>
          <w:bCs w:val="1"/>
          <w:sz w:val="32"/>
          <w:szCs w:val="32"/>
        </w:rPr>
      </w:pPr>
      <w:bookmarkStart w:colFirst="0" w:colLast="0" w:name="_iv55l7ui03ez" w:id="15"/>
      <w:bookmarkEnd w:id="15"/>
      <w:r w:rsidDel="00000000" w:rsidR="00000000" w:rsidRPr="00000000">
        <w:rPr>
          <w:rFonts w:ascii="Times New Roman" w:cs="Times New Roman" w:eastAsia="Times New Roman" w:hAnsi="Times New Roman"/>
          <w:b w:val="1"/>
          <w:bCs w:val="1"/>
          <w:sz w:val="32"/>
          <w:szCs w:val="32"/>
          <w:rtl w:val="0"/>
        </w:rPr>
        <w:t xml:space="preserve">Conclusion</w:t>
      </w:r>
    </w:p>
    <w:p w:rsidR="00000000" w:rsidDel="00000000" w:rsidP="00000000" w:rsidRDefault="00000000" w:rsidRPr="00000000" w14:paraId="00000097">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Power BI Online Retail Sales Dashboard provides a clear, data-driven view of key business performance indicators. Through detailed analysis of sales trends, customer behavior, product performance, and country-level revenue distribution, the dashboard enables faster and more informed decision-making. The insights reveal strong seasonal patterns, high-value customer segments, and top-performing products, while also highlighting areas such as return rates and underperforming SKUs that require improvement. Overall, the dashboard serves as an effective analytical tool that transforms raw transactional data into meaningful insights, supporting strategic planning and operational efficiency across the business.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