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jc w:val="left"/>
        <w:rPr>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2214563</wp:posOffset>
            </wp:positionH>
            <wp:positionV relativeFrom="paragraph">
              <wp:posOffset>114300</wp:posOffset>
            </wp:positionV>
            <wp:extent cx="1514475" cy="1509713"/>
            <wp:effectExtent b="0" l="0" r="0" t="0"/>
            <wp:wrapTopAndBottom distB="114300" distT="11430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514475" cy="1509713"/>
                    </a:xfrm>
                    <a:prstGeom prst="rect"/>
                    <a:ln/>
                  </pic:spPr>
                </pic:pic>
              </a:graphicData>
            </a:graphic>
          </wp:anchor>
        </w:drawing>
      </w:r>
    </w:p>
    <w:p w:rsidR="00000000" w:rsidDel="00000000" w:rsidP="00000000" w:rsidRDefault="00000000" w:rsidRPr="00000000" w14:paraId="00000002">
      <w:pPr>
        <w:spacing w:after="200" w:lineRule="auto"/>
        <w:jc w:val="center"/>
        <w:rPr>
          <w:sz w:val="34"/>
          <w:szCs w:val="34"/>
        </w:rPr>
      </w:pPr>
      <w:r w:rsidDel="00000000" w:rsidR="00000000" w:rsidRPr="00000000">
        <w:rPr>
          <w:rFonts w:ascii="Times New Roman" w:cs="Times New Roman" w:eastAsia="Times New Roman" w:hAnsi="Times New Roman"/>
          <w:b w:val="1"/>
          <w:bCs w:val="1"/>
          <w:sz w:val="46"/>
          <w:szCs w:val="46"/>
          <w:rtl w:val="0"/>
        </w:rPr>
        <w:t xml:space="preserve">Sukkur IBA University</w:t>
      </w:r>
      <w:r w:rsidDel="00000000" w:rsidR="00000000" w:rsidRPr="00000000">
        <w:rPr>
          <w:rtl w:val="0"/>
        </w:rPr>
      </w:r>
    </w:p>
    <w:p w:rsidR="00000000" w:rsidDel="00000000" w:rsidP="00000000" w:rsidRDefault="00000000" w:rsidRPr="00000000" w14:paraId="00000003">
      <w:pPr>
        <w:spacing w:after="600" w:lineRule="auto"/>
        <w:jc w:val="center"/>
        <w:rPr>
          <w:sz w:val="28"/>
          <w:szCs w:val="28"/>
        </w:rPr>
      </w:pPr>
      <w:r w:rsidDel="00000000" w:rsidR="00000000" w:rsidRPr="00000000">
        <w:rPr>
          <w:rFonts w:ascii="Times New Roman" w:cs="Times New Roman" w:eastAsia="Times New Roman" w:hAnsi="Times New Roman"/>
          <w:sz w:val="30"/>
          <w:szCs w:val="30"/>
          <w:rtl w:val="0"/>
        </w:rPr>
        <w:t xml:space="preserve">MS (AI) – 1st Semester, Spring 2026</w:t>
      </w:r>
      <w:r w:rsidDel="00000000" w:rsidR="00000000" w:rsidRPr="00000000">
        <w:rPr>
          <w:rtl w:val="0"/>
        </w:rPr>
      </w:r>
    </w:p>
    <w:p w:rsidR="00000000" w:rsidDel="00000000" w:rsidP="00000000" w:rsidRDefault="00000000" w:rsidRPr="00000000" w14:paraId="00000004">
      <w:pPr>
        <w:spacing w:after="200" w:lineRule="auto"/>
        <w:jc w:val="center"/>
        <w:rPr>
          <w:sz w:val="32"/>
          <w:szCs w:val="32"/>
        </w:rPr>
      </w:pPr>
      <w:r w:rsidDel="00000000" w:rsidR="00000000" w:rsidRPr="00000000">
        <w:rPr>
          <w:rFonts w:ascii="Times New Roman" w:cs="Times New Roman" w:eastAsia="Times New Roman" w:hAnsi="Times New Roman"/>
          <w:b w:val="1"/>
          <w:bCs w:val="1"/>
          <w:sz w:val="36"/>
          <w:szCs w:val="36"/>
          <w:rtl w:val="0"/>
        </w:rPr>
        <w:t xml:space="preserve">Mid-Term Open Book Assignment</w:t>
      </w:r>
      <w:r w:rsidDel="00000000" w:rsidR="00000000" w:rsidRPr="00000000">
        <w:rPr>
          <w:rtl w:val="0"/>
        </w:rPr>
      </w:r>
    </w:p>
    <w:p w:rsidR="00000000" w:rsidDel="00000000" w:rsidP="00000000" w:rsidRDefault="00000000" w:rsidRPr="00000000" w14:paraId="00000005">
      <w:pPr>
        <w:spacing w:after="200" w:lineRule="auto"/>
        <w:jc w:val="center"/>
        <w:rPr>
          <w:b w:val="1"/>
          <w:bCs w:val="1"/>
          <w:sz w:val="28"/>
          <w:szCs w:val="28"/>
        </w:rPr>
      </w:pPr>
      <w:r w:rsidDel="00000000" w:rsidR="00000000" w:rsidRPr="00000000">
        <w:rPr>
          <w:rFonts w:ascii="Times New Roman" w:cs="Times New Roman" w:eastAsia="Times New Roman" w:hAnsi="Times New Roman"/>
          <w:sz w:val="28"/>
          <w:szCs w:val="28"/>
          <w:rtl w:val="0"/>
        </w:rPr>
        <w:t xml:space="preserve">Course: </w:t>
      </w:r>
      <w:r w:rsidDel="00000000" w:rsidR="00000000" w:rsidRPr="00000000">
        <w:rPr>
          <w:b w:val="1"/>
          <w:bCs w:val="1"/>
          <w:sz w:val="28"/>
          <w:szCs w:val="28"/>
          <w:rtl w:val="0"/>
        </w:rPr>
        <w:t xml:space="preserve">Comparative World Religions – I</w:t>
      </w:r>
    </w:p>
    <w:p w:rsidR="00000000" w:rsidDel="00000000" w:rsidP="00000000" w:rsidRDefault="00000000" w:rsidRPr="00000000" w14:paraId="00000006">
      <w:pPr>
        <w:spacing w:after="200" w:lineRule="auto"/>
        <w:jc w:val="center"/>
        <w:rPr>
          <w:b w:val="1"/>
          <w:bCs w:val="1"/>
          <w:sz w:val="28"/>
          <w:szCs w:val="28"/>
        </w:rPr>
      </w:pPr>
      <w:r w:rsidDel="00000000" w:rsidR="00000000" w:rsidRPr="00000000">
        <w:rPr>
          <w:rtl w:val="0"/>
        </w:rPr>
      </w:r>
    </w:p>
    <w:p w:rsidR="00000000" w:rsidDel="00000000" w:rsidP="00000000" w:rsidRDefault="00000000" w:rsidRPr="00000000" w14:paraId="00000007">
      <w:pPr>
        <w:pStyle w:val="Title"/>
        <w:spacing w:after="600" w:lineRule="auto"/>
        <w:jc w:val="center"/>
        <w:rPr/>
      </w:pPr>
      <w:bookmarkStart w:colFirst="0" w:colLast="0" w:name="_heading=h.20vu5qe4qwtv" w:id="0"/>
      <w:bookmarkEnd w:id="0"/>
      <w:r w:rsidDel="00000000" w:rsidR="00000000" w:rsidRPr="00000000">
        <w:rPr>
          <w:rtl w:val="0"/>
        </w:rPr>
        <w:t xml:space="preserve">Family and Marital Laws in Semitic Religions</w:t>
      </w:r>
    </w:p>
    <w:p w:rsidR="00000000" w:rsidDel="00000000" w:rsidP="00000000" w:rsidRDefault="00000000" w:rsidRPr="00000000" w14:paraId="00000008">
      <w:pPr>
        <w:spacing w:after="200" w:lineRule="auto"/>
        <w:rPr>
          <w:sz w:val="28"/>
          <w:szCs w:val="28"/>
        </w:rPr>
      </w:pPr>
      <w:r w:rsidDel="00000000" w:rsidR="00000000" w:rsidRPr="00000000">
        <w:rPr>
          <w:rtl w:val="0"/>
        </w:rPr>
      </w:r>
    </w:p>
    <w:p w:rsidR="00000000" w:rsidDel="00000000" w:rsidP="00000000" w:rsidRDefault="00000000" w:rsidRPr="00000000" w14:paraId="00000009">
      <w:pPr>
        <w:spacing w:after="100" w:lineRule="auto"/>
        <w:jc w:val="center"/>
        <w:rPr>
          <w:sz w:val="28"/>
          <w:szCs w:val="28"/>
        </w:rPr>
      </w:pPr>
      <w:r w:rsidDel="00000000" w:rsidR="00000000" w:rsidRPr="00000000">
        <w:rPr>
          <w:rFonts w:ascii="Times New Roman" w:cs="Times New Roman" w:eastAsia="Times New Roman" w:hAnsi="Times New Roman"/>
          <w:sz w:val="28"/>
          <w:szCs w:val="28"/>
          <w:rtl w:val="0"/>
        </w:rPr>
        <w:t xml:space="preserve">Submitted by: </w:t>
      </w:r>
      <w:r w:rsidDel="00000000" w:rsidR="00000000" w:rsidRPr="00000000">
        <w:rPr>
          <w:rFonts w:ascii="Times New Roman" w:cs="Times New Roman" w:eastAsia="Times New Roman" w:hAnsi="Times New Roman"/>
          <w:b w:val="1"/>
          <w:bCs w:val="1"/>
          <w:sz w:val="28"/>
          <w:szCs w:val="28"/>
          <w:rtl w:val="0"/>
        </w:rPr>
        <w:t xml:space="preserve">Rajesh Kumar</w:t>
      </w:r>
      <w:r w:rsidDel="00000000" w:rsidR="00000000" w:rsidRPr="00000000">
        <w:rPr>
          <w:rtl w:val="0"/>
        </w:rPr>
      </w:r>
    </w:p>
    <w:p w:rsidR="00000000" w:rsidDel="00000000" w:rsidP="00000000" w:rsidRDefault="00000000" w:rsidRPr="00000000" w14:paraId="0000000A">
      <w:pPr>
        <w:spacing w:after="100" w:lineRule="auto"/>
        <w:jc w:val="center"/>
        <w:rPr>
          <w:b w:val="1"/>
          <w:bCs w:val="1"/>
          <w:sz w:val="28"/>
          <w:szCs w:val="28"/>
        </w:rPr>
      </w:pPr>
      <w:r w:rsidDel="00000000" w:rsidR="00000000" w:rsidRPr="00000000">
        <w:rPr>
          <w:rFonts w:ascii="Times New Roman" w:cs="Times New Roman" w:eastAsia="Times New Roman" w:hAnsi="Times New Roman"/>
          <w:sz w:val="28"/>
          <w:szCs w:val="28"/>
          <w:rtl w:val="0"/>
        </w:rPr>
        <w:t xml:space="preserve">Roll No: </w:t>
      </w:r>
      <w:r w:rsidDel="00000000" w:rsidR="00000000" w:rsidRPr="00000000">
        <w:rPr>
          <w:b w:val="1"/>
          <w:bCs w:val="1"/>
          <w:sz w:val="28"/>
          <w:szCs w:val="28"/>
          <w:rtl w:val="0"/>
        </w:rPr>
        <w:t xml:space="preserve">221-26-0032</w:t>
      </w:r>
    </w:p>
    <w:p w:rsidR="00000000" w:rsidDel="00000000" w:rsidP="00000000" w:rsidRDefault="00000000" w:rsidRPr="00000000" w14:paraId="0000000B">
      <w:pPr>
        <w:spacing w:after="300" w:lineRule="auto"/>
        <w:jc w:val="center"/>
        <w:rPr>
          <w:sz w:val="28"/>
          <w:szCs w:val="28"/>
        </w:rPr>
      </w:pPr>
      <w:r w:rsidDel="00000000" w:rsidR="00000000" w:rsidRPr="00000000">
        <w:rPr>
          <w:rFonts w:ascii="Times New Roman" w:cs="Times New Roman" w:eastAsia="Times New Roman" w:hAnsi="Times New Roman"/>
          <w:sz w:val="28"/>
          <w:szCs w:val="28"/>
          <w:rtl w:val="0"/>
        </w:rPr>
        <w:t xml:space="preserve">Submitted to: </w:t>
      </w:r>
      <w:r w:rsidDel="00000000" w:rsidR="00000000" w:rsidRPr="00000000">
        <w:rPr>
          <w:rFonts w:ascii="Times New Roman" w:cs="Times New Roman" w:eastAsia="Times New Roman" w:hAnsi="Times New Roman"/>
          <w:b w:val="1"/>
          <w:bCs w:val="1"/>
          <w:sz w:val="28"/>
          <w:szCs w:val="28"/>
          <w:rtl w:val="0"/>
        </w:rPr>
        <w:t xml:space="preserve">Dr. Arbab Manzoor</w:t>
      </w:r>
      <w:r w:rsidDel="00000000" w:rsidR="00000000" w:rsidRPr="00000000">
        <w:rPr>
          <w:rtl w:val="0"/>
        </w:rPr>
      </w:r>
    </w:p>
    <w:p w:rsidR="00000000" w:rsidDel="00000000" w:rsidP="00000000" w:rsidRDefault="00000000" w:rsidRPr="00000000" w14:paraId="0000000C">
      <w:pPr>
        <w:pStyle w:val="Heading1"/>
        <w:spacing w:line="360" w:lineRule="auto"/>
        <w:rPr>
          <w:sz w:val="32"/>
          <w:szCs w:val="32"/>
        </w:rPr>
      </w:pPr>
      <w:r w:rsidDel="00000000" w:rsidR="00000000" w:rsidRPr="00000000">
        <w:rPr>
          <w:rFonts w:ascii="Times New Roman" w:cs="Times New Roman" w:eastAsia="Times New Roman" w:hAnsi="Times New Roman"/>
          <w:b w:val="1"/>
          <w:bCs w:val="1"/>
          <w:sz w:val="32"/>
          <w:szCs w:val="32"/>
          <w:rtl w:val="0"/>
        </w:rPr>
        <w:t xml:space="preserve">Table of Contents</w:t>
      </w:r>
      <w:r w:rsidDel="00000000" w:rsidR="00000000" w:rsidRPr="00000000">
        <w:rPr>
          <w:rtl w:val="0"/>
        </w:rPr>
      </w:r>
    </w:p>
    <w:sdt>
      <w:sdtPr>
        <w:id w:val="1931857822"/>
        <w:docPartObj>
          <w:docPartGallery w:val="Table of Contents"/>
          <w:docPartUnique w:val="1"/>
        </w:docPartObj>
      </w:sdtPr>
      <w:sdtContent>
        <w:p w:rsidR="00000000" w:rsidDel="00000000" w:rsidP="00000000" w:rsidRDefault="00000000" w:rsidRPr="00000000" w14:paraId="0000000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Objectives and Purpose of the Study</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Research Questions</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Hypothesis</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Discussion</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 Marriage Contracts and Ceremonies</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03pwhuqg9z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5.1.1 Marriage in Judaism</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8qxorbkwau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5.1.2 Marriage in Christianity</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ggczdoyzo7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5.1.3 Marriage in Islam</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 Divorce Laws and Procedures</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tmifaani93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5.2.1 Divorce in Judaism</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sfkoc2ensl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5.2.2 Divorce in Christianity</w:t>
              <w:tab/>
              <w:t xml:space="preserve">11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2wmt9omij2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5.2.3 Divorce in Islam</w:t>
              <w:tab/>
              <w:t xml:space="preserve">12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5.3 Polygamy and Monogamy</w:t>
              <w:tab/>
              <w:t xml:space="preserve">13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pwp847vttp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5.3.1 Polygamy in Judaism</w:t>
              <w:tab/>
              <w:t xml:space="preserve">13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3hmlsalazv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5.3.2 Monogamy in Christianity</w:t>
              <w:tab/>
              <w:t xml:space="preserve">14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158ca21th6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5.3.3 Polygamy in Islam</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5.4 Comparative Analysis</w:t>
              <w:tab/>
              <w:t xml:space="preserve">16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Conclusion</w:t>
              <w:tab/>
              <w:t xml:space="preserve">17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References / Bibliography</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spacing w:line="360" w:lineRule="auto"/>
        <w:rPr>
          <w:sz w:val="32"/>
          <w:szCs w:val="32"/>
        </w:rPr>
      </w:pPr>
      <w:r w:rsidDel="00000000" w:rsidR="00000000" w:rsidRPr="00000000">
        <w:rPr>
          <w:rFonts w:ascii="Times New Roman" w:cs="Times New Roman" w:eastAsia="Times New Roman" w:hAnsi="Times New Roman"/>
          <w:b w:val="1"/>
          <w:bCs w:val="1"/>
          <w:sz w:val="32"/>
          <w:szCs w:val="32"/>
          <w:rtl w:val="0"/>
        </w:rPr>
        <w:t xml:space="preserve">1. Introduction</w:t>
      </w:r>
      <w:r w:rsidDel="00000000" w:rsidR="00000000" w:rsidRPr="00000000">
        <w:rPr>
          <w:rtl w:val="0"/>
        </w:rPr>
      </w:r>
    </w:p>
    <w:p w:rsidR="00000000" w:rsidDel="00000000" w:rsidP="00000000" w:rsidRDefault="00000000" w:rsidRPr="00000000" w14:paraId="00000024">
      <w:pPr>
        <w:spacing w:after="120" w:line="360" w:lineRule="auto"/>
        <w:jc w:val="both"/>
        <w:rPr>
          <w:sz w:val="28"/>
          <w:szCs w:val="28"/>
        </w:rPr>
      </w:pPr>
      <w:r w:rsidDel="00000000" w:rsidR="00000000" w:rsidRPr="00000000">
        <w:rPr>
          <w:sz w:val="28"/>
          <w:szCs w:val="28"/>
          <w:rtl w:val="0"/>
        </w:rPr>
        <w:t xml:space="preserve">The Semitic faiths — Judaism, Christianity, and Islam — are bound together by a shared Abrahamic lineage that has left a deep imprint on how each tradition approaches marriage and family life. Collectively representing more than half of humanity, these three religions regard the family as the bedrock of human civilization. The roots of this conviction run deep: from the opening pages of Genesis, where man is called to leave his parents and cleave to his wife, the sacred nature of matrimony has stood at the heart of Semitic religious thought. As Norman Doe notes in his landmark comparative study, all three Abrahamic legal traditions treat marriage as a divinely ordained institution regulated by elaborate legal structures — even as the specifics of those structures diverge considerably from one faith to the next.</w:t>
      </w:r>
    </w:p>
    <w:p w:rsidR="00000000" w:rsidDel="00000000" w:rsidP="00000000" w:rsidRDefault="00000000" w:rsidRPr="00000000" w14:paraId="00000025">
      <w:pPr>
        <w:spacing w:after="120" w:line="360" w:lineRule="auto"/>
        <w:jc w:val="both"/>
        <w:rPr>
          <w:sz w:val="28"/>
          <w:szCs w:val="28"/>
        </w:rPr>
      </w:pPr>
      <w:r w:rsidDel="00000000" w:rsidR="00000000" w:rsidRPr="00000000">
        <w:rPr>
          <w:rtl w:val="0"/>
        </w:rPr>
      </w:r>
    </w:p>
    <w:p w:rsidR="00000000" w:rsidDel="00000000" w:rsidP="00000000" w:rsidRDefault="00000000" w:rsidRPr="00000000" w14:paraId="00000026">
      <w:pPr>
        <w:spacing w:after="120" w:line="360" w:lineRule="auto"/>
        <w:jc w:val="both"/>
        <w:rPr>
          <w:sz w:val="28"/>
          <w:szCs w:val="28"/>
        </w:rPr>
      </w:pPr>
      <w:r w:rsidDel="00000000" w:rsidR="00000000" w:rsidRPr="00000000">
        <w:rPr>
          <w:sz w:val="28"/>
          <w:szCs w:val="28"/>
          <w:rtl w:val="0"/>
        </w:rPr>
        <w:t xml:space="preserve">This paper sets out to examine family and marital law across these three traditions through a comparative lens. It focuses on three central areas: the conditions and formalities surrounding marriage contracts and ceremonies; the religious and legal avenues through which marriages may be dissolved; and each tradition's stance on polygamy versus monogamy. Drawing on primary texts — the Torah, the Bible, and the Quran — as well as secondary sources including the Talmud, Canon Law, Hadith literature, and the scholarship of figures such as Wael Hallaq, John Witte Jr., Michael Satlow, Rachel Biale, and Kecia Ali, the study seeks to map both the shared theological convictions that connect these faiths and the distinct jurisprudential paths each has carved out over centuries.</w:t>
      </w:r>
    </w:p>
    <w:p w:rsidR="00000000" w:rsidDel="00000000" w:rsidP="00000000" w:rsidRDefault="00000000" w:rsidRPr="00000000" w14:paraId="00000027">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line="360" w:lineRule="auto"/>
        <w:rPr>
          <w:sz w:val="32"/>
          <w:szCs w:val="32"/>
        </w:rPr>
      </w:pPr>
      <w:r w:rsidDel="00000000" w:rsidR="00000000" w:rsidRPr="00000000">
        <w:rPr>
          <w:rFonts w:ascii="Times New Roman" w:cs="Times New Roman" w:eastAsia="Times New Roman" w:hAnsi="Times New Roman"/>
          <w:b w:val="1"/>
          <w:bCs w:val="1"/>
          <w:sz w:val="32"/>
          <w:szCs w:val="32"/>
          <w:rtl w:val="0"/>
        </w:rPr>
        <w:t xml:space="preserve">2. Objectives and Purpose of the Study</w:t>
      </w:r>
      <w:r w:rsidDel="00000000" w:rsidR="00000000" w:rsidRPr="00000000">
        <w:rPr>
          <w:rtl w:val="0"/>
        </w:rPr>
      </w:r>
    </w:p>
    <w:p w:rsidR="00000000" w:rsidDel="00000000" w:rsidP="00000000" w:rsidRDefault="00000000" w:rsidRPr="00000000" w14:paraId="00000029">
      <w:pPr>
        <w:spacing w:after="240" w:before="240" w:lineRule="auto"/>
        <w:jc w:val="both"/>
        <w:rPr>
          <w:sz w:val="28"/>
          <w:szCs w:val="28"/>
        </w:rPr>
      </w:pPr>
      <w:r w:rsidDel="00000000" w:rsidR="00000000" w:rsidRPr="00000000">
        <w:rPr>
          <w:sz w:val="28"/>
          <w:szCs w:val="28"/>
          <w:rtl w:val="0"/>
        </w:rPr>
        <w:t xml:space="preserve">The central aim of this study is to carry out a thorough comparative examination of how marital and family law is expressed through the sacred texts and legal traditions of Judaism, Christianity, and Islam. At its core, the study works to uncover the theological foundations on which each faith builds its conception of marriage as a social and spiritual institution. It looks closely at the specific legal instruments through which unions are formally established — among them the Jewish Ketubah, the Christian sacramental vow, and the Islamic Nikah contract — drawing on scholarship that traces these mechanisms from their ancient Near Eastern roots through to their present-day forms.</w:t>
      </w:r>
    </w:p>
    <w:p w:rsidR="00000000" w:rsidDel="00000000" w:rsidP="00000000" w:rsidRDefault="00000000" w:rsidRPr="00000000" w14:paraId="0000002A">
      <w:pPr>
        <w:spacing w:after="240" w:before="240" w:lineRule="auto"/>
        <w:jc w:val="both"/>
        <w:rPr>
          <w:sz w:val="28"/>
          <w:szCs w:val="28"/>
        </w:rPr>
      </w:pPr>
      <w:r w:rsidDel="00000000" w:rsidR="00000000" w:rsidRPr="00000000">
        <w:rPr>
          <w:sz w:val="28"/>
          <w:szCs w:val="28"/>
          <w:rtl w:val="0"/>
        </w:rPr>
        <w:t xml:space="preserve">Beyond the formation of marriage, the study turns its attention to how each tradition handles its dissolution. Here, the comparatively structured divorce frameworks found in Judaism and Islam are weighed against the historically restrictive position that Christianity has maintained — a contrast that reveals as much about theology as it does about jurisprudence. The question of polygamy is taken up as well, with the study tracing the often complex interplay between scriptural sanction, historical precedent, and shifting social expectations across all three traditions.</w:t>
      </w:r>
    </w:p>
    <w:p w:rsidR="00000000" w:rsidDel="00000000" w:rsidP="00000000" w:rsidRDefault="00000000" w:rsidRPr="00000000" w14:paraId="0000002B">
      <w:pPr>
        <w:spacing w:after="240" w:before="240" w:lineRule="auto"/>
        <w:jc w:val="both"/>
        <w:rPr>
          <w:sz w:val="28"/>
          <w:szCs w:val="28"/>
        </w:rPr>
      </w:pPr>
      <w:r w:rsidDel="00000000" w:rsidR="00000000" w:rsidRPr="00000000">
        <w:rPr>
          <w:sz w:val="28"/>
          <w:szCs w:val="28"/>
          <w:rtl w:val="0"/>
        </w:rPr>
        <w:t xml:space="preserve">Taken together, these lines of inquiry position this study as a contribution to a broader understanding of how a common Abrahamic inheritance has branched into legal traditions that are, at once, meaningfully distinct and deeply intertwined.</w:t>
      </w:r>
    </w:p>
    <w:p w:rsidR="00000000" w:rsidDel="00000000" w:rsidP="00000000" w:rsidRDefault="00000000" w:rsidRPr="00000000" w14:paraId="0000002C">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2D">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2E">
      <w:pPr>
        <w:pStyle w:val="Heading1"/>
        <w:spacing w:line="360" w:lineRule="auto"/>
        <w:rPr>
          <w:sz w:val="32"/>
          <w:szCs w:val="32"/>
        </w:rPr>
      </w:pPr>
      <w:r w:rsidDel="00000000" w:rsidR="00000000" w:rsidRPr="00000000">
        <w:rPr>
          <w:rFonts w:ascii="Times New Roman" w:cs="Times New Roman" w:eastAsia="Times New Roman" w:hAnsi="Times New Roman"/>
          <w:b w:val="1"/>
          <w:bCs w:val="1"/>
          <w:sz w:val="32"/>
          <w:szCs w:val="32"/>
          <w:rtl w:val="0"/>
        </w:rPr>
        <w:t xml:space="preserve">3. Research Questions</w:t>
      </w:r>
      <w:r w:rsidDel="00000000" w:rsidR="00000000" w:rsidRPr="00000000">
        <w:rPr>
          <w:rtl w:val="0"/>
        </w:rPr>
      </w:r>
    </w:p>
    <w:p w:rsidR="00000000" w:rsidDel="00000000" w:rsidP="00000000" w:rsidRDefault="00000000" w:rsidRPr="00000000" w14:paraId="0000002F">
      <w:pPr>
        <w:spacing w:after="240" w:before="240" w:lineRule="auto"/>
        <w:jc w:val="both"/>
        <w:rPr>
          <w:sz w:val="28"/>
          <w:szCs w:val="28"/>
        </w:rPr>
      </w:pPr>
      <w:r w:rsidDel="00000000" w:rsidR="00000000" w:rsidRPr="00000000">
        <w:rPr>
          <w:sz w:val="28"/>
          <w:szCs w:val="28"/>
          <w:rtl w:val="0"/>
        </w:rPr>
        <w:t xml:space="preserve">Three core questions drive this study. The first asks how the marriage contracts and ceremonial requirements of Judaism, Christianity, and Islam each reflect the theological understanding that tradition holds of the marital bond — in other words, what the formalities of marriage reveal about the deeper convictions that underpin it.</w:t>
      </w:r>
    </w:p>
    <w:p w:rsidR="00000000" w:rsidDel="00000000" w:rsidP="00000000" w:rsidRDefault="00000000" w:rsidRPr="00000000" w14:paraId="00000030">
      <w:pPr>
        <w:spacing w:after="240" w:before="240" w:lineRule="auto"/>
        <w:jc w:val="both"/>
        <w:rPr>
          <w:sz w:val="28"/>
          <w:szCs w:val="28"/>
        </w:rPr>
      </w:pPr>
      <w:r w:rsidDel="00000000" w:rsidR="00000000" w:rsidRPr="00000000">
        <w:rPr>
          <w:sz w:val="28"/>
          <w:szCs w:val="28"/>
          <w:rtl w:val="0"/>
        </w:rPr>
        <w:t xml:space="preserve">The second turns to dissolution: where do Judaism, Christianity, and Islam diverge in their legal and procedural approaches to ending a marriage, and what theological reasoning lies behind those differences? The contrast here is not merely procedural but speaks to fundamentally different views on the nature and permanence of the marital covenant.</w:t>
      </w:r>
    </w:p>
    <w:p w:rsidR="00000000" w:rsidDel="00000000" w:rsidP="00000000" w:rsidRDefault="00000000" w:rsidRPr="00000000" w14:paraId="00000031">
      <w:pPr>
        <w:spacing w:after="240" w:before="240" w:lineRule="auto"/>
        <w:jc w:val="both"/>
        <w:rPr>
          <w:sz w:val="28"/>
          <w:szCs w:val="28"/>
        </w:rPr>
      </w:pPr>
      <w:r w:rsidDel="00000000" w:rsidR="00000000" w:rsidRPr="00000000">
        <w:rPr>
          <w:sz w:val="28"/>
          <w:szCs w:val="28"/>
          <w:rtl w:val="0"/>
        </w:rPr>
        <w:t xml:space="preserve">The third question takes up polygamy, tracing how each of the three faiths has historically grappled with the practice. It asks what combination of forces — scriptural interpretation, rabbinical authority, ecclesiastical teaching, and jurisprudential reasoning — has steered certain traditions toward an increasingly firm embrace of monogamy over time, and how those shifts can be understood against the backdrop of each tradition's broader legal and theological development.</w:t>
      </w:r>
    </w:p>
    <w:p w:rsidR="00000000" w:rsidDel="00000000" w:rsidP="00000000" w:rsidRDefault="00000000" w:rsidRPr="00000000" w14:paraId="00000032">
      <w:pPr>
        <w:spacing w:after="120" w:line="360" w:lineRule="auto"/>
        <w:jc w:val="both"/>
        <w:rPr>
          <w:sz w:val="28"/>
          <w:szCs w:val="28"/>
        </w:rPr>
      </w:pPr>
      <w:r w:rsidDel="00000000" w:rsidR="00000000" w:rsidRPr="00000000">
        <w:rPr>
          <w:rtl w:val="0"/>
        </w:rPr>
      </w:r>
    </w:p>
    <w:p w:rsidR="00000000" w:rsidDel="00000000" w:rsidP="00000000" w:rsidRDefault="00000000" w:rsidRPr="00000000" w14:paraId="00000033">
      <w:pPr>
        <w:pStyle w:val="Heading1"/>
        <w:spacing w:line="360" w:lineRule="auto"/>
        <w:rPr>
          <w:sz w:val="32"/>
          <w:szCs w:val="32"/>
        </w:rPr>
      </w:pPr>
      <w:r w:rsidDel="00000000" w:rsidR="00000000" w:rsidRPr="00000000">
        <w:rPr>
          <w:rFonts w:ascii="Times New Roman" w:cs="Times New Roman" w:eastAsia="Times New Roman" w:hAnsi="Times New Roman"/>
          <w:b w:val="1"/>
          <w:bCs w:val="1"/>
          <w:sz w:val="32"/>
          <w:szCs w:val="32"/>
          <w:rtl w:val="0"/>
        </w:rPr>
        <w:t xml:space="preserve">4. Hypothesis</w:t>
      </w:r>
      <w:r w:rsidDel="00000000" w:rsidR="00000000" w:rsidRPr="00000000">
        <w:rPr>
          <w:rtl w:val="0"/>
        </w:rPr>
      </w:r>
    </w:p>
    <w:p w:rsidR="00000000" w:rsidDel="00000000" w:rsidP="00000000" w:rsidRDefault="00000000" w:rsidRPr="00000000" w14:paraId="00000034">
      <w:pPr>
        <w:spacing w:after="240" w:before="240" w:lineRule="auto"/>
        <w:jc w:val="both"/>
        <w:rPr>
          <w:sz w:val="28"/>
          <w:szCs w:val="28"/>
        </w:rPr>
      </w:pPr>
      <w:r w:rsidDel="00000000" w:rsidR="00000000" w:rsidRPr="00000000">
        <w:rPr>
          <w:sz w:val="28"/>
          <w:szCs w:val="28"/>
          <w:rtl w:val="0"/>
        </w:rPr>
        <w:t xml:space="preserve">This study operates on the premise that although Judaism, Christianity, and Islam are rooted in a shared Abrahamic heritage that holds marriage sacred, their respective marital laws have grown apart in meaningful ways. That divergence, it is argued, stems from differences in how each tradition reads and interprets scripture, the emergence of distinct legal systems — Halakha, Canon Law, and Sharia — and the weight of their individual historical and cultural experiences.</w:t>
      </w:r>
    </w:p>
    <w:p w:rsidR="00000000" w:rsidDel="00000000" w:rsidP="00000000" w:rsidRDefault="00000000" w:rsidRPr="00000000" w14:paraId="00000035">
      <w:pPr>
        <w:spacing w:after="240" w:before="240" w:lineRule="auto"/>
        <w:jc w:val="both"/>
        <w:rPr>
          <w:sz w:val="28"/>
          <w:szCs w:val="28"/>
        </w:rPr>
      </w:pPr>
      <w:r w:rsidDel="00000000" w:rsidR="00000000" w:rsidRPr="00000000">
        <w:rPr>
          <w:sz w:val="28"/>
          <w:szCs w:val="28"/>
          <w:rtl w:val="0"/>
        </w:rPr>
        <w:t xml:space="preserve">A further hypothesis holds that Islam and Judaism, each home to richly developed systems of religious jurisprudence, have produced more elaborate and precisely defined legal frameworks for both entering and exiting marriage than Christianity has. Christianity, by contrast, has historically anchored its approach in the sacramental character of the marital bond and its essential indissolubility — a theological posture that has left less room for the kind of procedural detail found in the other two traditions.</w:t>
      </w:r>
    </w:p>
    <w:p w:rsidR="00000000" w:rsidDel="00000000" w:rsidP="00000000" w:rsidRDefault="00000000" w:rsidRPr="00000000" w14:paraId="00000036">
      <w:pPr>
        <w:spacing w:after="240" w:before="240" w:lineRule="auto"/>
        <w:jc w:val="both"/>
        <w:rPr>
          <w:sz w:val="28"/>
          <w:szCs w:val="28"/>
        </w:rPr>
      </w:pPr>
      <w:r w:rsidDel="00000000" w:rsidR="00000000" w:rsidRPr="00000000">
        <w:rPr>
          <w:sz w:val="28"/>
          <w:szCs w:val="28"/>
          <w:rtl w:val="0"/>
        </w:rPr>
        <w:t xml:space="preserve">At the same time, the study anticipates that beneath these considerable differences runs a shared current: across all three faiths, there is a discernible movement toward stronger protections for spousal rights and a gradual curtailment of the unilateral authority that husbands have traditionally exercised within marriage. In this sense, divergence in legal form need not obscure a deeper convergence in moral direction.</w:t>
      </w:r>
    </w:p>
    <w:p w:rsidR="00000000" w:rsidDel="00000000" w:rsidP="00000000" w:rsidRDefault="00000000" w:rsidRPr="00000000" w14:paraId="00000037">
      <w:pPr>
        <w:pStyle w:val="Heading1"/>
        <w:spacing w:line="360" w:lineRule="auto"/>
        <w:rPr>
          <w:sz w:val="32"/>
          <w:szCs w:val="32"/>
        </w:rPr>
      </w:pPr>
      <w:r w:rsidDel="00000000" w:rsidR="00000000" w:rsidRPr="00000000">
        <w:rPr>
          <w:rtl w:val="0"/>
        </w:rPr>
      </w:r>
    </w:p>
    <w:p w:rsidR="00000000" w:rsidDel="00000000" w:rsidP="00000000" w:rsidRDefault="00000000" w:rsidRPr="00000000" w14:paraId="00000038">
      <w:pPr>
        <w:pStyle w:val="Heading1"/>
        <w:spacing w:line="360" w:lineRule="auto"/>
        <w:rPr>
          <w:sz w:val="32"/>
          <w:szCs w:val="32"/>
        </w:rPr>
      </w:pPr>
      <w:r w:rsidDel="00000000" w:rsidR="00000000" w:rsidRPr="00000000">
        <w:rPr>
          <w:rFonts w:ascii="Times New Roman" w:cs="Times New Roman" w:eastAsia="Times New Roman" w:hAnsi="Times New Roman"/>
          <w:b w:val="1"/>
          <w:bCs w:val="1"/>
          <w:sz w:val="32"/>
          <w:szCs w:val="32"/>
          <w:rtl w:val="0"/>
        </w:rPr>
        <w:t xml:space="preserve">5. Discussion</w:t>
      </w:r>
      <w:r w:rsidDel="00000000" w:rsidR="00000000" w:rsidRPr="00000000">
        <w:rPr>
          <w:rtl w:val="0"/>
        </w:rPr>
      </w:r>
    </w:p>
    <w:p w:rsidR="00000000" w:rsidDel="00000000" w:rsidP="00000000" w:rsidRDefault="00000000" w:rsidRPr="00000000" w14:paraId="00000039">
      <w:pPr>
        <w:pStyle w:val="Heading2"/>
        <w:spacing w:line="360" w:lineRule="auto"/>
        <w:rPr>
          <w:sz w:val="30"/>
          <w:szCs w:val="30"/>
        </w:rPr>
      </w:pPr>
      <w:r w:rsidDel="00000000" w:rsidR="00000000" w:rsidRPr="00000000">
        <w:rPr>
          <w:rFonts w:ascii="Times New Roman" w:cs="Times New Roman" w:eastAsia="Times New Roman" w:hAnsi="Times New Roman"/>
          <w:b w:val="1"/>
          <w:bCs w:val="1"/>
          <w:sz w:val="30"/>
          <w:szCs w:val="30"/>
          <w:rtl w:val="0"/>
        </w:rPr>
        <w:t xml:space="preserve">5.1 Marriage Contracts and Ceremonies</w:t>
      </w:r>
      <w:r w:rsidDel="00000000" w:rsidR="00000000" w:rsidRPr="00000000">
        <w:rPr>
          <w:rtl w:val="0"/>
        </w:rPr>
      </w:r>
    </w:p>
    <w:p w:rsidR="00000000" w:rsidDel="00000000" w:rsidP="00000000" w:rsidRDefault="00000000" w:rsidRPr="00000000" w14:paraId="0000003A">
      <w:pPr>
        <w:pStyle w:val="Heading3"/>
        <w:spacing w:after="120" w:lineRule="auto"/>
        <w:jc w:val="both"/>
        <w:rPr>
          <w:color w:val="000000"/>
        </w:rPr>
      </w:pPr>
      <w:bookmarkStart w:colFirst="0" w:colLast="0" w:name="_heading=h.303pwhuqg9zy" w:id="1"/>
      <w:bookmarkEnd w:id="1"/>
      <w:r w:rsidDel="00000000" w:rsidR="00000000" w:rsidRPr="00000000">
        <w:rPr>
          <w:color w:val="000000"/>
          <w:rtl w:val="0"/>
        </w:rPr>
        <w:t xml:space="preserve">5.1.1 Marriage in Judaism</w:t>
      </w:r>
    </w:p>
    <w:p w:rsidR="00000000" w:rsidDel="00000000" w:rsidP="00000000" w:rsidRDefault="00000000" w:rsidRPr="00000000" w14:paraId="0000003B">
      <w:pPr>
        <w:spacing w:after="240" w:before="240" w:lineRule="auto"/>
        <w:jc w:val="both"/>
        <w:rPr>
          <w:sz w:val="28"/>
          <w:szCs w:val="28"/>
        </w:rPr>
      </w:pPr>
      <w:r w:rsidDel="00000000" w:rsidR="00000000" w:rsidRPr="00000000">
        <w:rPr>
          <w:sz w:val="28"/>
          <w:szCs w:val="28"/>
          <w:rtl w:val="0"/>
        </w:rPr>
        <w:t xml:space="preserve">In Halakha — the body of Jewish religious law — marriage occupies a dual role: it is at once a contractual arrangement and a sacred act. Michael Satlow's sweeping historical study of Jewish marriage in antiquity shows that the institution took shape over centuries through a continuous negotiation among biblical commandments, rabbinic interpretation, and the pull of local custom. Traditionally, the process unfolds in two stages — Kiddushin (betrothal) and Nissuin (the nuptial ceremony) — though in modern practice these are folded into a single celebration held beneath the Chuppah, the ceremonial canopy.</w:t>
      </w:r>
    </w:p>
    <w:p w:rsidR="00000000" w:rsidDel="00000000" w:rsidP="00000000" w:rsidRDefault="00000000" w:rsidRPr="00000000" w14:paraId="0000003C">
      <w:pPr>
        <w:spacing w:after="240" w:before="240" w:lineRule="auto"/>
        <w:jc w:val="both"/>
        <w:rPr>
          <w:sz w:val="28"/>
          <w:szCs w:val="28"/>
        </w:rPr>
      </w:pPr>
      <w:r w:rsidDel="00000000" w:rsidR="00000000" w:rsidRPr="00000000">
        <w:rPr>
          <w:sz w:val="28"/>
          <w:szCs w:val="28"/>
          <w:rtl w:val="0"/>
        </w:rPr>
        <w:t xml:space="preserve">At the legal heart of the Jewish marriage is the Ketubah, a written contract typically drawn up in Aramaic, which carries binding legal force. It sets out the husband's obligations to his wife — covering her food, clothing, conjugal rights, and financial security in the event of divorce or his death. Louis Epstein's foundational work traces the Ketubah's lineage from the biblical Mohar, or bride-price, to its reinvention by the rabbis as a deferred payment designed to shield wives from the threat of arbitrary divorce. The Talmudic tractate Kiddushin identifies three valid modes of betrothal: the transfer of money or an object of value such as a ring, the presentation of a written document, or sexual intercourse.</w:t>
      </w:r>
    </w:p>
    <w:p w:rsidR="00000000" w:rsidDel="00000000" w:rsidP="00000000" w:rsidRDefault="00000000" w:rsidRPr="00000000" w14:paraId="0000003D">
      <w:pPr>
        <w:spacing w:after="240" w:before="240" w:lineRule="auto"/>
        <w:jc w:val="both"/>
        <w:rPr>
          <w:sz w:val="28"/>
          <w:szCs w:val="28"/>
        </w:rPr>
      </w:pPr>
      <w:r w:rsidDel="00000000" w:rsidR="00000000" w:rsidRPr="00000000">
        <w:rPr>
          <w:sz w:val="28"/>
          <w:szCs w:val="28"/>
          <w:rtl w:val="0"/>
        </w:rPr>
        <w:t xml:space="preserve">Rachel Biale's feminist reading of Jewish law observes that while the Kiddushin ceremony is formally structured around the man "acquiring" the woman, the Ketubah acts as a counterweight — placing concrete obligations on the husband and securing the wife's economic standing. Judith Wegner's study of women in the Mishnah probes this tension further, revealing the uncomfortable duality in a betrothed woman's legal status: treated in some respects as property with regard to her sexuality, yet recognized as an autonomous individual where her economic rights are concerned.</w:t>
      </w:r>
    </w:p>
    <w:p w:rsidR="00000000" w:rsidDel="00000000" w:rsidP="00000000" w:rsidRDefault="00000000" w:rsidRPr="00000000" w14:paraId="0000003E">
      <w:pPr>
        <w:spacing w:after="120" w:line="360" w:lineRule="auto"/>
        <w:jc w:val="both"/>
        <w:rPr>
          <w:sz w:val="28"/>
          <w:szCs w:val="28"/>
        </w:rPr>
      </w:pPr>
      <w:r w:rsidDel="00000000" w:rsidR="00000000" w:rsidRPr="00000000">
        <w:rPr>
          <w:rtl w:val="0"/>
        </w:rPr>
      </w:r>
    </w:p>
    <w:p w:rsidR="00000000" w:rsidDel="00000000" w:rsidP="00000000" w:rsidRDefault="00000000" w:rsidRPr="00000000" w14:paraId="0000003F">
      <w:pPr>
        <w:pStyle w:val="Heading3"/>
        <w:spacing w:after="120" w:lineRule="auto"/>
        <w:jc w:val="both"/>
        <w:rPr>
          <w:color w:val="000000"/>
        </w:rPr>
      </w:pPr>
      <w:bookmarkStart w:colFirst="0" w:colLast="0" w:name="_heading=h.m8qxorbkwauu" w:id="2"/>
      <w:bookmarkEnd w:id="2"/>
      <w:r w:rsidDel="00000000" w:rsidR="00000000" w:rsidRPr="00000000">
        <w:rPr>
          <w:color w:val="000000"/>
          <w:rtl w:val="0"/>
        </w:rPr>
        <w:t xml:space="preserve">5.1.2 Marriage in Christianity</w:t>
      </w:r>
    </w:p>
    <w:p w:rsidR="00000000" w:rsidDel="00000000" w:rsidP="00000000" w:rsidRDefault="00000000" w:rsidRPr="00000000" w14:paraId="00000040">
      <w:pPr>
        <w:spacing w:after="240" w:before="240" w:lineRule="auto"/>
        <w:jc w:val="both"/>
        <w:rPr>
          <w:sz w:val="28"/>
          <w:szCs w:val="28"/>
        </w:rPr>
      </w:pPr>
      <w:r w:rsidDel="00000000" w:rsidR="00000000" w:rsidRPr="00000000">
        <w:rPr>
          <w:sz w:val="28"/>
          <w:szCs w:val="28"/>
          <w:rtl w:val="0"/>
        </w:rPr>
        <w:t xml:space="preserve">Christian theology holds marriage to be a divinely instituted union, one whose theological weight was considerably deepened by the Apostle Paul's portrayal of matrimony as a reflection of the bond between Christ and the Church — a relationship he described as a profound mystery, or mysterion. Within Roman Catholic teaching, marriage ranks among the seven sacraments, and Joseph Martos charts how this sacramental understanding did not emerge fully formed but developed gradually across the first millennium, arriving at formal doctrinal definition only in the twelfth and thirteenth centuries. Philip Reynolds's authoritative study shows that the Christianization of marriage was far from a straightforward process — it unfolded across the patristic and early medieval periods as the practices of Roman civil marriage were slowly reshaped and infused with Christian theological significance.</w:t>
      </w:r>
    </w:p>
    <w:p w:rsidR="00000000" w:rsidDel="00000000" w:rsidP="00000000" w:rsidRDefault="00000000" w:rsidRPr="00000000" w14:paraId="00000041">
      <w:pPr>
        <w:spacing w:after="240" w:before="240" w:lineRule="auto"/>
        <w:jc w:val="both"/>
        <w:rPr>
          <w:sz w:val="28"/>
          <w:szCs w:val="28"/>
        </w:rPr>
      </w:pPr>
      <w:r w:rsidDel="00000000" w:rsidR="00000000" w:rsidRPr="00000000">
        <w:rPr>
          <w:sz w:val="28"/>
          <w:szCs w:val="28"/>
          <w:rtl w:val="0"/>
        </w:rPr>
        <w:t xml:space="preserve">Catholic Canon Law lays down precise conditions for a marriage to be considered valid: the parties must be free from legal impediments, consent must be freely exchanged, the canonical form must be observed, and both must intend to enter a union that is permanent, exclusive, and open to the possibility of children. John Witte Jr. identifies five distinct models of marriage that took shape within the Western Christian tradition — the Catholic sacramental model, the Lutheran social model, the Calvinist covenantal model, the Anglican commonwealth model, and the Enlightenment contractarian model — each reflecting a different theological and political inheritance. Protestant traditions, while affirming the sacred dignity of marriage, generally stop short of classifying it as a sacrament in the strict doctrinal sense. Eastern Orthodox Christianity takes yet another path, permitting remarriage in certain pastoral situations through the principle of oikonomia, a form of compassionate accommodation that softens the strictness of the law in recognition of human frailty.</w:t>
      </w:r>
    </w:p>
    <w:p w:rsidR="00000000" w:rsidDel="00000000" w:rsidP="00000000" w:rsidRDefault="00000000" w:rsidRPr="00000000" w14:paraId="00000042">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43">
      <w:pPr>
        <w:pStyle w:val="Heading3"/>
        <w:spacing w:after="120" w:lineRule="auto"/>
        <w:jc w:val="both"/>
        <w:rPr>
          <w:color w:val="000000"/>
        </w:rPr>
      </w:pPr>
      <w:bookmarkStart w:colFirst="0" w:colLast="0" w:name="_heading=h.bggczdoyzo7u" w:id="3"/>
      <w:bookmarkEnd w:id="3"/>
      <w:r w:rsidDel="00000000" w:rsidR="00000000" w:rsidRPr="00000000">
        <w:rPr>
          <w:color w:val="000000"/>
          <w:rtl w:val="0"/>
        </w:rPr>
        <w:t xml:space="preserve">5.1.3 Marriage in Islam</w:t>
      </w:r>
    </w:p>
    <w:p w:rsidR="00000000" w:rsidDel="00000000" w:rsidP="00000000" w:rsidRDefault="00000000" w:rsidRPr="00000000" w14:paraId="00000044">
      <w:pPr>
        <w:spacing w:after="240" w:before="240" w:lineRule="auto"/>
        <w:jc w:val="both"/>
        <w:rPr>
          <w:sz w:val="28"/>
          <w:szCs w:val="28"/>
        </w:rPr>
      </w:pPr>
      <w:r w:rsidDel="00000000" w:rsidR="00000000" w:rsidRPr="00000000">
        <w:rPr>
          <w:sz w:val="28"/>
          <w:szCs w:val="28"/>
          <w:rtl w:val="0"/>
        </w:rPr>
        <w:t xml:space="preserve">Islamic law approaches marriage — known as Nikah — as a civil contract that simultaneously carries profound spiritual weight. The Quran directs husbands to present the Mahr, or dower, to their brides as a wholehearted gift, a gesture that functions both as an expression of respect and as a tangible measure of financial protection for the wife. In Wael Hallaq's authoritative account of Islamic law, the Nikah contract is shown to rest on several indispensable elements: the Ijab (offer) and Qabul (acceptance) declared before witnesses, the stipulation of the Mahr, and the genuine consent of both parties. El-Alami's focused study of the Islamic marriage contract reveals considerable variation across the four Sunni schools of jurisprudence, particularly on the question of the Wali, or guardian. The Hanafi school takes the most expansive view, allowing an adult woman to enter into her own marriage contract, while the Shafi'i, Maliki, and Hanbali schools each require the involvement of a male guardian.</w:t>
      </w:r>
    </w:p>
    <w:p w:rsidR="00000000" w:rsidDel="00000000" w:rsidP="00000000" w:rsidRDefault="00000000" w:rsidRPr="00000000" w14:paraId="00000045">
      <w:pPr>
        <w:spacing w:after="240" w:before="240" w:lineRule="auto"/>
        <w:jc w:val="both"/>
        <w:rPr>
          <w:sz w:val="28"/>
          <w:szCs w:val="28"/>
        </w:rPr>
      </w:pPr>
      <w:r w:rsidDel="00000000" w:rsidR="00000000" w:rsidRPr="00000000">
        <w:rPr>
          <w:sz w:val="28"/>
          <w:szCs w:val="28"/>
          <w:rtl w:val="0"/>
        </w:rPr>
        <w:t xml:space="preserve">Jamal Nasir's comprehensive treatment of Islamic personal status law draws a further distinction between two forms of Mahr: the prompt Mahr, known as Mu'ajjal, which is paid at the time of the marriage, and the deferred Mahr, or Mu'wajjal, which becomes due upon divorce or the husband's death. Kecia Ali's research into early Islamic jurisprudence illuminates how jurists of the eighth to tenth centuries made sense of the Nikah contract by drawing on analogies from commercial law, even as they were careful to affirm the unique spiritual character that sets marriage apart from ordinary transactions. The Prophet Muhammad's declaration that no marriage is valid without witnesses underscores a dimension that Esposito and DeLong-Bas highlight as definitive: the public nature of Islamic marriage, which lifts it above the level of a private arrangement and anchors it firmly within the life of the community.</w:t>
      </w:r>
      <w:r w:rsidDel="00000000" w:rsidR="00000000" w:rsidRPr="00000000">
        <w:rPr>
          <w:rtl w:val="0"/>
        </w:rPr>
      </w:r>
    </w:p>
    <w:p w:rsidR="00000000" w:rsidDel="00000000" w:rsidP="00000000" w:rsidRDefault="00000000" w:rsidRPr="00000000" w14:paraId="00000046">
      <w:pPr>
        <w:pStyle w:val="Heading2"/>
        <w:spacing w:line="360" w:lineRule="auto"/>
        <w:rPr>
          <w:sz w:val="30"/>
          <w:szCs w:val="30"/>
        </w:rPr>
      </w:pPr>
      <w:r w:rsidDel="00000000" w:rsidR="00000000" w:rsidRPr="00000000">
        <w:rPr>
          <w:rFonts w:ascii="Times New Roman" w:cs="Times New Roman" w:eastAsia="Times New Roman" w:hAnsi="Times New Roman"/>
          <w:b w:val="1"/>
          <w:bCs w:val="1"/>
          <w:sz w:val="30"/>
          <w:szCs w:val="30"/>
          <w:rtl w:val="0"/>
        </w:rPr>
        <w:t xml:space="preserve">5.2 Divorce Laws and Procedures</w:t>
      </w:r>
      <w:r w:rsidDel="00000000" w:rsidR="00000000" w:rsidRPr="00000000">
        <w:rPr>
          <w:rtl w:val="0"/>
        </w:rPr>
      </w:r>
    </w:p>
    <w:p w:rsidR="00000000" w:rsidDel="00000000" w:rsidP="00000000" w:rsidRDefault="00000000" w:rsidRPr="00000000" w14:paraId="00000047">
      <w:pPr>
        <w:pStyle w:val="Heading3"/>
        <w:spacing w:after="120" w:lineRule="auto"/>
        <w:jc w:val="both"/>
        <w:rPr>
          <w:color w:val="000000"/>
        </w:rPr>
      </w:pPr>
      <w:bookmarkStart w:colFirst="0" w:colLast="0" w:name="_heading=h.4tmifaani935" w:id="4"/>
      <w:bookmarkEnd w:id="4"/>
      <w:r w:rsidDel="00000000" w:rsidR="00000000" w:rsidRPr="00000000">
        <w:rPr>
          <w:color w:val="000000"/>
          <w:rtl w:val="0"/>
        </w:rPr>
        <w:t xml:space="preserve">5.2.1 Divorce in Judaism</w:t>
      </w:r>
    </w:p>
    <w:p w:rsidR="00000000" w:rsidDel="00000000" w:rsidP="00000000" w:rsidRDefault="00000000" w:rsidRPr="00000000" w14:paraId="00000048">
      <w:pPr>
        <w:spacing w:after="240" w:before="240" w:lineRule="auto"/>
        <w:jc w:val="both"/>
        <w:rPr>
          <w:sz w:val="28"/>
          <w:szCs w:val="28"/>
        </w:rPr>
      </w:pPr>
      <w:r w:rsidDel="00000000" w:rsidR="00000000" w:rsidRPr="00000000">
        <w:rPr>
          <w:sz w:val="28"/>
          <w:szCs w:val="28"/>
          <w:rtl w:val="0"/>
        </w:rPr>
        <w:t xml:space="preserve">Judaism recognizes divorce as a legitimate, if deeply regrettable, recourse when a marriage has broken down beyond repair. Its scriptural foundation lies in Deuteronomy, where a husband is described as writing a bill of divorcement should he discover some "indecency" — ervat davar — in his wife. This ambiguous phrase became the flashpoint for one of the Talmud's most celebrated disputes: the school of Shammai read it narrowly, confining grounds for divorce to sexual immorality, while the school of Hillel interpreted it broadly enough to permit divorce for almost any reason. That debate is preserved in Mishnah Gittin 9:10 and has reverberated through Jewish legal thought ever since. In rabbinic practice, the biblical bill of divorcement gave way to the Get — a formal written document that must be composed specifically for the husband and wife named within it and processed through a Beth Din, or rabbinical court.</w:t>
      </w:r>
    </w:p>
    <w:p w:rsidR="00000000" w:rsidDel="00000000" w:rsidP="00000000" w:rsidRDefault="00000000" w:rsidRPr="00000000" w14:paraId="00000049">
      <w:pPr>
        <w:spacing w:after="240" w:before="240" w:lineRule="auto"/>
        <w:jc w:val="both"/>
        <w:rPr>
          <w:sz w:val="28"/>
          <w:szCs w:val="28"/>
        </w:rPr>
      </w:pPr>
      <w:r w:rsidDel="00000000" w:rsidR="00000000" w:rsidRPr="00000000">
        <w:rPr>
          <w:sz w:val="28"/>
          <w:szCs w:val="28"/>
          <w:rtl w:val="0"/>
        </w:rPr>
        <w:t xml:space="preserve">One of the most pressing issues in contemporary Jewish divorce law is the plight of the Agunah, the so-called "chained woman," who finds herself unable to remarry because her husband refuses to issue a Get or has vanished entirely. Michael Broyde's analysis makes the case that the modern Agunah problem — particularly as it manifests in the American context — is in important respects different from its Talmudic counterpart, and he surveys the use of prenuptial agreements as one avenue toward a solution. Irving Breitowitz's wide-ranging study takes up the friction between Jewish religious law and the American legal system, exploring the extent to which civil courts can engage with religious divorce requirements and grappling with the tort theories and First Amendment complications that arise when they attempt to do so.</w:t>
      </w:r>
    </w:p>
    <w:p w:rsidR="00000000" w:rsidDel="00000000" w:rsidP="00000000" w:rsidRDefault="00000000" w:rsidRPr="00000000" w14:paraId="0000004A">
      <w:pPr>
        <w:spacing w:after="120" w:line="360" w:lineRule="auto"/>
        <w:jc w:val="both"/>
        <w:rPr>
          <w:sz w:val="28"/>
          <w:szCs w:val="28"/>
        </w:rPr>
      </w:pPr>
      <w:r w:rsidDel="00000000" w:rsidR="00000000" w:rsidRPr="00000000">
        <w:rPr>
          <w:rtl w:val="0"/>
        </w:rPr>
      </w:r>
    </w:p>
    <w:p w:rsidR="00000000" w:rsidDel="00000000" w:rsidP="00000000" w:rsidRDefault="00000000" w:rsidRPr="00000000" w14:paraId="0000004B">
      <w:pPr>
        <w:pStyle w:val="Heading3"/>
        <w:spacing w:after="120" w:lineRule="auto"/>
        <w:jc w:val="both"/>
        <w:rPr>
          <w:color w:val="000000"/>
        </w:rPr>
      </w:pPr>
      <w:bookmarkStart w:colFirst="0" w:colLast="0" w:name="_heading=h.fsfkoc2ensl4" w:id="5"/>
      <w:bookmarkEnd w:id="5"/>
      <w:r w:rsidDel="00000000" w:rsidR="00000000" w:rsidRPr="00000000">
        <w:rPr>
          <w:color w:val="000000"/>
          <w:rtl w:val="0"/>
        </w:rPr>
        <w:t xml:space="preserve">5.2.2 Divorce in Christianity</w:t>
      </w:r>
    </w:p>
    <w:p w:rsidR="00000000" w:rsidDel="00000000" w:rsidP="00000000" w:rsidRDefault="00000000" w:rsidRPr="00000000" w14:paraId="0000004C">
      <w:pPr>
        <w:spacing w:after="240" w:before="240" w:lineRule="auto"/>
        <w:jc w:val="both"/>
        <w:rPr>
          <w:sz w:val="28"/>
          <w:szCs w:val="28"/>
        </w:rPr>
      </w:pPr>
      <w:r w:rsidDel="00000000" w:rsidR="00000000" w:rsidRPr="00000000">
        <w:rPr>
          <w:sz w:val="28"/>
          <w:szCs w:val="28"/>
          <w:rtl w:val="0"/>
        </w:rPr>
        <w:t xml:space="preserve">Among the Semitic religions, Christianity — and Catholicism in particular — takes the firmest stand against divorce. The theological cornerstone of this position is Jesus's declaration that "what God has joined together, let no one separate," a statement that gave rise to the doctrine of marital indissolubility. The Catholic Church does not recognize divorce as such; instead, it provides for annulment — a formal declaration that, owing to defects in consent, canonical form, or the capacity of one or both parties, a valid marriage never actually came into existence.</w:t>
      </w:r>
    </w:p>
    <w:p w:rsidR="00000000" w:rsidDel="00000000" w:rsidP="00000000" w:rsidRDefault="00000000" w:rsidRPr="00000000" w14:paraId="0000004D">
      <w:pPr>
        <w:spacing w:after="240" w:before="240" w:lineRule="auto"/>
        <w:jc w:val="both"/>
        <w:rPr>
          <w:sz w:val="28"/>
          <w:szCs w:val="28"/>
        </w:rPr>
      </w:pPr>
      <w:r w:rsidDel="00000000" w:rsidR="00000000" w:rsidRPr="00000000">
        <w:rPr>
          <w:sz w:val="28"/>
          <w:szCs w:val="28"/>
          <w:rtl w:val="0"/>
        </w:rPr>
        <w:t xml:space="preserve">The so-called Matthean exception clause in Matthew 19:9, which seems to open the door to divorce in cases of porneia — commonly rendered as sexual immorality — has sparked considerable scholarly debate. David Instone-Brewer advances the argument that both Jesus and Paul were condemning divorce without legitimate cause, not divorce as such, and that the Old Testament grounds of neglect and abuse remained valid — a reading that sits uncomfortably with the Catholic doctrine of absolute indissolubility. Protestant Christianity has generally moved in a more permissive direction, drawing in part on Paul's concession that a believing spouse is not bound when an unbelieving partner chooses to leave, a principle known as the Pauline privilege. The Eastern Orthodox Church charts a course between these positions through the concept of oikonomia, or pastoral leniency. John Meyendorff explains that Orthodoxy approaches divorce as the "lesser evil," permitting remarriage up to three times, though second and third unions are marked not by celebration but by a penitential liturgy that acknowledges the gravity of what has come before. Kevin Schembri's specialized study follows the development of oikonomia from its roots in the early Church Fathers through to its place in contemporary Orthodox canon law.</w:t>
      </w:r>
    </w:p>
    <w:p w:rsidR="00000000" w:rsidDel="00000000" w:rsidP="00000000" w:rsidRDefault="00000000" w:rsidRPr="00000000" w14:paraId="0000004E">
      <w:pPr>
        <w:spacing w:after="120" w:line="360" w:lineRule="auto"/>
        <w:jc w:val="both"/>
        <w:rPr>
          <w:sz w:val="28"/>
          <w:szCs w:val="28"/>
        </w:rPr>
      </w:pPr>
      <w:r w:rsidDel="00000000" w:rsidR="00000000" w:rsidRPr="00000000">
        <w:rPr>
          <w:rtl w:val="0"/>
        </w:rPr>
      </w:r>
    </w:p>
    <w:p w:rsidR="00000000" w:rsidDel="00000000" w:rsidP="00000000" w:rsidRDefault="00000000" w:rsidRPr="00000000" w14:paraId="0000004F">
      <w:pPr>
        <w:pStyle w:val="Heading3"/>
        <w:spacing w:after="120" w:lineRule="auto"/>
        <w:jc w:val="both"/>
        <w:rPr>
          <w:color w:val="000000"/>
        </w:rPr>
      </w:pPr>
      <w:bookmarkStart w:colFirst="0" w:colLast="0" w:name="_heading=h.g2wmt9omij2b" w:id="6"/>
      <w:bookmarkEnd w:id="6"/>
      <w:r w:rsidDel="00000000" w:rsidR="00000000" w:rsidRPr="00000000">
        <w:rPr>
          <w:color w:val="000000"/>
          <w:rtl w:val="0"/>
        </w:rPr>
        <w:t xml:space="preserve">5.2.3 Divorce in Islam</w:t>
      </w:r>
    </w:p>
    <w:p w:rsidR="00000000" w:rsidDel="00000000" w:rsidP="00000000" w:rsidRDefault="00000000" w:rsidRPr="00000000" w14:paraId="00000050">
      <w:pPr>
        <w:spacing w:after="240" w:before="240" w:lineRule="auto"/>
        <w:jc w:val="both"/>
        <w:rPr>
          <w:sz w:val="28"/>
          <w:szCs w:val="28"/>
        </w:rPr>
      </w:pPr>
      <w:r w:rsidDel="00000000" w:rsidR="00000000" w:rsidRPr="00000000">
        <w:rPr>
          <w:sz w:val="28"/>
          <w:szCs w:val="28"/>
          <w:rtl w:val="0"/>
        </w:rPr>
        <w:t xml:space="preserve">Of the three traditions under examination, Islamic law offers the most elaborate and systematically developed framework for marital dissolution. The Quran addresses divorce directly across several passages, establishing that a husband may pronounce divorce twice, after which the couple must choose between reconciliation on fair terms or a clean and dignified separation. Islamic jurisprudence recognizes a range of distinct mechanisms for ending a marriage: Talaq, the husband's unilateral repudiation, which may take either the revocable form of Talaq al-Sunna or the irrevocable form of Talaq al-Bid'ah; Khula, initiated by the wife and typically requiring her to return the Mahr; Mubarat, a dissolution agreed upon mutually by both spouses; Faskh, a judicially granted annulment on defined grounds such as cruelty, impotence, or failure to provide maintenance; and Li'an, an oath-based procedure invoked in cases of alleged adultery. Running through all of these is the Iddah — a mandatory waiting period whose purposes include establishing paternity and preserving the possibility of reconciliation.</w:t>
      </w:r>
    </w:p>
    <w:p w:rsidR="00000000" w:rsidDel="00000000" w:rsidP="00000000" w:rsidRDefault="00000000" w:rsidRPr="00000000" w14:paraId="00000051">
      <w:pPr>
        <w:spacing w:after="240" w:before="240" w:lineRule="auto"/>
        <w:jc w:val="both"/>
        <w:rPr>
          <w:sz w:val="28"/>
          <w:szCs w:val="28"/>
        </w:rPr>
      </w:pPr>
      <w:r w:rsidDel="00000000" w:rsidR="00000000" w:rsidRPr="00000000">
        <w:rPr>
          <w:sz w:val="28"/>
          <w:szCs w:val="28"/>
          <w:rtl w:val="0"/>
        </w:rPr>
        <w:t xml:space="preserve">Judith Tucker's gender-conscious analysis of Islamic legal practice challenges the widespread assumption that women in Muslim societies had little recourse within religious courts, demonstrating that wives historically made active use of Khula and Faskh to exit marriages that had become untenable. In the modern era, many Muslim-majority states have moved to regulate the exercise of Talaq through legislative reform, introducing requirements for judicial oversight and formal registration. An-Na'im's wide-ranging global survey documents how countries across the spectrum — from Tunisia to Indonesia — have curtailed the practice of triple Talaq, mandated court-based divorce proceedings, and broadened the grounds on which women may seek dissolution. Ziba Mir-Hosseini's comparative study of divorce proceedings in Iran and Morocco brings the picture down to ground level, exposing the often significant gap between what the law provides on paper and how it operates in practice, and showing the ingenuity with which women navigate the space between Sharia principles and state-imposed legal procedures.</w:t>
      </w:r>
    </w:p>
    <w:p w:rsidR="00000000" w:rsidDel="00000000" w:rsidP="00000000" w:rsidRDefault="00000000" w:rsidRPr="00000000" w14:paraId="00000052">
      <w:pPr>
        <w:spacing w:after="120" w:line="360" w:lineRule="auto"/>
        <w:jc w:val="both"/>
        <w:rPr>
          <w:sz w:val="28"/>
          <w:szCs w:val="28"/>
        </w:rPr>
      </w:pPr>
      <w:r w:rsidDel="00000000" w:rsidR="00000000" w:rsidRPr="00000000">
        <w:rPr>
          <w:rtl w:val="0"/>
        </w:rPr>
      </w:r>
    </w:p>
    <w:p w:rsidR="00000000" w:rsidDel="00000000" w:rsidP="00000000" w:rsidRDefault="00000000" w:rsidRPr="00000000" w14:paraId="00000053">
      <w:pPr>
        <w:pStyle w:val="Heading2"/>
        <w:spacing w:line="360" w:lineRule="auto"/>
        <w:rPr>
          <w:sz w:val="30"/>
          <w:szCs w:val="30"/>
        </w:rPr>
      </w:pPr>
      <w:r w:rsidDel="00000000" w:rsidR="00000000" w:rsidRPr="00000000">
        <w:rPr>
          <w:rFonts w:ascii="Times New Roman" w:cs="Times New Roman" w:eastAsia="Times New Roman" w:hAnsi="Times New Roman"/>
          <w:b w:val="1"/>
          <w:bCs w:val="1"/>
          <w:sz w:val="30"/>
          <w:szCs w:val="30"/>
          <w:rtl w:val="0"/>
        </w:rPr>
        <w:t xml:space="preserve">5.3 Polygamy and Monogamy</w:t>
      </w:r>
      <w:r w:rsidDel="00000000" w:rsidR="00000000" w:rsidRPr="00000000">
        <w:rPr>
          <w:rtl w:val="0"/>
        </w:rPr>
      </w:r>
    </w:p>
    <w:p w:rsidR="00000000" w:rsidDel="00000000" w:rsidP="00000000" w:rsidRDefault="00000000" w:rsidRPr="00000000" w14:paraId="00000054">
      <w:pPr>
        <w:pStyle w:val="Heading3"/>
        <w:spacing w:after="120" w:lineRule="auto"/>
        <w:jc w:val="both"/>
        <w:rPr>
          <w:color w:val="000000"/>
        </w:rPr>
      </w:pPr>
      <w:bookmarkStart w:colFirst="0" w:colLast="0" w:name="_heading=h.4pwp847vttpz" w:id="7"/>
      <w:bookmarkEnd w:id="7"/>
      <w:r w:rsidDel="00000000" w:rsidR="00000000" w:rsidRPr="00000000">
        <w:rPr>
          <w:color w:val="000000"/>
          <w:rtl w:val="0"/>
        </w:rPr>
        <w:t xml:space="preserve">5.3.1 Polygamy in Judaism</w:t>
      </w:r>
    </w:p>
    <w:p w:rsidR="00000000" w:rsidDel="00000000" w:rsidP="00000000" w:rsidRDefault="00000000" w:rsidRPr="00000000" w14:paraId="00000055">
      <w:pPr>
        <w:spacing w:after="240" w:before="240" w:lineRule="auto"/>
        <w:jc w:val="both"/>
        <w:rPr>
          <w:sz w:val="28"/>
          <w:szCs w:val="28"/>
        </w:rPr>
      </w:pPr>
      <w:r w:rsidDel="00000000" w:rsidR="00000000" w:rsidRPr="00000000">
        <w:rPr>
          <w:sz w:val="28"/>
          <w:szCs w:val="28"/>
          <w:rtl w:val="0"/>
        </w:rPr>
        <w:t xml:space="preserve">The Hebrew Bible is rich with accounts of polygamous unions among its most prominent patriarchs and rulers. King Solomon is said to have had seven hundred wives and three hundred concubines, while Jacob took both Leah and Rachel as wives. Yet despite these deep scriptural roots, the direction of Jewish law has moved unmistakably toward monogamy. Around 1000 CE, Rabbi Gershom ben Judah of Mainz issued a landmark prohibition — known as the Cherem — banning polygamy, a ruling that came to be accepted as binding across Ashkenazi Jewish communities. Avraham Grossman's detailed historical study situates this decree within its social context: Jewish merchants from Germany who traveled to Muslim lands were sometimes taking second wives there, and the ban was in large part designed to protect women from being left behind and exposed to economic hardship. Ze'ev Falk's work on medieval Jewish matrimonial law traces the uneven reception of this prohibition across different communities. Ashkenazi Jews embraced it without exception, but among Sephardic and Mizrahi Jews living in Muslim-majority lands, polygamous practice persisted in some regions well into the twentieth century — until Israeli law stepped in and formally extended the ban to all Jewish communities, regardless of their geographic or cultural origins.</w:t>
      </w:r>
    </w:p>
    <w:p w:rsidR="00000000" w:rsidDel="00000000" w:rsidP="00000000" w:rsidRDefault="00000000" w:rsidRPr="00000000" w14:paraId="00000056">
      <w:pPr>
        <w:spacing w:after="120" w:line="360" w:lineRule="auto"/>
        <w:jc w:val="both"/>
        <w:rPr>
          <w:sz w:val="28"/>
          <w:szCs w:val="28"/>
        </w:rPr>
      </w:pPr>
      <w:r w:rsidDel="00000000" w:rsidR="00000000" w:rsidRPr="00000000">
        <w:rPr>
          <w:rtl w:val="0"/>
        </w:rPr>
      </w:r>
    </w:p>
    <w:p w:rsidR="00000000" w:rsidDel="00000000" w:rsidP="00000000" w:rsidRDefault="00000000" w:rsidRPr="00000000" w14:paraId="00000057">
      <w:pPr>
        <w:pStyle w:val="Heading3"/>
        <w:spacing w:after="120" w:lineRule="auto"/>
        <w:jc w:val="both"/>
        <w:rPr>
          <w:color w:val="000000"/>
        </w:rPr>
      </w:pPr>
      <w:bookmarkStart w:colFirst="0" w:colLast="0" w:name="_heading=h.d3hmlsalazvi" w:id="8"/>
      <w:bookmarkEnd w:id="8"/>
      <w:r w:rsidDel="00000000" w:rsidR="00000000" w:rsidRPr="00000000">
        <w:rPr>
          <w:color w:val="000000"/>
          <w:rtl w:val="0"/>
        </w:rPr>
        <w:t xml:space="preserve">5.3.2 Monogamy in Christianity</w:t>
      </w:r>
    </w:p>
    <w:p w:rsidR="00000000" w:rsidDel="00000000" w:rsidP="00000000" w:rsidRDefault="00000000" w:rsidRPr="00000000" w14:paraId="00000058">
      <w:pPr>
        <w:spacing w:after="120" w:line="360" w:lineRule="auto"/>
        <w:jc w:val="both"/>
        <w:rPr>
          <w:sz w:val="28"/>
          <w:szCs w:val="28"/>
        </w:rPr>
      </w:pPr>
      <w:r w:rsidDel="00000000" w:rsidR="00000000" w:rsidRPr="00000000">
        <w:rPr>
          <w:sz w:val="28"/>
          <w:szCs w:val="28"/>
          <w:rtl w:val="0"/>
        </w:rPr>
        <w:t xml:space="preserve">Christianity has championed monogamy as the only legitimate form of marriage from its earliest days. Paul's directive that a bishop should be the husband of one wife reflected a wider expectation of monogamous faithfulness that extended to all believers, not merely to church leaders. John Witte Jr.'s definitive historical study traces this commitment across 2,500 years of Western tradition, documenting how the patristic case for monogamy was built and sustained through the writings of Augustine, Chrysostom, and Tertullian. Augustine's influential treatise on the good of marriage identified three foundational goods — offspring, fidelity, and the sacramental bond — that together formed the theological architecture supporting permanent and exclusive union. The roots of this conviction run deep into scripture itself: the creation narrative of Genesis, the imagery of the one-flesh union, and the Christological analogy of Ephesians 5, in which the singular and irreplaceable relationship between Christ and the Church serves as the governing model for marriage between a man and a woman. What is perhaps most striking is how consistently this principle has held across Catholic, Protestant, and Orthodox expressions of the faith — making Christianity, of the three Semitic religions, the one that has most uniformly and without exception upheld monogamy as the exclusive marital ideal. </w:t>
      </w:r>
    </w:p>
    <w:p w:rsidR="00000000" w:rsidDel="00000000" w:rsidP="00000000" w:rsidRDefault="00000000" w:rsidRPr="00000000" w14:paraId="00000059">
      <w:pPr>
        <w:spacing w:after="120" w:line="360" w:lineRule="auto"/>
        <w:jc w:val="both"/>
        <w:rPr>
          <w:sz w:val="28"/>
          <w:szCs w:val="28"/>
        </w:rPr>
      </w:pPr>
      <w:r w:rsidDel="00000000" w:rsidR="00000000" w:rsidRPr="00000000">
        <w:rPr>
          <w:rtl w:val="0"/>
        </w:rPr>
      </w:r>
    </w:p>
    <w:p w:rsidR="00000000" w:rsidDel="00000000" w:rsidP="00000000" w:rsidRDefault="00000000" w:rsidRPr="00000000" w14:paraId="0000005A">
      <w:pPr>
        <w:pStyle w:val="Heading3"/>
        <w:spacing w:after="120" w:lineRule="auto"/>
        <w:jc w:val="both"/>
        <w:rPr>
          <w:color w:val="000000"/>
        </w:rPr>
      </w:pPr>
      <w:bookmarkStart w:colFirst="0" w:colLast="0" w:name="_heading=h.l158ca21th6z" w:id="9"/>
      <w:bookmarkEnd w:id="9"/>
      <w:r w:rsidDel="00000000" w:rsidR="00000000" w:rsidRPr="00000000">
        <w:rPr>
          <w:color w:val="000000"/>
          <w:rtl w:val="0"/>
        </w:rPr>
        <w:t xml:space="preserve">5.3.3 Polygamy in Islam</w:t>
      </w:r>
    </w:p>
    <w:p w:rsidR="00000000" w:rsidDel="00000000" w:rsidP="00000000" w:rsidRDefault="00000000" w:rsidRPr="00000000" w14:paraId="0000005B">
      <w:pPr>
        <w:spacing w:after="240" w:before="240" w:lineRule="auto"/>
        <w:jc w:val="both"/>
        <w:rPr>
          <w:sz w:val="28"/>
          <w:szCs w:val="28"/>
        </w:rPr>
      </w:pPr>
      <w:r w:rsidDel="00000000" w:rsidR="00000000" w:rsidRPr="00000000">
        <w:rPr>
          <w:sz w:val="28"/>
          <w:szCs w:val="28"/>
          <w:rtl w:val="0"/>
        </w:rPr>
        <w:t xml:space="preserve">Islam holds a distinctive position among the three traditions in that it permits polygamy, though only within tightly defined boundaries. The Quran allows a man to take up to four wives, but attaches a demanding condition: he must be capable of treating them all with complete fairness. If that standard cannot be met, he is to marry only one. The verse was revealed in the wake of the Battle of Uhud in 625 CE, a conflict that left many Muslim men dead and their widows and orphans in need of care and provision — a historical context that frames the permission as a pragmatic response to social need rather than an open endorsement. Adding further complexity, a separate Quranic verse concedes that perfect equity between wives is beyond human reach, a concession that many contemporary scholars read as effectively steering believers toward monogamy by setting a precondition that cannot realistically be fulfilled. Hammudah Abd al-Ati's thorough study from within the Islamic tradition reinforces this reading, characterizing polygamy not as an ideal to be pursued but as a tightly regulated concession granted under specific circumstances.</w:t>
      </w:r>
    </w:p>
    <w:p w:rsidR="00000000" w:rsidDel="00000000" w:rsidP="00000000" w:rsidRDefault="00000000" w:rsidRPr="00000000" w14:paraId="0000005C">
      <w:pPr>
        <w:spacing w:after="240" w:before="240" w:lineRule="auto"/>
        <w:jc w:val="both"/>
        <w:rPr>
          <w:sz w:val="28"/>
          <w:szCs w:val="28"/>
        </w:rPr>
      </w:pPr>
      <w:r w:rsidDel="00000000" w:rsidR="00000000" w:rsidRPr="00000000">
        <w:rPr>
          <w:sz w:val="28"/>
          <w:szCs w:val="28"/>
          <w:rtl w:val="0"/>
        </w:rPr>
        <w:t xml:space="preserve">How Muslim-majority states have handled polygamy in their modern legal codes varies considerably. Tunisia took the most decisive step, abolishing polygamy altogether in its 1956 Code of Personal Status on the grounds that the Quranic justice condition makes it legally impermissible. Turkey eliminated the practice in 1926 when it adopted the Swiss Civil Code. Pakistan's Muslim Family Laws Ordinance of 1961 introduced a requirement for approval from an Arbitration Council before a man may take an additional wife. Egypt's legal amendments give a first wife the right to petition for divorce if her husband remarries. Morocco's 2004 Mudawwana made judicial authorization a prerequisite. Taken together, these developments reflect a broad regional trend toward restriction — one that scholars such as Ziba Mir-Hosseini and her collaborators have sought to ground in egalitarian rereadings of Islamic marriage law that move decisively beyond the classical permission for polygamy.</w:t>
      </w:r>
    </w:p>
    <w:p w:rsidR="00000000" w:rsidDel="00000000" w:rsidP="00000000" w:rsidRDefault="00000000" w:rsidRPr="00000000" w14:paraId="0000005D">
      <w:pPr>
        <w:spacing w:after="120" w:line="360" w:lineRule="auto"/>
        <w:jc w:val="both"/>
        <w:rPr>
          <w:sz w:val="28"/>
          <w:szCs w:val="28"/>
        </w:rPr>
      </w:pPr>
      <w:r w:rsidDel="00000000" w:rsidR="00000000" w:rsidRPr="00000000">
        <w:rPr>
          <w:rtl w:val="0"/>
        </w:rPr>
      </w:r>
    </w:p>
    <w:p w:rsidR="00000000" w:rsidDel="00000000" w:rsidP="00000000" w:rsidRDefault="00000000" w:rsidRPr="00000000" w14:paraId="0000005E">
      <w:pPr>
        <w:pStyle w:val="Heading2"/>
        <w:spacing w:line="360" w:lineRule="auto"/>
        <w:rPr>
          <w:sz w:val="30"/>
          <w:szCs w:val="30"/>
        </w:rPr>
      </w:pPr>
      <w:r w:rsidDel="00000000" w:rsidR="00000000" w:rsidRPr="00000000">
        <w:rPr>
          <w:rFonts w:ascii="Times New Roman" w:cs="Times New Roman" w:eastAsia="Times New Roman" w:hAnsi="Times New Roman"/>
          <w:b w:val="1"/>
          <w:bCs w:val="1"/>
          <w:sz w:val="30"/>
          <w:szCs w:val="30"/>
          <w:rtl w:val="0"/>
        </w:rPr>
        <w:t xml:space="preserve">5.4 Comparative Analysis</w:t>
      </w:r>
      <w:r w:rsidDel="00000000" w:rsidR="00000000" w:rsidRPr="00000000">
        <w:rPr>
          <w:rtl w:val="0"/>
        </w:rPr>
      </w:r>
    </w:p>
    <w:p w:rsidR="00000000" w:rsidDel="00000000" w:rsidP="00000000" w:rsidRDefault="00000000" w:rsidRPr="00000000" w14:paraId="0000005F">
      <w:pPr>
        <w:spacing w:after="240" w:before="240" w:lineRule="auto"/>
        <w:jc w:val="both"/>
        <w:rPr>
          <w:sz w:val="28"/>
          <w:szCs w:val="28"/>
        </w:rPr>
      </w:pPr>
      <w:r w:rsidDel="00000000" w:rsidR="00000000" w:rsidRPr="00000000">
        <w:rPr>
          <w:sz w:val="28"/>
          <w:szCs w:val="28"/>
          <w:rtl w:val="0"/>
        </w:rPr>
        <w:t xml:space="preserve">A side-by-side examination of the three traditions uncovers both remarkable common ground and substantial points of departure. At the broadest level, Judaism, Christianity, and Islam all affirm the sanctity of marriage and treat it as the proper setting for sexual intimacy and the raising of children — a shared conviction documented in the wide-ranging anthology edited by Browning, Green, and Witte. Where the traditions begin to diverge is in how they conceptualize the marital bond itself. Judaism and Islam approach marriage primarily as a contract, one that carries concrete financial obligations — the Ketubah in the Jewish case, the Mahr in the Islamic — while Christianity places its emphasis on the sacramental and covenantal character of the union. Jacob Neusner and Tamara Sonn's pioneering comparative work on Judaism and Islam brings out the depth of the structural parallels between the two: both employ a contractual model, both build in financial protections for the wife, and both provide orderly mechanisms through which a marriage may be dissolved.</w:t>
      </w:r>
    </w:p>
    <w:p w:rsidR="00000000" w:rsidDel="00000000" w:rsidP="00000000" w:rsidRDefault="00000000" w:rsidRPr="00000000" w14:paraId="00000060">
      <w:pPr>
        <w:spacing w:after="240" w:before="240" w:lineRule="auto"/>
        <w:jc w:val="both"/>
        <w:rPr>
          <w:sz w:val="28"/>
          <w:szCs w:val="28"/>
        </w:rPr>
      </w:pPr>
      <w:r w:rsidDel="00000000" w:rsidR="00000000" w:rsidRPr="00000000">
        <w:rPr>
          <w:sz w:val="28"/>
          <w:szCs w:val="28"/>
          <w:rtl w:val="0"/>
        </w:rPr>
        <w:t xml:space="preserve">On the question of divorce, Judaism and Islam again find themselves on similar ground, each offering legally defined pathways for dissolution in recognition that some marriages cannot be saved. Catholic Christianity has historically stood apart, insisting on the indissolubility of the marital bond — though as Instone-Brewer has argued, this absolute stance may reflect a narrowing of the biblical witness rather than its faithful continuation. The story of polygamy traces a similarly varied arc across the three faiths. All three emerged from a patriarchal world in which plural marriage was unremarkable, yet each has moved toward monogamy by a different route: Judaism through a binding rabbinical decree, Christianity through doctrinal commitment that dates to its earliest centuries, and Islam through a conditional Quranic permission that modern legislation has progressively curtailed. Underlying these differences are not simply competing interpretations of scripture but the distinct institutional structures — rabbinical courts, ecclesiastical hierarchies, and the schools of Islamic jurisprudence — through which each tradition has worked out and applied its vision of what marriage should be.</w:t>
      </w:r>
      <w:r w:rsidDel="00000000" w:rsidR="00000000" w:rsidRPr="00000000">
        <w:rPr>
          <w:rtl w:val="0"/>
        </w:rPr>
      </w:r>
    </w:p>
    <w:p w:rsidR="00000000" w:rsidDel="00000000" w:rsidP="00000000" w:rsidRDefault="00000000" w:rsidRPr="00000000" w14:paraId="00000061">
      <w:pPr>
        <w:pStyle w:val="Heading1"/>
        <w:spacing w:line="360" w:lineRule="auto"/>
        <w:rPr>
          <w:sz w:val="32"/>
          <w:szCs w:val="32"/>
        </w:rPr>
      </w:pPr>
      <w:r w:rsidDel="00000000" w:rsidR="00000000" w:rsidRPr="00000000">
        <w:rPr>
          <w:rFonts w:ascii="Times New Roman" w:cs="Times New Roman" w:eastAsia="Times New Roman" w:hAnsi="Times New Roman"/>
          <w:b w:val="1"/>
          <w:bCs w:val="1"/>
          <w:sz w:val="32"/>
          <w:szCs w:val="32"/>
          <w:rtl w:val="0"/>
        </w:rPr>
        <w:t xml:space="preserve">6. Conclusion</w:t>
      </w:r>
      <w:r w:rsidDel="00000000" w:rsidR="00000000" w:rsidRPr="00000000">
        <w:rPr>
          <w:rtl w:val="0"/>
        </w:rPr>
      </w:r>
    </w:p>
    <w:p w:rsidR="00000000" w:rsidDel="00000000" w:rsidP="00000000" w:rsidRDefault="00000000" w:rsidRPr="00000000" w14:paraId="00000062">
      <w:pPr>
        <w:spacing w:after="240" w:before="240" w:lineRule="auto"/>
        <w:jc w:val="both"/>
        <w:rPr>
          <w:sz w:val="28"/>
          <w:szCs w:val="28"/>
        </w:rPr>
      </w:pPr>
      <w:r w:rsidDel="00000000" w:rsidR="00000000" w:rsidRPr="00000000">
        <w:rPr>
          <w:sz w:val="28"/>
          <w:szCs w:val="28"/>
          <w:rtl w:val="0"/>
        </w:rPr>
        <w:t xml:space="preserve">This comparative study makes clear that the family and marital laws of Judaism, Christianity, and Islam are simultaneously products of a shared Abrahamic inheritance and expressions of each tradition's distinctive theological commitments and legal methodologies. Across all three faiths, marriage is understood as a divinely sanctioned institution that lies at the foundation of social life — yet the mechanisms through which marriages are formed and dissolved differ in ways that are anything but superficial. The Jewish Ketubah and the Islamic Nikah contract reflect a common instinct to define marriage in contractual terms and to build explicit financial protections for the wife into its very structure, while Christian sacramental theology takes a different path altogether, elevating marriage into a sign of divine mystery that transcends the purely legal.</w:t>
      </w:r>
    </w:p>
    <w:p w:rsidR="00000000" w:rsidDel="00000000" w:rsidP="00000000" w:rsidRDefault="00000000" w:rsidRPr="00000000" w14:paraId="00000063">
      <w:pPr>
        <w:spacing w:after="240" w:before="240" w:lineRule="auto"/>
        <w:jc w:val="both"/>
        <w:rPr>
          <w:sz w:val="28"/>
          <w:szCs w:val="28"/>
        </w:rPr>
      </w:pPr>
      <w:r w:rsidDel="00000000" w:rsidR="00000000" w:rsidRPr="00000000">
        <w:rPr>
          <w:sz w:val="28"/>
          <w:szCs w:val="28"/>
          <w:rtl w:val="0"/>
        </w:rPr>
        <w:t xml:space="preserve">The sharpest contrasts emerge around divorce. Islam's carefully elaborated provisions — Talaq, Khula, Faskh, and their accompanying procedures — and Judaism's Get process both acknowledge that marriages can fail and provide ordered legal responses when they do. Catholic Christianity's refusal to recognize divorce, preferring instead the declaration of annulment, reflects a fundamentally different theological starting point. On polygamy, the direction of travel has been consistent across all three traditions, moving toward monogamy, even if the routes taken and the reasoning offered have differed considerably.</w:t>
      </w:r>
    </w:p>
    <w:p w:rsidR="00000000" w:rsidDel="00000000" w:rsidP="00000000" w:rsidRDefault="00000000" w:rsidRPr="00000000" w14:paraId="00000064">
      <w:pPr>
        <w:spacing w:after="240" w:before="240" w:lineRule="auto"/>
        <w:jc w:val="both"/>
        <w:rPr>
          <w:sz w:val="28"/>
          <w:szCs w:val="28"/>
        </w:rPr>
      </w:pPr>
      <w:r w:rsidDel="00000000" w:rsidR="00000000" w:rsidRPr="00000000">
        <w:rPr>
          <w:sz w:val="28"/>
          <w:szCs w:val="28"/>
          <w:rtl w:val="0"/>
        </w:rPr>
        <w:t xml:space="preserve">Three broader structural patterns stand out from this analysis and deserve particular attention. The first is that all three traditions share a contractual foundation for marriage — the Ketubah, the Nikah, and even early Christian marriage before its full sacramentalization all draw on a common legal heritage rooted in the ancient Near East. The second is that reform, wherever it has occurred across these traditions, has consistently moved in the direction of curtailing male unilateral authority — from Rabbenu Gershom's insistence on spousal consent for divorce, to the Catholic doctrine of indissolubility, to the restrictions that modern Muslim-majority states have placed on Talaq and polygamy. The third pattern is the persistent gap between formal doctrinal positions and the lived experience of religious family law — a divergence that the scholarly literature has been increasingly attentive to in recent years.</w:t>
      </w:r>
    </w:p>
    <w:p w:rsidR="00000000" w:rsidDel="00000000" w:rsidP="00000000" w:rsidRDefault="00000000" w:rsidRPr="00000000" w14:paraId="00000065">
      <w:pPr>
        <w:spacing w:after="240" w:before="240" w:lineRule="auto"/>
        <w:jc w:val="both"/>
        <w:rPr>
          <w:sz w:val="28"/>
          <w:szCs w:val="28"/>
        </w:rPr>
      </w:pPr>
      <w:r w:rsidDel="00000000" w:rsidR="00000000" w:rsidRPr="00000000">
        <w:rPr>
          <w:sz w:val="28"/>
          <w:szCs w:val="28"/>
          <w:rtl w:val="0"/>
        </w:rPr>
        <w:t xml:space="preserve">Taken together, these findings bear out the study's central hypothesis: a shared Abrahamic origin has not been sufficient to prevent substantial legal divergence, and the emergence of distinct jurisprudential traditions has been the primary engine of that differentiation. Much remains to be explored. Future scholarship would do well to turn its attention to how these traditional legal frameworks sit alongside modern secular family law in pluralistic societies, and to the efforts of contemporary reformers within each tradition who are working to reinterpret marital laws in light of present-day concerns about gender equity and the changing shape of family life.</w:t>
      </w:r>
    </w:p>
    <w:p w:rsidR="00000000" w:rsidDel="00000000" w:rsidP="00000000" w:rsidRDefault="00000000" w:rsidRPr="00000000" w14:paraId="00000066">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67">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68">
      <w:pPr>
        <w:spacing w:after="120" w:line="360" w:lineRule="auto"/>
        <w:jc w:val="both"/>
        <w:rPr>
          <w:sz w:val="28"/>
          <w:szCs w:val="28"/>
        </w:rPr>
      </w:pPr>
      <w:r w:rsidDel="00000000" w:rsidR="00000000" w:rsidRPr="00000000">
        <w:rPr>
          <w:rtl w:val="0"/>
        </w:rPr>
      </w:r>
    </w:p>
    <w:p w:rsidR="00000000" w:rsidDel="00000000" w:rsidP="00000000" w:rsidRDefault="00000000" w:rsidRPr="00000000" w14:paraId="00000069">
      <w:pPr>
        <w:pStyle w:val="Heading1"/>
        <w:spacing w:line="360" w:lineRule="auto"/>
        <w:rPr>
          <w:sz w:val="32"/>
          <w:szCs w:val="32"/>
        </w:rPr>
      </w:pPr>
      <w:r w:rsidDel="00000000" w:rsidR="00000000" w:rsidRPr="00000000">
        <w:rPr>
          <w:rFonts w:ascii="Times New Roman" w:cs="Times New Roman" w:eastAsia="Times New Roman" w:hAnsi="Times New Roman"/>
          <w:b w:val="1"/>
          <w:bCs w:val="1"/>
          <w:sz w:val="32"/>
          <w:szCs w:val="32"/>
          <w:rtl w:val="0"/>
        </w:rPr>
        <w:t xml:space="preserve">7. References / Bibliography</w:t>
      </w:r>
      <w:r w:rsidDel="00000000" w:rsidR="00000000" w:rsidRPr="00000000">
        <w:rPr>
          <w:rtl w:val="0"/>
        </w:rPr>
      </w:r>
    </w:p>
    <w:p w:rsidR="00000000" w:rsidDel="00000000" w:rsidP="00000000" w:rsidRDefault="00000000" w:rsidRPr="00000000" w14:paraId="0000006A">
      <w:pPr>
        <w:spacing w:after="120" w:line="360" w:lineRule="auto"/>
        <w:ind w:left="720" w:hanging="720"/>
        <w:rPr>
          <w:sz w:val="28"/>
          <w:szCs w:val="28"/>
        </w:rPr>
      </w:pPr>
      <w:r w:rsidDel="00000000" w:rsidR="00000000" w:rsidRPr="00000000">
        <w:rPr>
          <w:rFonts w:ascii="Times New Roman" w:cs="Times New Roman" w:eastAsia="Times New Roman" w:hAnsi="Times New Roman"/>
          <w:sz w:val="28"/>
          <w:szCs w:val="28"/>
          <w:rtl w:val="0"/>
        </w:rPr>
        <w:t xml:space="preserve">Abd al-Ati, Hammudah. The Family Structure in Islam. Indianapolis: American Trust Publications, 1977.</w:t>
      </w:r>
      <w:r w:rsidDel="00000000" w:rsidR="00000000" w:rsidRPr="00000000">
        <w:rPr>
          <w:rtl w:val="0"/>
        </w:rPr>
      </w:r>
    </w:p>
    <w:p w:rsidR="00000000" w:rsidDel="00000000" w:rsidP="00000000" w:rsidRDefault="00000000" w:rsidRPr="00000000" w14:paraId="0000006B">
      <w:pPr>
        <w:spacing w:after="120" w:line="360" w:lineRule="auto"/>
        <w:ind w:left="720" w:hanging="720"/>
        <w:rPr>
          <w:sz w:val="28"/>
          <w:szCs w:val="28"/>
        </w:rPr>
      </w:pPr>
      <w:r w:rsidDel="00000000" w:rsidR="00000000" w:rsidRPr="00000000">
        <w:rPr>
          <w:rFonts w:ascii="Times New Roman" w:cs="Times New Roman" w:eastAsia="Times New Roman" w:hAnsi="Times New Roman"/>
          <w:sz w:val="28"/>
          <w:szCs w:val="28"/>
          <w:rtl w:val="0"/>
        </w:rPr>
        <w:t xml:space="preserve">Abdel Haleem, M.A.S. The Qur’an: A New Translation. Oxford: Oxford University Press, 2004.</w:t>
      </w:r>
      <w:r w:rsidDel="00000000" w:rsidR="00000000" w:rsidRPr="00000000">
        <w:rPr>
          <w:rtl w:val="0"/>
        </w:rPr>
      </w:r>
    </w:p>
    <w:p w:rsidR="00000000" w:rsidDel="00000000" w:rsidP="00000000" w:rsidRDefault="00000000" w:rsidRPr="00000000" w14:paraId="0000006C">
      <w:pPr>
        <w:spacing w:after="120" w:line="360" w:lineRule="auto"/>
        <w:ind w:left="720" w:hanging="720"/>
        <w:rPr>
          <w:sz w:val="28"/>
          <w:szCs w:val="28"/>
        </w:rPr>
      </w:pPr>
      <w:r w:rsidDel="00000000" w:rsidR="00000000" w:rsidRPr="00000000">
        <w:rPr>
          <w:rFonts w:ascii="Times New Roman" w:cs="Times New Roman" w:eastAsia="Times New Roman" w:hAnsi="Times New Roman"/>
          <w:sz w:val="28"/>
          <w:szCs w:val="28"/>
          <w:rtl w:val="0"/>
        </w:rPr>
        <w:t xml:space="preserve">Ali, Kecia. Marriage and Slavery in Early Islam. Cambridge, MA: Harvard University Press, 2010.</w:t>
      </w:r>
      <w:r w:rsidDel="00000000" w:rsidR="00000000" w:rsidRPr="00000000">
        <w:rPr>
          <w:rtl w:val="0"/>
        </w:rPr>
      </w:r>
    </w:p>
    <w:p w:rsidR="00000000" w:rsidDel="00000000" w:rsidP="00000000" w:rsidRDefault="00000000" w:rsidRPr="00000000" w14:paraId="0000006D">
      <w:pPr>
        <w:spacing w:after="120" w:line="360" w:lineRule="auto"/>
        <w:ind w:left="720" w:hanging="720"/>
        <w:rPr>
          <w:sz w:val="28"/>
          <w:szCs w:val="28"/>
        </w:rPr>
      </w:pPr>
      <w:r w:rsidDel="00000000" w:rsidR="00000000" w:rsidRPr="00000000">
        <w:rPr>
          <w:rFonts w:ascii="Times New Roman" w:cs="Times New Roman" w:eastAsia="Times New Roman" w:hAnsi="Times New Roman"/>
          <w:sz w:val="28"/>
          <w:szCs w:val="28"/>
          <w:rtl w:val="0"/>
        </w:rPr>
        <w:t xml:space="preserve">Ali, Kecia. Sexual Ethics and Islam: Feminist Reflections on Qur’an, Hadith, and Jurisprudence. Rev. ed. London: Oneworld Publications, 2016.</w:t>
      </w:r>
      <w:r w:rsidDel="00000000" w:rsidR="00000000" w:rsidRPr="00000000">
        <w:rPr>
          <w:rtl w:val="0"/>
        </w:rPr>
      </w:r>
    </w:p>
    <w:p w:rsidR="00000000" w:rsidDel="00000000" w:rsidP="00000000" w:rsidRDefault="00000000" w:rsidRPr="00000000" w14:paraId="0000006E">
      <w:pPr>
        <w:spacing w:after="120" w:line="360" w:lineRule="auto"/>
        <w:ind w:left="720" w:hanging="720"/>
        <w:rPr>
          <w:sz w:val="28"/>
          <w:szCs w:val="28"/>
        </w:rPr>
      </w:pPr>
      <w:r w:rsidDel="00000000" w:rsidR="00000000" w:rsidRPr="00000000">
        <w:rPr>
          <w:rFonts w:ascii="Times New Roman" w:cs="Times New Roman" w:eastAsia="Times New Roman" w:hAnsi="Times New Roman"/>
          <w:sz w:val="28"/>
          <w:szCs w:val="28"/>
          <w:rtl w:val="0"/>
        </w:rPr>
        <w:t xml:space="preserve">Amram, David Werner. The Jewish Law of Divorce According to Bible and Talmud. Philadelphia: Hermon Press, 1896. Reprint, 1968.</w:t>
      </w:r>
      <w:r w:rsidDel="00000000" w:rsidR="00000000" w:rsidRPr="00000000">
        <w:rPr>
          <w:rtl w:val="0"/>
        </w:rPr>
      </w:r>
    </w:p>
    <w:p w:rsidR="00000000" w:rsidDel="00000000" w:rsidP="00000000" w:rsidRDefault="00000000" w:rsidRPr="00000000" w14:paraId="0000006F">
      <w:pPr>
        <w:spacing w:after="120" w:line="360" w:lineRule="auto"/>
        <w:ind w:left="720" w:hanging="720"/>
        <w:rPr>
          <w:sz w:val="28"/>
          <w:szCs w:val="28"/>
        </w:rPr>
      </w:pPr>
      <w:r w:rsidDel="00000000" w:rsidR="00000000" w:rsidRPr="00000000">
        <w:rPr>
          <w:rFonts w:ascii="Times New Roman" w:cs="Times New Roman" w:eastAsia="Times New Roman" w:hAnsi="Times New Roman"/>
          <w:sz w:val="28"/>
          <w:szCs w:val="28"/>
          <w:rtl w:val="0"/>
        </w:rPr>
        <w:t xml:space="preserve">An-Na’im, Abdullahi Ahmed, ed. Islamic Family Law in a Changing World: A Global Resource Book. London: Zed Books, 2002.</w:t>
      </w:r>
      <w:r w:rsidDel="00000000" w:rsidR="00000000" w:rsidRPr="00000000">
        <w:rPr>
          <w:rtl w:val="0"/>
        </w:rPr>
      </w:r>
    </w:p>
    <w:p w:rsidR="00000000" w:rsidDel="00000000" w:rsidP="00000000" w:rsidRDefault="00000000" w:rsidRPr="00000000" w14:paraId="00000070">
      <w:pPr>
        <w:spacing w:after="120" w:line="360" w:lineRule="auto"/>
        <w:ind w:left="720" w:hanging="720"/>
        <w:rPr>
          <w:sz w:val="28"/>
          <w:szCs w:val="28"/>
        </w:rPr>
      </w:pPr>
      <w:r w:rsidDel="00000000" w:rsidR="00000000" w:rsidRPr="00000000">
        <w:rPr>
          <w:rFonts w:ascii="Times New Roman" w:cs="Times New Roman" w:eastAsia="Times New Roman" w:hAnsi="Times New Roman"/>
          <w:sz w:val="28"/>
          <w:szCs w:val="28"/>
          <w:rtl w:val="0"/>
        </w:rPr>
        <w:t xml:space="preserve">Augustine. De Bono Coniugali (On the Good of Marriage). Edited and translated by P.G. Walsh. Oxford Early Christian Texts. Oxford: Clarendon Press, 2001.</w:t>
      </w:r>
      <w:r w:rsidDel="00000000" w:rsidR="00000000" w:rsidRPr="00000000">
        <w:rPr>
          <w:rtl w:val="0"/>
        </w:rPr>
      </w:r>
    </w:p>
    <w:p w:rsidR="00000000" w:rsidDel="00000000" w:rsidP="00000000" w:rsidRDefault="00000000" w:rsidRPr="00000000" w14:paraId="00000071">
      <w:pPr>
        <w:spacing w:after="120" w:line="360" w:lineRule="auto"/>
        <w:ind w:left="720" w:hanging="720"/>
        <w:rPr>
          <w:sz w:val="28"/>
          <w:szCs w:val="28"/>
        </w:rPr>
      </w:pPr>
      <w:r w:rsidDel="00000000" w:rsidR="00000000" w:rsidRPr="00000000">
        <w:rPr>
          <w:rFonts w:ascii="Times New Roman" w:cs="Times New Roman" w:eastAsia="Times New Roman" w:hAnsi="Times New Roman"/>
          <w:sz w:val="28"/>
          <w:szCs w:val="28"/>
          <w:rtl w:val="0"/>
        </w:rPr>
        <w:t xml:space="preserve">Biale, Rachel. Women and Jewish Law: The Essential Texts, Their History, and Their Relevance for Today. New York: Schocken Books, 1984.</w:t>
      </w:r>
      <w:r w:rsidDel="00000000" w:rsidR="00000000" w:rsidRPr="00000000">
        <w:rPr>
          <w:rtl w:val="0"/>
        </w:rPr>
      </w:r>
    </w:p>
    <w:p w:rsidR="00000000" w:rsidDel="00000000" w:rsidP="00000000" w:rsidRDefault="00000000" w:rsidRPr="00000000" w14:paraId="00000072">
      <w:pPr>
        <w:spacing w:after="120" w:line="360" w:lineRule="auto"/>
        <w:ind w:left="720" w:hanging="720"/>
        <w:rPr>
          <w:sz w:val="28"/>
          <w:szCs w:val="28"/>
        </w:rPr>
      </w:pPr>
      <w:r w:rsidDel="00000000" w:rsidR="00000000" w:rsidRPr="00000000">
        <w:rPr>
          <w:rFonts w:ascii="Times New Roman" w:cs="Times New Roman" w:eastAsia="Times New Roman" w:hAnsi="Times New Roman"/>
          <w:sz w:val="28"/>
          <w:szCs w:val="28"/>
          <w:rtl w:val="0"/>
        </w:rPr>
        <w:t xml:space="preserve">Breitowitz, Irving A. Between Civil and Religious Law: The Plight of the Agunah in American Society. Westport, CT: Greenwood Press, 1993.</w:t>
      </w:r>
      <w:r w:rsidDel="00000000" w:rsidR="00000000" w:rsidRPr="00000000">
        <w:rPr>
          <w:rtl w:val="0"/>
        </w:rPr>
      </w:r>
    </w:p>
    <w:p w:rsidR="00000000" w:rsidDel="00000000" w:rsidP="00000000" w:rsidRDefault="00000000" w:rsidRPr="00000000" w14:paraId="00000073">
      <w:pPr>
        <w:spacing w:after="120" w:line="360" w:lineRule="auto"/>
        <w:ind w:left="720" w:hanging="720"/>
        <w:rPr>
          <w:sz w:val="28"/>
          <w:szCs w:val="28"/>
        </w:rPr>
      </w:pPr>
      <w:r w:rsidDel="00000000" w:rsidR="00000000" w:rsidRPr="00000000">
        <w:rPr>
          <w:rFonts w:ascii="Times New Roman" w:cs="Times New Roman" w:eastAsia="Times New Roman" w:hAnsi="Times New Roman"/>
          <w:sz w:val="28"/>
          <w:szCs w:val="28"/>
          <w:rtl w:val="0"/>
        </w:rPr>
        <w:t xml:space="preserve">Browning, Don S., M. Christian Green, and John Witte Jr., eds. Sex, Marriage, and Family in World Religions. New York: Columbia University Press, 2006.</w:t>
      </w:r>
      <w:r w:rsidDel="00000000" w:rsidR="00000000" w:rsidRPr="00000000">
        <w:rPr>
          <w:rtl w:val="0"/>
        </w:rPr>
      </w:r>
    </w:p>
    <w:p w:rsidR="00000000" w:rsidDel="00000000" w:rsidP="00000000" w:rsidRDefault="00000000" w:rsidRPr="00000000" w14:paraId="00000074">
      <w:pPr>
        <w:spacing w:after="120" w:line="360" w:lineRule="auto"/>
        <w:ind w:left="720" w:hanging="720"/>
        <w:rPr>
          <w:sz w:val="28"/>
          <w:szCs w:val="28"/>
        </w:rPr>
      </w:pPr>
      <w:r w:rsidDel="00000000" w:rsidR="00000000" w:rsidRPr="00000000">
        <w:rPr>
          <w:rFonts w:ascii="Times New Roman" w:cs="Times New Roman" w:eastAsia="Times New Roman" w:hAnsi="Times New Roman"/>
          <w:sz w:val="28"/>
          <w:szCs w:val="28"/>
          <w:rtl w:val="0"/>
        </w:rPr>
        <w:t xml:space="preserve">Broyde, Michael J. Marriage, Divorce, and the Abandoned Wife in Jewish Law. Hoboken, NJ: KTAV Publishing House, 2001.</w:t>
      </w:r>
      <w:r w:rsidDel="00000000" w:rsidR="00000000" w:rsidRPr="00000000">
        <w:rPr>
          <w:rtl w:val="0"/>
        </w:rPr>
      </w:r>
    </w:p>
    <w:p w:rsidR="00000000" w:rsidDel="00000000" w:rsidP="00000000" w:rsidRDefault="00000000" w:rsidRPr="00000000" w14:paraId="00000075">
      <w:pPr>
        <w:spacing w:after="120" w:line="360" w:lineRule="auto"/>
        <w:ind w:left="720" w:hanging="720"/>
        <w:rPr>
          <w:sz w:val="28"/>
          <w:szCs w:val="28"/>
        </w:rPr>
      </w:pPr>
      <w:r w:rsidDel="00000000" w:rsidR="00000000" w:rsidRPr="00000000">
        <w:rPr>
          <w:rFonts w:ascii="Times New Roman" w:cs="Times New Roman" w:eastAsia="Times New Roman" w:hAnsi="Times New Roman"/>
          <w:sz w:val="28"/>
          <w:szCs w:val="28"/>
          <w:rtl w:val="0"/>
        </w:rPr>
        <w:t xml:space="preserve">Code of Canon Law. Vatican City: Libreria Editrice Vaticana, 1983.</w:t>
      </w:r>
      <w:r w:rsidDel="00000000" w:rsidR="00000000" w:rsidRPr="00000000">
        <w:rPr>
          <w:rtl w:val="0"/>
        </w:rPr>
      </w:r>
    </w:p>
    <w:p w:rsidR="00000000" w:rsidDel="00000000" w:rsidP="00000000" w:rsidRDefault="00000000" w:rsidRPr="00000000" w14:paraId="00000076">
      <w:pPr>
        <w:spacing w:after="120" w:line="360" w:lineRule="auto"/>
        <w:ind w:left="720" w:hanging="720"/>
        <w:rPr>
          <w:sz w:val="28"/>
          <w:szCs w:val="28"/>
        </w:rPr>
      </w:pPr>
      <w:r w:rsidDel="00000000" w:rsidR="00000000" w:rsidRPr="00000000">
        <w:rPr>
          <w:rFonts w:ascii="Times New Roman" w:cs="Times New Roman" w:eastAsia="Times New Roman" w:hAnsi="Times New Roman"/>
          <w:sz w:val="28"/>
          <w:szCs w:val="28"/>
          <w:rtl w:val="0"/>
        </w:rPr>
        <w:t xml:space="preserve">Doe, Norman. Comparative Religious Law: Judaism, Christianity, Islam. Cambridge: Cambridge University Press, 2018.</w:t>
      </w:r>
      <w:r w:rsidDel="00000000" w:rsidR="00000000" w:rsidRPr="00000000">
        <w:rPr>
          <w:rtl w:val="0"/>
        </w:rPr>
      </w:r>
    </w:p>
    <w:p w:rsidR="00000000" w:rsidDel="00000000" w:rsidP="00000000" w:rsidRDefault="00000000" w:rsidRPr="00000000" w14:paraId="00000077">
      <w:pPr>
        <w:spacing w:after="120" w:line="360" w:lineRule="auto"/>
        <w:ind w:left="720" w:hanging="720"/>
        <w:rPr>
          <w:sz w:val="28"/>
          <w:szCs w:val="28"/>
        </w:rPr>
      </w:pPr>
      <w:r w:rsidDel="00000000" w:rsidR="00000000" w:rsidRPr="00000000">
        <w:rPr>
          <w:rFonts w:ascii="Times New Roman" w:cs="Times New Roman" w:eastAsia="Times New Roman" w:hAnsi="Times New Roman"/>
          <w:sz w:val="28"/>
          <w:szCs w:val="28"/>
          <w:rtl w:val="0"/>
        </w:rPr>
        <w:t xml:space="preserve">El-Alami, Dawoud Sudqi. The Marriage Contract in Islamic Law in the Shari’ah and Personal Status Laws of Egypt and Morocco. London: Graham and Trotman, 1992.</w:t>
      </w:r>
      <w:r w:rsidDel="00000000" w:rsidR="00000000" w:rsidRPr="00000000">
        <w:rPr>
          <w:rtl w:val="0"/>
        </w:rPr>
      </w:r>
    </w:p>
    <w:p w:rsidR="00000000" w:rsidDel="00000000" w:rsidP="00000000" w:rsidRDefault="00000000" w:rsidRPr="00000000" w14:paraId="00000078">
      <w:pPr>
        <w:spacing w:after="120" w:line="360" w:lineRule="auto"/>
        <w:ind w:left="720" w:hanging="720"/>
        <w:rPr>
          <w:sz w:val="28"/>
          <w:szCs w:val="28"/>
        </w:rPr>
      </w:pPr>
      <w:r w:rsidDel="00000000" w:rsidR="00000000" w:rsidRPr="00000000">
        <w:rPr>
          <w:rFonts w:ascii="Times New Roman" w:cs="Times New Roman" w:eastAsia="Times New Roman" w:hAnsi="Times New Roman"/>
          <w:sz w:val="28"/>
          <w:szCs w:val="28"/>
          <w:rtl w:val="0"/>
        </w:rPr>
        <w:t xml:space="preserve">Epstein, Louis M. The Jewish Marriage Contract: A Study in the Status of the Woman in Jewish Law. New York: Jewish Theological Seminary of America, 1927. Reprint, Lawbook Exchange, 2005.</w:t>
      </w:r>
      <w:r w:rsidDel="00000000" w:rsidR="00000000" w:rsidRPr="00000000">
        <w:rPr>
          <w:rtl w:val="0"/>
        </w:rPr>
      </w:r>
    </w:p>
    <w:p w:rsidR="00000000" w:rsidDel="00000000" w:rsidP="00000000" w:rsidRDefault="00000000" w:rsidRPr="00000000" w14:paraId="00000079">
      <w:pPr>
        <w:spacing w:after="120" w:line="360" w:lineRule="auto"/>
        <w:ind w:left="720" w:hanging="720"/>
        <w:rPr>
          <w:sz w:val="28"/>
          <w:szCs w:val="28"/>
        </w:rPr>
      </w:pPr>
      <w:r w:rsidDel="00000000" w:rsidR="00000000" w:rsidRPr="00000000">
        <w:rPr>
          <w:rFonts w:ascii="Times New Roman" w:cs="Times New Roman" w:eastAsia="Times New Roman" w:hAnsi="Times New Roman"/>
          <w:sz w:val="28"/>
          <w:szCs w:val="28"/>
          <w:rtl w:val="0"/>
        </w:rPr>
        <w:t xml:space="preserve">Esposito, John L., and Natana J. DeLong-Bas. Women in Muslim Family Law. 2nd ed. Syracuse, NY: Syracuse University Press, 2001.</w:t>
      </w:r>
      <w:r w:rsidDel="00000000" w:rsidR="00000000" w:rsidRPr="00000000">
        <w:rPr>
          <w:rtl w:val="0"/>
        </w:rPr>
      </w:r>
    </w:p>
    <w:p w:rsidR="00000000" w:rsidDel="00000000" w:rsidP="00000000" w:rsidRDefault="00000000" w:rsidRPr="00000000" w14:paraId="0000007A">
      <w:pPr>
        <w:spacing w:after="120" w:line="360" w:lineRule="auto"/>
        <w:ind w:left="720" w:hanging="720"/>
        <w:rPr>
          <w:sz w:val="28"/>
          <w:szCs w:val="28"/>
        </w:rPr>
      </w:pPr>
      <w:r w:rsidDel="00000000" w:rsidR="00000000" w:rsidRPr="00000000">
        <w:rPr>
          <w:rFonts w:ascii="Times New Roman" w:cs="Times New Roman" w:eastAsia="Times New Roman" w:hAnsi="Times New Roman"/>
          <w:sz w:val="28"/>
          <w:szCs w:val="28"/>
          <w:rtl w:val="0"/>
        </w:rPr>
        <w:t xml:space="preserve">Falk, Ze’ev W. Jewish Matrimonial Law in the Middle Ages. Scripta Judaica, vol. 6. London: Oxford University Press, 1966.</w:t>
      </w:r>
      <w:r w:rsidDel="00000000" w:rsidR="00000000" w:rsidRPr="00000000">
        <w:rPr>
          <w:rtl w:val="0"/>
        </w:rPr>
      </w:r>
    </w:p>
    <w:p w:rsidR="00000000" w:rsidDel="00000000" w:rsidP="00000000" w:rsidRDefault="00000000" w:rsidRPr="00000000" w14:paraId="0000007B">
      <w:pPr>
        <w:spacing w:after="120" w:line="360" w:lineRule="auto"/>
        <w:ind w:left="720" w:hanging="720"/>
        <w:rPr>
          <w:sz w:val="28"/>
          <w:szCs w:val="28"/>
        </w:rPr>
      </w:pPr>
      <w:r w:rsidDel="00000000" w:rsidR="00000000" w:rsidRPr="00000000">
        <w:rPr>
          <w:rFonts w:ascii="Times New Roman" w:cs="Times New Roman" w:eastAsia="Times New Roman" w:hAnsi="Times New Roman"/>
          <w:sz w:val="28"/>
          <w:szCs w:val="28"/>
          <w:rtl w:val="0"/>
        </w:rPr>
        <w:t xml:space="preserve">Grossman, Avraham. Pious and Rebellious: Jewish Women in Medieval Europe. Waltham, MA: Brandeis University Press, 2004.</w:t>
      </w:r>
      <w:r w:rsidDel="00000000" w:rsidR="00000000" w:rsidRPr="00000000">
        <w:rPr>
          <w:rtl w:val="0"/>
        </w:rPr>
      </w:r>
    </w:p>
    <w:p w:rsidR="00000000" w:rsidDel="00000000" w:rsidP="00000000" w:rsidRDefault="00000000" w:rsidRPr="00000000" w14:paraId="0000007C">
      <w:pPr>
        <w:spacing w:after="120" w:line="360" w:lineRule="auto"/>
        <w:ind w:left="720" w:hanging="720"/>
        <w:rPr>
          <w:sz w:val="28"/>
          <w:szCs w:val="28"/>
        </w:rPr>
      </w:pPr>
      <w:r w:rsidDel="00000000" w:rsidR="00000000" w:rsidRPr="00000000">
        <w:rPr>
          <w:rFonts w:ascii="Times New Roman" w:cs="Times New Roman" w:eastAsia="Times New Roman" w:hAnsi="Times New Roman"/>
          <w:sz w:val="28"/>
          <w:szCs w:val="28"/>
          <w:rtl w:val="0"/>
        </w:rPr>
        <w:t xml:space="preserve">Hallaq, Wael B. Shari’a: Theory, Practice, Transformations. Cambridge: Cambridge University Press, 2009.</w:t>
      </w:r>
      <w:r w:rsidDel="00000000" w:rsidR="00000000" w:rsidRPr="00000000">
        <w:rPr>
          <w:rtl w:val="0"/>
        </w:rPr>
      </w:r>
    </w:p>
    <w:p w:rsidR="00000000" w:rsidDel="00000000" w:rsidP="00000000" w:rsidRDefault="00000000" w:rsidRPr="00000000" w14:paraId="0000007D">
      <w:pPr>
        <w:spacing w:after="120" w:line="360" w:lineRule="auto"/>
        <w:ind w:left="720" w:hanging="720"/>
        <w:rPr>
          <w:sz w:val="28"/>
          <w:szCs w:val="28"/>
        </w:rPr>
      </w:pPr>
      <w:r w:rsidDel="00000000" w:rsidR="00000000" w:rsidRPr="00000000">
        <w:rPr>
          <w:rFonts w:ascii="Times New Roman" w:cs="Times New Roman" w:eastAsia="Times New Roman" w:hAnsi="Times New Roman"/>
          <w:sz w:val="28"/>
          <w:szCs w:val="28"/>
          <w:rtl w:val="0"/>
        </w:rPr>
        <w:t xml:space="preserve">Haut, Irwin H. Divorce in Jewish Law and Life. Studies in Jewish Jurisprudence, vol. 5. New York: Sepher-Hermon Press, 1983.</w:t>
      </w:r>
      <w:r w:rsidDel="00000000" w:rsidR="00000000" w:rsidRPr="00000000">
        <w:rPr>
          <w:rtl w:val="0"/>
        </w:rPr>
      </w:r>
    </w:p>
    <w:p w:rsidR="00000000" w:rsidDel="00000000" w:rsidP="00000000" w:rsidRDefault="00000000" w:rsidRPr="00000000" w14:paraId="0000007E">
      <w:pPr>
        <w:spacing w:after="120" w:line="360" w:lineRule="auto"/>
        <w:ind w:left="720" w:hanging="720"/>
        <w:rPr>
          <w:sz w:val="28"/>
          <w:szCs w:val="28"/>
        </w:rPr>
      </w:pPr>
      <w:r w:rsidDel="00000000" w:rsidR="00000000" w:rsidRPr="00000000">
        <w:rPr>
          <w:rFonts w:ascii="Times New Roman" w:cs="Times New Roman" w:eastAsia="Times New Roman" w:hAnsi="Times New Roman"/>
          <w:sz w:val="28"/>
          <w:szCs w:val="28"/>
          <w:rtl w:val="0"/>
        </w:rPr>
        <w:t xml:space="preserve">Instone-Brewer, David. Divorce and Remarriage in the Bible: The Social and Literary Context. Grand Rapids, MI: Wm. B. Eerdmans, 2002.</w:t>
      </w:r>
      <w:r w:rsidDel="00000000" w:rsidR="00000000" w:rsidRPr="00000000">
        <w:rPr>
          <w:rtl w:val="0"/>
        </w:rPr>
      </w:r>
    </w:p>
    <w:p w:rsidR="00000000" w:rsidDel="00000000" w:rsidP="00000000" w:rsidRDefault="00000000" w:rsidRPr="00000000" w14:paraId="0000007F">
      <w:pPr>
        <w:spacing w:after="120" w:line="360" w:lineRule="auto"/>
        <w:ind w:left="720" w:hanging="720"/>
        <w:rPr>
          <w:sz w:val="28"/>
          <w:szCs w:val="28"/>
        </w:rPr>
      </w:pPr>
      <w:r w:rsidDel="00000000" w:rsidR="00000000" w:rsidRPr="00000000">
        <w:rPr>
          <w:rFonts w:ascii="Times New Roman" w:cs="Times New Roman" w:eastAsia="Times New Roman" w:hAnsi="Times New Roman"/>
          <w:sz w:val="28"/>
          <w:szCs w:val="28"/>
          <w:rtl w:val="0"/>
        </w:rPr>
        <w:t xml:space="preserve">Khan, Muhammad Muhsin, trans. Sahih al-Bukhari. Riyadh: Darussalam, 1997.</w:t>
      </w:r>
      <w:r w:rsidDel="00000000" w:rsidR="00000000" w:rsidRPr="00000000">
        <w:rPr>
          <w:rtl w:val="0"/>
        </w:rPr>
      </w:r>
    </w:p>
    <w:p w:rsidR="00000000" w:rsidDel="00000000" w:rsidP="00000000" w:rsidRDefault="00000000" w:rsidRPr="00000000" w14:paraId="00000080">
      <w:pPr>
        <w:spacing w:after="120" w:line="360" w:lineRule="auto"/>
        <w:ind w:left="720" w:hanging="720"/>
        <w:rPr>
          <w:sz w:val="28"/>
          <w:szCs w:val="28"/>
        </w:rPr>
      </w:pPr>
      <w:r w:rsidDel="00000000" w:rsidR="00000000" w:rsidRPr="00000000">
        <w:rPr>
          <w:rFonts w:ascii="Times New Roman" w:cs="Times New Roman" w:eastAsia="Times New Roman" w:hAnsi="Times New Roman"/>
          <w:sz w:val="28"/>
          <w:szCs w:val="28"/>
          <w:rtl w:val="0"/>
        </w:rPr>
        <w:t xml:space="preserve">Lamm, Maurice. The Jewish Way in Love and Marriage. Middle Village, NY: Jonathan David Publishers, 1980.</w:t>
      </w:r>
      <w:r w:rsidDel="00000000" w:rsidR="00000000" w:rsidRPr="00000000">
        <w:rPr>
          <w:rtl w:val="0"/>
        </w:rPr>
      </w:r>
    </w:p>
    <w:p w:rsidR="00000000" w:rsidDel="00000000" w:rsidP="00000000" w:rsidRDefault="00000000" w:rsidRPr="00000000" w14:paraId="00000081">
      <w:pPr>
        <w:spacing w:after="120" w:line="360" w:lineRule="auto"/>
        <w:ind w:left="720" w:hanging="720"/>
        <w:rPr>
          <w:sz w:val="28"/>
          <w:szCs w:val="28"/>
        </w:rPr>
      </w:pPr>
      <w:r w:rsidDel="00000000" w:rsidR="00000000" w:rsidRPr="00000000">
        <w:rPr>
          <w:rFonts w:ascii="Times New Roman" w:cs="Times New Roman" w:eastAsia="Times New Roman" w:hAnsi="Times New Roman"/>
          <w:sz w:val="28"/>
          <w:szCs w:val="28"/>
          <w:rtl w:val="0"/>
        </w:rPr>
        <w:t xml:space="preserve">Mackin, Theodore. Divorce and Remarriage. Vol. 2 of Marriage in the Catholic Church. New York: Paulist Press, 1984.</w:t>
      </w:r>
      <w:r w:rsidDel="00000000" w:rsidR="00000000" w:rsidRPr="00000000">
        <w:rPr>
          <w:rtl w:val="0"/>
        </w:rPr>
      </w:r>
    </w:p>
    <w:p w:rsidR="00000000" w:rsidDel="00000000" w:rsidP="00000000" w:rsidRDefault="00000000" w:rsidRPr="00000000" w14:paraId="00000082">
      <w:pPr>
        <w:spacing w:after="120" w:line="360" w:lineRule="auto"/>
        <w:ind w:left="720" w:hanging="720"/>
        <w:rPr>
          <w:sz w:val="28"/>
          <w:szCs w:val="28"/>
        </w:rPr>
      </w:pPr>
      <w:r w:rsidDel="00000000" w:rsidR="00000000" w:rsidRPr="00000000">
        <w:rPr>
          <w:rFonts w:ascii="Times New Roman" w:cs="Times New Roman" w:eastAsia="Times New Roman" w:hAnsi="Times New Roman"/>
          <w:sz w:val="28"/>
          <w:szCs w:val="28"/>
          <w:rtl w:val="0"/>
        </w:rPr>
        <w:t xml:space="preserve">Martos, Joseph. Doors to the Sacred: A Historical Introduction to Sacraments in the Catholic Church. Updated ed. Liguori, MO: Liguori Publications, 2014.</w:t>
      </w:r>
      <w:r w:rsidDel="00000000" w:rsidR="00000000" w:rsidRPr="00000000">
        <w:rPr>
          <w:rtl w:val="0"/>
        </w:rPr>
      </w:r>
    </w:p>
    <w:p w:rsidR="00000000" w:rsidDel="00000000" w:rsidP="00000000" w:rsidRDefault="00000000" w:rsidRPr="00000000" w14:paraId="00000083">
      <w:pPr>
        <w:spacing w:after="120" w:line="360" w:lineRule="auto"/>
        <w:ind w:left="720" w:hanging="720"/>
        <w:rPr>
          <w:sz w:val="28"/>
          <w:szCs w:val="28"/>
        </w:rPr>
      </w:pPr>
      <w:r w:rsidDel="00000000" w:rsidR="00000000" w:rsidRPr="00000000">
        <w:rPr>
          <w:rFonts w:ascii="Times New Roman" w:cs="Times New Roman" w:eastAsia="Times New Roman" w:hAnsi="Times New Roman"/>
          <w:sz w:val="28"/>
          <w:szCs w:val="28"/>
          <w:rtl w:val="0"/>
        </w:rPr>
        <w:t xml:space="preserve">Meyendorff, John. Marriage: An Orthodox Perspective. 3rd rev. ed. Crestwood, NY: St. Vladimir’s Seminary Press, 1984.</w:t>
      </w:r>
      <w:r w:rsidDel="00000000" w:rsidR="00000000" w:rsidRPr="00000000">
        <w:rPr>
          <w:rtl w:val="0"/>
        </w:rPr>
      </w:r>
    </w:p>
    <w:p w:rsidR="00000000" w:rsidDel="00000000" w:rsidP="00000000" w:rsidRDefault="00000000" w:rsidRPr="00000000" w14:paraId="00000084">
      <w:pPr>
        <w:spacing w:after="120" w:line="360" w:lineRule="auto"/>
        <w:ind w:left="720" w:hanging="720"/>
        <w:rPr>
          <w:sz w:val="28"/>
          <w:szCs w:val="28"/>
        </w:rPr>
      </w:pPr>
      <w:r w:rsidDel="00000000" w:rsidR="00000000" w:rsidRPr="00000000">
        <w:rPr>
          <w:rFonts w:ascii="Times New Roman" w:cs="Times New Roman" w:eastAsia="Times New Roman" w:hAnsi="Times New Roman"/>
          <w:sz w:val="28"/>
          <w:szCs w:val="28"/>
          <w:rtl w:val="0"/>
        </w:rPr>
        <w:t xml:space="preserve">Mir-Hosseini, Ziba. Marriage on Trial: A Study of Islamic Family Law. Rev. ed. London: I.B. Tauris, 2001.</w:t>
      </w:r>
      <w:r w:rsidDel="00000000" w:rsidR="00000000" w:rsidRPr="00000000">
        <w:rPr>
          <w:rtl w:val="0"/>
        </w:rPr>
      </w:r>
    </w:p>
    <w:p w:rsidR="00000000" w:rsidDel="00000000" w:rsidP="00000000" w:rsidRDefault="00000000" w:rsidRPr="00000000" w14:paraId="00000085">
      <w:pPr>
        <w:spacing w:after="120" w:line="360" w:lineRule="auto"/>
        <w:ind w:left="720" w:hanging="720"/>
        <w:rPr>
          <w:sz w:val="28"/>
          <w:szCs w:val="28"/>
        </w:rPr>
      </w:pPr>
      <w:r w:rsidDel="00000000" w:rsidR="00000000" w:rsidRPr="00000000">
        <w:rPr>
          <w:rFonts w:ascii="Times New Roman" w:cs="Times New Roman" w:eastAsia="Times New Roman" w:hAnsi="Times New Roman"/>
          <w:sz w:val="28"/>
          <w:szCs w:val="28"/>
          <w:rtl w:val="0"/>
        </w:rPr>
        <w:t xml:space="preserve">Mir-Hosseini, Ziba, Mulki Al-Sharmani, Jana Rumminger, and Sarah Marsso, eds. Justice and Beauty in Muslim Marriage: Towards Egalitarian Ethics and Laws. London: Oneworld Publications, 2022.</w:t>
      </w:r>
      <w:r w:rsidDel="00000000" w:rsidR="00000000" w:rsidRPr="00000000">
        <w:rPr>
          <w:rtl w:val="0"/>
        </w:rPr>
      </w:r>
    </w:p>
    <w:p w:rsidR="00000000" w:rsidDel="00000000" w:rsidP="00000000" w:rsidRDefault="00000000" w:rsidRPr="00000000" w14:paraId="00000086">
      <w:pPr>
        <w:spacing w:after="120" w:line="360" w:lineRule="auto"/>
        <w:ind w:left="720" w:hanging="720"/>
        <w:rPr>
          <w:sz w:val="28"/>
          <w:szCs w:val="28"/>
        </w:rPr>
      </w:pPr>
      <w:r w:rsidDel="00000000" w:rsidR="00000000" w:rsidRPr="00000000">
        <w:rPr>
          <w:rFonts w:ascii="Times New Roman" w:cs="Times New Roman" w:eastAsia="Times New Roman" w:hAnsi="Times New Roman"/>
          <w:sz w:val="28"/>
          <w:szCs w:val="28"/>
          <w:rtl w:val="0"/>
        </w:rPr>
        <w:t xml:space="preserve">Nasir, Jamal J. The Islamic Law of Personal Status. 3rd rev. ed. The Hague: Kluwer Law International, 2002.</w:t>
      </w:r>
      <w:r w:rsidDel="00000000" w:rsidR="00000000" w:rsidRPr="00000000">
        <w:rPr>
          <w:rtl w:val="0"/>
        </w:rPr>
      </w:r>
    </w:p>
    <w:p w:rsidR="00000000" w:rsidDel="00000000" w:rsidP="00000000" w:rsidRDefault="00000000" w:rsidRPr="00000000" w14:paraId="00000087">
      <w:pPr>
        <w:spacing w:after="120" w:line="360" w:lineRule="auto"/>
        <w:ind w:left="720" w:hanging="720"/>
        <w:rPr>
          <w:sz w:val="28"/>
          <w:szCs w:val="28"/>
        </w:rPr>
      </w:pPr>
      <w:r w:rsidDel="00000000" w:rsidR="00000000" w:rsidRPr="00000000">
        <w:rPr>
          <w:rFonts w:ascii="Times New Roman" w:cs="Times New Roman" w:eastAsia="Times New Roman" w:hAnsi="Times New Roman"/>
          <w:sz w:val="28"/>
          <w:szCs w:val="28"/>
          <w:rtl w:val="0"/>
        </w:rPr>
        <w:t xml:space="preserve">Neusner, Jacob, and Tamara Sonn. Comparing Religions Through Law: Judaism and Islam. London: Routledge, 1999.</w:t>
      </w:r>
      <w:r w:rsidDel="00000000" w:rsidR="00000000" w:rsidRPr="00000000">
        <w:rPr>
          <w:rtl w:val="0"/>
        </w:rPr>
      </w:r>
    </w:p>
    <w:p w:rsidR="00000000" w:rsidDel="00000000" w:rsidP="00000000" w:rsidRDefault="00000000" w:rsidRPr="00000000" w14:paraId="00000088">
      <w:pPr>
        <w:spacing w:after="120" w:line="360" w:lineRule="auto"/>
        <w:ind w:left="720" w:hanging="720"/>
        <w:rPr>
          <w:sz w:val="28"/>
          <w:szCs w:val="28"/>
        </w:rPr>
      </w:pPr>
      <w:r w:rsidDel="00000000" w:rsidR="00000000" w:rsidRPr="00000000">
        <w:rPr>
          <w:rFonts w:ascii="Times New Roman" w:cs="Times New Roman" w:eastAsia="Times New Roman" w:hAnsi="Times New Roman"/>
          <w:sz w:val="28"/>
          <w:szCs w:val="28"/>
          <w:rtl w:val="0"/>
        </w:rPr>
        <w:t xml:space="preserve">Reynolds, Philip L. How Marriage Became One of the Sacraments: The Sacramental Theology of Marriage from Its Medieval Origins to the Council of Trent. Cambridge: Cambridge University Press, 2016.</w:t>
      </w:r>
      <w:r w:rsidDel="00000000" w:rsidR="00000000" w:rsidRPr="00000000">
        <w:rPr>
          <w:rtl w:val="0"/>
        </w:rPr>
      </w:r>
    </w:p>
    <w:p w:rsidR="00000000" w:rsidDel="00000000" w:rsidP="00000000" w:rsidRDefault="00000000" w:rsidRPr="00000000" w14:paraId="00000089">
      <w:pPr>
        <w:spacing w:after="120" w:line="360" w:lineRule="auto"/>
        <w:ind w:left="720" w:hanging="720"/>
        <w:rPr>
          <w:sz w:val="28"/>
          <w:szCs w:val="28"/>
        </w:rPr>
      </w:pPr>
      <w:r w:rsidDel="00000000" w:rsidR="00000000" w:rsidRPr="00000000">
        <w:rPr>
          <w:rFonts w:ascii="Times New Roman" w:cs="Times New Roman" w:eastAsia="Times New Roman" w:hAnsi="Times New Roman"/>
          <w:sz w:val="28"/>
          <w:szCs w:val="28"/>
          <w:rtl w:val="0"/>
        </w:rPr>
        <w:t xml:space="preserve">Satlow, Michael L. Jewish Marriage in Antiquity. Princeton, NJ: Princeton University Press, 2001.</w:t>
      </w:r>
      <w:r w:rsidDel="00000000" w:rsidR="00000000" w:rsidRPr="00000000">
        <w:rPr>
          <w:rtl w:val="0"/>
        </w:rPr>
      </w:r>
    </w:p>
    <w:p w:rsidR="00000000" w:rsidDel="00000000" w:rsidP="00000000" w:rsidRDefault="00000000" w:rsidRPr="00000000" w14:paraId="0000008A">
      <w:pPr>
        <w:spacing w:after="120" w:line="360" w:lineRule="auto"/>
        <w:ind w:left="720" w:hanging="720"/>
        <w:rPr>
          <w:sz w:val="28"/>
          <w:szCs w:val="28"/>
        </w:rPr>
      </w:pPr>
      <w:r w:rsidDel="00000000" w:rsidR="00000000" w:rsidRPr="00000000">
        <w:rPr>
          <w:rFonts w:ascii="Times New Roman" w:cs="Times New Roman" w:eastAsia="Times New Roman" w:hAnsi="Times New Roman"/>
          <w:sz w:val="28"/>
          <w:szCs w:val="28"/>
          <w:rtl w:val="0"/>
        </w:rPr>
        <w:t xml:space="preserve">Schembri, Kevin. Oikonomia, Divorce and Remarriage in the Eastern Orthodox Tradition. Kanonika 23. Rome: Pontificio Istituto Orientale, 2017.</w:t>
      </w:r>
      <w:r w:rsidDel="00000000" w:rsidR="00000000" w:rsidRPr="00000000">
        <w:rPr>
          <w:rtl w:val="0"/>
        </w:rPr>
      </w:r>
    </w:p>
    <w:p w:rsidR="00000000" w:rsidDel="00000000" w:rsidP="00000000" w:rsidRDefault="00000000" w:rsidRPr="00000000" w14:paraId="0000008B">
      <w:pPr>
        <w:spacing w:after="120" w:line="360" w:lineRule="auto"/>
        <w:ind w:left="0" w:firstLine="0"/>
        <w:rPr>
          <w:sz w:val="28"/>
          <w:szCs w:val="28"/>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gT9CJuDDw+PiKUMLqz3it52lPQ==">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