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r>
        <w:rPr>
          <w:b/>
          <w:sz w:val="32"/>
        </w:rPr>
        <w:t xml:space="preserve">Math rendering fixture</w:t>
      </w:r>
    </w:p>
    <w:p>
      <w:r>
        <w:rPr/>
        <w:t xml:space="preserve">Every formula below is a native Word equation (OMML).</w:t>
      </w:r>
    </w:p>
    <w:p>
      <w:r>
        <w:rPr/>
        <w:t xml:space="preserve"/>
      </w:r>
    </w:p>
    <w:p>
      <w:r>
        <w:rPr>
          <w:b/>
        </w:rPr>
        <w:t xml:space="preserve">1. Quadratic formula (fraction, radical, superscript):</w:t>
      </w:r>
    </w:p>
    <w:p>
      <m:oMathPara>
        <m:oMath>
          <m:r>
            <w:rPr>
              <w:rFonts w:ascii="Cambria Math" w:hAnsi="Cambria Math" w:cs="Cambria Math"/>
              <w:i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  <w:i/>
                </w:rPr>
                <m:t xml:space="preserve">−</m:t>
              </m:r>
              <m:r>
                <w:rPr>
                  <w:rFonts w:ascii="Cambria Math" w:hAnsi="Cambria Math" w:cs="Cambria Math"/>
                  <w:i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±</m:t>
              </m:r>
              <m:rad>
                <m:radPr>
                  <m:degHide m:val="1"/>
                  <m:ctrlPr>
                    <w:rPr>
                      <w:rFonts w:ascii="Cambria Math" w:hAnsi="Cambria Math" w:cs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i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i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 w:cs="Cambria Math"/>
                      <w:i/>
                    </w:rPr>
                    <m:t xml:space="preserve">4</m:t>
                  </m:r>
                  <m:r>
                    <w:rPr>
                      <w:rFonts w:ascii="Cambria Math" w:hAnsi="Cambria Math" w:cs="Cambria Math"/>
                      <w:i/>
                    </w:rPr>
                    <m:t xml:space="preserve">a</m:t>
                  </m:r>
                  <m:r>
                    <w:rPr>
                      <w:rFonts w:ascii="Cambria Math" w:hAnsi="Cambria Math" w:cs="Cambria Math"/>
                      <w:i/>
                    </w:rPr>
                    <m:t xml:space="preserve">c</m:t>
                  </m:r>
                </m:e>
              </m:rad>
            </m:num>
            <m:den>
              <m:r>
                <w:rPr>
                  <w:rFonts w:ascii="Cambria Math" w:hAnsi="Cambria Math" w:cs="Cambria Math"/>
                  <w:i/>
                </w:rPr>
                <m:t xml:space="preserve">2</m:t>
              </m:r>
              <m:r>
                <w:rPr>
                  <w:rFonts w:ascii="Cambria Math" w:hAnsi="Cambria Math" w:cs="Cambria Math"/>
                  <w:i/>
                </w:rPr>
                <m:t xml:space="preserve">a</m:t>
              </m:r>
            </m:den>
          </m:f>
        </m:oMath>
      </m:oMathPara>
    </w:p>
    <w:p>
      <w:r>
        <w:rPr>
          <w:b/>
        </w:rPr>
        <w:t xml:space="preserve">2. Gaussian integral (n-ary operator, sub/sup limits):</w:t>
      </w:r>
    </w:p>
    <w:p>
      <m:oMathPara>
        <m:oMath>
          <m:nary>
            <m:naryPr>
              <m:chr m:val="∫"/>
              <m:limLoc m:val="subSup"/>
              <m:ctrlPr>
                <w:rPr>
                  <w:rFonts w:ascii="Cambria Math" w:hAnsi="Cambria Math" w:cs="Cambria Math"/>
                  <w:i/>
                </w:rPr>
              </m:ctrlPr>
            </m:naryPr>
            <m:sub>
              <m:r>
                <w:rPr>
                  <w:rFonts w:ascii="Cambria Math" w:hAnsi="Cambria Math" w:cs="Cambria Math"/>
                  <w:i/>
                </w:rPr>
                <m:t xml:space="preserve">0</m:t>
              </m:r>
            </m:sub>
            <m:sup>
              <m:r>
                <w:rPr>
                  <w:rFonts w:ascii="Cambria Math" w:hAnsi="Cambria Math" w:cs="Cambria Math"/>
                  <w:i/>
                </w:rPr>
                <m:t xml:space="preserve">∞</m:t>
              </m:r>
            </m:sup>
            <m:e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i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 w:cs="Cambria Math"/>
                      <w:i/>
                    </w:rPr>
                    <m:t xml:space="preserve">−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i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i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  <w:i/>
                </w:rPr>
                <m:t xml:space="preserve">d</m:t>
              </m:r>
              <m:r>
                <w:rPr>
                  <w:rFonts w:ascii="Cambria Math" w:hAnsi="Cambria Math" w:cs="Cambria Math"/>
                  <w:i/>
                </w:rPr>
                <m:t xml:space="preserve">x</m:t>
              </m:r>
            </m:e>
          </m:nary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  <w:i/>
                    </w:rPr>
                    <m:t xml:space="preserve">π</m:t>
                  </m:r>
                </m:e>
              </m:rad>
            </m:num>
            <m:den>
              <m:r>
                <w:rPr>
                  <w:rFonts w:ascii="Cambria Math" w:hAnsi="Cambria Math" w:cs="Cambria Math"/>
                  <w:i/>
                </w:rPr>
                <m:t xml:space="preserve">2</m:t>
              </m:r>
            </m:den>
          </m:f>
        </m:oMath>
      </m:oMathPara>
    </w:p>
    <w:p>
      <w:r>
        <w:rPr>
          <w:b/>
        </w:rPr>
        <w:t xml:space="preserve">3. Basel problem (summation, under/over limits):</w:t>
      </w:r>
    </w:p>
    <w:p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Cambria Math"/>
                  <w:i/>
                </w:rPr>
              </m:ctrlPr>
            </m:naryPr>
            <m:sub>
              <m:r>
                <w:rPr>
                  <w:rFonts w:ascii="Cambria Math" w:hAnsi="Cambria Math" w:cs="Cambria Math"/>
                  <w:i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 w:cs="Cambria Math"/>
                  <w:i/>
                </w:rPr>
                <m:t xml:space="preserve">1</m:t>
              </m:r>
            </m:sub>
            <m:sup>
              <m:r>
                <w:rPr>
                  <w:rFonts w:ascii="Cambria Math" w:hAnsi="Cambria Math" w:cs="Cambria Math"/>
                  <w:i/>
                </w:rPr>
                <m:t xml:space="preserve">∞</m:t>
              </m:r>
            </m:sup>
            <m:e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i/>
                    </w:rPr>
                    <m:t xml:space="preserve"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i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i/>
                        </w:rPr>
                        <m:t xml:space="preserve"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i/>
                    </w:rPr>
                    <m:t xml:space="preserve">π</m:t>
                  </m:r>
                </m:e>
                <m:sup>
                  <m:r>
                    <w:rPr>
                      <w:rFonts w:ascii="Cambria Math" w:hAnsi="Cambria Math" w:cs="Cambria Math"/>
                      <w:i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 w:cs="Cambria Math"/>
                  <w:i/>
                </w:rPr>
                <m:t xml:space="preserve">6</m:t>
              </m:r>
            </m:den>
          </m:f>
        </m:oMath>
      </m:oMathPara>
    </w:p>
    <w:p>
      <w:r>
        <w:rPr>
          <w:b/>
        </w:rPr>
        <w:t xml:space="preserve">4. Matrix (delimiters, grid):</w:t>
      </w:r>
    </w:p>
    <w:p>
      <m:oMathPara>
        <m:oMath>
          <m:r>
            <w:rPr>
              <w:rFonts w:ascii="Cambria Math" w:hAnsi="Cambria Math" w:cs="Cambria Math"/>
              <w:i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  <m:ctrlPr>
                <w:rPr>
                  <w:rFonts w:ascii="Cambria Math" w:hAnsi="Cambria Math" w:cs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Cambria Math"/>
                        <w:i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 w:cs="Cambria Math"/>
                        <w:i/>
                      </w:rPr>
                      <m:t xml:space="preserve">b</m:t>
                    </m:r>
                  </m:e>
                </m:mr>
                <m:mr>
                  <m:e>
                    <m:r>
                      <w:rPr>
                        <w:rFonts w:ascii="Cambria Math" w:hAnsi="Cambria Math" w:cs="Cambria Math"/>
                        <w:i/>
                      </w:rPr>
                      <m:t xml:space="preserve">c</m:t>
                    </m:r>
                  </m:e>
                  <m:e>
                    <m:r>
                      <w:rPr>
                        <w:rFonts w:ascii="Cambria Math" w:hAnsi="Cambria Math" w:cs="Cambria Math"/>
                        <w:i/>
                      </w:rPr>
                      <m:t xml:space="preserve">d</m:t>
                    </m:r>
                  </m:e>
                </m:mr>
              </m:m>
            </m:e>
          </m:d>
        </m:oMath>
      </m:oMathPara>
    </w:p>
    <w:p>
      <w:r>
        <w:rPr>
          <w:b/>
        </w:rPr>
        <w:t xml:space="preserve">5. Inline equation inside a sentence:</w:t>
      </w:r>
    </w:p>
    <w:p>
      <w:r>
        <w:t xml:space="preserve">The Pythagorean theorem states that 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  <w:i/>
              </w:rPr>
              <m:t xml:space="preserve">a</m:t>
            </m:r>
          </m:e>
          <m:sup>
            <m:r>
              <w:rPr>
                <w:rFonts w:ascii="Cambria Math" w:hAnsi="Cambria Math" w:cs="Cambria Math"/>
                <w:i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  <w:i/>
              </w:rPr>
              <m:t xml:space="preserve">b</m:t>
            </m:r>
          </m:e>
          <m:sup>
            <m:r>
              <w:rPr>
                <w:rFonts w:ascii="Cambria Math" w:hAnsi="Cambria Math" w:cs="Cambria Math"/>
                <w:i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  <w:i/>
              </w:rPr>
              <m:t xml:space="preserve">c</m:t>
            </m:r>
          </m:e>
          <m:sup>
            <m:r>
              <w:rPr>
                <w:rFonts w:ascii="Cambria Math" w:hAnsi="Cambria Math" w:cs="Cambria Math"/>
                <w:i/>
              </w:rPr>
              <m:t xml:space="preserve">2</m:t>
            </m:r>
          </m:sup>
        </m:sSup>
      </m:oMath>
      <w:r>
        <w:t xml:space="preserve"> for any right triangle.</w:t>
      </w:r>
    </w:p>
    <w:p>
      <w:r>
        <w:rPr>
          <w:b/>
        </w:rPr>
        <w:t xml:space="preserve">6. Glyph coverage (tofu boxes here = missing math font):</w:t>
      </w:r>
    </w:p>
    <w:p>
      <m:oMathPara>
        <m:oMath>
          <m:r>
            <w:rPr>
              <w:rFonts w:ascii="Cambria Math" w:hAnsi="Cambria Math" w:cs="Cambria Math"/>
              <w:i/>
            </w:rPr>
            <m:t xml:space="preserve">α</m:t>
          </m:r>
          <m:r>
            <w:rPr>
              <w:rFonts w:ascii="Cambria Math" w:hAnsi="Cambria Math" w:cs="Cambria Math"/>
              <w:i/>
            </w:rPr>
            <m:t xml:space="preserve">β</m:t>
          </m:r>
          <m:r>
            <w:rPr>
              <w:rFonts w:ascii="Cambria Math" w:hAnsi="Cambria Math" w:cs="Cambria Math"/>
              <w:i/>
            </w:rPr>
            <m:t xml:space="preserve">γ</m:t>
          </m:r>
          <m:r>
            <w:rPr>
              <w:rFonts w:ascii="Cambria Math" w:hAnsi="Cambria Math" w:cs="Cambria Math"/>
              <w:i/>
            </w:rPr>
            <m:t xml:space="preserve">δ</m:t>
          </m:r>
          <m:r>
            <w:rPr>
              <w:rFonts w:ascii="Cambria Math" w:hAnsi="Cambria Math" w:cs="Cambria Math"/>
              <w:i/>
            </w:rPr>
            <m:t xml:space="preserve">∂</m:t>
          </m:r>
          <m:r>
            <w:rPr>
              <w:rFonts w:ascii="Cambria Math" w:hAnsi="Cambria Math" w:cs="Cambria Math"/>
              <w:i/>
            </w:rPr>
            <m:t xml:space="preserve">∇</m:t>
          </m:r>
          <m:r>
            <w:rPr>
              <w:rFonts w:ascii="Cambria Math" w:hAnsi="Cambria Math" w:cs="Cambria Math"/>
              <w:i/>
            </w:rPr>
            <m:t xml:space="preserve">∑</m:t>
          </m:r>
          <m:r>
            <w:rPr>
              <w:rFonts w:ascii="Cambria Math" w:hAnsi="Cambria Math" w:cs="Cambria Math"/>
              <w:i/>
            </w:rPr>
            <m:t xml:space="preserve">√</m:t>
          </m:r>
          <m:r>
            <w:rPr>
              <w:rFonts w:ascii="Cambria Math" w:hAnsi="Cambria Math" w:cs="Cambria Math"/>
              <w:i/>
            </w:rPr>
            <m:t xml:space="preserve">∞</m:t>
          </m:r>
          <m:r>
            <w:rPr>
              <w:rFonts w:ascii="Cambria Math" w:hAnsi="Cambria Math" w:cs="Cambria Math"/>
              <w:i/>
            </w:rPr>
            <m:t xml:space="preserve">≤</m:t>
          </m:r>
          <m:r>
            <w:rPr>
              <w:rFonts w:ascii="Cambria Math" w:hAnsi="Cambria Math" w:cs="Cambria Math"/>
              <w:i/>
            </w:rPr>
            <m:t xml:space="preserve">≥</m:t>
          </m:r>
          <m:r>
            <w:rPr>
              <w:rFonts w:ascii="Cambria Math" w:hAnsi="Cambria Math" w:cs="Cambria Math"/>
              <w:i/>
            </w:rPr>
            <m:t xml:space="preserve">≠</m:t>
          </m:r>
          <m:r>
            <w:rPr>
              <w:rFonts w:ascii="Cambria Math" w:hAnsi="Cambria Math" w:cs="Cambria Math"/>
              <w:i/>
            </w:rPr>
            <m:t xml:space="preserve">∈</m:t>
          </m:r>
          <m:r>
            <w:rPr>
              <w:rFonts w:ascii="Cambria Math" w:hAnsi="Cambria Math" w:cs="Cambria Math"/>
              <w:i/>
            </w:rPr>
            <m:t xml:space="preserve">∀</m:t>
          </m:r>
          <m:r>
            <w:rPr>
              <w:rFonts w:ascii="Cambria Math" w:hAnsi="Cambria Math" w:cs="Cambria Math"/>
              <w:i/>
            </w:rPr>
            <m:t xml:space="preserve">∃</m:t>
          </m:r>
          <m:r>
            <w:rPr>
              <w:rFonts w:ascii="Cambria Math" w:hAnsi="Cambria Math" w:cs="Cambria Math"/>
              <w:i/>
            </w:rPr>
            <m:t xml:space="preserve">⊂</m:t>
          </m:r>
          <m:r>
            <w:rPr>
              <w:rFonts w:ascii="Cambria Math" w:hAnsi="Cambria Math" w:cs="Cambria Math"/>
              <w:i/>
            </w:rPr>
            <m:t xml:space="preserve">→</m:t>
          </m:r>
          <m:r>
            <w:rPr>
              <w:rFonts w:ascii="Cambria Math" w:hAnsi="Cambria Math" w:cs="Cambria Math"/>
              <w:i/>
            </w:rPr>
            <m:t xml:space="preserve">⇒</m:t>
          </m:r>
          <m:r>
            <w:rPr>
              <w:rFonts w:ascii="Cambria Math" w:hAnsi="Cambria Math" w:cs="Cambria Math"/>
              <w:i/>
            </w:rPr>
            <m:t xml:space="preserve">≡</m:t>
          </m:r>
          <m:r>
            <w:rPr>
              <w:rFonts w:ascii="Cambria Math" w:hAnsi="Cambria Math" w:cs="Cambria Math"/>
              <w:i/>
            </w:rPr>
            <m:t xml:space="preserve">≈</m:t>
          </m:r>
        </m:oMath>
      </m:oMathPara>
    </w:p>
    <w:sectPr>
      <w:pgSz w:w="11906" w:h="16838"/>
      <w:pgMar w:top="1134" w:bottom="1134" w:left="1134" w:right="1134"/>
    </w:sectPr>
  </w:body>
</w:document>
</file>