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34.png" ContentType="image/png"/>
  <Override PartName="/word/media/rId20.png" ContentType="image/png"/>
  <Override PartName="/word/media/rId23.png" ContentType="image/png"/>
  <Override PartName="/word/media/rId13.png" ContentType="image/png"/>
  <Override PartName="/word/media/rId16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namaz-vakti-desktop-skeleton-option-1"/>
    <w:p>
      <w:pPr>
        <w:pStyle w:val="Heading1"/>
      </w:pPr>
      <w:r>
        <w:t xml:space="preserve">Namaz Vakti Desktop Skeleton (Option 1)</w:t>
      </w:r>
    </w:p>
    <w:p>
      <w:pPr>
        <w:pStyle w:val="FirstParagraph"/>
      </w:pPr>
      <w:r>
        <w:t xml:space="preserve">Electron + Node + template-first XLSX generation skeleton for:</w:t>
      </w:r>
    </w:p>
    <w:p>
      <w:pPr>
        <w:pStyle w:val="Compact"/>
        <w:numPr>
          <w:ilvl w:val="0"/>
          <w:numId w:val="1001"/>
        </w:numPr>
      </w:pPr>
      <w:r>
        <w:t xml:space="preserve">Read monthly TSV (</w:t>
      </w:r>
      <w:r>
        <w:rPr>
          <w:rStyle w:val="VerbatimChar"/>
        </w:rPr>
        <w:t xml:space="preserve">paterson_YYYY-MM.tsv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Compute grouped iqamah times</w:t>
      </w:r>
    </w:p>
    <w:p>
      <w:pPr>
        <w:pStyle w:val="Compact"/>
        <w:numPr>
          <w:ilvl w:val="0"/>
          <w:numId w:val="1001"/>
        </w:numPr>
      </w:pPr>
      <w:r>
        <w:t xml:space="preserve">Export XLSX and PNG</w:t>
      </w:r>
    </w:p>
    <w:bookmarkStart w:id="9" w:name="folder-layout"/>
    <w:p>
      <w:pPr>
        <w:pStyle w:val="Heading2"/>
      </w:pPr>
      <w:r>
        <w:t xml:space="preserve">Folder Layout</w:t>
      </w:r>
    </w:p>
    <w:p>
      <w:pPr>
        <w:pStyle w:val="SourceCode"/>
      </w:pPr>
      <w:r>
        <w:rPr>
          <w:rStyle w:val="VerbatimChar"/>
        </w:rPr>
        <w:t xml:space="preserve">desktop-app/</w:t>
      </w:r>
      <w:r>
        <w:br/>
      </w:r>
      <w:r>
        <w:rPr>
          <w:rStyle w:val="VerbatimChar"/>
        </w:rPr>
        <w:t xml:space="preserve">  assets/</w:t>
      </w:r>
      <w:r>
        <w:br/>
      </w:r>
      <w:r>
        <w:rPr>
          <w:rStyle w:val="VerbatimChar"/>
        </w:rPr>
        <w:t xml:space="preserve">    templates/</w:t>
      </w:r>
      <w:r>
        <w:br/>
      </w:r>
      <w:r>
        <w:rPr>
          <w:rStyle w:val="VerbatimChar"/>
        </w:rPr>
        <w:t xml:space="preserve">      README.md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domain/</w:t>
      </w:r>
      <w:r>
        <w:br/>
      </w:r>
      <w:r>
        <w:rPr>
          <w:rStyle w:val="VerbatimChar"/>
        </w:rPr>
        <w:t xml:space="preserve">      types.ts</w:t>
      </w:r>
      <w:r>
        <w:br/>
      </w:r>
      <w:r>
        <w:rPr>
          <w:rStyle w:val="VerbatimChar"/>
        </w:rPr>
        <w:t xml:space="preserve">      iqamah-rules.ts</w:t>
      </w:r>
      <w:r>
        <w:br/>
      </w:r>
      <w:r>
        <w:rPr>
          <w:rStyle w:val="VerbatimChar"/>
        </w:rPr>
        <w:t xml:space="preserve">      optimizer.ts</w:t>
      </w:r>
      <w:r>
        <w:br/>
      </w:r>
      <w:r>
        <w:rPr>
          <w:rStyle w:val="VerbatimChar"/>
        </w:rPr>
        <w:t xml:space="preserve">      grouping.ts</w:t>
      </w:r>
      <w:r>
        <w:br/>
      </w:r>
      <w:r>
        <w:rPr>
          <w:rStyle w:val="VerbatimChar"/>
        </w:rPr>
        <w:t xml:space="preserve">      pipeline.ts</w:t>
      </w:r>
      <w:r>
        <w:br/>
      </w:r>
      <w:r>
        <w:rPr>
          <w:rStyle w:val="VerbatimChar"/>
        </w:rPr>
        <w:t xml:space="preserve">    main/</w:t>
      </w:r>
      <w:r>
        <w:br/>
      </w:r>
      <w:r>
        <w:rPr>
          <w:rStyle w:val="VerbatimChar"/>
        </w:rPr>
        <w:t xml:space="preserve">      index.ts</w:t>
      </w:r>
      <w:r>
        <w:br/>
      </w:r>
      <w:r>
        <w:rPr>
          <w:rStyle w:val="VerbatimChar"/>
        </w:rPr>
        <w:t xml:space="preserve">      ipc-handlers.ts</w:t>
      </w:r>
      <w:r>
        <w:br/>
      </w:r>
      <w:r>
        <w:rPr>
          <w:rStyle w:val="VerbatimChar"/>
        </w:rPr>
        <w:t xml:space="preserve">    preload/</w:t>
      </w:r>
      <w:r>
        <w:br/>
      </w:r>
      <w:r>
        <w:rPr>
          <w:rStyle w:val="VerbatimChar"/>
        </w:rPr>
        <w:t xml:space="preserve">      index.ts</w:t>
      </w:r>
      <w:r>
        <w:br/>
      </w:r>
      <w:r>
        <w:rPr>
          <w:rStyle w:val="VerbatimChar"/>
        </w:rPr>
        <w:t xml:space="preserve">    renderer/</w:t>
      </w:r>
      <w:r>
        <w:br/>
      </w:r>
      <w:r>
        <w:rPr>
          <w:rStyle w:val="VerbatimChar"/>
        </w:rPr>
        <w:t xml:space="preserve">      index.html</w:t>
      </w:r>
      <w:r>
        <w:br/>
      </w:r>
      <w:r>
        <w:rPr>
          <w:rStyle w:val="VerbatimChar"/>
        </w:rPr>
        <w:t xml:space="preserve">      src/</w:t>
      </w:r>
      <w:r>
        <w:br/>
      </w:r>
      <w:r>
        <w:rPr>
          <w:rStyle w:val="VerbatimChar"/>
        </w:rPr>
        <w:t xml:space="preserve">        main.ts</w:t>
      </w:r>
      <w:r>
        <w:br/>
      </w:r>
      <w:r>
        <w:rPr>
          <w:rStyle w:val="VerbatimChar"/>
        </w:rPr>
        <w:t xml:space="preserve">        global.d.ts</w:t>
      </w:r>
      <w:r>
        <w:br/>
      </w:r>
      <w:r>
        <w:rPr>
          <w:rStyle w:val="VerbatimChar"/>
        </w:rPr>
        <w:t xml:space="preserve">    services/</w:t>
      </w:r>
      <w:r>
        <w:br/>
      </w:r>
      <w:r>
        <w:rPr>
          <w:rStyle w:val="VerbatimChar"/>
        </w:rPr>
        <w:t xml:space="preserve">      tsv-reader.ts</w:t>
      </w:r>
      <w:r>
        <w:br/>
      </w:r>
      <w:r>
        <w:rPr>
          <w:rStyle w:val="VerbatimChar"/>
        </w:rPr>
        <w:t xml:space="preserve">      xlsx-writer.ts</w:t>
      </w:r>
      <w:r>
        <w:br/>
      </w:r>
      <w:r>
        <w:rPr>
          <w:rStyle w:val="VerbatimChar"/>
        </w:rPr>
        <w:t xml:space="preserve">      png-renderer.ts</w:t>
      </w:r>
      <w:r>
        <w:br/>
      </w:r>
      <w:r>
        <w:rPr>
          <w:rStyle w:val="VerbatimChar"/>
        </w:rPr>
        <w:t xml:space="preserve">      template-map.ts</w:t>
      </w:r>
      <w:r>
        <w:br/>
      </w:r>
      <w:r>
        <w:rPr>
          <w:rStyle w:val="VerbatimChar"/>
        </w:rPr>
        <w:t xml:space="preserve">    shared/</w:t>
      </w:r>
      <w:r>
        <w:br/>
      </w:r>
      <w:r>
        <w:rPr>
          <w:rStyle w:val="VerbatimChar"/>
        </w:rPr>
        <w:t xml:space="preserve">      ipc.ts</w:t>
      </w:r>
      <w:r>
        <w:br/>
      </w:r>
      <w:r>
        <w:rPr>
          <w:rStyle w:val="VerbatimChar"/>
        </w:rPr>
        <w:t xml:space="preserve">  electron.vite.config.ts</w:t>
      </w:r>
      <w:r>
        <w:br/>
      </w:r>
      <w:r>
        <w:rPr>
          <w:rStyle w:val="VerbatimChar"/>
        </w:rPr>
        <w:t xml:space="preserve">  package.json</w:t>
      </w:r>
      <w:r>
        <w:br/>
      </w:r>
      <w:r>
        <w:rPr>
          <w:rStyle w:val="VerbatimChar"/>
        </w:rPr>
        <w:t xml:space="preserve">  tsconfig.json</w:t>
      </w:r>
    </w:p>
    <w:bookmarkEnd w:id="9"/>
    <w:bookmarkStart w:id="10" w:name="ipc-contracts"/>
    <w:p>
      <w:pPr>
        <w:pStyle w:val="Heading2"/>
      </w:pPr>
      <w:r>
        <w:t xml:space="preserve">IPC Contracts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src/shared/ipc.ts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listMonths(tsvFolder) -&gt; string[]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previewMonth(options) -&gt; PreviewMonthResponse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generateOutputs(options) -&gt; { xlsxPath, pngPath, warnings }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selectTsvFolder() -&gt; string | null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selectOutputFolder() -&gt; string | null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selectTemplateFile() -&gt; string | null</w:t>
      </w:r>
    </w:p>
    <w:p>
      <w:pPr>
        <w:pStyle w:val="FirstParagraph"/>
      </w:pPr>
      <w:r>
        <w:rPr>
          <w:rStyle w:val="VerbatimChar"/>
        </w:rPr>
        <w:t xml:space="preserve">GenerationOptions</w:t>
      </w:r>
      <w:r>
        <w:t xml:space="preserve"> </w:t>
      </w:r>
      <w:r>
        <w:t xml:space="preserve">includes: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month</w:t>
      </w:r>
      <w:r>
        <w:t xml:space="preserve"> </w:t>
      </w:r>
      <w:r>
        <w:t xml:space="preserve">(</w:t>
      </w:r>
      <w:r>
        <w:rPr>
          <w:rStyle w:val="VerbatimChar"/>
        </w:rPr>
        <w:t xml:space="preserve">YYYY-MM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tsvFolder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templateFile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locale</w:t>
      </w:r>
      <w:r>
        <w:t xml:space="preserve"> </w:t>
      </w:r>
      <w:r>
        <w:t xml:space="preserve">(</w:t>
      </w:r>
      <w:r>
        <w:rPr>
          <w:rStyle w:val="VerbatimChar"/>
        </w:rPr>
        <w:t xml:space="preserve">en|tr</w:t>
      </w:r>
      <w:r>
        <w:t xml:space="preserve">),</w:t>
      </w:r>
      <w:r>
        <w:t xml:space="preserve"> </w:t>
      </w:r>
      <w:r>
        <w:rPr>
          <w:rStyle w:val="VerbatimChar"/>
        </w:rPr>
        <w:t xml:space="preserve">timeFormat</w:t>
      </w:r>
      <w:r>
        <w:t xml:space="preserve"> </w:t>
      </w:r>
      <w:r>
        <w:t xml:space="preserve">(</w:t>
      </w:r>
      <w:r>
        <w:rPr>
          <w:rStyle w:val="VerbatimChar"/>
        </w:rPr>
        <w:t xml:space="preserve">ampm|24h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baseGroupSize</w:t>
      </w:r>
      <w:r>
        <w:t xml:space="preserve"> </w:t>
      </w:r>
      <w:r>
        <w:t xml:space="preserve">(</w:t>
      </w:r>
      <w:r>
        <w:rPr>
          <w:rStyle w:val="VerbatimChar"/>
        </w:rPr>
        <w:t xml:space="preserve">5|10|15</w:t>
      </w:r>
      <w:r>
        <w:t xml:space="preserve">)</w:t>
      </w:r>
    </w:p>
    <w:bookmarkEnd w:id="10"/>
    <w:bookmarkStart w:id="11" w:name="algorithm-interfaces"/>
    <w:p>
      <w:pPr>
        <w:pStyle w:val="Heading2"/>
      </w:pPr>
      <w:r>
        <w:t xml:space="preserve">Algorithm Interfaces</w:t>
      </w:r>
    </w:p>
    <w:p>
      <w:pPr>
        <w:pStyle w:val="FirstParagraph"/>
      </w:pPr>
      <w:r>
        <w:rPr>
          <w:rStyle w:val="VerbatimChar"/>
        </w:rPr>
        <w:t xml:space="preserve">src/domain/iqamah-rules.ts</w:t>
      </w:r>
    </w:p>
    <w:p>
      <w:pPr>
        <w:pStyle w:val="Compact"/>
        <w:numPr>
          <w:ilvl w:val="0"/>
          <w:numId w:val="1004"/>
        </w:numPr>
      </w:pPr>
      <w:r>
        <w:t xml:space="preserve">Rule definitions per prayer</w:t>
      </w:r>
    </w:p>
    <w:p>
      <w:pPr>
        <w:pStyle w:val="Compact"/>
        <w:numPr>
          <w:ilvl w:val="0"/>
          <w:numId w:val="1004"/>
        </w:numPr>
      </w:pPr>
      <w:r>
        <w:t xml:space="preserve">Base group-size validation</w:t>
      </w:r>
    </w:p>
    <w:p>
      <w:pPr>
        <w:pStyle w:val="FirstParagraph"/>
      </w:pPr>
      <w:r>
        <w:rPr>
          <w:rStyle w:val="VerbatimChar"/>
        </w:rPr>
        <w:t xml:space="preserve">src/domain/optimizer.ts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buildBaseGroups(days, size)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optimizeIqamahForPrayer(days, rule)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optimizeGroups(baseGroups, rules)</w:t>
      </w:r>
    </w:p>
    <w:p>
      <w:pPr>
        <w:pStyle w:val="FirstParagraph"/>
      </w:pPr>
      <w:r>
        <w:rPr>
          <w:rStyle w:val="VerbatimChar"/>
        </w:rPr>
        <w:t xml:space="preserve">src/domain/grouping.ts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collapseAdjacentSameGroups(groups)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assignColorTokens(baseGroups, theme)</w:t>
      </w:r>
    </w:p>
    <w:p>
      <w:pPr>
        <w:pStyle w:val="FirstParagraph"/>
      </w:pPr>
      <w:r>
        <w:rPr>
          <w:rStyle w:val="VerbatimChar"/>
        </w:rPr>
        <w:t xml:space="preserve">src/domain/pipeline.ts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buildMonthlyPlan(input)</w:t>
      </w:r>
      <w:r>
        <w:t xml:space="preserve"> </w:t>
      </w:r>
      <w:r>
        <w:t xml:space="preserve">orchestrates full flow:</w:t>
      </w:r>
      <w:r>
        <w:t xml:space="preserve"> </w:t>
      </w:r>
      <w:r>
        <w:t xml:space="preserve">parse minutes -&gt; base groups -&gt; optimize -&gt; collapse -&gt; color sequence.</w:t>
      </w:r>
    </w:p>
    <w:bookmarkEnd w:id="11"/>
    <w:bookmarkStart w:id="12" w:name="implementation-notes"/>
    <w:p>
      <w:pPr>
        <w:pStyle w:val="Heading2"/>
      </w:pPr>
      <w:r>
        <w:t xml:space="preserve">Implementation Notes</w:t>
      </w:r>
    </w:p>
    <w:p>
      <w:pPr>
        <w:pStyle w:val="Compact"/>
        <w:numPr>
          <w:ilvl w:val="0"/>
          <w:numId w:val="1008"/>
        </w:numPr>
      </w:pPr>
      <w:r>
        <w:t xml:space="preserve">Optimizer enforces prayer constraints (</w:t>
      </w:r>
      <w:r>
        <w:rPr>
          <w:rStyle w:val="VerbatimChar"/>
        </w:rPr>
        <w:t xml:space="preserve">&gt;= +offset</w:t>
      </w:r>
      <w:r>
        <w:t xml:space="preserve"> </w:t>
      </w:r>
      <w:r>
        <w:t xml:space="preserve">for zhuhr/asr/maghrib/isha,</w:t>
      </w:r>
      <w:r>
        <w:t xml:space="preserve"> </w:t>
      </w:r>
      <w:r>
        <w:rPr>
          <w:rStyle w:val="VerbatimChar"/>
        </w:rPr>
        <w:t xml:space="preserve">&lt;= -offset</w:t>
      </w:r>
      <w:r>
        <w:t xml:space="preserve"> </w:t>
      </w:r>
      <w:r>
        <w:t xml:space="preserve">from sunrise for fajr) and applies 5-minute quantization except maghrib.</w:t>
      </w:r>
    </w:p>
    <w:p>
      <w:pPr>
        <w:pStyle w:val="Compact"/>
        <w:numPr>
          <w:ilvl w:val="0"/>
          <w:numId w:val="1008"/>
        </w:numPr>
      </w:pPr>
      <w:r>
        <w:t xml:space="preserve">XLSX writer now uses concrete</w:t>
      </w:r>
      <w:r>
        <w:t xml:space="preserve"> </w:t>
      </w:r>
      <w:r>
        <w:rPr>
          <w:rStyle w:val="VerbatimChar"/>
        </w:rPr>
        <w:t xml:space="preserve">Odd</w:t>
      </w:r>
      <w:r>
        <w:t xml:space="preserve">/</w:t>
      </w:r>
      <w:r>
        <w:rPr>
          <w:rStyle w:val="VerbatimChar"/>
        </w:rPr>
        <w:t xml:space="preserve">Even</w:t>
      </w:r>
      <w:r>
        <w:t xml:space="preserve"> </w:t>
      </w:r>
      <w:r>
        <w:t xml:space="preserve">sheet maps from the provided template and preserves template styles by copying source row styles.</w:t>
      </w:r>
    </w:p>
    <w:p>
      <w:pPr>
        <w:pStyle w:val="Compact"/>
        <w:numPr>
          <w:ilvl w:val="0"/>
          <w:numId w:val="1008"/>
        </w:numPr>
      </w:pPr>
      <w:r>
        <w:t xml:space="preserve">PNG export is generated from a hidden offscreen BrowserWindow for deterministic capture.</w:t>
      </w:r>
    </w:p>
    <w:bookmarkEnd w:id="12"/>
    <w:bookmarkStart w:id="41" w:name="application-screenshots"/>
    <w:p>
      <w:pPr>
        <w:pStyle w:val="Heading2"/>
      </w:pPr>
      <w:r>
        <w:t xml:space="preserve">Application Screenshots</w:t>
      </w:r>
    </w:p>
    <w:p>
      <w:pPr>
        <w:pStyle w:val="FirstParagraph"/>
      </w:pPr>
      <w:r>
        <w:t xml:space="preserve">The following screenshots show the same application state in English and Turkish. The language switch changes the user interface labels while the generated-output language remains an independent setting in the Advanced section.</w:t>
      </w:r>
    </w:p>
    <w:bookmarkStart w:id="19" w:name="basic-window"/>
    <w:p>
      <w:pPr>
        <w:pStyle w:val="Heading3"/>
      </w:pPr>
      <w:r>
        <w:t xml:space="preserve">Basic window</w:t>
      </w:r>
    </w:p>
    <w:p>
      <w:pPr>
        <w:pStyle w:val="FirstParagraph"/>
      </w:pPr>
      <w:r>
        <w:t xml:space="preserve">The basic window provides the location, month, mosque information, announcement, and output controls without expanding the advanced settings.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Turkish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3954517"/>
                  <wp:effectExtent b="0" l="0" r="0" t="0"/>
                  <wp:docPr descr="Basic window in English" title="" id="14" name="Picture"/>
                  <a:graphic>
                    <a:graphicData uri="http://schemas.openxmlformats.org/drawingml/2006/picture">
                      <pic:pic>
                        <pic:nvPicPr>
                          <pic:cNvPr descr="docs/screenshots/ui-basic-en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54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954517"/>
                  <wp:effectExtent b="0" l="0" r="0" t="0"/>
                  <wp:docPr descr="Basic window in Turkish" title="" id="17" name="Picture"/>
                  <a:graphic>
                    <a:graphicData uri="http://schemas.openxmlformats.org/drawingml/2006/picture">
                      <pic:pic>
                        <pic:nvPicPr>
                          <pic:cNvPr descr="docs/screenshots/ui-basic-tr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54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19"/>
    <w:bookmarkStart w:id="26" w:name="advanced-section-opened"/>
    <w:p>
      <w:pPr>
        <w:pStyle w:val="Heading3"/>
      </w:pPr>
      <w:r>
        <w:t xml:space="preserve">Advanced section opened</w:t>
      </w:r>
    </w:p>
    <w:p>
      <w:pPr>
        <w:pStyle w:val="FirstParagraph"/>
      </w:pPr>
      <w:r>
        <w:t xml:space="preserve">The Advanced section exposes the generated-content language, base group size, Ramadan calculation option, and the entry point to prayer-time customization.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Turkish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3954517"/>
                  <wp:effectExtent b="0" l="0" r="0" t="0"/>
                  <wp:docPr descr="Advanced section in English" title="" id="21" name="Picture"/>
                  <a:graphic>
                    <a:graphicData uri="http://schemas.openxmlformats.org/drawingml/2006/picture">
                      <pic:pic>
                        <pic:nvPicPr>
                          <pic:cNvPr descr="docs/screenshots/ui-advanced-en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54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954517"/>
                  <wp:effectExtent b="0" l="0" r="0" t="0"/>
                  <wp:docPr descr="Advanced section in Turkish" title="" id="24" name="Picture"/>
                  <a:graphic>
                    <a:graphicData uri="http://schemas.openxmlformats.org/drawingml/2006/picture">
                      <pic:pic>
                        <pic:nvPicPr>
                          <pic:cNvPr descr="docs/screenshots/ui-advanced-tr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54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6"/>
    <w:bookmarkStart w:id="33" w:name="customize-window-opened"/>
    <w:p>
      <w:pPr>
        <w:pStyle w:val="Heading3"/>
      </w:pPr>
      <w:r>
        <w:t xml:space="preserve">Customize window opened</w:t>
      </w:r>
    </w:p>
    <w:p>
      <w:pPr>
        <w:pStyle w:val="FirstParagraph"/>
      </w:pPr>
      <w:r>
        <w:t xml:space="preserve">The Customize dialog lets each prayer be enabled or disabled and adjusts its direction, minute offset, rounding multiple, and optional earliest/latest limits.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Turkish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3954517"/>
                  <wp:effectExtent b="0" l="0" r="0" t="0"/>
                  <wp:docPr descr="Customize dialog in English" title="" id="28" name="Picture"/>
                  <a:graphic>
                    <a:graphicData uri="http://schemas.openxmlformats.org/drawingml/2006/picture">
                      <pic:pic>
                        <pic:nvPicPr>
                          <pic:cNvPr descr="docs/screenshots/ui-customize-en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54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954517"/>
                  <wp:effectExtent b="0" l="0" r="0" t="0"/>
                  <wp:docPr descr="Customize dialog in Turkish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ocs/screenshots/ui-customize-tr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54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33"/>
    <w:bookmarkStart w:id="40" w:name="schedule-snapshots"/>
    <w:p>
      <w:pPr>
        <w:pStyle w:val="Heading3"/>
      </w:pPr>
      <w:r>
        <w:t xml:space="preserve">Schedule snapshots</w:t>
      </w:r>
    </w:p>
    <w:p>
      <w:pPr>
        <w:pStyle w:val="FirstParagraph"/>
      </w:pPr>
      <w:r>
        <w:t xml:space="preserve">These examples show the exported schedule layout for an odd-numbered month (January 2026) and an even-numbered month (February 2026). The odd-month example displays Turkish schedule headings; the even-month example keeps the English output labels. The alternating colored blocks represent groups of days that share the same calculated iqamah values.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Odd month — Turkish output</w:t>
            </w:r>
          </w:p>
        </w:tc>
        <w:tc>
          <w:tcPr/>
          <w:p>
            <w:pPr>
              <w:pStyle w:val="Compact"/>
            </w:pPr>
            <w:r>
              <w:t xml:space="preserve">Even month — English output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5136311"/>
                  <wp:effectExtent b="0" l="0" r="0" t="0"/>
                  <wp:docPr descr="January 2026 Turkish schedule" title="" id="35" name="Picture"/>
                  <a:graphic>
                    <a:graphicData uri="http://schemas.openxmlformats.org/drawingml/2006/picture">
                      <pic:pic>
                        <pic:nvPicPr>
                          <pic:cNvPr descr="docs/screenshots/schedule-odd-turkish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6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5563111"/>
                  <wp:effectExtent b="0" l="0" r="0" t="0"/>
                  <wp:docPr descr="February 2026 English schedule" title="" id="38" name="Picture"/>
                  <a:graphic>
                    <a:graphicData uri="http://schemas.openxmlformats.org/drawingml/2006/picture">
                      <pic:pic>
                        <pic:nvPicPr>
                          <pic:cNvPr descr="docs/screenshots/schedule-even-english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563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40"/>
    <w:bookmarkEnd w:id="41"/>
    <w:bookmarkStart w:id="42" w:name="run"/>
    <w:p>
      <w:pPr>
        <w:pStyle w:val="Heading2"/>
      </w:pPr>
      <w:r>
        <w:t xml:space="preserve">Run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desktop-app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42"/>
    <w:bookmarkStart w:id="43" w:name="next-coding-step"/>
    <w:p>
      <w:pPr>
        <w:pStyle w:val="Heading2"/>
      </w:pPr>
      <w:r>
        <w:t xml:space="preserve">Next Coding Step</w:t>
      </w:r>
    </w:p>
    <w:p>
      <w:pPr>
        <w:pStyle w:val="Compact"/>
        <w:numPr>
          <w:ilvl w:val="0"/>
          <w:numId w:val="1009"/>
        </w:numPr>
      </w:pPr>
      <w:r>
        <w:t xml:space="preserve">Finalize template mapping (</w:t>
      </w:r>
      <w:r>
        <w:rPr>
          <w:rStyle w:val="VerbatimChar"/>
        </w:rPr>
        <w:t xml:space="preserve">src/services/template-map.ts</w:t>
      </w:r>
      <w:r>
        <w:t xml:space="preserve">) using named ranges or stable coordinates.</w:t>
      </w:r>
    </w:p>
    <w:p>
      <w:pPr>
        <w:pStyle w:val="Compact"/>
        <w:numPr>
          <w:ilvl w:val="0"/>
          <w:numId w:val="1009"/>
        </w:numPr>
      </w:pPr>
      <w:r>
        <w:t xml:space="preserve">Implement full XLSX write logic in</w:t>
      </w:r>
      <w:r>
        <w:t xml:space="preserve"> </w:t>
      </w:r>
      <w:r>
        <w:rPr>
          <w:rStyle w:val="VerbatimChar"/>
        </w:rPr>
        <w:t xml:space="preserve">src/services/xlsx-writer.ts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Render a dedicated print view for PNG export.</w:t>
      </w:r>
    </w:p>
    <w:p>
      <w:pPr>
        <w:pStyle w:val="Compact"/>
        <w:numPr>
          <w:ilvl w:val="0"/>
          <w:numId w:val="1009"/>
        </w:numPr>
      </w:pPr>
      <w:r>
        <w:t xml:space="preserve">Add unit tests around</w:t>
      </w:r>
      <w:r>
        <w:t xml:space="preserve"> </w:t>
      </w:r>
      <w:r>
        <w:rPr>
          <w:rStyle w:val="VerbatimChar"/>
        </w:rPr>
        <w:t xml:space="preserve">optimizer.ts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grouping.ts</w:t>
      </w:r>
      <w:r>
        <w:t xml:space="preserve">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34" Target="media/rId34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2026-08-04T20:27:11Z</dcterms:created>
  <dcterms:modified xsi:type="dcterms:W3CDTF">2026-08-04T20:27:11Z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