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COMPASS — Proprietary Clinical Framework · NUR Platform by Amplifai Health</w:t>
      </w:r>
    </w:p>
    <w:p/>
    <w:p>
      <w:pPr>
        <w:pStyle w:val="Heading1"/>
      </w:pPr>
      <w:r>
        <w:t>COMPASSClinical Risk Framework</w:t>
      </w:r>
    </w:p>
    <w:p>
      <w:pPr/>
      <w:r>
        <w:t>The proprietary clinical framework of the NUR Platform by Amplifai Health — merging wearable physiological signals with thermography to deliver evidence-based, zone-classified athlete risk assessments.</w:t>
      </w:r>
    </w:p>
    <w:p>
      <w:pPr>
        <w:pStyle w:val="Heading2"/>
      </w:pPr>
      <w:r>
        <w:t>What NUR Is Used For</w:t>
      </w:r>
    </w:p>
    <w:p>
      <w:pPr/>
      <w:r>
        <w:t>The NUR Platform is deployed across three interlocking clinical use cases — each supported by the COMPASS framework's dual-axis signal architecture.</w:t>
      </w:r>
    </w:p>
    <w:p>
      <w:pPr>
        <w:pStyle w:val="Heading3"/>
      </w:pPr>
      <w:r>
        <w:t>Injury Risk Prevention</w:t>
      </w:r>
    </w:p>
    <w:p>
      <w:pPr/>
      <w:r>
        <w:t>Daily monitoring of uninjured athletes to detect Deceptive Readiness — the hidden state where wearables appear normal but tissue inflammation is already building. The only clinical framework capable of surfacing this condition before symptoms emerge.</w:t>
      </w:r>
    </w:p>
    <w:p>
      <w:pPr>
        <w:pStyle w:val="Heading3"/>
      </w:pPr>
      <w:r>
        <w:t>Injury Monitoring &amp; Return to Play</w:t>
      </w:r>
    </w:p>
    <w:p>
      <w:pPr/>
      <w:r>
        <w:t>For injured athletes, COMPASS transitions into Monitoring Mode. Thermal trajectory through each rehabilitation phase provides objective clearance gates — replacing time-based assumptions with data-driven, phase-gated return-to-play decisions.</w:t>
      </w:r>
    </w:p>
    <w:p>
      <w:pPr>
        <w:pStyle w:val="Heading3"/>
      </w:pPr>
      <w:r>
        <w:t>Load Management Through Performance &amp; Readiness Modelling</w:t>
      </w:r>
    </w:p>
    <w:p>
      <w:pPr/>
      <w:r>
        <w:t>The Systemic Readiness Score — integrating HRV, sleep, resting HR, and ACWR — provides daily, athlete-specific load prescriptions. Coaches can modulate training intensity based on objective recovery state, preventing cumulative fatigue without sacrificing performance adaptation.</w:t>
      </w:r>
    </w:p>
    <w:p>
      <w:pPr>
        <w:pStyle w:val="Heading2"/>
      </w:pPr>
      <w:r>
        <w:t>The Core Philosophy</w:t>
      </w:r>
    </w:p>
    <w:p>
      <w:pPr/>
      <w:r>
        <w:t>The COMPASS framework integrates two fundamentally different kinds of athlete health data — each answering a different clinical question that the other cannot. Its architecture is grounded in the theoretical argument by Kalkhoven, Watsford &amp; Impellizzeri (2021) that systemic training load metrics cannot, by themselves, provide a quantitative indication of tissue-level injury risk.</w:t>
      </w:r>
    </w:p>
    <w:p>
      <w:pPr/>
      <w:r>
        <w:t>The Founding Insight: These two questions are not the same question. A wearable cannot tell you that the right hamstring is inflamed. A thermogram cannot tell you whether the athlete slept well. The power of combining them is not that they overlap — it is that they do not.</w:t>
      </w:r>
    </w:p>
    <w:p>
      <w:pPr/>
      <w:r>
        <w:t>Kalkhoven, Watsford &amp; Impellizzeri (2021) demonstrated that training load measures cannot provide a quantitative indication of whether particular load progressions will increase or decrease injury risk at the tissue level — making the case for a mechanistic, tissue-specific layer above and beyond systemic load monitoring. COMPASS operationalises that argument directly: the Systemic Readiness Score captures the internal load domain (HRV, sleep, ACWR), while the Thermal Asymmetry Index adds the tissue-specific spatial resolution that no systemic metric can reach.</w:t>
      </w:r>
    </w:p>
    <w:p>
      <w:pPr/>
      <w:r>
        <w:t>Kalkhoven JT, Watsford ML, Impellizzeri FM. A critique of the use and misuse of training load in team sports: towards a fuller understanding of the relationship between external and internal load. Sports Med. 2021;51(3):469–479. PMC7534945 ↗</w:t>
      </w:r>
    </w:p>
    <w:p>
      <w:pPr>
        <w:pStyle w:val="Heading2"/>
      </w:pPr>
      <w:r>
        <w:t>The COMPASS Framework</w:t>
      </w:r>
    </w:p>
    <w:p>
      <w:pPr/>
      <w:r>
        <w:t>Plotting Systemic Readiness against Maximum Thermal Asymmetry creates a two-dimensional space in which every athlete occupies one of four clinically distinct zones — each carrying a genuinely different meaning and requiring a genuinely different clinical response.</w:t>
      </w:r>
    </w:p>
    <w:p>
      <w:pPr/>
      <w:r>
        <w:t>The IOC Consensus on load management (Soligard et al. 2016, BJSM) defines injury risk as a function of the gap between an athlete's load and their capacity: when accumulated load exceeds the athlete's capacity to absorb it, injury risk rises. COMPASS zones map directly onto this load-capacity relationship — combining systemic capacity (Readiness Score) with local tissue capacity (Thermal Asymmetry Index) to characterise the precise nature of any capacity gap present.</w:t>
      </w:r>
    </w:p>
    <w:p>
      <w:pPr/>
      <w:r>
        <w:t>Soligard T, et al. How much is too much? International Olympic Committee consensus statement on load in sport and risk of injury. Br J Sports Med. 2016;50(17):1030–1041.</w:t>
      </w:r>
    </w:p>
    <w:p>
      <w:pPr>
        <w:pStyle w:val="Heading4"/>
      </w:pPr>
      <w:r>
        <w:t>Both Signals Are Clear</w:t>
      </w:r>
    </w:p>
    <w:p>
      <w:pPr/>
      <w:r>
        <w:t>The athlete's wearable data shows good recovery, and thermography shows no significant regional asymmetry. This is the optimal training state. Full training load is appropriate; no clinical intervention is indicated.</w:t>
      </w:r>
    </w:p>
    <w:p>
      <w:pPr/>
      <w:r>
        <w:t>Capacity gap: Load ≤ capacity on both systemic and tissue axes. No gap — the athlete is absorbing training demand without residual stress accumulation.</w:t>
      </w:r>
    </w:p>
    <w:p>
      <w:pPr>
        <w:pStyle w:val="Heading4"/>
      </w:pPr>
      <w:r>
        <w:t>Tired Body, Fine Tissue</w:t>
      </w:r>
    </w:p>
    <w:p>
      <w:pPr/>
      <w:r>
        <w:t>Wearable readiness is suppressed — HRV is down, sleep quality was poor, or load has been accumulating — but thermography shows no localised tissue stress. Clinical response: load management. No region-specific physiotherapy concern.</w:t>
      </w:r>
    </w:p>
    <w:p>
      <w:pPr/>
      <w:r>
        <w:t>Capacity gap: Systemic capacity is diminished. Load has eroded the whole-body margin — reduce volume to restore the gap before tissue stress compounds it.</w:t>
      </w:r>
    </w:p>
    <w:p>
      <w:pPr>
        <w:pStyle w:val="Heading4"/>
      </w:pPr>
      <w:r>
        <w:t>The Most Important Zone</w:t>
      </w:r>
    </w:p>
    <w:p>
      <w:pPr/>
      <w:r>
        <w:t>Systemic readiness is good — the athlete feels excellent and is motivated to train hard. But thermography flags elevated asymmetry in a specific region, indicating that local tissue stress is building. No wearable-only system can detect this.</w:t>
      </w:r>
    </w:p>
    <w:p>
      <w:pPr/>
      <w:r>
        <w:t>Capacity gap: Systemic capacity appears intact, but local tissue capacity is exceeded at the regional level. The gap is hidden — invisible to any systemic metric, detectable only by thermography.</w:t>
      </w:r>
    </w:p>
    <w:p>
      <w:pPr>
        <w:pStyle w:val="Heading4"/>
      </w:pPr>
      <w:r>
        <w:t>Both Signals Alarming</w:t>
      </w:r>
    </w:p>
    <w:p>
      <w:pPr/>
      <w:r>
        <w:t>Systemic readiness is low and thermal asymmetry is elevated simultaneously. The body is both globally fatigued and locally stressed. Mandatory clinical intervention: load reduction is non-negotiable; physiotherapy assessment required.</w:t>
      </w:r>
    </w:p>
    <w:p>
      <w:pPr/>
      <w:r>
        <w:t>Capacity gap: Load exceeds both systemic and local tissue capacity simultaneously. A critical dual-axis gap — continued training at this state makes injury statistically near-certain.</w:t>
      </w:r>
    </w:p>
    <w:p>
      <w:pPr/>
      <w:r>
        <w:t>Why the Deceptive Readiness Zone matters most: Injuries rarely happen to athletes who feel terrible. They happen most often to athletes who feel great, train hard, and cross a threshold that their tissue had been approaching invisibly for days or weeks. This zone is where thermography's early-warning capability saves careers.</w:t>
      </w:r>
    </w:p>
    <w:p>
      <w:pPr/>
      <w:r>
        <w:t>The COMPASS score: a continuous variable, not just a zone label. Every athlete receives a score from 0–100. Zone boundaries are clinical thresholds within that scale — where an athlete sits inside their zone carries independent meaning, and score trends within a zone signal risk before any zone transition occurs.</w:t>
      </w:r>
    </w:p>
    <w:p>
      <w:pPr>
        <w:pStyle w:val="Heading2"/>
      </w:pPr>
      <w:r>
        <w:t>The Framework Pipeline</w:t>
      </w:r>
    </w:p>
    <w:p>
      <w:pPr/>
      <w:r>
        <w:t>A high-level view of the full COMPASS pipeline — from raw sensor inputs to practitioner outputs. All scoring equations are collected in § 3.1 immediately after the diagram.</w:t>
      </w:r>
    </w:p>
    <w:p>
      <w:r>
        <w:t>§ 3.1</w:t>
      </w:r>
    </w:p>
    <w:p>
      <w:r>
        <w:t>§ 3.1</w:t>
      </w:r>
    </w:p>
    <w:p>
      <w:pPr>
        <w:pStyle w:val="Heading4"/>
      </w:pPr>
      <w:r>
        <w:t>3.1 — Scoring Equations</w:t>
      </w:r>
    </w:p>
    <w:p>
      <w:pPr/>
      <w:r>
        <w:t>The three calculations that underpin the pipeline — T Score conversion, zone classification thresholds, and the COMPASS score formula.</w:t>
      </w:r>
    </w:p>
    <w:p>
      <w:pPr/>
      <w:r>
        <w:t>In the Deceptive and Danger zones, the thermal signal carries 70% of the within-zone score, versus 30% for readiness. This reflects the clinical asymmetry at the heart of the framework: when tissue stress is elevated, how the athlete feels is an unreliable guide. The score is deliberately pulled down by thermal risk even when readiness is high — ensuring an athlete who feels great but has significant asymmetry cannot score in the upper half of the Deceptive band.</w:t>
      </w:r>
    </w:p>
    <w:p>
      <w:pPr>
        <w:pStyle w:val="Heading3"/>
      </w:pPr>
      <w:r>
        <w:t>Step-by-Step Walkthrough</w:t>
      </w:r>
    </w:p>
    <w:p>
      <w:pPr>
        <w:pStyle w:val="Heading4"/>
      </w:pPr>
      <w:r>
        <w:t>Collect raw signals</w:t>
      </w:r>
    </w:p>
    <w:p>
      <w:pPr/>
      <w:r>
        <w:t>Spike collects continuous sensor data and publishes one daily summary per athlete. Each day's output includes avg HRV resting HR sleep quality ACWR — these daily statistics are forwarded to the Spike API to generate the readiness score. The thermography camera captures a bilateral IR scan and returns TAI — the maximum contralateral delta across all scanned regions.</w:t>
      </w:r>
    </w:p>
    <w:p>
      <w:pPr>
        <w:pStyle w:val="Heading4"/>
      </w:pPr>
      <w:r>
        <w:t>Compute R and T scores</w:t>
      </w:r>
    </w:p>
    <w:p>
      <w:pPr/>
      <w:r>
        <w:t>The wearable API delivers a pre-normalised R score (0–100) — COMPASS does not perform any readiness modelling itself. The platform converts TAI to a T score (0–100) using either the population threshold method or the individual SD baseline method (preferred).</w:t>
      </w:r>
    </w:p>
    <w:p>
      <w:pPr>
        <w:pStyle w:val="Heading4"/>
      </w:pPr>
      <w:r>
        <w:t>Classify zone via 2 × 2 matrix</w:t>
      </w:r>
    </w:p>
    <w:p>
      <w:pPr/>
      <w:r>
        <w:t>R and T are each thresholded at 50. The combination of above/below determines which of the four zones applies: R ≥ 50, T &lt; 50 → Safe; R &lt; 50, T &lt; 50 → Recovery; R ≥ 50, T ≥ 50 → Deceptive; R &lt; 50, T ≥ 50 → Danger.</w:t>
      </w:r>
    </w:p>
    <w:p>
      <w:pPr>
        <w:pStyle w:val="Heading4"/>
      </w:pPr>
      <w:r>
        <w:t>Apply zone-specific weighting</w:t>
      </w:r>
    </w:p>
    <w:p>
      <w:pPr/>
      <w:r>
        <w:t>In Safe and Recovery zones the R and T contributions are equal (50/50). In Deceptive and Danger zones the thermal signal carries 70% of the within-zone score — reflecting the clinical reality that tissue stress is a more reliable injury predictor than perceived readiness when both signals conflict.</w:t>
      </w:r>
    </w:p>
    <w:p>
      <w:pPr>
        <w:pStyle w:val="Heading4"/>
      </w:pPr>
      <w:r>
        <w:t>Calculate final COMPASS score</w:t>
      </w:r>
    </w:p>
    <w:p>
      <w:pPr/>
      <w:r>
        <w:t>Each zone spans 25 points (floor to floor + 24). The weighted distances of R and T from their respective zone boundaries determine where within that 25-point band the athlete sits. The result is a single integer from 0–100 that encodes both zone identity and within-zone severity.</w:t>
      </w:r>
    </w:p>
    <w:p>
      <w:pPr/>
      <w:r>
        <w:t>Steps 1–5 produce the COMPASS score and zone assignment. The pipeline then continues through an AI reasoning layer (Stage F) to practitioner outputs (Stage G) — detailed in Section 07. The full equations behind Steps 2–4 are in § 3.1.</w:t>
      </w:r>
    </w:p>
    <w:p>
      <w:pPr>
        <w:pStyle w:val="Heading2"/>
      </w:pPr>
      <w:r>
        <w:t>The Role of Personalisation</w:t>
      </w:r>
    </w:p>
    <w:p>
      <w:pPr/>
      <w:r>
        <w:t>The readiness axis requires no baseline work from COMPASS — that is handled entirely by the wearable API provider. Personalisation within COMPASS is therefore focused exclusively on the thermal axis: establishing each athlete's individual thermal baseline so that asymmetry thresholds reflect what is elevated for them, not for the population.</w:t>
      </w:r>
    </w:p>
    <w:p>
      <w:r>
        <w:t>Wearable Readiness: Zero Baseline Burden — Powered by Daily Spike Data</w:t>
      </w:r>
    </w:p>
    <w:p>
      <w:pPr/>
      <w:r>
        <w:t>COMPASS receives a pre-computed, baseline-adjusted readiness score (0–100) directly from the Spike API. Spike collects raw sensor data continuously and publishes one daily summary per athlete — end-of-day averages for HRV, resting HR, sleep quality, and ACWR. These daily statistics are processed entirely by Spike: individual normalisation, HRV trend analysis, sleep scoring, and ACWR calculation all happen upstream. COMPASS consumes the output — no wearable data storage, baseline accumulation, or longitudinal modelling is required on the platform side.</w:t>
      </w:r>
    </w:p>
    <w:p>
      <w:pPr>
        <w:pStyle w:val="Heading3"/>
      </w:pPr>
      <w:r>
        <w:t>Thermal Baseline Establishment</w:t>
      </w:r>
    </w:p>
    <w:p>
      <w:pPr/>
      <w:r>
        <w:t>Thermography baselines must be built within COMPASS because they are institution- and equipment-specific. A meaningful personal thermal baseline requires a minimum series of scans captured under consistent conditions — see Section 08 (Standardised Scan Protocol) for the full specification.</w:t>
      </w:r>
    </w:p>
    <w:p>
      <w:r>
        <w:t>Population Baseline Active Until Personal Baseline Is Established</w:t>
      </w:r>
    </w:p>
    <w:p>
      <w:pPr/>
      <w:r>
        <w:t>Before 6 thermal scans are completed, COMPASS falls back to population-derived asymmetry thresholds rather than withholding a classification entirely. All outputs during this window are visibly flagged as "Population baseline — personal threshold not yet established." Once the 6th scan is processed, thresholds switch automatically to the athlete's personal values and the flag is removed.</w:t>
      </w:r>
    </w:p>
    <w:p>
      <w:pPr>
        <w:pStyle w:val="Heading2"/>
      </w:pPr>
      <w:r>
        <w:t>Population-Based Asymmetry Classification</w:t>
      </w:r>
    </w:p>
    <w:p>
      <w:pPr/>
      <w:r>
        <w:t>Applied when no individual thermal baseline has been established (fewer than 6 thermal scans). Thresholds are anchored to normative datasets of healthy athletes, using absolute temperature differences (°C) between contralateral body regions.</w:t>
      </w:r>
    </w:p>
    <w:p>
      <w:pPr/>
      <w:r>
        <w:t>Use population thresholds during the athlete onboarding window — before 6 thermal scans have been completed. All outputs are flagged as "Population baseline active." Once 6 scans are accumulated, the system transitions automatically to the SD-based individual model (Section 05B).</w:t>
      </w:r>
    </w:p>
    <w:p>
      <w:pPr>
        <w:pStyle w:val="Heading4"/>
      </w:pPr>
      <w:r>
        <w:t>Within Normative Range</w:t>
      </w:r>
    </w:p>
    <w:p>
      <w:pPr/>
      <w:r>
        <w:t>Bilateral thermal homeostasis maintained. No physiological imbalance detected. Consistent with the population mean of 0.004 ± 0.66°C across 950 healthy athletes (ThermoHuman 2022).</w:t>
      </w:r>
    </w:p>
    <w:p>
      <w:pPr>
        <w:pStyle w:val="Heading4"/>
      </w:pPr>
      <w:r>
        <w:t>Elevated Above Normative Threshold</w:t>
      </w:r>
    </w:p>
    <w:p>
      <w:pPr/>
      <w:r>
        <w:t>Above the 0.3°C monitoring boundary. A developing imbalance may be present. Below the prevention threshold but warrants contextualisation with training load and ACWR (Marins et al. 2014).</w:t>
      </w:r>
    </w:p>
    <w:p>
      <w:pPr>
        <w:pStyle w:val="Heading4"/>
      </w:pPr>
      <w:r>
        <w:t>Clinically Significant — Prevention Protocol</w:t>
      </w:r>
    </w:p>
    <w:p>
      <w:pPr/>
      <w:r>
        <w:t>Exceeds the threshold at which Gómez-Carmona et al. (2020) identified 83% of subsequent soft tissue injuries before symptom onset — an average 8.2 days early. Athlete may be fully asymptomatic.</w:t>
      </w:r>
    </w:p>
    <w:p>
      <w:pPr>
        <w:pStyle w:val="Heading4"/>
      </w:pPr>
      <w:r>
        <w:t>High Injury Risk — Mandatory Clinical Review</w:t>
      </w:r>
    </w:p>
    <w:p>
      <w:pPr/>
      <w:r>
        <w:t>Marked physiological disruption in the affected region. Probability of subclinical or active tissue injury is high. Clinical attention required regardless of subjective symptoms or wearable readiness scores.</w:t>
      </w:r>
    </w:p>
    <w:p>
      <w:pPr>
        <w:pStyle w:val="Heading3"/>
      </w:pPr>
      <w:r>
        <w:t>Evidence Reference — Population Thresholds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F2F2F2"/>
          </w:tcPr>
          <w:p>
            <w:r>
              <w:rPr>
                <w:b/>
              </w:rPr>
              <w:t>Tier</w:t>
            </w:r>
          </w:p>
        </w:tc>
        <w:tc>
          <w:tcPr>
            <w:tcW w:type="dxa" w:w="1728"/>
            <w:shd w:val="clear" w:color="auto" w:fill="F2F2F2"/>
          </w:tcPr>
          <w:p>
            <w:r>
              <w:rPr>
                <w:b/>
              </w:rPr>
              <w:t>Threshold</w:t>
            </w:r>
          </w:p>
        </w:tc>
        <w:tc>
          <w:tcPr>
            <w:tcW w:type="dxa" w:w="1728"/>
            <w:shd w:val="clear" w:color="auto" w:fill="F2F2F2"/>
          </w:tcPr>
          <w:p>
            <w:r>
              <w:rPr>
                <w:b/>
              </w:rPr>
              <w:t>Key Evidence</w:t>
            </w:r>
          </w:p>
        </w:tc>
        <w:tc>
          <w:tcPr>
            <w:tcW w:type="dxa" w:w="1728"/>
            <w:shd w:val="clear" w:color="auto" w:fill="F2F2F2"/>
          </w:tcPr>
          <w:p>
            <w:r>
              <w:rPr>
                <w:b/>
              </w:rPr>
              <w:t>Clinical Meaning</w:t>
            </w:r>
          </w:p>
        </w:tc>
        <w:tc>
          <w:tcPr>
            <w:tcW w:type="dxa" w:w="1728"/>
            <w:shd w:val="clear" w:color="auto" w:fill="F2F2F2"/>
          </w:tcPr>
          <w:p>
            <w:r>
              <w:rPr>
                <w:b/>
              </w:rPr>
              <w:t>COMPASS Action</w:t>
            </w:r>
          </w:p>
        </w:tc>
      </w:tr>
      <w:tr>
        <w:tc>
          <w:tcPr>
            <w:tcW w:type="dxa" w:w="1728"/>
          </w:tcPr>
          <w:p>
            <w:r>
              <w:t>No Finding</w:t>
            </w:r>
          </w:p>
        </w:tc>
        <w:tc>
          <w:tcPr>
            <w:tcW w:type="dxa" w:w="1728"/>
          </w:tcPr>
          <w:p>
            <w:r>
              <w:t>&lt; 0.3°C</w:t>
            </w:r>
          </w:p>
        </w:tc>
        <w:tc>
          <w:tcPr>
            <w:tcW w:type="dxa" w:w="1728"/>
          </w:tcPr>
          <w:p>
            <w:r>
              <w:t>ThermoHuman (2022): 950-athlete normative dataset; population mean 0.004 ± 0.66°C confirms bilateral thermal homeostasis. Stable muscle regions fall below 0.3°C in absence of injury or influence factors. Uematsu et al. (1988): asymptomatic ceiling ≤ 0.38°C from 90 controls. [↗ Appendix 1.7, 1.8]</w:t>
            </w:r>
          </w:p>
        </w:tc>
        <w:tc>
          <w:tcPr>
            <w:tcW w:type="dxa" w:w="1728"/>
          </w:tcPr>
          <w:p>
            <w:r>
              <w:t>Bilateral symmetry maintained. No physiological imbalance detected.</w:t>
            </w:r>
          </w:p>
        </w:tc>
        <w:tc>
          <w:tcPr>
            <w:tcW w:type="dxa" w:w="1728"/>
          </w:tcPr>
          <w:p>
            <w:r>
              <w:t>No intervention. Continue weekly scan cadence.</w:t>
            </w:r>
          </w:p>
        </w:tc>
      </w:tr>
      <w:tr>
        <w:tc>
          <w:tcPr>
            <w:tcW w:type="dxa" w:w="1728"/>
          </w:tcPr>
          <w:p>
            <w:r>
              <w:t>Moderate</w:t>
            </w:r>
          </w:p>
        </w:tc>
        <w:tc>
          <w:tcPr>
            <w:tcW w:type="dxa" w:w="1728"/>
          </w:tcPr>
          <w:p>
            <w:r>
              <w:t>0.30–0.49°C</w:t>
            </w:r>
          </w:p>
        </w:tc>
        <w:tc>
          <w:tcPr>
            <w:tcW w:type="dxa" w:w="1728"/>
          </w:tcPr>
          <w:p>
            <w:r>
              <w:t>ThermoHuman (2022): 0.3°C is the lower alert boundary of the asymmetry classification system. Marins et al. (2014): asymmetry ≥ 0.3°C warrants clinical attention; values approaching 0.4°C indicate elevated risk in major muscle groups. [↗ Appendix 1.9]</w:t>
            </w:r>
          </w:p>
        </w:tc>
        <w:tc>
          <w:tcPr>
            <w:tcW w:type="dxa" w:w="1728"/>
          </w:tcPr>
          <w:p>
            <w:r>
              <w:t>Elevated above normative threshold. Developing imbalance possible. Context-dependent — training load and history are critical co-factors.</w:t>
            </w:r>
          </w:p>
        </w:tc>
        <w:tc>
          <w:tcPr>
            <w:tcW w:type="dxa" w:w="1728"/>
          </w:tcPr>
          <w:p>
            <w:r>
              <w:t>Increase monitoring frequency. Contextualise with ACWR and recent training load. Flag for physiotherapy review at next scan.</w:t>
            </w:r>
          </w:p>
        </w:tc>
      </w:tr>
      <w:tr>
        <w:tc>
          <w:tcPr>
            <w:tcW w:type="dxa" w:w="1728"/>
          </w:tcPr>
          <w:p>
            <w:r>
              <w:t>High</w:t>
            </w:r>
          </w:p>
        </w:tc>
        <w:tc>
          <w:tcPr>
            <w:tcW w:type="dxa" w:w="1728"/>
          </w:tcPr>
          <w:p>
            <w:r>
              <w:t>0.50–0.99°C</w:t>
            </w:r>
          </w:p>
        </w:tc>
        <w:tc>
          <w:tcPr>
            <w:tcW w:type="dxa" w:w="1728"/>
          </w:tcPr>
          <w:p>
            <w:r>
              <w:t>Gómez-Carmona et al. (2020): &gt;0.5°C identified 83% of subsequent soft tissue injuries before symptoms, avg. 8.2 days early (n=24 professional players). Arnaiz-Lastras et al. (2019): prevention protocol at ≥ 0.4°C reduced injuries 64% (11→4). ThermoHuman: ≥ 0.6°C flags for complementary treatment. [↗ Appendix 1.2, 1.6]</w:t>
            </w:r>
          </w:p>
        </w:tc>
        <w:tc>
          <w:tcPr>
            <w:tcW w:type="dxa" w:w="1728"/>
          </w:tcPr>
          <w:p>
            <w:r>
              <w:t>Clinically significant. Strong predictive signal for imminent soft tissue injury. Athlete likely fully asymptomatic — this is the Deceptive Readiness risk.</w:t>
            </w:r>
          </w:p>
        </w:tc>
        <w:tc>
          <w:tcPr>
            <w:tcW w:type="dxa" w:w="1728"/>
          </w:tcPr>
          <w:p>
            <w:r>
              <w:t>Prevention protocol active. Modify training load for affected region. Physiotherapist soft tissue assessment. Increase scan frequency to every 3–4 days.</w:t>
            </w:r>
          </w:p>
        </w:tc>
      </w:tr>
      <w:tr>
        <w:tc>
          <w:tcPr>
            <w:tcW w:type="dxa" w:w="1728"/>
          </w:tcPr>
          <w:p>
            <w:r>
              <w:t>Severe</w:t>
            </w:r>
          </w:p>
        </w:tc>
        <w:tc>
          <w:tcPr>
            <w:tcW w:type="dxa" w:w="1728"/>
          </w:tcPr>
          <w:p>
            <w:r>
              <w:t>≥ 1.0°C</w:t>
            </w:r>
          </w:p>
        </w:tc>
        <w:tc>
          <w:tcPr>
            <w:tcW w:type="dxa" w:w="1728"/>
          </w:tcPr>
          <w:p>
            <w:r>
              <w:t>Schiavon et al. (2021): meta-analysis sensitivity 0.81, specificity 0.74, AUC 0.83. Costa et al. (2019): hamstring/knee asymmetry significantly elevated pre-injury vs. controls (p &lt; 0.01, Cohen's d = 0.87). IRT clinical consensus: &gt;0.7°C = abnormal; 1.0–1.5°C = high risk zone. [↗ Appendix 1.2]</w:t>
            </w:r>
          </w:p>
        </w:tc>
        <w:tc>
          <w:tcPr>
            <w:tcW w:type="dxa" w:w="1728"/>
          </w:tcPr>
          <w:p>
            <w:r>
              <w:t>High injury risk. Marked physiological disruption. Mandatory clinical attention regardless of subjective symptoms or wearable readiness.</w:t>
            </w:r>
          </w:p>
        </w:tc>
        <w:tc>
          <w:tcPr>
            <w:tcW w:type="dxa" w:w="1728"/>
          </w:tcPr>
          <w:p>
            <w:r>
              <w:t>Mandatory clinical review. Significant load reduction or rest. Targeted physiotherapy and medical assessment of flagged region. Re-scan within 3 days.</w:t>
            </w:r>
          </w:p>
        </w:tc>
      </w:tr>
    </w:tbl>
    <w:p/>
    <w:p>
      <w:pPr/>
      <w:r>
        <w:t>Regional Variability Note: These thresholds apply primarily to stable major muscle groups (hamstrings, quadriceps, calves, lumbar). Distal and small regions exhibit higher natural variability — heel (±3.73°C SD), wrist (±0.72°C SD) — and require adjusted interpretation before asymmetry is flagged as clinically significant.</w:t>
      </w:r>
    </w:p>
    <w:p>
      <w:pPr>
        <w:pStyle w:val="Heading2"/>
      </w:pPr>
      <w:r>
        <w:t>Individual Baseline SD Classification</w:t>
      </w:r>
    </w:p>
    <w:p>
      <w:pPr/>
      <w:r>
        <w:t>Applied once an athlete's personal thermal baseline is established (6 or more scans under standardised conditions (Section 08)). Each body region acquires a personal mean and SD from scan history. Subsequent readings are classified relative to this individual norm — a materially more sensitive and specific reference frame than population thresholds alone.</w:t>
      </w:r>
    </w:p>
    <w:p>
      <w:pPr/>
      <w:r>
        <w:t>Individual-referenced models outperform population norms across all sports monitoring biomarkers (Saw et al. 2016). Machine learning models trained on personal baselines achieve AUC 0.84 vs. 0.61 for group-norm models (Claudino et al. 2024). The COMPASS 1.5 SD alert threshold corresponds to approximately 0.4°C for major muscle groups — directly aligning with the Arnaiz-Lastras (2019) prevention protocol threshold, confirming both frameworks draw the boundary at the same underlying physiological signal.</w:t>
      </w:r>
    </w:p>
    <w:p>
      <w:pPr>
        <w:pStyle w:val="Heading4"/>
      </w:pPr>
      <w:r>
        <w:t>Within Individual Normal Range</w:t>
      </w:r>
    </w:p>
    <w:p>
      <w:pPr/>
      <w:r>
        <w:t>Asymmetry reflects normal day-to-day biological variation. No clinically meaningful departure from the athlete's personal thermal norm. Equivalent to approximately &lt; 0.27°C for major muscle groups.</w:t>
      </w:r>
    </w:p>
    <w:p>
      <w:pPr>
        <w:pStyle w:val="Heading4"/>
      </w:pPr>
      <w:r>
        <w:t>Meaningful Departure From Personal Baseline</w:t>
      </w:r>
    </w:p>
    <w:p>
      <w:pPr/>
      <w:r>
        <w:t>The athlete's thermal pattern has shifted beyond normal daily variability. Not yet a prevention trigger in isolation, but flags a change in tissue state requiring contextualisation. ≈ 0.27–0.40°C.</w:t>
      </w:r>
    </w:p>
    <w:p>
      <w:pPr>
        <w:pStyle w:val="Heading4"/>
      </w:pPr>
      <w:r>
        <w:t>COMPASS Alert Threshold</w:t>
      </w:r>
    </w:p>
    <w:p>
      <w:pPr/>
      <w:r>
        <w:t>The framework's primary prevention trigger. Clinically important departure from personal norm. Local tissue stress building — athlete likely fully asymptomatic. ≈ 0.41–0.54°C. Maps directly to COMPASS T ≥ 50.</w:t>
      </w:r>
    </w:p>
    <w:p>
      <w:pPr>
        <w:pStyle w:val="Heading4"/>
      </w:pPr>
      <w:r>
        <w:t>Extreme Deviation — High-Confidence Injury Signal</w:t>
      </w:r>
    </w:p>
    <w:p>
      <w:pPr/>
      <w:r>
        <w:t>The athlete's thermal pattern has departed dramatically from personal norm. PPV reaches 94.7% for pathology at high SD thresholds (Uematsu 1988). ≈ ≥ 0.55°C. Maps to COMPASS Danger Zone.</w:t>
      </w:r>
    </w:p>
    <w:p>
      <w:pPr>
        <w:pStyle w:val="Heading3"/>
      </w:pPr>
      <w:r>
        <w:t>Evidence Reference — SD-Based Thresholds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F2F2F2"/>
          </w:tcPr>
          <w:p>
            <w:r>
              <w:rPr>
                <w:b/>
              </w:rPr>
              <w:t>Tier</w:t>
            </w:r>
          </w:p>
        </w:tc>
        <w:tc>
          <w:tcPr>
            <w:tcW w:type="dxa" w:w="1728"/>
            <w:shd w:val="clear" w:color="auto" w:fill="F2F2F2"/>
          </w:tcPr>
          <w:p>
            <w:r>
              <w:rPr>
                <w:b/>
              </w:rPr>
              <w:t>SD Threshold</w:t>
            </w:r>
          </w:p>
        </w:tc>
        <w:tc>
          <w:tcPr>
            <w:tcW w:type="dxa" w:w="1728"/>
            <w:shd w:val="clear" w:color="auto" w:fill="F2F2F2"/>
          </w:tcPr>
          <w:p>
            <w:r>
              <w:rPr>
                <w:b/>
              </w:rPr>
              <w:t>Approx. °C †</w:t>
            </w:r>
          </w:p>
        </w:tc>
        <w:tc>
          <w:tcPr>
            <w:tcW w:type="dxa" w:w="1728"/>
            <w:shd w:val="clear" w:color="auto" w:fill="F2F2F2"/>
          </w:tcPr>
          <w:p>
            <w:r>
              <w:rPr>
                <w:b/>
              </w:rPr>
              <w:t>Key Evidence</w:t>
            </w:r>
          </w:p>
        </w:tc>
        <w:tc>
          <w:tcPr>
            <w:tcW w:type="dxa" w:w="1728"/>
            <w:shd w:val="clear" w:color="auto" w:fill="F2F2F2"/>
          </w:tcPr>
          <w:p>
            <w:r>
              <w:rPr>
                <w:b/>
              </w:rPr>
              <w:t>COMPASS Action</w:t>
            </w:r>
          </w:p>
        </w:tc>
      </w:tr>
      <w:tr>
        <w:tc>
          <w:tcPr>
            <w:tcW w:type="dxa" w:w="1728"/>
          </w:tcPr>
          <w:p>
            <w:r>
              <w:t>No Finding</w:t>
            </w:r>
          </w:p>
        </w:tc>
        <w:tc>
          <w:tcPr>
            <w:tcW w:type="dxa" w:w="1728"/>
          </w:tcPr>
          <w:p>
            <w:r>
              <w:t>&lt; 1.0 SD</w:t>
            </w:r>
          </w:p>
        </w:tc>
        <w:tc>
          <w:tcPr>
            <w:tcW w:type="dxa" w:w="1728"/>
          </w:tcPr>
          <w:p>
            <w:r>
              <w:t>&lt; 0.27°C</w:t>
            </w:r>
          </w:p>
        </w:tc>
        <w:tc>
          <w:tcPr>
            <w:tcW w:type="dxa" w:w="1728"/>
          </w:tcPr>
          <w:p>
            <w:r>
              <w:t>Uematsu et al. (1988): below 1 SD from the normal mean of homologous regions, PPV for pathology remained low. Saw et al. (2016): variability below 1 SD represents normal training-related fluctuation across HRV, sleep, and wellness biomarkers. [↗ Appendix 1.5, 1.8]</w:t>
            </w:r>
          </w:p>
        </w:tc>
        <w:tc>
          <w:tcPr>
            <w:tcW w:type="dxa" w:w="1728"/>
          </w:tcPr>
          <w:p>
            <w:r>
              <w:t>No intervention. Continue weekly scan cadence.</w:t>
            </w:r>
          </w:p>
        </w:tc>
      </w:tr>
      <w:tr>
        <w:tc>
          <w:tcPr>
            <w:tcW w:type="dxa" w:w="1728"/>
          </w:tcPr>
          <w:p>
            <w:r>
              <w:t>Moderate</w:t>
            </w:r>
          </w:p>
        </w:tc>
        <w:tc>
          <w:tcPr>
            <w:tcW w:type="dxa" w:w="1728"/>
          </w:tcPr>
          <w:p>
            <w:r>
              <w:t>1.0–1.49 SD</w:t>
            </w:r>
          </w:p>
        </w:tc>
        <w:tc>
          <w:tcPr>
            <w:tcW w:type="dxa" w:w="1728"/>
          </w:tcPr>
          <w:p>
            <w:r>
              <w:t>0.27–0.40°C</w:t>
            </w:r>
          </w:p>
        </w:tc>
        <w:tc>
          <w:tcPr>
            <w:tcW w:type="dxa" w:w="1728"/>
          </w:tcPr>
          <w:p>
            <w:r>
              <w:t>Uematsu et al. (1988): exceeding 1 SD from the mean begins to differentiate pathological from normal states. Plews et al. (2013) HRV consensus: 1.0 SD departure = established "meaningful change" marker across sports monitoring biomarkers. [↗ Appendix 1.1, 1.8]</w:t>
            </w:r>
          </w:p>
        </w:tc>
        <w:tc>
          <w:tcPr>
            <w:tcW w:type="dxa" w:w="1728"/>
          </w:tcPr>
          <w:p>
            <w:r>
              <w:t>Increase monitoring vigilance. Contextualise with ACWR. Precautionary increase in scan frequency. No immediate load restriction in isolation.</w:t>
            </w:r>
          </w:p>
        </w:tc>
      </w:tr>
      <w:tr>
        <w:tc>
          <w:tcPr>
            <w:tcW w:type="dxa" w:w="1728"/>
          </w:tcPr>
          <w:p>
            <w:r>
              <w:t>High</w:t>
            </w:r>
          </w:p>
        </w:tc>
        <w:tc>
          <w:tcPr>
            <w:tcW w:type="dxa" w:w="1728"/>
          </w:tcPr>
          <w:p>
            <w:r>
              <w:t>1.5–1.99 SD</w:t>
            </w:r>
          </w:p>
        </w:tc>
        <w:tc>
          <w:tcPr>
            <w:tcW w:type="dxa" w:w="1728"/>
          </w:tcPr>
          <w:p>
            <w:r>
              <w:t>0.41–0.54°C</w:t>
            </w:r>
          </w:p>
        </w:tc>
        <w:tc>
          <w:tcPr>
            <w:tcW w:type="dxa" w:w="1728"/>
          </w:tcPr>
          <w:p>
            <w:r>
              <w:t>COMPASS Framework: 1.5 SD = primary alert trigger for physiotherapy assessment (combined with ACWR &gt; 1.3). Sports monitoring consensus: 1.5 SD = "clinically important departure." Aligns with Arnaiz-Lastras (2019) ≥ 0.4°C threshold which reduced injuries 64%. [↗ Appendix 1.5, 1.6]</w:t>
            </w:r>
          </w:p>
        </w:tc>
        <w:tc>
          <w:tcPr>
            <w:tcW w:type="dxa" w:w="1728"/>
          </w:tcPr>
          <w:p>
            <w:r>
              <w:t>Prevention protocol active. Modified load for affected region. Soft tissue physiotherapy assessment. Scan frequency → every 3–4 days.</w:t>
            </w:r>
          </w:p>
        </w:tc>
      </w:tr>
      <w:tr>
        <w:tc>
          <w:tcPr>
            <w:tcW w:type="dxa" w:w="1728"/>
          </w:tcPr>
          <w:p>
            <w:r>
              <w:t>Severe</w:t>
            </w:r>
          </w:p>
        </w:tc>
        <w:tc>
          <w:tcPr>
            <w:tcW w:type="dxa" w:w="1728"/>
          </w:tcPr>
          <w:p>
            <w:r>
              <w:t>≥ 2.0 SD</w:t>
            </w:r>
          </w:p>
        </w:tc>
        <w:tc>
          <w:tcPr>
            <w:tcW w:type="dxa" w:w="1728"/>
          </w:tcPr>
          <w:p>
            <w:r>
              <w:t>≥ 0.55°C</w:t>
            </w:r>
          </w:p>
        </w:tc>
        <w:tc>
          <w:tcPr>
            <w:tcW w:type="dxa" w:w="1728"/>
          </w:tcPr>
          <w:p>
            <w:r>
              <w:t>Uematsu et al. (1988) Pt. 2: exceeding 1 SD from population mean → PPV 94.7%, specificity 87.5% — a personal 2.0 SD threshold is an even higher-confidence signal. Schiavon (2021): AUC 0.83. Claudino (2024): individual baseline models AUC 0.84 vs 0.61 for group norms. [↗ Appendix 1.2, 1.5, 1.8]</w:t>
            </w:r>
          </w:p>
        </w:tc>
        <w:tc>
          <w:tcPr>
            <w:tcW w:type="dxa" w:w="1728"/>
          </w:tcPr>
          <w:p>
            <w:r>
              <w:t>Mandatory clinical review. Significant load reduction or rest. Targeted physiotherapy and medical assessment. Re-scan within 3 days.</w:t>
            </w:r>
          </w:p>
        </w:tc>
      </w:tr>
    </w:tbl>
    <w:p/>
    <w:p>
      <w:pPr/>
      <w:r>
        <w:t>Calculated using the typical SD for major stable muscle regions (≈ 0.27°C, consistent with ThermoHuman normative data: vastus medialis 0.003 ± 0.27°C, chest 0.008 ± 0.24°C). Each athlete's personal SD may differ — those with higher individual variability will have correspondingly higher °C values at each SD tier. The SD classification is always the authoritative reference; °C equivalents are provided as a guide only.</w:t>
      </w:r>
    </w:p>
    <w:p>
      <w:pPr>
        <w:pStyle w:val="Heading3"/>
      </w:pPr>
      <w:r>
        <w:t>Framework Alignment — How the Two Scales Correspond</w:t>
      </w:r>
    </w:p>
    <w:p>
      <w:pPr/>
      <w:r>
        <w:t>At the 6-scan transition point, population and SD classifications should broadly agree. The two frameworks are calibrated to produce consistent clinical decisions.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F2F2F2"/>
          </w:tcPr>
          <w:p>
            <w:r>
              <w:rPr>
                <w:b/>
              </w:rPr>
              <w:t>Tier</w:t>
            </w:r>
          </w:p>
        </w:tc>
        <w:tc>
          <w:tcPr>
            <w:tcW w:type="dxa" w:w="1728"/>
            <w:shd w:val="clear" w:color="auto" w:fill="F2F2F2"/>
          </w:tcPr>
          <w:p>
            <w:r>
              <w:rPr>
                <w:b/>
              </w:rPr>
              <w:t>Population (°C)</w:t>
            </w:r>
          </w:p>
        </w:tc>
        <w:tc>
          <w:tcPr>
            <w:tcW w:type="dxa" w:w="1728"/>
            <w:shd w:val="clear" w:color="auto" w:fill="F2F2F2"/>
          </w:tcPr>
          <w:p>
            <w:r>
              <w:rPr>
                <w:b/>
              </w:rPr>
              <w:t>Individual SD</w:t>
            </w:r>
          </w:p>
        </w:tc>
        <w:tc>
          <w:tcPr>
            <w:tcW w:type="dxa" w:w="1728"/>
            <w:shd w:val="clear" w:color="auto" w:fill="F2F2F2"/>
          </w:tcPr>
          <w:p>
            <w:r>
              <w:rPr>
                <w:b/>
              </w:rPr>
              <w:t>Calibration Note</w:t>
            </w:r>
          </w:p>
        </w:tc>
        <w:tc>
          <w:tcPr>
            <w:tcW w:type="dxa" w:w="1728"/>
            <w:shd w:val="clear" w:color="auto" w:fill="F2F2F2"/>
          </w:tcPr>
          <w:p>
            <w:r>
              <w:rPr>
                <w:b/>
              </w:rPr>
              <w:t>COMPASS T Score</w:t>
            </w:r>
          </w:p>
        </w:tc>
      </w:tr>
      <w:tr>
        <w:tc>
          <w:tcPr>
            <w:tcW w:type="dxa" w:w="1728"/>
          </w:tcPr>
          <w:p>
            <w:r>
              <w:t>No Finding</w:t>
            </w:r>
          </w:p>
        </w:tc>
        <w:tc>
          <w:tcPr>
            <w:tcW w:type="dxa" w:w="1728"/>
          </w:tcPr>
          <w:p>
            <w:r>
              <w:t>&lt; 0.3°C</w:t>
            </w:r>
          </w:p>
        </w:tc>
        <w:tc>
          <w:tcPr>
            <w:tcW w:type="dxa" w:w="1728"/>
          </w:tcPr>
          <w:p>
            <w:r>
              <w:t>&lt; 1.0 SD</w:t>
            </w:r>
          </w:p>
        </w:tc>
        <w:tc>
          <w:tcPr>
            <w:tcW w:type="dxa" w:w="1728"/>
          </w:tcPr>
          <w:p>
            <w:r>
              <w:t>0.3°C ≈ 1.1 SD at population level. Strong agreement between frameworks at the lower boundary. [↗ Uematsu 1988; ThermoHuman 2022]</w:t>
            </w:r>
          </w:p>
        </w:tc>
        <w:tc>
          <w:tcPr>
            <w:tcW w:type="dxa" w:w="1728"/>
          </w:tcPr>
          <w:p>
            <w:r>
              <w:t>T &lt; 50 (Low Asymmetry)</w:t>
            </w:r>
          </w:p>
        </w:tc>
      </w:tr>
      <w:tr>
        <w:tc>
          <w:tcPr>
            <w:tcW w:type="dxa" w:w="1728"/>
          </w:tcPr>
          <w:p>
            <w:r>
              <w:t>Moderate</w:t>
            </w:r>
          </w:p>
        </w:tc>
        <w:tc>
          <w:tcPr>
            <w:tcW w:type="dxa" w:w="1728"/>
          </w:tcPr>
          <w:p>
            <w:r>
              <w:t>0.30–0.49°C</w:t>
            </w:r>
          </w:p>
        </w:tc>
        <w:tc>
          <w:tcPr>
            <w:tcW w:type="dxa" w:w="1728"/>
          </w:tcPr>
          <w:p>
            <w:r>
              <w:t>1.0–1.49 SD</w:t>
            </w:r>
          </w:p>
        </w:tc>
        <w:tc>
          <w:tcPr>
            <w:tcW w:type="dxa" w:w="1728"/>
          </w:tcPr>
          <w:p>
            <w:r>
              <w:t>0.4°C ≈ 1.5 SD — the Arnaiz-Lastras 0.4°C prevention threshold maps directly to the COMPASS 1.5 SD alert. Both frameworks converge at this critical prevention boundary. [↗ Arnaiz-Lastras 2019]</w:t>
            </w:r>
          </w:p>
        </w:tc>
        <w:tc>
          <w:tcPr>
            <w:tcW w:type="dxa" w:w="1728"/>
          </w:tcPr>
          <w:p>
            <w:r>
              <w:t>T approaching 50</w:t>
            </w:r>
          </w:p>
        </w:tc>
      </w:tr>
      <w:tr>
        <w:tc>
          <w:tcPr>
            <w:tcW w:type="dxa" w:w="1728"/>
          </w:tcPr>
          <w:p>
            <w:r>
              <w:t>High</w:t>
            </w:r>
          </w:p>
        </w:tc>
        <w:tc>
          <w:tcPr>
            <w:tcW w:type="dxa" w:w="1728"/>
          </w:tcPr>
          <w:p>
            <w:r>
              <w:t>0.50–0.99°C</w:t>
            </w:r>
          </w:p>
        </w:tc>
        <w:tc>
          <w:tcPr>
            <w:tcW w:type="dxa" w:w="1728"/>
          </w:tcPr>
          <w:p>
            <w:r>
              <w:t>1.5–1.99 SD</w:t>
            </w:r>
          </w:p>
        </w:tc>
        <w:tc>
          <w:tcPr>
            <w:tcW w:type="dxa" w:w="1728"/>
          </w:tcPr>
          <w:p>
            <w:r>
              <w:t>0.5°C ≈ 1.85 SD. Gómez-Carmona's 0.5°C threshold falls squarely in the High/Alert SD band. Both frameworks trigger prevention protocol at this level. [↗ Gómez-Carmona 2020]</w:t>
            </w:r>
          </w:p>
        </w:tc>
        <w:tc>
          <w:tcPr>
            <w:tcW w:type="dxa" w:w="1728"/>
          </w:tcPr>
          <w:p>
            <w:r>
              <w:t>T ≥ 50 (Elevated)</w:t>
            </w:r>
          </w:p>
        </w:tc>
      </w:tr>
      <w:tr>
        <w:tc>
          <w:tcPr>
            <w:tcW w:type="dxa" w:w="1728"/>
          </w:tcPr>
          <w:p>
            <w:r>
              <w:t>Severe</w:t>
            </w:r>
          </w:p>
        </w:tc>
        <w:tc>
          <w:tcPr>
            <w:tcW w:type="dxa" w:w="1728"/>
          </w:tcPr>
          <w:p>
            <w:r>
              <w:t>≥ 1.0°C</w:t>
            </w:r>
          </w:p>
        </w:tc>
        <w:tc>
          <w:tcPr>
            <w:tcW w:type="dxa" w:w="1728"/>
          </w:tcPr>
          <w:p>
            <w:r>
              <w:t>≥ 2.0 SD</w:t>
            </w:r>
          </w:p>
        </w:tc>
        <w:tc>
          <w:tcPr>
            <w:tcW w:type="dxa" w:w="1728"/>
          </w:tcPr>
          <w:p>
            <w:r>
              <w:t>1.0°C ≈ 3.7 SD — well beyond any population or individual norm. Both frameworks demand mandatory clinical review at this level. [↗ Schiavon 2021]</w:t>
            </w:r>
          </w:p>
        </w:tc>
        <w:tc>
          <w:tcPr>
            <w:tcW w:type="dxa" w:w="1728"/>
          </w:tcPr>
          <w:p>
            <w:r>
              <w:t>T ≥ 50 (Elevated, Critical)</w:t>
            </w:r>
          </w:p>
        </w:tc>
      </w:tr>
    </w:tbl>
    <w:p/>
    <w:p>
      <w:pPr/>
      <w:r>
        <w:t>The Key Calibration Insight: The COMPASS 1.5 SD alert threshold corresponds to approximately 0.4°C in population terms — precisely the threshold at which Arnaiz-Lastras et al. (2019) triggered prevention protocols that reduced muscle injuries by 64%. This is not coincidental: both frameworks draw the prevention boundary at the same underlying physiological signal.</w:t>
      </w:r>
    </w:p>
    <w:p>
      <w:pPr>
        <w:pStyle w:val="Heading3"/>
      </w:pPr>
      <w:r>
        <w:t>04B.1 — Thermal Risk Score (T Score) Calculation</w:t>
      </w:r>
    </w:p>
    <w:p>
      <w:pPr/>
      <w:r>
        <w:t>The Thermal Asymmetry Index (TAI) is converted to a normalised T Score (0–100) before entering the COMPASS fusion formula. This score represents the thermal risk axis of the two-axis matrix.</w:t>
      </w:r>
    </w:p>
    <w:p>
      <w:pPr/>
      <w:r>
        <w:t>The Thermal Asymmetry Index is the maximum contralateral left-right temperature delta across all scanned body regions — i.e., the single worst-performing region drives the score. No averaging is applied; the highest asymmetry value is used as the input.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r>
              <w:rPr>
                <w:b/>
              </w:rPr>
              <w:t>Phase</w:t>
            </w:r>
          </w:p>
        </w:tc>
        <w:tc>
          <w:tcPr>
            <w:tcW w:type="dxa" w:w="2160"/>
            <w:shd w:val="clear" w:color="auto" w:fill="F2F2F2"/>
          </w:tcPr>
          <w:p>
            <w:r>
              <w:rPr>
                <w:b/>
              </w:rPr>
              <w:t>Condition</w:t>
            </w:r>
          </w:p>
        </w:tc>
        <w:tc>
          <w:tcPr>
            <w:tcW w:type="dxa" w:w="2160"/>
            <w:shd w:val="clear" w:color="auto" w:fill="F2F2F2"/>
          </w:tcPr>
          <w:p>
            <w:r>
              <w:rPr>
                <w:b/>
              </w:rPr>
              <w:t>Formula</w:t>
            </w:r>
          </w:p>
        </w:tc>
        <w:tc>
          <w:tcPr>
            <w:tcW w:type="dxa" w:w="2160"/>
            <w:shd w:val="clear" w:color="auto" w:fill="F2F2F2"/>
          </w:tcPr>
          <w:p>
            <w:r>
              <w:rPr>
                <w:b/>
              </w:rPr>
              <w:t>Zone Crossing at T = 50</w:t>
            </w:r>
          </w:p>
        </w:tc>
      </w:tr>
      <w:tr>
        <w:tc>
          <w:tcPr>
            <w:tcW w:type="dxa" w:w="2160"/>
          </w:tcPr>
          <w:p>
            <w:r>
              <w:t>Population Baseline</w:t>
            </w:r>
          </w:p>
        </w:tc>
        <w:tc>
          <w:tcPr>
            <w:tcW w:type="dxa" w:w="2160"/>
          </w:tcPr>
          <w:p>
            <w:r>
              <w:t>&lt; 6 scans completed</w:t>
            </w:r>
          </w:p>
        </w:tc>
        <w:tc>
          <w:tcPr>
            <w:tcW w:type="dxa" w:w="2160"/>
          </w:tcPr>
          <w:p>
            <w:r>
              <w:t>T = min(100, (TAI°C / 1.0) × 100)</w:t>
            </w:r>
          </w:p>
        </w:tc>
        <w:tc>
          <w:tcPr>
            <w:tcW w:type="dxa" w:w="2160"/>
          </w:tcPr>
          <w:p>
            <w:r>
              <w:t>0.5°C → T 50 · 1.0°C → T 100</w:t>
            </w:r>
          </w:p>
        </w:tc>
      </w:tr>
      <w:tr>
        <w:tc>
          <w:tcPr>
            <w:tcW w:type="dxa" w:w="2160"/>
          </w:tcPr>
          <w:p>
            <w:r>
              <w:t>Individual SD Baseline</w:t>
            </w:r>
          </w:p>
        </w:tc>
        <w:tc>
          <w:tcPr>
            <w:tcW w:type="dxa" w:w="2160"/>
          </w:tcPr>
          <w:p>
            <w:r>
              <w:t>≥ 6 scans completed</w:t>
            </w:r>
          </w:p>
        </w:tc>
        <w:tc>
          <w:tcPr>
            <w:tcW w:type="dxa" w:w="2160"/>
          </w:tcPr>
          <w:p>
            <w:r>
              <w:t>T = min(100, (TAISD / 3.0) × 100)</w:t>
            </w:r>
          </w:p>
        </w:tc>
        <w:tc>
          <w:tcPr>
            <w:tcW w:type="dxa" w:w="2160"/>
          </w:tcPr>
          <w:p>
            <w:r>
              <w:t>1.5 SD → T 50 · 3.0 SD → T 100</w:t>
            </w:r>
          </w:p>
        </w:tc>
      </w:tr>
    </w:tbl>
    <w:p/>
    <w:p>
      <w:pPr/>
      <w:r>
        <w:t>Both formulas produce T = 50 at the Framework Alignment table's zone-crossing point (0.5°C / 1.5 SD). The transition at scan 6 is seamless: there is no step-change in classification because both scales are calibrated to the same physiological boundary. From scan 6 onward, the individual SD baseline takes precedence; the population formula is retired for that athlete.</w:t>
      </w:r>
    </w:p>
    <w:p>
      <w:pPr/>
      <w:r>
        <w:t>At exactly scan 6, both methods are computed in parallel and the individual SD result takes precedence. For athletes whose personal SD closely matches the population average (~0.27°C), the switch produces no perceptible change in zone assignment. For athletes with atypically high or low thermal variability, the individual baseline will produce a more accurate — and typically lower — T Score.</w:t>
      </w:r>
    </w:p>
    <w:p>
      <w:pPr>
        <w:pStyle w:val="Heading2"/>
      </w:pPr>
      <w:r>
        <w:t>Temporal Fusion Strategy</w:t>
      </w:r>
    </w:p>
    <w:p>
      <w:pPr/>
      <w:r>
        <w:t>The two data streams operate on fundamentally different timescales. The framework explicitly models this asymmetry rather than engineering around it.</w:t>
      </w:r>
    </w:p>
    <w:p>
      <w:pPr>
        <w:pStyle w:val="Heading3"/>
      </w:pPr>
      <w:r>
        <w:t>6.1 Thermal Data Gaps</w:t>
      </w:r>
    </w:p>
    <w:p>
      <w:pPr/>
      <w:r>
        <w:t>Thermography is a periodic assessment — athletes are not scanned daily. The thermal reading from the most recent scan is treated as fully valid until it is 7 days old. On day 7, it becomes immediately obsolete and scoring is suspended. No gradual weighting or partial credit is applied during the gap — the signal is either valid or it is not.</w:t>
      </w:r>
    </w:p>
    <w:p>
      <w:pPr/>
      <w:r>
        <w:t>The thermal reading is treated as valid for up to 7 days from the scan date. On day 7, the signal is immediately suspended — no partial weighting is applied. Thermal risk scoring halts and a scan-overdue flag is raised. Operating without a valid thermal input is itself treated as an elevated-risk state, since silent tissue stress accumulation cannot be excluded.</w:t>
      </w:r>
    </w:p>
    <w:p>
      <w:pPr>
        <w:pStyle w:val="Heading3"/>
      </w:pPr>
      <w:r>
        <w:t>6.2 Handling Wearable Data Gaps</w:t>
      </w:r>
    </w:p>
    <w:p>
      <w:pPr/>
      <w:r>
        <w:t>Spike publishes one daily summary per athlete — if a day's data is missing (device not worn, sync failure), no readiness score is available for that day. Like the thermal signal, wearable validity is binary: wearable data is valid for the day of collection and one following day (2 days total). From day 3 onward without a new reading, the wearable signal is immediately obsolete and zone classification is suspended.</w:t>
      </w:r>
    </w:p>
    <w:p>
      <w:pPr/>
      <w:r>
        <w:t>No readiness score generated. No zone classification issued. The daily output reads: "Zone assessment unavailable — wearable sync required. Last confirmed zone: [zone] on [date]."</w:t>
      </w:r>
    </w:p>
    <w:p>
      <w:pPr>
        <w:pStyle w:val="Heading3"/>
      </w:pPr>
      <w:r>
        <w:t>6.3 Signal Availability Matrix</w:t>
      </w:r>
    </w:p>
    <w:p>
      <w:pPr/>
      <w:r>
        <w:t>The four possible combinations of data availability each produce a different system behaviour. This matrix defines explicitly what COMPASS does — and what it does not claim — in each state, ensuring no zone classification is ever issued with more confidence than the data warrants.</w:t>
      </w:r>
    </w:p>
    <w:p>
      <w:pPr>
        <w:pStyle w:val="Heading3"/>
      </w:pPr>
      <w:r>
        <w:t>Metrics Available by Signal State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r>
              <w:rPr>
                <w:b/>
              </w:rPr>
              <w:t>Assessment State</w:t>
            </w:r>
          </w:p>
        </w:tc>
        <w:tc>
          <w:tcPr>
            <w:tcW w:type="dxa" w:w="2160"/>
            <w:shd w:val="clear" w:color="auto" w:fill="F2F2F2"/>
          </w:tcPr>
          <w:p>
            <w:r>
              <w:rPr>
                <w:b/>
              </w:rPr>
              <w:t>⌚ Readiness Score</w:t>
            </w:r>
          </w:p>
        </w:tc>
        <w:tc>
          <w:tcPr>
            <w:tcW w:type="dxa" w:w="2160"/>
            <w:shd w:val="clear" w:color="auto" w:fill="F2F2F2"/>
          </w:tcPr>
          <w:p>
            <w:r>
              <w:rPr>
                <w:b/>
              </w:rPr>
              <w:t>🌡️ Thermal Score</w:t>
            </w:r>
          </w:p>
        </w:tc>
        <w:tc>
          <w:tcPr>
            <w:tcW w:type="dxa" w:w="2160"/>
            <w:shd w:val="clear" w:color="auto" w:fill="F2F2F2"/>
          </w:tcPr>
          <w:p>
            <w:r>
              <w:rPr>
                <w:b/>
              </w:rPr>
              <w:t>🧭 COMPASS Score</w:t>
            </w:r>
          </w:p>
        </w:tc>
      </w:tr>
      <w:tr>
        <w:tc>
          <w:tcPr>
            <w:tcW w:type="dxa" w:w="2160"/>
          </w:tcPr>
          <w:p>
            <w:r>
              <w:t>✅Full COMPASS AssessmentBoth signals available</w:t>
            </w:r>
          </w:p>
        </w:tc>
        <w:tc>
          <w:tcPr>
            <w:tcW w:type="dxa" w:w="2160"/>
          </w:tcPr>
          <w:p>
            <w:r>
              <w:t>✅ Shown</w:t>
            </w:r>
          </w:p>
        </w:tc>
        <w:tc>
          <w:tcPr>
            <w:tcW w:type="dxa" w:w="2160"/>
          </w:tcPr>
          <w:p>
            <w:r>
              <w:t>✅ Shown</w:t>
            </w:r>
          </w:p>
        </w:tc>
        <w:tc>
          <w:tcPr>
            <w:tcW w:type="dxa" w:w="2160"/>
          </w:tcPr>
          <w:p>
            <w:r>
              <w:t>✅ Shown</w:t>
            </w:r>
          </w:p>
        </w:tc>
      </w:tr>
      <w:tr>
        <w:tc>
          <w:tcPr>
            <w:tcW w:type="dxa" w:w="2160"/>
          </w:tcPr>
          <w:p>
            <w:r>
              <w:t>🌡️Thermal-Only AdvisoryWearable unavailable</w:t>
            </w:r>
          </w:p>
        </w:tc>
        <w:tc>
          <w:tcPr>
            <w:tcW w:type="dxa" w:w="2160"/>
          </w:tcPr>
          <w:p>
            <w:r>
              <w:t>— Unavailable</w:t>
            </w:r>
          </w:p>
        </w:tc>
        <w:tc>
          <w:tcPr>
            <w:tcW w:type="dxa" w:w="2160"/>
          </w:tcPr>
          <w:p>
            <w:r>
              <w:t>✅ Shown</w:t>
            </w:r>
          </w:p>
        </w:tc>
        <w:tc>
          <w:tcPr>
            <w:tcW w:type="dxa" w:w="2160"/>
          </w:tcPr>
          <w:p>
            <w:r>
              <w:t>— Cannot compute</w:t>
            </w:r>
          </w:p>
        </w:tc>
      </w:tr>
      <w:tr>
        <w:tc>
          <w:tcPr>
            <w:tcW w:type="dxa" w:w="2160"/>
          </w:tcPr>
          <w:p>
            <w:r>
              <w:t>⚠️Readiness-Only AssessmentThermography unavailable</w:t>
            </w:r>
          </w:p>
        </w:tc>
        <w:tc>
          <w:tcPr>
            <w:tcW w:type="dxa" w:w="2160"/>
          </w:tcPr>
          <w:p>
            <w:r>
              <w:t>✅ Shown</w:t>
            </w:r>
          </w:p>
        </w:tc>
        <w:tc>
          <w:tcPr>
            <w:tcW w:type="dxa" w:w="2160"/>
          </w:tcPr>
          <w:p>
            <w:r>
              <w:t>— Unavailable</w:t>
            </w:r>
          </w:p>
        </w:tc>
        <w:tc>
          <w:tcPr>
            <w:tcW w:type="dxa" w:w="2160"/>
          </w:tcPr>
          <w:p>
            <w:r>
              <w:t>— Cannot compute</w:t>
            </w:r>
          </w:p>
        </w:tc>
      </w:tr>
      <w:tr>
        <w:tc>
          <w:tcPr>
            <w:tcW w:type="dxa" w:w="2160"/>
          </w:tcPr>
          <w:p>
            <w:r>
              <w:t>🚫No Assessment PossibleBoth signals unavailable</w:t>
            </w:r>
          </w:p>
        </w:tc>
        <w:tc>
          <w:tcPr>
            <w:tcW w:type="dxa" w:w="2160"/>
          </w:tcPr>
          <w:p>
            <w:r>
              <w:t>— Unavailable</w:t>
            </w:r>
          </w:p>
        </w:tc>
        <w:tc>
          <w:tcPr>
            <w:tcW w:type="dxa" w:w="2160"/>
          </w:tcPr>
          <w:p>
            <w:r>
              <w:t>— Unavailable</w:t>
            </w:r>
          </w:p>
        </w:tc>
        <w:tc>
          <w:tcPr>
            <w:tcW w:type="dxa" w:w="2160"/>
          </w:tcPr>
          <w:p>
            <w:r>
              <w:t>⏱ Last known only</w:t>
            </w:r>
          </w:p>
        </w:tc>
      </w:tr>
    </w:tbl>
    <w:p/>
    <w:p>
      <w:pPr/>
      <w:r>
        <w:t>The Critical Asymmetry: Missing wearable data (Q3) is the more dangerous gap — not missing thermography. When wearable data is absent, the practitioner loses the ability to detect the Deceptive Readiness Zone entirely. An athlete can feel and appear ready while tissue stress builds invisibly. COMPASS explicitly labels this state rather than silently degrading to a two-zone system.</w:t>
      </w:r>
    </w:p>
    <w:p>
      <w:pPr>
        <w:pStyle w:val="Heading2"/>
      </w:pPr>
      <w:r>
        <w:t>Clinical Decision Support System</w:t>
      </w:r>
    </w:p>
    <w:p>
      <w:pPr/>
      <w:r>
        <w:t>The CDSS translates COMPASS zone classifications into practitioner-ready outputs across three time horizons, and powers the Multimodal Reasoning Engine — an AI assistant that generates auditable explanations and tailored intervention plans for every assessment.</w:t>
      </w:r>
    </w:p>
    <w:p>
      <w:pPr/>
      <w:r>
        <w:t>The Multimodal Reasoning Engine receives the fully computed compass_assessment object as a read-only input. It cannot alter COMPASS scores, zone assignments, or thresholds. All zone-classification logic remains deterministic and governed by Sections 02–04B. The engine's sole function is to explain and recommend based on that output.</w:t>
      </w:r>
    </w:p>
    <w:p>
      <w:pPr/>
      <w:r>
        <w:t>The full COMPASS pipeline — from raw sensor inputs through zone classification to practitioner outputs — is defined once in Section 03 — Framework Pipeline. The CDSS operates as Stage F–G of that pipeline. Sections 7.1 and 7.2 detail what the reasoning engine produces for each zone.</w:t>
      </w:r>
    </w:p>
    <w:p>
      <w:pPr>
        <w:pStyle w:val="Heading3"/>
      </w:pPr>
      <w:r>
        <w:t>7.1 — Zone Action Guide</w:t>
      </w:r>
    </w:p>
    <w:p>
      <w:pPr/>
      <w:r>
        <w:t>Each morning the system issues a zone classification and an AI-generated action plan. Each zone has a fixed traffic-light signal, a characteristic signal profile, and a corresponding intervention type.</w:t>
      </w:r>
    </w:p>
    <w:p>
      <w:pPr>
        <w:pStyle w:val="Heading4"/>
      </w:pPr>
      <w:r>
        <w:t>🟢 Safe Zone</w:t>
      </w:r>
    </w:p>
    <w:p>
      <w:pPr/>
      <w:r>
        <w:t>Signals: Systemic readiness clear · Thermal asymmetry clear</w:t>
      </w:r>
    </w:p>
    <w:p>
      <w:pPr/>
      <w:r>
        <w:t>Plan: Maintenance + Monitoring. Full training load permitted. Engine reinforces behaviours sustaining Safe status and sets next scan cadence.</w:t>
      </w:r>
    </w:p>
    <w:p>
      <w:pPr>
        <w:pStyle w:val="Heading4"/>
      </w:pPr>
      <w:r>
        <w:t>🟡 Recovery Zone</w:t>
      </w:r>
    </w:p>
    <w:p>
      <w:pPr/>
      <w:r>
        <w:t>Signals: Systemic fatigued (HRV suppressed) · Thermal clear</w:t>
      </w:r>
    </w:p>
    <w:p>
      <w:pPr/>
      <w:r>
        <w:t>Plan: Workout Modification. Engine produces a volume-reduced training plan with ACWR targets, active recovery modalities, and sleep/HRV optimisation guidance.</w:t>
      </w:r>
    </w:p>
    <w:p>
      <w:pPr>
        <w:pStyle w:val="Heading4"/>
      </w:pPr>
      <w:r>
        <w:t>🟠 Deceptive Readiness</w:t>
      </w:r>
    </w:p>
    <w:p>
      <w:pPr/>
      <w:r>
        <w:t>Signals: Systemic ready · Thermal inflamed — athlete feels ready, tissue is stressed</w:t>
      </w:r>
    </w:p>
    <w:p>
      <w:pPr/>
      <w:r>
        <w:t>Plan: Physio (Primary) + Load Modification. Physiotherapy assessment is mandatory before any intensity increase. Engine targets flagged regions with a conservative load plan.</w:t>
      </w:r>
    </w:p>
    <w:p>
      <w:pPr>
        <w:pStyle w:val="Heading4"/>
      </w:pPr>
      <w:r>
        <w:t>🔴 Danger Zone</w:t>
      </w:r>
    </w:p>
    <w:p>
      <w:pPr/>
      <w:r>
        <w:t>Signals: Systemic fatigued · Thermal inflamed — both axes critical</w:t>
      </w:r>
    </w:p>
    <w:p>
      <w:pPr/>
      <w:r>
        <w:t>Plan: Combined Plan + Mandatory Clinical Review. Engine generates a full physio + systemic recovery plan and raises a clinical review flag. No load plan is issued until a clinician clears the trigger.</w:t>
      </w:r>
    </w:p>
    <w:p>
      <w:pPr/>
      <w:r>
        <w:t>Why 🟠 and 🟡 Amber Are Not the Same: Conventional systems collapse Recovery and Deceptive Readiness into a single amber. Recovery needs rest — Deceptive Readiness needs urgent region-specific physio. The systemic readiness signal is actively misleading in the Deceptive zone; acting on it without thermal context is the primary injury-risk scenario this framework is designed to prevent.</w:t>
      </w:r>
    </w:p>
    <w:p>
      <w:pPr>
        <w:pStyle w:val="Heading3"/>
      </w:pPr>
      <w:r>
        <w:t>Zone Trajectory: Movement Matters</w:t>
      </w:r>
    </w:p>
    <w:p>
      <w:pPr/>
      <w:r>
        <w:t>A single zone reading is a snapshot. What drives clinical urgency is movement: the rate and direction of change on each axis is as important as the current position.</w:t>
      </w:r>
    </w:p>
    <w:p>
      <w:pPr/>
      <w:r>
        <w:t>The Clinical Question Is Not "Where Are They?" But "Where Are They Going?" Zone position tells you what to do today. Zone trajectory tells you how urgently to do it, and whether the current clinical strategy is working. Both views are essential for effective athlete management.</w:t>
      </w:r>
    </w:p>
    <w:p>
      <w:pPr>
        <w:pStyle w:val="Heading3"/>
      </w:pPr>
      <w:r>
        <w:t>Scan Frequency Recommendations</w:t>
      </w:r>
    </w:p>
    <w:p>
      <w:pPr/>
      <w:r>
        <w:t>The zone in which an athlete is currently classified directly determines how soon the next thermography assessment is scheduled.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Clinical Context</w:t>
            </w:r>
          </w:p>
        </w:tc>
        <w:tc>
          <w:tcPr>
            <w:tcW w:type="dxa" w:w="2880"/>
            <w:shd w:val="clear" w:color="auto" w:fill="F2F2F2"/>
          </w:tcPr>
          <w:p>
            <w:r>
              <w:rPr>
                <w:b/>
              </w:rPr>
              <w:t>Scan Interval</w:t>
            </w:r>
          </w:p>
        </w:tc>
        <w:tc>
          <w:tcPr>
            <w:tcW w:type="dxa" w:w="2880"/>
            <w:shd w:val="clear" w:color="auto" w:fill="F2F2F2"/>
          </w:tcPr>
          <w:p>
            <w:r>
              <w:rPr>
                <w:b/>
              </w:rPr>
              <w:t>Rationale</w:t>
            </w:r>
          </w:p>
        </w:tc>
      </w:tr>
      <w:tr>
        <w:tc>
          <w:tcPr>
            <w:tcW w:type="dxa" w:w="2880"/>
          </w:tcPr>
          <w:p>
            <w:r>
              <w:t>Safe Zone</w:t>
            </w:r>
          </w:p>
        </w:tc>
        <w:tc>
          <w:tcPr>
            <w:tcW w:type="dxa" w:w="2880"/>
          </w:tcPr>
          <w:p>
            <w:r>
              <w:t>Weekly</w:t>
            </w:r>
          </w:p>
        </w:tc>
        <w:tc>
          <w:tcPr>
            <w:tcW w:type="dxa" w:w="2880"/>
          </w:tcPr>
          <w:p>
            <w:r>
              <w:t>Baseline monitoring; no active risk signal [design assumption]</w:t>
            </w:r>
          </w:p>
        </w:tc>
      </w:tr>
      <w:tr>
        <w:tc>
          <w:tcPr>
            <w:tcW w:type="dxa" w:w="2880"/>
          </w:tcPr>
          <w:p>
            <w:r>
              <w:t>Recovery Zone</w:t>
            </w:r>
          </w:p>
        </w:tc>
        <w:tc>
          <w:tcPr>
            <w:tcW w:type="dxa" w:w="2880"/>
          </w:tcPr>
          <w:p>
            <w:r>
              <w:t>Weekly</w:t>
            </w:r>
          </w:p>
        </w:tc>
        <w:tc>
          <w:tcPr>
            <w:tcW w:type="dxa" w:w="2880"/>
          </w:tcPr>
          <w:p>
            <w:r>
              <w:t>Systemic fatigue concern; maintains vigilance during vulnerable recovery window [design assumption]</w:t>
            </w:r>
          </w:p>
        </w:tc>
      </w:tr>
      <w:tr>
        <w:tc>
          <w:tcPr>
            <w:tcW w:type="dxa" w:w="2880"/>
          </w:tcPr>
          <w:p>
            <w:r>
              <w:t>Deceptive Readiness</w:t>
            </w:r>
          </w:p>
        </w:tc>
        <w:tc>
          <w:tcPr>
            <w:tcW w:type="dxa" w:w="2880"/>
          </w:tcPr>
          <w:p>
            <w:r>
              <w:t>Every 3–4 days</w:t>
            </w:r>
          </w:p>
        </w:tc>
        <w:tc>
          <w:tcPr>
            <w:tcW w:type="dxa" w:w="2880"/>
          </w:tcPr>
          <w:p>
            <w:r>
              <w:t>Elevated thermal risk with suppressed subjective awareness; high urgency to track trajectory [↗ Gómez-Carmona 2020 — daily protocol; Arnaiz-Lastras 2019 — twice weekly]</w:t>
            </w:r>
          </w:p>
        </w:tc>
      </w:tr>
      <w:tr>
        <w:tc>
          <w:tcPr>
            <w:tcW w:type="dxa" w:w="2880"/>
          </w:tcPr>
          <w:p>
            <w:r>
              <w:t>Danger Zone</w:t>
            </w:r>
          </w:p>
        </w:tc>
        <w:tc>
          <w:tcPr>
            <w:tcW w:type="dxa" w:w="2880"/>
          </w:tcPr>
          <w:p>
            <w:r>
              <w:t>Within 3 days, then every 2–3 days</w:t>
            </w:r>
          </w:p>
        </w:tc>
        <w:tc>
          <w:tcPr>
            <w:tcW w:type="dxa" w:w="2880"/>
          </w:tcPr>
          <w:p>
            <w:r>
              <w:t>Acute combined risk; thermal trajectory essential for clinical decision-making [↗ Gómez-Carmona 2020 — daily protocol supports high-frequency scanning at peak risk]</w:t>
            </w:r>
          </w:p>
        </w:tc>
      </w:tr>
      <w:tr>
        <w:tc>
          <w:tcPr>
            <w:tcW w:type="dxa" w:w="2880"/>
          </w:tcPr>
          <w:p>
            <w:r>
              <w:t>🏥 Return-to-Sport Rehab</w:t>
            </w:r>
          </w:p>
        </w:tc>
        <w:tc>
          <w:tcPr>
            <w:tcW w:type="dxa" w:w="2880"/>
          </w:tcPr>
          <w:p>
            <w:r>
              <w:t>Twice weekly</w:t>
            </w:r>
          </w:p>
        </w:tc>
        <w:tc>
          <w:tcPr>
            <w:tcW w:type="dxa" w:w="2880"/>
          </w:tcPr>
          <w:p>
            <w:r>
              <w:t>Enhanced sensitivity required for progressive load decisions during active rehabilitation [↗ Arnaiz-Lastras 2019 — twice weekly post-match; Frontiers 2024 systematic review]</w:t>
            </w:r>
          </w:p>
        </w:tc>
      </w:tr>
    </w:tbl>
    <w:p/>
    <w:p>
      <w:pPr/>
      <w:r>
        <w:t>The literature supports the direction of these recommendations — higher clinical risk warrants higher scan frequency — but does not prescribe specific day-interval values. Gómez-Carmona et al. (2020, Journal of Sport Rehabilitation) used daily scanning and achieved a 60% injury reduction; Arnaiz-Lastras et al. (2019) applied twice-weekly scanning and triggered prevention protocols at &gt;0.4°C asymmetry. The specific intervals in this table (3–4 days, 2–3 days) are framework design decisions interpolated from this evidence base. Clinical leads should treat them as adjustable defaults. See Appendix A, Section 1.6.</w:t>
      </w:r>
    </w:p>
    <w:p>
      <w:pPr>
        <w:pStyle w:val="Heading3"/>
      </w:pPr>
      <w:r>
        <w:t>Return-to-Play &amp; Injury Monitoring Protocol</w:t>
      </w:r>
    </w:p>
    <w:p>
      <w:pPr/>
      <w:r>
        <w:t>COMPASS operates in two distinct clinical modes. Prevention mode (default) identifies hidden injury risk in active athletes. Monitoring mode activates after a confirmed injury: the same dual-signal architecture tracks tissue healing progress and loads tolerance through each rehabilitation phase, replacing subjective clinical feel with objective thermal-physiological gates.</w:t>
      </w:r>
    </w:p>
    <w:p>
      <w:pPr/>
      <w:r>
        <w:t>The same thermal scan that detects hidden tissue stress before injury becomes the most objective tool available for governing the return-to-play decision. Individual baselines established during the prevention phase carry directly into monitoring mode — the data continuity is a core clinical advantage.</w:t>
      </w:r>
    </w:p>
    <w:p>
      <w:pPr>
        <w:pStyle w:val="Heading4"/>
      </w:pPr>
      <w:r>
        <w:t>Two Clinical Modes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r>
              <w:rPr>
                <w:b/>
              </w:rPr>
              <w:t>Mode</w:t>
            </w:r>
          </w:p>
        </w:tc>
        <w:tc>
          <w:tcPr>
            <w:tcW w:type="dxa" w:w="2160"/>
            <w:shd w:val="clear" w:color="auto" w:fill="F2F2F2"/>
          </w:tcPr>
          <w:p>
            <w:r>
              <w:rPr>
                <w:b/>
              </w:rPr>
              <w:t>Trigger</w:t>
            </w:r>
          </w:p>
        </w:tc>
        <w:tc>
          <w:tcPr>
            <w:tcW w:type="dxa" w:w="2160"/>
            <w:shd w:val="clear" w:color="auto" w:fill="F2F2F2"/>
          </w:tcPr>
          <w:p>
            <w:r>
              <w:rPr>
                <w:b/>
              </w:rPr>
              <w:t>Primary Signal</w:t>
            </w:r>
          </w:p>
        </w:tc>
        <w:tc>
          <w:tcPr>
            <w:tcW w:type="dxa" w:w="2160"/>
            <w:shd w:val="clear" w:color="auto" w:fill="F2F2F2"/>
          </w:tcPr>
          <w:p>
            <w:r>
              <w:rPr>
                <w:b/>
              </w:rPr>
              <w:t>Clinical Question</w:t>
            </w:r>
          </w:p>
        </w:tc>
      </w:tr>
      <w:tr>
        <w:tc>
          <w:tcPr>
            <w:tcW w:type="dxa" w:w="2160"/>
          </w:tcPr>
          <w:p>
            <w:r>
              <w:t>Prevention</w:t>
            </w:r>
          </w:p>
        </w:tc>
        <w:tc>
          <w:tcPr>
            <w:tcW w:type="dxa" w:w="2160"/>
          </w:tcPr>
          <w:p>
            <w:r>
              <w:t>Default — active, uninjured athlete</w:t>
            </w:r>
          </w:p>
        </w:tc>
        <w:tc>
          <w:tcPr>
            <w:tcW w:type="dxa" w:w="2160"/>
          </w:tcPr>
          <w:p>
            <w:r>
              <w:t>Thermal asymmetry as hidden-risk detector</w:t>
            </w:r>
          </w:p>
        </w:tc>
        <w:tc>
          <w:tcPr>
            <w:tcW w:type="dxa" w:w="2160"/>
          </w:tcPr>
          <w:p>
            <w:r>
              <w:t>Is this athlete about to get injured?</w:t>
            </w:r>
          </w:p>
        </w:tc>
      </w:tr>
      <w:tr>
        <w:tc>
          <w:tcPr>
            <w:tcW w:type="dxa" w:w="2160"/>
          </w:tcPr>
          <w:p>
            <w:r>
              <w:t>Monitoring</w:t>
            </w:r>
          </w:p>
        </w:tc>
        <w:tc>
          <w:tcPr>
            <w:tcW w:type="dxa" w:w="2160"/>
          </w:tcPr>
          <w:p>
            <w:r>
              <w:t>Confirmed injury entered by clinical lead</w:t>
            </w:r>
          </w:p>
        </w:tc>
        <w:tc>
          <w:tcPr>
            <w:tcW w:type="dxa" w:w="2160"/>
          </w:tcPr>
          <w:p>
            <w:r>
              <w:t>Thermal trajectory as tissue-healing tracker</w:t>
            </w:r>
          </w:p>
        </w:tc>
        <w:tc>
          <w:tcPr>
            <w:tcW w:type="dxa" w:w="2160"/>
          </w:tcPr>
          <w:p>
            <w:r>
              <w:t>Is this athlete's tissue ready for the next load increase?</w:t>
            </w:r>
          </w:p>
        </w:tc>
      </w:tr>
    </w:tbl>
    <w:p/>
    <w:p>
      <w:pPr>
        <w:pStyle w:val="Heading4"/>
      </w:pPr>
      <w:r>
        <w:t>The Four RTP Phases</w:t>
      </w:r>
    </w:p>
    <w:p>
      <w:pPr/>
      <w:r>
        <w:t>Monitoring mode maps athlete rehabilitation to four sequential phases. Progression between phases requires COMPASS gate criteria to be met — not a fixed number of days. This removes time-based assumptions from the RTP decision.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r>
              <w:rPr>
                <w:b/>
              </w:rPr>
              <w:t>Phase</w:t>
            </w:r>
          </w:p>
        </w:tc>
        <w:tc>
          <w:tcPr>
            <w:tcW w:type="dxa" w:w="2160"/>
            <w:shd w:val="clear" w:color="auto" w:fill="F2F2F2"/>
          </w:tcPr>
          <w:p>
            <w:r>
              <w:rPr>
                <w:b/>
              </w:rPr>
              <w:t>Description</w:t>
            </w:r>
          </w:p>
        </w:tc>
        <w:tc>
          <w:tcPr>
            <w:tcW w:type="dxa" w:w="2160"/>
            <w:shd w:val="clear" w:color="auto" w:fill="F2F2F2"/>
          </w:tcPr>
          <w:p>
            <w:r>
              <w:rPr>
                <w:b/>
              </w:rPr>
              <w:t>COMPASS Gate to Progress</w:t>
            </w:r>
          </w:p>
        </w:tc>
        <w:tc>
          <w:tcPr>
            <w:tcW w:type="dxa" w:w="2160"/>
            <w:shd w:val="clear" w:color="auto" w:fill="F2F2F2"/>
          </w:tcPr>
          <w:p>
            <w:r>
              <w:rPr>
                <w:b/>
              </w:rPr>
              <w:t>Expected Zone</w:t>
            </w:r>
          </w:p>
        </w:tc>
      </w:tr>
      <w:tr>
        <w:tc>
          <w:tcPr>
            <w:tcW w:type="dxa" w:w="2160"/>
          </w:tcPr>
          <w:p>
            <w:r>
              <w:t>Phase 1Acute</w:t>
            </w:r>
          </w:p>
        </w:tc>
        <w:tc>
          <w:tcPr>
            <w:tcW w:type="dxa" w:w="2160"/>
          </w:tcPr>
          <w:p>
            <w:r>
              <w:t>Active tissue damage; rest or passive treatment only; no structured load</w:t>
            </w:r>
          </w:p>
        </w:tc>
        <w:tc>
          <w:tcPr>
            <w:tcW w:type="dxa" w:w="2160"/>
          </w:tcPr>
          <w:p>
            <w:r>
              <w:t>Thermal asymmetry peak identified; T Score trending upward across ≥2 consecutive scans</w:t>
            </w:r>
          </w:p>
        </w:tc>
        <w:tc>
          <w:tcPr>
            <w:tcW w:type="dxa" w:w="2160"/>
          </w:tcPr>
          <w:p>
            <w:r>
              <w:t>Danger (acceptable)</w:t>
            </w:r>
          </w:p>
        </w:tc>
      </w:tr>
      <w:tr>
        <w:tc>
          <w:tcPr>
            <w:tcW w:type="dxa" w:w="2160"/>
          </w:tcPr>
          <w:p>
            <w:r>
              <w:t>Phase 2Rehabilitation</w:t>
            </w:r>
          </w:p>
        </w:tc>
        <w:tc>
          <w:tcPr>
            <w:tcW w:type="dxa" w:w="2160"/>
          </w:tcPr>
          <w:p>
            <w:r>
              <w:t>Progressive rehabilitation exercises; controlled load introduction</w:t>
            </w:r>
          </w:p>
        </w:tc>
        <w:tc>
          <w:tcPr>
            <w:tcW w:type="dxa" w:w="2160"/>
          </w:tcPr>
          <w:p>
            <w:r>
              <w:t>Thermal asymmetry declining toward individual baseline; T Score improving each load increment</w:t>
            </w:r>
          </w:p>
        </w:tc>
        <w:tc>
          <w:tcPr>
            <w:tcW w:type="dxa" w:w="2160"/>
          </w:tcPr>
          <w:p>
            <w:r>
              <w:t>Recovery or Deceptive</w:t>
            </w:r>
          </w:p>
        </w:tc>
      </w:tr>
      <w:tr>
        <w:tc>
          <w:tcPr>
            <w:tcW w:type="dxa" w:w="2160"/>
          </w:tcPr>
          <w:p>
            <w:r>
              <w:t>Phase 3Progressive Loading</w:t>
            </w:r>
          </w:p>
        </w:tc>
        <w:tc>
          <w:tcPr>
            <w:tcW w:type="dxa" w:w="2160"/>
          </w:tcPr>
          <w:p>
            <w:r>
              <w:t>Sport-specific load reintroduction; functional movement patterns</w:t>
            </w:r>
          </w:p>
        </w:tc>
        <w:tc>
          <w:tcPr>
            <w:tcW w:type="dxa" w:w="2160"/>
          </w:tcPr>
          <w:p>
            <w:r>
              <w:t>Thermal asymmetry within 1.0 SD of individual baseline; COMPASS in Recovery or Safe zone</w:t>
            </w:r>
          </w:p>
        </w:tc>
        <w:tc>
          <w:tcPr>
            <w:tcW w:type="dxa" w:w="2160"/>
          </w:tcPr>
          <w:p>
            <w:r>
              <w:t>Recovery or Safe</w:t>
            </w:r>
          </w:p>
        </w:tc>
      </w:tr>
      <w:tr>
        <w:tc>
          <w:tcPr>
            <w:tcW w:type="dxa" w:w="2160"/>
          </w:tcPr>
          <w:p>
            <w:r>
              <w:t>Phase 4Return to Competition</w:t>
            </w:r>
          </w:p>
        </w:tc>
        <w:tc>
          <w:tcPr>
            <w:tcW w:type="dxa" w:w="2160"/>
          </w:tcPr>
          <w:p>
            <w:r>
              <w:t>Full training; medical clearance decision</w:t>
            </w:r>
          </w:p>
        </w:tc>
        <w:tc>
          <w:tcPr>
            <w:tcW w:type="dxa" w:w="2160"/>
          </w:tcPr>
          <w:p>
            <w:r>
              <w:t>Thermal asymmetry within 0.5 SD of individual baseline; Safe zone for ≥3 consecutive scans</w:t>
            </w:r>
          </w:p>
        </w:tc>
        <w:tc>
          <w:tcPr>
            <w:tcW w:type="dxa" w:w="2160"/>
          </w:tcPr>
          <w:p>
            <w:r>
              <w:t>Safe ×3</w:t>
            </w:r>
          </w:p>
        </w:tc>
      </w:tr>
    </w:tbl>
    <w:p/>
    <w:p>
      <w:pPr/>
      <w:r>
        <w:t>Why Phase-Gating Removes Guesswork: The most common driver of re-injury is premature return — an athlete who feels ready, whose wearable looks normal, but whose tissue has not completed repair. This is the same Deceptive Readiness state that causes first injuries. Phase gates anchored to thermal trajectory and individual baseline make the progression decision objective and auditable.</w:t>
      </w:r>
    </w:p>
    <w:p>
      <w:pPr>
        <w:pStyle w:val="Heading4"/>
      </w:pPr>
      <w:r>
        <w:t>Thermal Trajectory as Objective Progression Gate</w:t>
      </w:r>
    </w:p>
    <w:p>
      <w:pPr/>
      <w:r>
        <w:t>In monitoring mode, the T Score is the primary gate for phase progression. A single reading is insufficient — what matters is the trajectory across successive scans under incrementally increasing load.</w:t>
      </w:r>
    </w:p>
    <w:p>
      <w:pPr>
        <w:pStyle w:val="ListBullet"/>
        <w:ind w:left="360"/>
      </w:pPr>
      <w:r>
        <w:t>Improving trajectory (T Score rising across scans): Load is within tissue repair capacity — safe to maintain or progress.</w:t>
      </w:r>
    </w:p>
    <w:p>
      <w:pPr>
        <w:pStyle w:val="ListBullet"/>
        <w:ind w:left="360"/>
      </w:pPr>
      <w:r>
        <w:t>Plateau (T Score stable across ≥2 scans at same load level): Tissue tolerance ceiling reached at current load — hold phase, do not progress.</w:t>
      </w:r>
    </w:p>
    <w:p>
      <w:pPr>
        <w:pStyle w:val="ListBullet"/>
        <w:ind w:left="360"/>
      </w:pPr>
      <w:r>
        <w:t>Worsening trajectory (T Score declining despite stable or reduced load): Current rehabilitation load is exceeding tissue repair capacity — regress one phase and reassess.</w:t>
      </w:r>
    </w:p>
    <w:p>
      <w:pPr>
        <w:pStyle w:val="ListBullet"/>
        <w:ind w:left="360"/>
      </w:pPr>
      <w:r>
        <w:t>RTP clearance : Not a single reading but a confirmed trend — thermal asymmetry within 0.5 SD of individual baseline across ≥3 consecutive scans with progressive load.</w:t>
      </w:r>
    </w:p>
    <w:p>
      <w:pPr>
        <w:pStyle w:val="Heading4"/>
      </w:pPr>
      <w:r>
        <w:t>Contralateral Limb Monitoring</w:t>
      </w:r>
    </w:p>
    <w:p>
      <w:pPr/>
      <w:r>
        <w:t>Injured athletes compensate by redistributing load to the contralateral (uninjured) limb. COMPASS bilateral scanning tracks both limbs simultaneously throughout rehabilitation. The contralateral limb requires its own thermal trajectory assessment — independent of the injury site.</w:t>
      </w:r>
    </w:p>
    <w:p>
      <w:pPr>
        <w:pStyle w:val="Heading4"/>
      </w:pPr>
      <w:r>
        <w:t>⚠️ Contralateral Alert</w:t>
      </w:r>
    </w:p>
    <w:p>
      <w:pPr/>
      <w:r>
        <w:t>Rising thermal asymmetry on the healthy limb during rehabilitation signals compensatory overload. The contralateral limb is entering a Deceptive Readiness state — the athlete cannot perceive this stress.</w:t>
      </w:r>
    </w:p>
    <w:p>
      <w:pPr>
        <w:pStyle w:val="Heading4"/>
      </w:pPr>
      <w:r>
        <w:t>🟢 Bilateral Symmetry Restored</w:t>
      </w:r>
    </w:p>
    <w:p>
      <w:pPr/>
      <w:r>
        <w:t>Both the injured site and the contralateral limb showing thermal asymmetry within 0.5 SD of individual baseline is the full-body clearance condition. Unilateral clearance alone is insufficient.</w:t>
      </w:r>
    </w:p>
    <w:p>
      <w:pPr>
        <w:pStyle w:val="Heading4"/>
      </w:pPr>
      <w:r>
        <w:t>Zone Reinterpretation in Monitoring Mode</w:t>
      </w:r>
    </w:p>
    <w:p>
      <w:pPr/>
      <w:r>
        <w:t>Zone labels remain the same in monitoring mode, but their clinical meaning shifts to reflect the rehabilitation context.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Zone</w:t>
            </w:r>
          </w:p>
        </w:tc>
        <w:tc>
          <w:tcPr>
            <w:tcW w:type="dxa" w:w="2880"/>
            <w:shd w:val="clear" w:color="auto" w:fill="F2F2F2"/>
          </w:tcPr>
          <w:p>
            <w:r>
              <w:rPr>
                <w:b/>
              </w:rPr>
              <w:t>Prevention Meaning</w:t>
            </w:r>
          </w:p>
        </w:tc>
        <w:tc>
          <w:tcPr>
            <w:tcW w:type="dxa" w:w="2880"/>
            <w:shd w:val="clear" w:color="auto" w:fill="F2F2F2"/>
          </w:tcPr>
          <w:p>
            <w:r>
              <w:rPr>
                <w:b/>
              </w:rPr>
              <w:t>Monitoring Mode Meaning</w:t>
            </w:r>
          </w:p>
        </w:tc>
      </w:tr>
      <w:tr>
        <w:tc>
          <w:tcPr>
            <w:tcW w:type="dxa" w:w="2880"/>
          </w:tcPr>
          <w:p>
            <w:r>
              <w:t>Safe</w:t>
            </w:r>
          </w:p>
        </w:tc>
        <w:tc>
          <w:tcPr>
            <w:tcW w:type="dxa" w:w="2880"/>
          </w:tcPr>
          <w:p>
            <w:r>
              <w:t>Clear to train at full load</w:t>
            </w:r>
          </w:p>
        </w:tc>
        <w:tc>
          <w:tcPr>
            <w:tcW w:type="dxa" w:w="2880"/>
          </w:tcPr>
          <w:p>
            <w:r>
              <w:t>Tissue healing on track; current rehabilitation load can progress</w:t>
            </w:r>
          </w:p>
        </w:tc>
      </w:tr>
      <w:tr>
        <w:tc>
          <w:tcPr>
            <w:tcW w:type="dxa" w:w="2880"/>
          </w:tcPr>
          <w:p>
            <w:r>
              <w:t>Recovery</w:t>
            </w:r>
          </w:p>
        </w:tc>
        <w:tc>
          <w:tcPr>
            <w:tcW w:type="dxa" w:w="2880"/>
          </w:tcPr>
          <w:p>
            <w:r>
              <w:t>Systemic fatigue; reduce training volume</w:t>
            </w:r>
          </w:p>
        </w:tc>
        <w:tc>
          <w:tcPr>
            <w:tcW w:type="dxa" w:w="2880"/>
          </w:tcPr>
          <w:p>
            <w:r>
              <w:t>Systemic fatigue from rehabilitation load; reduce intensity but maintain frequency</w:t>
            </w:r>
          </w:p>
        </w:tc>
      </w:tr>
      <w:tr>
        <w:tc>
          <w:tcPr>
            <w:tcW w:type="dxa" w:w="2880"/>
          </w:tcPr>
          <w:p>
            <w:r>
              <w:t>Deceptive Readiness</w:t>
            </w:r>
          </w:p>
        </w:tc>
        <w:tc>
          <w:tcPr>
            <w:tcW w:type="dxa" w:w="2880"/>
          </w:tcPr>
          <w:p>
            <w:r>
              <w:t>Hidden tissue stress; mandatory physio before load increase</w:t>
            </w:r>
          </w:p>
        </w:tc>
        <w:tc>
          <w:tcPr>
            <w:tcW w:type="dxa" w:w="2880"/>
          </w:tcPr>
          <w:p>
            <w:r>
              <w:t>Tissue stress accumulating under current rehab load; reduce load and reassess before progressing</w:t>
            </w:r>
          </w:p>
        </w:tc>
      </w:tr>
      <w:tr>
        <w:tc>
          <w:tcPr>
            <w:tcW w:type="dxa" w:w="2880"/>
          </w:tcPr>
          <w:p>
            <w:r>
              <w:t>Danger</w:t>
            </w:r>
          </w:p>
        </w:tc>
        <w:tc>
          <w:tcPr>
            <w:tcW w:type="dxa" w:w="2880"/>
          </w:tcPr>
          <w:p>
            <w:r>
              <w:t>Mandatory clinical stop; no load plan issued</w:t>
            </w:r>
          </w:p>
        </w:tc>
        <w:tc>
          <w:tcPr>
            <w:tcW w:type="dxa" w:w="2880"/>
          </w:tcPr>
          <w:p>
            <w:r>
              <w:t>Tissue not tolerating current rehabilitation load; regress to previous phase; urgent clinical review</w:t>
            </w:r>
          </w:p>
        </w:tc>
      </w:tr>
    </w:tbl>
    <w:p/>
    <w:p>
      <w:pPr>
        <w:pStyle w:val="Heading4"/>
      </w:pPr>
      <w:r>
        <w:t>Scan Frequency During RTP Phases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RTP Phase</w:t>
            </w:r>
          </w:p>
        </w:tc>
        <w:tc>
          <w:tcPr>
            <w:tcW w:type="dxa" w:w="2880"/>
            <w:shd w:val="clear" w:color="auto" w:fill="F2F2F2"/>
          </w:tcPr>
          <w:p>
            <w:r>
              <w:rPr>
                <w:b/>
              </w:rPr>
              <w:t>Scan Frequency</w:t>
            </w:r>
          </w:p>
        </w:tc>
        <w:tc>
          <w:tcPr>
            <w:tcW w:type="dxa" w:w="2880"/>
            <w:shd w:val="clear" w:color="auto" w:fill="F2F2F2"/>
          </w:tcPr>
          <w:p>
            <w:r>
              <w:rPr>
                <w:b/>
              </w:rPr>
              <w:t>Rationale</w:t>
            </w:r>
          </w:p>
        </w:tc>
      </w:tr>
      <w:tr>
        <w:tc>
          <w:tcPr>
            <w:tcW w:type="dxa" w:w="2880"/>
          </w:tcPr>
          <w:p>
            <w:r>
              <w:t>Phase 1 — Acute</w:t>
            </w:r>
          </w:p>
        </w:tc>
        <w:tc>
          <w:tcPr>
            <w:tcW w:type="dxa" w:w="2880"/>
          </w:tcPr>
          <w:p>
            <w:r>
              <w:t>Every 2–3 days</w:t>
            </w:r>
          </w:p>
        </w:tc>
        <w:tc>
          <w:tcPr>
            <w:tcW w:type="dxa" w:w="2880"/>
          </w:tcPr>
          <w:p>
            <w:r>
              <w:t>Track asymmetry peak and confirm thermal decline before load introduction [↗ Gómez-Carmona 2020 — daily scanning at peak risk]</w:t>
            </w:r>
          </w:p>
        </w:tc>
      </w:tr>
      <w:tr>
        <w:tc>
          <w:tcPr>
            <w:tcW w:type="dxa" w:w="2880"/>
          </w:tcPr>
          <w:p>
            <w:r>
              <w:t>Phase 2 — Rehabilitation</w:t>
            </w:r>
          </w:p>
        </w:tc>
        <w:tc>
          <w:tcPr>
            <w:tcW w:type="dxa" w:w="2880"/>
          </w:tcPr>
          <w:p>
            <w:r>
              <w:t>Twice weekly</w:t>
            </w:r>
          </w:p>
        </w:tc>
        <w:tc>
          <w:tcPr>
            <w:tcW w:type="dxa" w:w="2880"/>
          </w:tcPr>
          <w:p>
            <w:r>
              <w:t>Each new exercise stimulus requires a scan response before the next increment [↗ Arnaiz-Lastras 2019 — twice-weekly protocol]</w:t>
            </w:r>
          </w:p>
        </w:tc>
      </w:tr>
      <w:tr>
        <w:tc>
          <w:tcPr>
            <w:tcW w:type="dxa" w:w="2880"/>
          </w:tcPr>
          <w:p>
            <w:r>
              <w:t>Phase 3 — Progressive Loading</w:t>
            </w:r>
          </w:p>
        </w:tc>
        <w:tc>
          <w:tcPr>
            <w:tcW w:type="dxa" w:w="2880"/>
          </w:tcPr>
          <w:p>
            <w:r>
              <w:t>Twice weekly</w:t>
            </w:r>
          </w:p>
        </w:tc>
        <w:tc>
          <w:tcPr>
            <w:tcW w:type="dxa" w:w="2880"/>
          </w:tcPr>
          <w:p>
            <w:r>
              <w:t>Each load increase is an experiment; thermal response must confirm safety before progression</w:t>
            </w:r>
          </w:p>
        </w:tc>
      </w:tr>
      <w:tr>
        <w:tc>
          <w:tcPr>
            <w:tcW w:type="dxa" w:w="2880"/>
          </w:tcPr>
          <w:p>
            <w:r>
              <w:t>Phase 4 — Return to Competition</w:t>
            </w:r>
          </w:p>
        </w:tc>
        <w:tc>
          <w:tcPr>
            <w:tcW w:type="dxa" w:w="2880"/>
          </w:tcPr>
          <w:p>
            <w:r>
              <w:t>3 consecutive scans; then weekly</w:t>
            </w:r>
          </w:p>
        </w:tc>
        <w:tc>
          <w:tcPr>
            <w:tcW w:type="dxa" w:w="2880"/>
          </w:tcPr>
          <w:p>
            <w:r>
              <w:t>Clearance requires confirmed trend across multiple readings, not a single pass; weekly resumes on RTP</w:t>
            </w:r>
          </w:p>
        </w:tc>
      </w:tr>
    </w:tbl>
    <w:p/>
    <w:p>
      <w:pPr/>
      <w:r>
        <w:t>Monitoring mode is activated by the clinical lead upon confirming an injury. The individual thermal baseline established during prevention-mode scanning is the reference point for all RTP phase gates. Baseline continuity — using the athlete's own pre-injury thermal norm — is what makes the 0.5 SD and 1.0 SD clearance thresholds meaningful. Population norms cannot serve this function. See Section 05B for the SD-based asymmetry classification method.</w:t>
      </w:r>
    </w:p>
    <w:p>
      <w:pPr>
        <w:pStyle w:val="Heading2"/>
      </w:pPr>
      <w:r>
        <w:t>Standardised Scan Protocol</w:t>
      </w:r>
    </w:p>
    <w:p>
      <w:pPr/>
      <w:r>
        <w:t>The asymmetry thresholds defined in Sections 04A and 04B are only valid when scans are acquired under controlled, reproducible conditions. This section defines the mandatory environmental, preparation, timing, and technical parameters for every COMPASS thermography session.</w:t>
      </w:r>
    </w:p>
    <w:p>
      <w:pPr>
        <w:pStyle w:val="Heading3"/>
      </w:pPr>
      <w:r>
        <w:t>Environmental Conditions</w:t>
      </w:r>
    </w:p>
    <w:p>
      <w:pPr/>
      <w:r>
        <w:t>The scan room must meet all of the following environmental criteria before any athlete enters. Log actual room temperature and humidity at the start of each session. Parameters follow IACT Guidelines and TISEM Delphi Expert Consensus (2017).</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Environmental Factor</w:t>
            </w:r>
          </w:p>
        </w:tc>
        <w:tc>
          <w:tcPr>
            <w:tcW w:type="dxa" w:w="2880"/>
            <w:shd w:val="clear" w:color="auto" w:fill="F2F2F2"/>
          </w:tcPr>
          <w:p>
            <w:r>
              <w:rPr>
                <w:b/>
              </w:rPr>
              <w:t>Requirement</w:t>
            </w:r>
          </w:p>
        </w:tc>
        <w:tc>
          <w:tcPr>
            <w:tcW w:type="dxa" w:w="2880"/>
            <w:shd w:val="clear" w:color="auto" w:fill="F2F2F2"/>
          </w:tcPr>
          <w:p>
            <w:r>
              <w:rPr>
                <w:b/>
              </w:rPr>
              <w:t>Rationale</w:t>
            </w:r>
          </w:p>
        </w:tc>
      </w:tr>
      <w:tr>
        <w:tc>
          <w:tcPr>
            <w:tcW w:type="dxa" w:w="2880"/>
          </w:tcPr>
          <w:p>
            <w:r>
              <w:t>Room temperature</w:t>
            </w:r>
          </w:p>
        </w:tc>
        <w:tc>
          <w:tcPr>
            <w:tcW w:type="dxa" w:w="2880"/>
          </w:tcPr>
          <w:p>
            <w:r>
              <w:t>20–24°C, stable within ±1°C</w:t>
            </w:r>
          </w:p>
        </w:tc>
        <w:tc>
          <w:tcPr>
            <w:tcW w:type="dxa" w:w="2880"/>
          </w:tcPr>
          <w:p>
            <w:r>
              <w:t>Outside this range, peripheral vasoconstriction or vasodilation masks genuine asymmetries. The body's thermoregulatory response to cold or heat dominates the thermal signal.</w:t>
            </w:r>
          </w:p>
        </w:tc>
      </w:tr>
      <w:tr>
        <w:tc>
          <w:tcPr>
            <w:tcW w:type="dxa" w:w="2880"/>
          </w:tcPr>
          <w:p>
            <w:r>
              <w:t>Relative humidity</w:t>
            </w:r>
          </w:p>
        </w:tc>
        <w:tc>
          <w:tcPr>
            <w:tcW w:type="dxa" w:w="2880"/>
          </w:tcPr>
          <w:p>
            <w:r>
              <w:t>40–60% RH</w:t>
            </w:r>
          </w:p>
        </w:tc>
        <w:tc>
          <w:tcPr>
            <w:tcW w:type="dxa" w:w="2880"/>
          </w:tcPr>
          <w:p>
            <w:r>
              <w:t>Humidity affects evaporative cooling from the skin surface, creating artefactual spatial temperature gradients if outside range.</w:t>
            </w:r>
          </w:p>
        </w:tc>
      </w:tr>
      <w:tr>
        <w:tc>
          <w:tcPr>
            <w:tcW w:type="dxa" w:w="2880"/>
          </w:tcPr>
          <w:p>
            <w:r>
              <w:t>Air movement</w:t>
            </w:r>
          </w:p>
        </w:tc>
        <w:tc>
          <w:tcPr>
            <w:tcW w:type="dxa" w:w="2880"/>
          </w:tcPr>
          <w:p>
            <w:r>
              <w:t>No fans, air conditioning vents, or open windows directed at the subject</w:t>
            </w:r>
          </w:p>
        </w:tc>
        <w:tc>
          <w:tcPr>
            <w:tcW w:type="dxa" w:w="2880"/>
          </w:tcPr>
          <w:p>
            <w:r>
              <w:t>Forced convection causes localised evaporative cooling, producing false cold asymmetries in exposed skin. Room AC is acceptable if not directed at the athlete.</w:t>
            </w:r>
          </w:p>
        </w:tc>
      </w:tr>
      <w:tr>
        <w:tc>
          <w:tcPr>
            <w:tcW w:type="dxa" w:w="2880"/>
          </w:tcPr>
          <w:p>
            <w:r>
              <w:t>Radiant heat sources</w:t>
            </w:r>
          </w:p>
        </w:tc>
        <w:tc>
          <w:tcPr>
            <w:tcW w:type="dxa" w:w="2880"/>
          </w:tcPr>
          <w:p>
            <w:r>
              <w:t>No direct sunlight, heaters, or radiant panels on subject</w:t>
            </w:r>
          </w:p>
        </w:tc>
        <w:tc>
          <w:tcPr>
            <w:tcW w:type="dxa" w:w="2880"/>
          </w:tcPr>
          <w:p>
            <w:r>
              <w:t>Radiant sources create spatial heating artefacts that cannot be distinguished from physiological thermal emission.</w:t>
            </w:r>
          </w:p>
        </w:tc>
      </w:tr>
      <w:tr>
        <w:tc>
          <w:tcPr>
            <w:tcW w:type="dxa" w:w="2880"/>
          </w:tcPr>
          <w:p>
            <w:r>
              <w:t>Room equilibration</w:t>
            </w:r>
          </w:p>
        </w:tc>
        <w:tc>
          <w:tcPr>
            <w:tcW w:type="dxa" w:w="2880"/>
          </w:tcPr>
          <w:p>
            <w:r>
              <w:t>Room conditions stable for ≥ 30 min before first scan</w:t>
            </w:r>
          </w:p>
        </w:tc>
        <w:tc>
          <w:tcPr>
            <w:tcW w:type="dxa" w:w="2880"/>
          </w:tcPr>
          <w:p>
            <w:r>
              <w:t>Prevents thermal gradients from recent environmental changes (e.g., door left open, HVAC cycling) from affecting early scans.</w:t>
            </w:r>
          </w:p>
        </w:tc>
      </w:tr>
    </w:tbl>
    <w:p/>
    <w:p>
      <w:pPr>
        <w:pStyle w:val="Heading3"/>
      </w:pPr>
      <w:r>
        <w:t>Athlete Acclimatisation</w:t>
      </w:r>
    </w:p>
    <w:p>
      <w:pPr/>
      <w:r>
        <w:t>Acclimatisation requirements depend on the scan view. For anterior scans, research shows no significant thermal asymmetry differences across any lower-limb region regardless of acclimatisation time — athletes may be scanned immediately. For posterior scans, the athlete must stand for 5–10 minutes before imaging: seated rest compresses the posterior thigh against the chair, suppressing hamstring perfusion and creating a positional thermal artefact that resolves only in the standing position. (Fernández-Cuevas et al., ThermoHuman, J. Thermal Analysis &amp; Calorimetry 149:9343, 2024; TISEM Delphi 2017; Marins et al., 2014)</w:t>
      </w:r>
    </w:p>
    <w:p>
      <w:pPr/>
      <w:r>
        <w:t>Seated rest causes vascular compression of the posterior thigh against the chair, suppressing hamstring perfusion and producing thermal asymmetry artefacts. Hamstrings are the only lower-limb region where acclimatisation significantly affects asymmetry readings; all other posterior regions (calves, Achilles, popliteal) show no significant differences across timepoints (Fernández-Cuevas et al., 2024). For all posterior scans, the athlete must stand (or lie prone) for 5–10 minutes before imaging. This fully resolves the compression artefact; longer standing periods offer no additional benefit.</w:t>
      </w:r>
    </w:p>
    <w:p>
      <w:pPr>
        <w:pStyle w:val="Heading3"/>
      </w:pPr>
      <w:r>
        <w:t>Athlete Preparation</w:t>
      </w:r>
    </w:p>
    <w:p>
      <w:pPr/>
      <w:r>
        <w:t>Preparation requirements apply from the morning of the scan day unless a specific time restriction is stated.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Preparation Factor</w:t>
            </w:r>
          </w:p>
        </w:tc>
        <w:tc>
          <w:tcPr>
            <w:tcW w:type="dxa" w:w="2880"/>
            <w:shd w:val="clear" w:color="auto" w:fill="F2F2F2"/>
          </w:tcPr>
          <w:p>
            <w:r>
              <w:rPr>
                <w:b/>
              </w:rPr>
              <w:t>Requirement</w:t>
            </w:r>
          </w:p>
        </w:tc>
        <w:tc>
          <w:tcPr>
            <w:tcW w:type="dxa" w:w="2880"/>
            <w:shd w:val="clear" w:color="auto" w:fill="F2F2F2"/>
          </w:tcPr>
          <w:p>
            <w:r>
              <w:rPr>
                <w:b/>
              </w:rPr>
              <w:t>Rationale</w:t>
            </w:r>
          </w:p>
        </w:tc>
      </w:tr>
      <w:tr>
        <w:tc>
          <w:tcPr>
            <w:tcW w:type="dxa" w:w="2880"/>
          </w:tcPr>
          <w:p>
            <w:r>
              <w:t>Clothing</w:t>
            </w:r>
          </w:p>
        </w:tc>
        <w:tc>
          <w:tcPr>
            <w:tcW w:type="dxa" w:w="2880"/>
          </w:tcPr>
          <w:p>
            <w:r>
              <w:t>Lycra shorts or minimal underwear; all target regions fully uncovered</w:t>
            </w:r>
          </w:p>
        </w:tc>
        <w:tc>
          <w:tcPr>
            <w:tcW w:type="dxa" w:w="2880"/>
          </w:tcPr>
          <w:p>
            <w:r>
              <w:t>Clothing causes compression artefacts and traps heat. Avoid loose fabric that may move and create pattern artefacts during scanning.</w:t>
            </w:r>
          </w:p>
        </w:tc>
      </w:tr>
      <w:tr>
        <w:tc>
          <w:tcPr>
            <w:tcW w:type="dxa" w:w="2880"/>
          </w:tcPr>
          <w:p>
            <w:r>
              <w:t>Lotions and creams</w:t>
            </w:r>
          </w:p>
        </w:tc>
        <w:tc>
          <w:tcPr>
            <w:tcW w:type="dxa" w:w="2880"/>
          </w:tcPr>
          <w:p>
            <w:r>
              <w:t>None on scan day — no moisturisers, massage oils, liniments, analgesic gels, or sunscreen</w:t>
            </w:r>
          </w:p>
        </w:tc>
        <w:tc>
          <w:tcPr>
            <w:tcW w:type="dxa" w:w="2880"/>
          </w:tcPr>
          <w:p>
            <w:r>
              <w:t>Topical products alter local emissivity and modify evaporative cooling, producing regions of false asymmetry.</w:t>
            </w:r>
          </w:p>
        </w:tc>
      </w:tr>
      <w:tr>
        <w:tc>
          <w:tcPr>
            <w:tcW w:type="dxa" w:w="2880"/>
          </w:tcPr>
          <w:p>
            <w:r>
              <w:t>Deodorant / antiperspirant</w:t>
            </w:r>
          </w:p>
        </w:tc>
        <w:tc>
          <w:tcPr>
            <w:tcW w:type="dxa" w:w="2880"/>
          </w:tcPr>
          <w:p>
            <w:r>
              <w:t>None on scan day if axilla or upper arm is a region of interest</w:t>
            </w:r>
          </w:p>
        </w:tc>
        <w:tc>
          <w:tcPr>
            <w:tcW w:type="dxa" w:w="2880"/>
          </w:tcPr>
          <w:p>
            <w:r>
              <w:t>Aluminium-based antiperspirants block sweat glands, suppressing evaporative cooling and elevating local skin temperature artificially.</w:t>
            </w:r>
          </w:p>
        </w:tc>
      </w:tr>
      <w:tr>
        <w:tc>
          <w:tcPr>
            <w:tcW w:type="dxa" w:w="2880"/>
          </w:tcPr>
          <w:p>
            <w:r>
              <w:t>Kinesiology tape / strapping</w:t>
            </w:r>
          </w:p>
        </w:tc>
        <w:tc>
          <w:tcPr>
            <w:tcW w:type="dxa" w:w="2880"/>
          </w:tcPr>
          <w:p>
            <w:r>
              <w:t>Remove ≥ 30 minutes before scan; allow skin impression to resolve</w:t>
            </w:r>
          </w:p>
        </w:tc>
        <w:tc>
          <w:tcPr>
            <w:tcW w:type="dxa" w:w="2880"/>
          </w:tcPr>
          <w:p>
            <w:r>
              <w:t>Tape application compresses the skin microcirculation. Skin indentation from adhesive continues to influence local temperature for 15–30 minutes after removal.</w:t>
            </w:r>
          </w:p>
        </w:tc>
      </w:tr>
      <w:tr>
        <w:tc>
          <w:tcPr>
            <w:tcW w:type="dxa" w:w="2880"/>
          </w:tcPr>
          <w:p>
            <w:r>
              <w:t>Sunburn</w:t>
            </w:r>
          </w:p>
        </w:tc>
        <w:tc>
          <w:tcPr>
            <w:tcW w:type="dxa" w:w="2880"/>
          </w:tcPr>
          <w:p>
            <w:r>
              <w:t>Reschedule if active sunburn present on any region of interest</w:t>
            </w:r>
          </w:p>
        </w:tc>
        <w:tc>
          <w:tcPr>
            <w:tcW w:type="dxa" w:w="2880"/>
          </w:tcPr>
          <w:p>
            <w:r>
              <w:t>Sunburn produces severe localised hyperthermia that invalidates asymmetry readings for the affected region. Scanning over sunburned skin is non-diagnostic.</w:t>
            </w:r>
          </w:p>
        </w:tc>
      </w:tr>
    </w:tbl>
    <w:p/>
    <w:p>
      <w:pPr>
        <w:pStyle w:val="Heading3"/>
      </w:pPr>
      <w:r>
        <w:t>Pre-Scan Restrictions</w:t>
      </w:r>
    </w:p>
    <w:p>
      <w:pPr/>
      <w:r>
        <w:t>Athletes must observe the following restrictions prior to each scan session. Document compliance as part of the session record.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Factor</w:t>
            </w:r>
          </w:p>
        </w:tc>
        <w:tc>
          <w:tcPr>
            <w:tcW w:type="dxa" w:w="2880"/>
            <w:shd w:val="clear" w:color="auto" w:fill="F2F2F2"/>
          </w:tcPr>
          <w:p>
            <w:r>
              <w:rPr>
                <w:b/>
              </w:rPr>
              <w:t>Minimum Restriction Window</w:t>
            </w:r>
          </w:p>
        </w:tc>
        <w:tc>
          <w:tcPr>
            <w:tcW w:type="dxa" w:w="2880"/>
            <w:shd w:val="clear" w:color="auto" w:fill="F2F2F2"/>
          </w:tcPr>
          <w:p>
            <w:r>
              <w:rPr>
                <w:b/>
              </w:rPr>
              <w:t>Rationale</w:t>
            </w:r>
          </w:p>
        </w:tc>
      </w:tr>
      <w:tr>
        <w:tc>
          <w:tcPr>
            <w:tcW w:type="dxa" w:w="2880"/>
          </w:tcPr>
          <w:p>
            <w:r>
              <w:t>Vigorous exercise (training, match play)</w:t>
            </w:r>
          </w:p>
        </w:tc>
        <w:tc>
          <w:tcPr>
            <w:tcW w:type="dxa" w:w="2880"/>
          </w:tcPr>
          <w:p>
            <w:r>
              <w:t>≥ 24 hours</w:t>
            </w:r>
          </w:p>
        </w:tc>
        <w:tc>
          <w:tcPr>
            <w:tcW w:type="dxa" w:w="2880"/>
          </w:tcPr>
          <w:p>
            <w:r>
              <w:t>Exercise-induced skin temperature changes persist for hours. Reliable asymmetry readings require full thermoregulatory recovery. See Timing section below.</w:t>
            </w:r>
          </w:p>
        </w:tc>
      </w:tr>
      <w:tr>
        <w:tc>
          <w:tcPr>
            <w:tcW w:type="dxa" w:w="2880"/>
          </w:tcPr>
          <w:p>
            <w:r>
              <w:t>Light activity (walking, gentle stretching)</w:t>
            </w:r>
          </w:p>
        </w:tc>
        <w:tc>
          <w:tcPr>
            <w:tcW w:type="dxa" w:w="2880"/>
          </w:tcPr>
          <w:p>
            <w:r>
              <w:t>≥ 2 hours</w:t>
            </w:r>
          </w:p>
        </w:tc>
        <w:tc>
          <w:tcPr>
            <w:tcW w:type="dxa" w:w="2880"/>
          </w:tcPr>
          <w:p>
            <w:r>
              <w:t>Even low-intensity movement elevates peripheral temperature and alters regional distribution. Acclimatisation cannot compensate for recent activity.</w:t>
            </w:r>
          </w:p>
        </w:tc>
      </w:tr>
      <w:tr>
        <w:tc>
          <w:tcPr>
            <w:tcW w:type="dxa" w:w="2880"/>
          </w:tcPr>
          <w:p>
            <w:r>
              <w:t>Caffeine, nicotine</w:t>
            </w:r>
          </w:p>
        </w:tc>
        <w:tc>
          <w:tcPr>
            <w:tcW w:type="dxa" w:w="2880"/>
          </w:tcPr>
          <w:p>
            <w:r>
              <w:t>≥ 4 hours</w:t>
            </w:r>
          </w:p>
        </w:tc>
        <w:tc>
          <w:tcPr>
            <w:tcW w:type="dxa" w:w="2880"/>
          </w:tcPr>
          <w:p>
            <w:r>
              <w:t>Both are vasoconstrictors that reduce peripheral skin temperature and suppress regional thermal gradients, potentially masking genuine asymmetries.</w:t>
            </w:r>
          </w:p>
        </w:tc>
      </w:tr>
      <w:tr>
        <w:tc>
          <w:tcPr>
            <w:tcW w:type="dxa" w:w="2880"/>
          </w:tcPr>
          <w:p>
            <w:r>
              <w:t>Alcohol</w:t>
            </w:r>
          </w:p>
        </w:tc>
        <w:tc>
          <w:tcPr>
            <w:tcW w:type="dxa" w:w="2880"/>
          </w:tcPr>
          <w:p>
            <w:r>
              <w:t>≥ 4 hours (24 hours preferred)</w:t>
            </w:r>
          </w:p>
        </w:tc>
        <w:tc>
          <w:tcPr>
            <w:tcW w:type="dxa" w:w="2880"/>
          </w:tcPr>
          <w:p>
            <w:r>
              <w:t>Alcohol is a potent peripheral vasodilator. Even moderate intake produces global skin temperature elevation that compresses asymmetry values toward zero.</w:t>
            </w:r>
          </w:p>
        </w:tc>
      </w:tr>
      <w:tr>
        <w:tc>
          <w:tcPr>
            <w:tcW w:type="dxa" w:w="2880"/>
          </w:tcPr>
          <w:p>
            <w:r>
              <w:t>Hot or cold beverages</w:t>
            </w:r>
          </w:p>
        </w:tc>
        <w:tc>
          <w:tcPr>
            <w:tcW w:type="dxa" w:w="2880"/>
          </w:tcPr>
          <w:p>
            <w:r>
              <w:t>≥ 1–2 hours</w:t>
            </w:r>
          </w:p>
        </w:tc>
        <w:tc>
          <w:tcPr>
            <w:tcW w:type="dxa" w:w="2880"/>
          </w:tcPr>
          <w:p>
            <w:r>
              <w:t>Core temperature changes from beverages are reflected in skin temperature within 30–60 minutes. Anterior trunk readings are most sensitive to this effect.</w:t>
            </w:r>
          </w:p>
        </w:tc>
      </w:tr>
      <w:tr>
        <w:tc>
          <w:tcPr>
            <w:tcW w:type="dxa" w:w="2880"/>
          </w:tcPr>
          <w:p>
            <w:r>
              <w:t>Large meal</w:t>
            </w:r>
          </w:p>
        </w:tc>
        <w:tc>
          <w:tcPr>
            <w:tcW w:type="dxa" w:w="2880"/>
          </w:tcPr>
          <w:p>
            <w:r>
              <w:t>≥ 2 hours</w:t>
            </w:r>
          </w:p>
        </w:tc>
        <w:tc>
          <w:tcPr>
            <w:tcW w:type="dxa" w:w="2880"/>
          </w:tcPr>
          <w:p>
            <w:r>
              <w:t>Postprandial thermic effect and visceral blood flow shift can alter trunk and abdominal skin temperatures. Light snacks are acceptable.</w:t>
            </w:r>
          </w:p>
        </w:tc>
      </w:tr>
    </w:tbl>
    <w:p/>
    <w:p>
      <w:pPr>
        <w:pStyle w:val="Heading3"/>
      </w:pPr>
      <w:r>
        <w:t>Scan Timing Relative to Exercise</w:t>
      </w:r>
    </w:p>
    <w:p>
      <w:pPr/>
      <w:r>
        <w:t>The preferred scan window is before that day's training session. Pre-training scanning eliminates exercise-induced thermal artefacts entirely, produces the most stable baseline readings, and ensures scans are not lost to scheduling conflicts after a session. Always aim to scan at the same time of day relative to training.</w:t>
      </w:r>
    </w:p>
    <w:p>
      <w:pPr/>
      <w:r>
        <w:t>Skin temperature does not simply remain elevated after exercise. It follows a biphasic pattern: an initial drop in the first 0–15 minutes (vasoconstriction during cool-down), followed by a prolonged rebound rise that can persist for several hours as inflammatory and perfusion responses evolve. This dynamic, non-monotonic response means there is no reliable post-exercise window for valid asymmetry assessment below 24 hours. Post-exercise scans should be avoided for diagnostic purposes. (Masur et al., Frontiers systematic review, 2024)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Timing Scenario</w:t>
            </w:r>
          </w:p>
        </w:tc>
        <w:tc>
          <w:tcPr>
            <w:tcW w:type="dxa" w:w="2880"/>
            <w:shd w:val="clear" w:color="auto" w:fill="F2F2F2"/>
          </w:tcPr>
          <w:p>
            <w:r>
              <w:rPr>
                <w:b/>
              </w:rPr>
              <w:t>Status</w:t>
            </w:r>
          </w:p>
        </w:tc>
        <w:tc>
          <w:tcPr>
            <w:tcW w:type="dxa" w:w="2880"/>
            <w:shd w:val="clear" w:color="auto" w:fill="F2F2F2"/>
          </w:tcPr>
          <w:p>
            <w:r>
              <w:rPr>
                <w:b/>
              </w:rPr>
              <w:t>Notes</w:t>
            </w:r>
          </w:p>
        </w:tc>
      </w:tr>
      <w:tr>
        <w:tc>
          <w:tcPr>
            <w:tcW w:type="dxa" w:w="2880"/>
          </w:tcPr>
          <w:p>
            <w:r>
              <w:t>Before training — preferred window</w:t>
            </w:r>
          </w:p>
        </w:tc>
        <w:tc>
          <w:tcPr>
            <w:tcW w:type="dxa" w:w="2880"/>
          </w:tcPr>
          <w:p>
            <w:r>
              <w:t>✅ Preferred</w:t>
            </w:r>
          </w:p>
        </w:tc>
        <w:tc>
          <w:tcPr>
            <w:tcW w:type="dxa" w:w="2880"/>
          </w:tcPr>
          <w:p>
            <w:r>
              <w:t>Lowest artefact risk. Consistently captures the athlete's resting thermal state. Recommended as the standard protocol window.</w:t>
            </w:r>
          </w:p>
        </w:tc>
      </w:tr>
      <w:tr>
        <w:tc>
          <w:tcPr>
            <w:tcW w:type="dxa" w:w="2880"/>
          </w:tcPr>
          <w:p>
            <w:r>
              <w:t>≥ 24 hours after vigorous exercise</w:t>
            </w:r>
          </w:p>
        </w:tc>
        <w:tc>
          <w:tcPr>
            <w:tcW w:type="dxa" w:w="2880"/>
          </w:tcPr>
          <w:p>
            <w:r>
              <w:t>✅ Acceptable</w:t>
            </w:r>
          </w:p>
        </w:tc>
        <w:tc>
          <w:tcPr>
            <w:tcW w:type="dxa" w:w="2880"/>
          </w:tcPr>
          <w:p>
            <w:r>
              <w:t>Full thermoregulatory recovery. Diagnostic-quality scan achievable. Document time since last vigorous exercise in session record.</w:t>
            </w:r>
          </w:p>
        </w:tc>
      </w:tr>
      <w:tr>
        <w:tc>
          <w:tcPr>
            <w:tcW w:type="dxa" w:w="2880"/>
          </w:tcPr>
          <w:p>
            <w:r>
              <w:t>2–23 hours after vigorous exercise</w:t>
            </w:r>
          </w:p>
        </w:tc>
        <w:tc>
          <w:tcPr>
            <w:tcW w:type="dxa" w:w="2880"/>
          </w:tcPr>
          <w:p>
            <w:r>
              <w:t>⚠️ Compromised</w:t>
            </w:r>
          </w:p>
        </w:tc>
        <w:tc>
          <w:tcPr>
            <w:tcW w:type="dxa" w:w="2880"/>
          </w:tcPr>
          <w:p>
            <w:r>
              <w:t>Residual post-exercise thermal signal present. Scan will reflect a mixture of exercise response and underlying tissue state. Avoid for diagnostic purposes; use only for trend monitoring with explicit flag in report.</w:t>
            </w:r>
          </w:p>
        </w:tc>
      </w:tr>
      <w:tr>
        <w:tc>
          <w:tcPr>
            <w:tcW w:type="dxa" w:w="2880"/>
          </w:tcPr>
          <w:p>
            <w:r>
              <w:t>0–2 hours after vigorous exercise</w:t>
            </w:r>
          </w:p>
        </w:tc>
        <w:tc>
          <w:tcPr>
            <w:tcW w:type="dxa" w:w="2880"/>
          </w:tcPr>
          <w:p>
            <w:r>
              <w:t>❌ Invalid</w:t>
            </w:r>
          </w:p>
        </w:tc>
        <w:tc>
          <w:tcPr>
            <w:tcW w:type="dxa" w:w="2880"/>
          </w:tcPr>
          <w:p>
            <w:r>
              <w:t>Acute exercise response dominates thermal image. Asymmetry readings non-diagnostic. Do not use for COMPASS classification.</w:t>
            </w:r>
          </w:p>
        </w:tc>
      </w:tr>
      <w:tr>
        <w:tc>
          <w:tcPr>
            <w:tcW w:type="dxa" w:w="2880"/>
          </w:tcPr>
          <w:p>
            <w:r>
              <w:t>≥ 2 hours after light activity only</w:t>
            </w:r>
          </w:p>
        </w:tc>
        <w:tc>
          <w:tcPr>
            <w:tcW w:type="dxa" w:w="2880"/>
          </w:tcPr>
          <w:p>
            <w:r>
              <w:t>✅ Acceptable</w:t>
            </w:r>
          </w:p>
        </w:tc>
        <w:tc>
          <w:tcPr>
            <w:tcW w:type="dxa" w:w="2880"/>
          </w:tcPr>
          <w:p>
            <w:r>
              <w:t>Sufficient recovery for light-activity athletes. Confirm no vigorous activity in prior 24 hours.</w:t>
            </w:r>
          </w:p>
        </w:tc>
      </w:tr>
    </w:tbl>
    <w:p/>
    <w:p>
      <w:pPr>
        <w:pStyle w:val="Heading3"/>
      </w:pPr>
      <w:r>
        <w:t>Scan Timing Relative to Physiotherapy &amp; Recovery Treatments</w:t>
      </w:r>
    </w:p>
    <w:p>
      <w:pPr/>
      <w:r>
        <w:t>All hands-on treatments and recovery modalities must be separated from thermography by a minimum of 24 hours. There are no exceptions — any treatment that directly manipulates skin temperature, circulation, or soft tissue is incompatible with same-day scanning.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Treatment / Modality</w:t>
            </w:r>
          </w:p>
        </w:tc>
        <w:tc>
          <w:tcPr>
            <w:tcW w:type="dxa" w:w="2880"/>
            <w:shd w:val="clear" w:color="auto" w:fill="F2F2F2"/>
          </w:tcPr>
          <w:p>
            <w:r>
              <w:rPr>
                <w:b/>
              </w:rPr>
              <w:t>Minimum Wait</w:t>
            </w:r>
          </w:p>
        </w:tc>
        <w:tc>
          <w:tcPr>
            <w:tcW w:type="dxa" w:w="2880"/>
            <w:shd w:val="clear" w:color="auto" w:fill="F2F2F2"/>
          </w:tcPr>
          <w:p>
            <w:r>
              <w:rPr>
                <w:b/>
              </w:rPr>
              <w:t>Rationale</w:t>
            </w:r>
          </w:p>
        </w:tc>
      </w:tr>
      <w:tr>
        <w:tc>
          <w:tcPr>
            <w:tcW w:type="dxa" w:w="2880"/>
          </w:tcPr>
          <w:p>
            <w:r>
              <w:t>Massage, soft tissue therapy, manual therapy</w:t>
            </w:r>
          </w:p>
        </w:tc>
        <w:tc>
          <w:tcPr>
            <w:tcW w:type="dxa" w:w="2880"/>
          </w:tcPr>
          <w:p>
            <w:r>
              <w:t>24 hours</w:t>
            </w:r>
          </w:p>
        </w:tc>
        <w:tc>
          <w:tcPr>
            <w:tcW w:type="dxa" w:w="2880"/>
          </w:tcPr>
          <w:p>
            <w:r>
              <w:t>Mechanical stimulation increases local perfusion and skin temperature. Effects persist for many hours post-treatment.</w:t>
            </w:r>
          </w:p>
        </w:tc>
      </w:tr>
      <w:tr>
        <w:tc>
          <w:tcPr>
            <w:tcW w:type="dxa" w:w="2880"/>
          </w:tcPr>
          <w:p>
            <w:r>
              <w:t>Therapeutic ultrasound</w:t>
            </w:r>
          </w:p>
        </w:tc>
        <w:tc>
          <w:tcPr>
            <w:tcW w:type="dxa" w:w="2880"/>
          </w:tcPr>
          <w:p>
            <w:r>
              <w:t>24 hours</w:t>
            </w:r>
          </w:p>
        </w:tc>
        <w:tc>
          <w:tcPr>
            <w:tcW w:type="dxa" w:w="2880"/>
          </w:tcPr>
          <w:p>
            <w:r>
              <w:t>Deep tissue heating from ultrasound is reflected in surface temperature for several hours.</w:t>
            </w:r>
          </w:p>
        </w:tc>
      </w:tr>
      <w:tr>
        <w:tc>
          <w:tcPr>
            <w:tcW w:type="dxa" w:w="2880"/>
          </w:tcPr>
          <w:p>
            <w:r>
              <w:t>TENS / EMS (electrostimulation)</w:t>
            </w:r>
          </w:p>
        </w:tc>
        <w:tc>
          <w:tcPr>
            <w:tcW w:type="dxa" w:w="2880"/>
          </w:tcPr>
          <w:p>
            <w:r>
              <w:t>24 hours</w:t>
            </w:r>
          </w:p>
        </w:tc>
        <w:tc>
          <w:tcPr>
            <w:tcW w:type="dxa" w:w="2880"/>
          </w:tcPr>
          <w:p>
            <w:r>
              <w:t>Electrical stimulation produces localised muscle activation and skin electrode contact artefacts.</w:t>
            </w:r>
          </w:p>
        </w:tc>
      </w:tr>
      <w:tr>
        <w:tc>
          <w:tcPr>
            <w:tcW w:type="dxa" w:w="2880"/>
          </w:tcPr>
          <w:p>
            <w:r>
              <w:t>Dry needling / acupuncture</w:t>
            </w:r>
          </w:p>
        </w:tc>
        <w:tc>
          <w:tcPr>
            <w:tcW w:type="dxa" w:w="2880"/>
          </w:tcPr>
          <w:p>
            <w:r>
              <w:t>24 hours</w:t>
            </w:r>
          </w:p>
        </w:tc>
        <w:tc>
          <w:tcPr>
            <w:tcW w:type="dxa" w:w="2880"/>
          </w:tcPr>
          <w:p>
            <w:r>
              <w:t>Needle insertion provokes a local inflammatory and vasodilatory response that persists well beyond the session.</w:t>
            </w:r>
          </w:p>
        </w:tc>
      </w:tr>
      <w:tr>
        <w:tc>
          <w:tcPr>
            <w:tcW w:type="dxa" w:w="2880"/>
          </w:tcPr>
          <w:p>
            <w:r>
              <w:t>Heat packs, infrared, diathermy</w:t>
            </w:r>
          </w:p>
        </w:tc>
        <w:tc>
          <w:tcPr>
            <w:tcW w:type="dxa" w:w="2880"/>
          </w:tcPr>
          <w:p>
            <w:r>
              <w:t>24 hours</w:t>
            </w:r>
          </w:p>
        </w:tc>
        <w:tc>
          <w:tcPr>
            <w:tcW w:type="dxa" w:w="2880"/>
          </w:tcPr>
          <w:p>
            <w:r>
              <w:t>Direct thermal input invalidates surface temperature readings for the treated region.</w:t>
            </w:r>
          </w:p>
        </w:tc>
      </w:tr>
      <w:tr>
        <w:tc>
          <w:tcPr>
            <w:tcW w:type="dxa" w:w="2880"/>
          </w:tcPr>
          <w:p>
            <w:r>
              <w:t>Ice packs, cryotherapy, cold spray</w:t>
            </w:r>
          </w:p>
        </w:tc>
        <w:tc>
          <w:tcPr>
            <w:tcW w:type="dxa" w:w="2880"/>
          </w:tcPr>
          <w:p>
            <w:r>
              <w:t>24 hours</w:t>
            </w:r>
          </w:p>
        </w:tc>
        <w:tc>
          <w:tcPr>
            <w:tcW w:type="dxa" w:w="2880"/>
          </w:tcPr>
          <w:p>
            <w:r>
              <w:t>Prolonged vasoconstriction and rebound hyperaemia following cold application persist for hours.</w:t>
            </w:r>
          </w:p>
        </w:tc>
      </w:tr>
      <w:tr>
        <w:tc>
          <w:tcPr>
            <w:tcW w:type="dxa" w:w="2880"/>
          </w:tcPr>
          <w:p>
            <w:r>
              <w:t>Ice bath / cold water immersion (CWI)</w:t>
            </w:r>
          </w:p>
        </w:tc>
        <w:tc>
          <w:tcPr>
            <w:tcW w:type="dxa" w:w="2880"/>
          </w:tcPr>
          <w:p>
            <w:r>
              <w:t>24 hours</w:t>
            </w:r>
          </w:p>
        </w:tc>
        <w:tc>
          <w:tcPr>
            <w:tcW w:type="dxa" w:w="2880"/>
          </w:tcPr>
          <w:p>
            <w:r>
              <w:t>Whole-body cold exposure causes systemic thermoregulatory responses that persist for many hours.</w:t>
            </w:r>
          </w:p>
        </w:tc>
      </w:tr>
      <w:tr>
        <w:tc>
          <w:tcPr>
            <w:tcW w:type="dxa" w:w="2880"/>
          </w:tcPr>
          <w:p>
            <w:r>
              <w:t>Hydrotherapy (warm/contrast pools)</w:t>
            </w:r>
          </w:p>
        </w:tc>
        <w:tc>
          <w:tcPr>
            <w:tcW w:type="dxa" w:w="2880"/>
          </w:tcPr>
          <w:p>
            <w:r>
              <w:t>24 hours</w:t>
            </w:r>
          </w:p>
        </w:tc>
        <w:tc>
          <w:tcPr>
            <w:tcW w:type="dxa" w:w="2880"/>
          </w:tcPr>
          <w:p>
            <w:r>
              <w:t>Water temperature and hydrostatic pressure alter regional skin perfusion patterns bilaterally.</w:t>
            </w:r>
          </w:p>
        </w:tc>
      </w:tr>
      <w:tr>
        <w:tc>
          <w:tcPr>
            <w:tcW w:type="dxa" w:w="2880"/>
          </w:tcPr>
          <w:p>
            <w:r>
              <w:t>Sauna / steam room</w:t>
            </w:r>
          </w:p>
        </w:tc>
        <w:tc>
          <w:tcPr>
            <w:tcW w:type="dxa" w:w="2880"/>
          </w:tcPr>
          <w:p>
            <w:r>
              <w:t>24 hours</w:t>
            </w:r>
          </w:p>
        </w:tc>
        <w:tc>
          <w:tcPr>
            <w:tcW w:type="dxa" w:w="2880"/>
          </w:tcPr>
          <w:p>
            <w:r>
              <w:t>Systemic vasodilation from heat exposure masks asymmetry patterns across all body regions.</w:t>
            </w:r>
          </w:p>
        </w:tc>
      </w:tr>
    </w:tbl>
    <w:p/>
    <w:p>
      <w:pPr>
        <w:pStyle w:val="Heading3"/>
      </w:pPr>
      <w:r>
        <w:t>Time of Day</w:t>
      </w:r>
    </w:p>
    <w:p>
      <w:pPr/>
      <w:r>
        <w:t>Skin temperature follows a circadian rhythm, rising through the morning and plateauing in the afternoon. The difference between peak and trough is approximately 1°C — more than twice the COMPASS alert threshold. Intra-athlete comparisons must always be made between scans taken at the same time of day. (ScienceDirect, 2015)</w:t>
      </w:r>
    </w:p>
    <w:p>
      <w:pPr/>
      <w:r>
        <w:t>The afternoon window provides the lowest circadian noise — skin temperature is on its plateau phase, making values less sensitive to minor scheduling variation. Morning scans are acceptable if consistent, but never compare a morning scan to an afternoon scan for the same athlete. Document scan time in every session record. If your programme's schedule requires morning scanning, establish the athlete's baseline entirely within morning sessions.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Time Window</w:t>
            </w:r>
          </w:p>
        </w:tc>
        <w:tc>
          <w:tcPr>
            <w:tcW w:type="dxa" w:w="2880"/>
            <w:shd w:val="clear" w:color="auto" w:fill="F2F2F2"/>
          </w:tcPr>
          <w:p>
            <w:r>
              <w:rPr>
                <w:b/>
              </w:rPr>
              <w:t>Circadian Phase</w:t>
            </w:r>
          </w:p>
        </w:tc>
        <w:tc>
          <w:tcPr>
            <w:tcW w:type="dxa" w:w="2880"/>
            <w:shd w:val="clear" w:color="auto" w:fill="F2F2F2"/>
          </w:tcPr>
          <w:p>
            <w:r>
              <w:rPr>
                <w:b/>
              </w:rPr>
              <w:t>Recommendation</w:t>
            </w:r>
          </w:p>
        </w:tc>
      </w:tr>
      <w:tr>
        <w:tc>
          <w:tcPr>
            <w:tcW w:type="dxa" w:w="2880"/>
          </w:tcPr>
          <w:p>
            <w:r>
              <w:t>06:00–10:00</w:t>
            </w:r>
          </w:p>
        </w:tc>
        <w:tc>
          <w:tcPr>
            <w:tcW w:type="dxa" w:w="2880"/>
          </w:tcPr>
          <w:p>
            <w:r>
              <w:t>Rising phase — skin temp at daily minimum (~07:00), ascending</w:t>
            </w:r>
          </w:p>
        </w:tc>
        <w:tc>
          <w:tcPr>
            <w:tcW w:type="dxa" w:w="2880"/>
          </w:tcPr>
          <w:p>
            <w:r>
              <w:t>Acceptable if consistent. Highest sensitivity to minor scheduling variation. Establish entire baseline in this window if used.</w:t>
            </w:r>
          </w:p>
        </w:tc>
      </w:tr>
      <w:tr>
        <w:tc>
          <w:tcPr>
            <w:tcW w:type="dxa" w:w="2880"/>
          </w:tcPr>
          <w:p>
            <w:r>
              <w:t>10:00–14:00</w:t>
            </w:r>
          </w:p>
        </w:tc>
        <w:tc>
          <w:tcPr>
            <w:tcW w:type="dxa" w:w="2880"/>
          </w:tcPr>
          <w:p>
            <w:r>
              <w:t>Mid-rise — temperature increasing</w:t>
            </w:r>
          </w:p>
        </w:tc>
        <w:tc>
          <w:tcPr>
            <w:tcW w:type="dxa" w:w="2880"/>
          </w:tcPr>
          <w:p>
            <w:r>
              <w:t>Acceptable if consistent. Avoid mixing with afternoon scans.</w:t>
            </w:r>
          </w:p>
        </w:tc>
      </w:tr>
      <w:tr>
        <w:tc>
          <w:tcPr>
            <w:tcW w:type="dxa" w:w="2880"/>
          </w:tcPr>
          <w:p>
            <w:r>
              <w:t>14:00–18:00</w:t>
            </w:r>
          </w:p>
        </w:tc>
        <w:tc>
          <w:tcPr>
            <w:tcW w:type="dxa" w:w="2880"/>
          </w:tcPr>
          <w:p>
            <w:r>
              <w:t>Plateau phase — lowest circadian noise</w:t>
            </w:r>
          </w:p>
        </w:tc>
        <w:tc>
          <w:tcPr>
            <w:tcW w:type="dxa" w:w="2880"/>
          </w:tcPr>
          <w:p>
            <w:r>
              <w:t>Preferred window. Temperature stable; least sensitive to minor scheduling variation of ±30 minutes.</w:t>
            </w:r>
          </w:p>
        </w:tc>
      </w:tr>
      <w:tr>
        <w:tc>
          <w:tcPr>
            <w:tcW w:type="dxa" w:w="2880"/>
          </w:tcPr>
          <w:p>
            <w:r>
              <w:t>After 18:00</w:t>
            </w:r>
          </w:p>
        </w:tc>
        <w:tc>
          <w:tcPr>
            <w:tcW w:type="dxa" w:w="2880"/>
          </w:tcPr>
          <w:p>
            <w:r>
              <w:t>Descending phase</w:t>
            </w:r>
          </w:p>
        </w:tc>
        <w:tc>
          <w:tcPr>
            <w:tcW w:type="dxa" w:w="2880"/>
          </w:tcPr>
          <w:p>
            <w:r>
              <w:t>Acceptable if consistent. Document late-session timing. Avoid for initial baseline establishment.</w:t>
            </w:r>
          </w:p>
        </w:tc>
      </w:tr>
    </w:tbl>
    <w:p/>
    <w:p>
      <w:pPr>
        <w:pStyle w:val="Heading2"/>
      </w:pPr>
      <w:r>
        <w:t>Technical</w:t>
      </w:r>
    </w:p>
    <w:p>
      <w:pPr/>
      <w:r>
        <w:t>Camera setup parameters must be documented for every session. Changes to distance, emissivity settings, or temperature scale invalidate direct comparisons with prior sessions. Specifications follow IACT standards, ThermoHuman clinical guidance, and PMC (2022) standardisation recommendations.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r>
              <w:rPr>
                <w:b/>
              </w:rPr>
              <w:t>Parameter</w:t>
            </w:r>
          </w:p>
        </w:tc>
        <w:tc>
          <w:tcPr>
            <w:tcW w:type="dxa" w:w="2160"/>
            <w:shd w:val="clear" w:color="auto" w:fill="F2F2F2"/>
          </w:tcPr>
          <w:p>
            <w:r>
              <w:rPr>
                <w:b/>
              </w:rPr>
              <w:t>Specification</w:t>
            </w:r>
          </w:p>
        </w:tc>
        <w:tc>
          <w:tcPr>
            <w:tcW w:type="dxa" w:w="2160"/>
            <w:shd w:val="clear" w:color="auto" w:fill="F2F2F2"/>
          </w:tcPr>
          <w:p>
            <w:r>
              <w:rPr>
                <w:b/>
              </w:rPr>
              <w:t>Rationale</w:t>
            </w:r>
          </w:p>
        </w:tc>
        <w:tc>
          <w:tcPr>
            <w:tcW w:type="dxa" w:w="2160"/>
            <w:shd w:val="clear" w:color="auto" w:fill="F2F2F2"/>
          </w:tcPr>
          <w:p>
            <w:r>
              <w:rPr>
                <w:b/>
              </w:rPr>
              <w:t>TOPDON TC001 MAX</w:t>
            </w:r>
          </w:p>
        </w:tc>
      </w:tr>
      <w:tr>
        <w:tc>
          <w:tcPr>
            <w:tcW w:type="dxa" w:w="2160"/>
          </w:tcPr>
          <w:p>
            <w:r>
              <w:t>Camera-to-subject distance</w:t>
            </w:r>
          </w:p>
        </w:tc>
        <w:tc>
          <w:tcPr>
            <w:tcW w:type="dxa" w:w="2160"/>
          </w:tcPr>
          <w:p>
            <w:r>
              <w:t>1.0 m fixed; document per session; never compare sessions at different distances</w:t>
            </w:r>
          </w:p>
        </w:tc>
        <w:tc>
          <w:tcPr>
            <w:tcW w:type="dxa" w:w="2160"/>
          </w:tcPr>
          <w:p>
            <w:r>
              <w:t>Distance affects pixel density per body region and influences apparent temperature via atmosphere and sensor optics. Inconsistent distance introduces a systematic measurement offset.</w:t>
            </w:r>
          </w:p>
        </w:tc>
        <w:tc>
          <w:tcPr>
            <w:tcW w:type="dxa" w:w="2160"/>
          </w:tcPr>
          <w:p>
            <w:r>
              <w:t>N/A — Setup protocolUser-positioned; no hardware constraint</w:t>
            </w:r>
          </w:p>
        </w:tc>
      </w:tr>
      <w:tr>
        <w:tc>
          <w:tcPr>
            <w:tcW w:type="dxa" w:w="2160"/>
          </w:tcPr>
          <w:p>
            <w:r>
              <w:t>Camera angle</w:t>
            </w:r>
          </w:p>
        </w:tc>
        <w:tc>
          <w:tcPr>
            <w:tcW w:type="dxa" w:w="2160"/>
          </w:tcPr>
          <w:p>
            <w:r>
              <w:t>90° perpendicular to target surface in both vertical and horizontal planes</w:t>
            </w:r>
          </w:p>
        </w:tc>
        <w:tc>
          <w:tcPr>
            <w:tcW w:type="dxa" w:w="2160"/>
          </w:tcPr>
          <w:p>
            <w:r>
              <w:t>Non-perpendicular angles reduce the effective emitted energy reaching the sensor (cosine emission law), producing artificially lower temperature readings at the scan periphery and corrupting bilateral comparisons.</w:t>
            </w:r>
          </w:p>
        </w:tc>
        <w:tc>
          <w:tcPr>
            <w:tcW w:type="dxa" w:w="2160"/>
          </w:tcPr>
          <w:p>
            <w:r>
              <w:t>N/A — Setup protocolUser-positioned; no hardware constraint</w:t>
            </w:r>
          </w:p>
        </w:tc>
      </w:tr>
      <w:tr>
        <w:tc>
          <w:tcPr>
            <w:tcW w:type="dxa" w:w="2160"/>
          </w:tcPr>
          <w:p>
            <w:r>
              <w:t>Emissivity setting</w:t>
            </w:r>
          </w:p>
        </w:tc>
        <w:tc>
          <w:tcPr>
            <w:tcW w:type="dxa" w:w="2160"/>
          </w:tcPr>
          <w:p>
            <w:r>
              <w:t>0.98 (human skin standard)</w:t>
            </w:r>
          </w:p>
        </w:tc>
        <w:tc>
          <w:tcPr>
            <w:tcW w:type="dxa" w:w="2160"/>
          </w:tcPr>
          <w:p>
            <w:r>
              <w:t>Human skin emissivity is 0.98 across the LWIR spectrum regardless of skin tone. Setting emissivity incorrectly introduces a fixed temperature offset proportional to the error.</w:t>
            </w:r>
          </w:p>
        </w:tc>
        <w:tc>
          <w:tcPr>
            <w:tcW w:type="dxa" w:w="2160"/>
          </w:tcPr>
          <w:p>
            <w:r>
              <w:t>Met0.98 settable via custom input in TopInfrared app</w:t>
            </w:r>
          </w:p>
        </w:tc>
      </w:tr>
      <w:tr>
        <w:tc>
          <w:tcPr>
            <w:tcW w:type="dxa" w:w="2160"/>
          </w:tcPr>
          <w:p>
            <w:r>
              <w:t>Spectral range</w:t>
            </w:r>
          </w:p>
        </w:tc>
        <w:tc>
          <w:tcPr>
            <w:tcW w:type="dxa" w:w="2160"/>
          </w:tcPr>
          <w:p>
            <w:r>
              <w:t>LWIR 8–12 µm</w:t>
            </w:r>
          </w:p>
        </w:tc>
        <w:tc>
          <w:tcPr>
            <w:tcW w:type="dxa" w:w="2160"/>
          </w:tcPr>
          <w:p>
            <w:r>
              <w:t>Long-wave infrared is the appropriate band for measuring human skin surface temperature. MWIR cameras are not suitable for this application.</w:t>
            </w:r>
          </w:p>
        </w:tc>
        <w:tc>
          <w:tcPr>
            <w:tcW w:type="dxa" w:w="2160"/>
          </w:tcPr>
          <w:p>
            <w:r>
              <w:t>Met8–14 µm LWIR; fully encompasses the required 8–12 µm range</w:t>
            </w:r>
          </w:p>
        </w:tc>
      </w:tr>
      <w:tr>
        <w:tc>
          <w:tcPr>
            <w:tcW w:type="dxa" w:w="2160"/>
          </w:tcPr>
          <w:p>
            <w:r>
              <w:t>Thermal sensitivity (NETD)</w:t>
            </w:r>
          </w:p>
        </w:tc>
        <w:tc>
          <w:tcPr>
            <w:tcW w:type="dxa" w:w="2160"/>
          </w:tcPr>
          <w:p>
            <w:r>
              <w:t>&lt; 50 mK minimum; &lt; 30 mK preferred</w:t>
            </w:r>
          </w:p>
        </w:tc>
        <w:tc>
          <w:tcPr>
            <w:tcW w:type="dxa" w:w="2160"/>
          </w:tcPr>
          <w:p>
            <w:r>
              <w:t>The COMPASS 1.5 SD alert threshold corresponds to ≈ 0.4°C. A sensor with NETD &gt; 50 mK cannot reliably resolve this signal above noise. Sub-30 mK sensors provide comfortable margin above threshold.</w:t>
            </w:r>
          </w:p>
        </w:tc>
        <w:tc>
          <w:tcPr>
            <w:tcW w:type="dxa" w:w="2160"/>
          </w:tcPr>
          <w:p>
            <w:r>
              <w:t>Partial≤ 40 mK · minimum requirement met (&lt; 50 mK) · preferred threshold (&lt; 30 mK) not met</w:t>
            </w:r>
          </w:p>
        </w:tc>
      </w:tr>
      <w:tr>
        <w:tc>
          <w:tcPr>
            <w:tcW w:type="dxa" w:w="2160"/>
          </w:tcPr>
          <w:p>
            <w:r>
              <w:t>Camera warm-up</w:t>
            </w:r>
          </w:p>
        </w:tc>
        <w:tc>
          <w:tcPr>
            <w:tcW w:type="dxa" w:w="2160"/>
          </w:tcPr>
          <w:p>
            <w:r>
              <w:t>Per manufacturer specification before first acquisition</w:t>
            </w:r>
          </w:p>
        </w:tc>
        <w:tc>
          <w:tcPr>
            <w:tcW w:type="dxa" w:w="2160"/>
          </w:tcPr>
          <w:p>
            <w:r>
              <w:t>Uncooled microbolometer sensors require thermal equilibration before detector offset calibration is stable. Acquiring images before warm-up completes introduces measurement drift.</w:t>
            </w:r>
          </w:p>
        </w:tc>
        <w:tc>
          <w:tcPr>
            <w:tcW w:type="dxa" w:w="2160"/>
          </w:tcPr>
          <w:p>
            <w:r>
              <w:t>UnspecifiedThermal equilibration noted in documentation; no warm-up duration published by manufacturer</w:t>
            </w:r>
          </w:p>
        </w:tc>
      </w:tr>
      <w:tr>
        <w:tc>
          <w:tcPr>
            <w:tcW w:type="dxa" w:w="2160"/>
          </w:tcPr>
          <w:p>
            <w:r>
              <w:t>Temperature scale</w:t>
            </w:r>
          </w:p>
        </w:tc>
        <w:tc>
          <w:tcPr>
            <w:tcW w:type="dxa" w:w="2160"/>
          </w:tcPr>
          <w:p>
            <w:r>
              <w:t>Fixed min/max range across sessions; do not use auto-scale</w:t>
            </w:r>
          </w:p>
        </w:tc>
        <w:tc>
          <w:tcPr>
            <w:tcW w:type="dxa" w:w="2160"/>
          </w:tcPr>
          <w:p>
            <w:r>
              <w:t>Auto-scale compresses or expands the colour palette to fit each image's range, making images visually incomparable. A fixed scale is required for longitudinal colour-pattern comparison.</w:t>
            </w:r>
          </w:p>
        </w:tc>
        <w:tc>
          <w:tcPr>
            <w:tcW w:type="dxa" w:w="2160"/>
          </w:tcPr>
          <w:p>
            <w:r>
              <w:t>MetManual min/max scale configurable; auto-scale can be disabled in TopInfrared app</w:t>
            </w:r>
          </w:p>
        </w:tc>
      </w:tr>
      <w:tr>
        <w:tc>
          <w:tcPr>
            <w:tcW w:type="dxa" w:w="2160"/>
          </w:tcPr>
          <w:p>
            <w:r>
              <w:t>Minimum image set</w:t>
            </w:r>
          </w:p>
        </w:tc>
        <w:tc>
          <w:tcPr>
            <w:tcW w:type="dxa" w:w="2160"/>
          </w:tcPr>
          <w:p>
            <w:r>
              <w:t>Anterior full body + posterior full body + targeted close-ups of all bilateral regions of interest</w:t>
            </w:r>
          </w:p>
        </w:tc>
        <w:tc>
          <w:tcPr>
            <w:tcW w:type="dxa" w:w="2160"/>
          </w:tcPr>
          <w:p>
            <w:r>
              <w:t>Full-body views enable global pattern assessment. Close-up ROI images maximise pixel density for quantitative asymmetry measurement. Both are required for COMPASS scoring.</w:t>
            </w:r>
          </w:p>
        </w:tc>
        <w:tc>
          <w:tcPr>
            <w:tcW w:type="dxa" w:w="2160"/>
          </w:tcPr>
          <w:p>
            <w:r>
              <w:t>N/A — Workflow protocolNo hardware limitation on capture count</w:t>
            </w:r>
          </w:p>
        </w:tc>
      </w:tr>
      <w:tr>
        <w:tc>
          <w:tcPr>
            <w:tcW w:type="dxa" w:w="2160"/>
          </w:tcPr>
          <w:p>
            <w:r>
              <w:t>Thermal resolution</w:t>
            </w:r>
          </w:p>
        </w:tc>
        <w:tc>
          <w:tcPr>
            <w:tcW w:type="dxa" w:w="2160"/>
          </w:tcPr>
          <w:p>
            <w:r>
              <w:t>≥ 320 × 240 native sensor (ATA clinical minimum)</w:t>
            </w:r>
          </w:p>
        </w:tc>
        <w:tc>
          <w:tcPr>
            <w:tcW w:type="dxa" w:w="2160"/>
          </w:tcPr>
          <w:p>
            <w:r>
              <w:t>Higher pixel density increases the number of pixels per region of interest, improving quantitative asymmetry measurement precision. Software-interpolated resolution does not add thermal data.</w:t>
            </w:r>
          </w:p>
        </w:tc>
        <w:tc>
          <w:tcPr>
            <w:tcW w:type="dxa" w:w="2160"/>
          </w:tcPr>
          <w:p>
            <w:r>
              <w:t>Fail256 × 192 native (512 × 384 output is TISR software interpolation, not a true resolution increase); falls below ATA 320 × 240 clinical minimum</w:t>
            </w:r>
          </w:p>
        </w:tc>
      </w:tr>
      <w:tr>
        <w:tc>
          <w:tcPr>
            <w:tcW w:type="dxa" w:w="2160"/>
          </w:tcPr>
          <w:p>
            <w:r>
              <w:t>Temperature accuracy</w:t>
            </w:r>
          </w:p>
        </w:tc>
        <w:tc>
          <w:tcPr>
            <w:tcW w:type="dxa" w:w="2160"/>
          </w:tcPr>
          <w:p>
            <w:r>
              <w:t>≤ ±0.5°C at skin temperature range (clinical recommendation)</w:t>
            </w:r>
          </w:p>
        </w:tc>
        <w:tc>
          <w:tcPr>
            <w:tcW w:type="dxa" w:w="2160"/>
          </w:tcPr>
          <w:p>
            <w:r>
              <w:t>COMPASS asymmetry flags operate at deltas of ≈ 0.4–1.0°C. A camera with accuracy coarser than ±0.5°C cannot reliably resolve the minimum clinically significant asymmetry.</w:t>
            </w:r>
          </w:p>
        </w:tc>
        <w:tc>
          <w:tcPr>
            <w:tcW w:type="dxa" w:w="2160"/>
          </w:tcPr>
          <w:p>
            <w:r>
              <w:t>Fail±2°C or ±2% (whichever greater); exceeds acceptable clinical error margin by ~4×</w:t>
            </w:r>
          </w:p>
        </w:tc>
      </w:tr>
      <w:tr>
        <w:tc>
          <w:tcPr>
            <w:tcW w:type="dxa" w:w="2160"/>
          </w:tcPr>
          <w:p>
            <w:r>
              <w:t>Medical device certification</w:t>
            </w:r>
          </w:p>
        </w:tc>
        <w:tc>
          <w:tcPr>
            <w:tcW w:type="dxa" w:w="2160"/>
          </w:tcPr>
          <w:p>
            <w:r>
              <w:t>IEC 80601-2-59 or equivalent medical thermography certification recommended for clinical use</w:t>
            </w:r>
          </w:p>
        </w:tc>
        <w:tc>
          <w:tcPr>
            <w:tcW w:type="dxa" w:w="2160"/>
          </w:tcPr>
          <w:p>
            <w:r>
              <w:t>Medical device standards govern measurement traceability, calibration procedures, and safety. Use of uncertified devices in clinical decision workflows carries regulatory and liability risk.</w:t>
            </w:r>
          </w:p>
        </w:tc>
        <w:tc>
          <w:tcPr>
            <w:tcW w:type="dxa" w:w="2160"/>
          </w:tcPr>
          <w:p>
            <w:r>
              <w:t>FailCE, FCC, RoHS, UKCA only · No FDA clearance · No ISO 13485 · No IEC 80601-2-59 · Marketed as industrial inspection tool</w:t>
            </w:r>
          </w:p>
        </w:tc>
      </w:tr>
    </w:tbl>
    <w:p/>
    <w:p>
      <w:pPr>
        <w:pStyle w:val="Heading2"/>
      </w:pPr>
      <w:r>
        <w:t>Scientific Evidence Base</w:t>
      </w:r>
    </w:p>
    <w:p>
      <w:pPr/>
      <w:r>
        <w:t>The framework is validated by peer-reviewed literature across five key claim domains. Evidence strength ratings reflect study quality and clinical applicability.</w:t>
      </w:r>
    </w:p>
    <w:p>
      <w:pPr>
        <w:pStyle w:val="Heading3"/>
      </w:pPr>
      <w:r>
        <w:t>1.1 — HRV as a Readiness Biomarker</w:t>
      </w:r>
    </w:p>
    <w:p>
      <w:pPr>
        <w:pStyle w:val="Heading4"/>
      </w:pPr>
      <w:r>
        <w:t>Plews, D.J. et al. (2013)</w:t>
      </w:r>
    </w:p>
    <w:p>
      <w:pPr>
        <w:pStyle w:val="Heading4"/>
      </w:pPr>
      <w:r>
        <w:t>Buchheit, M. (2014)</w:t>
      </w:r>
    </w:p>
    <w:p>
      <w:pPr>
        <w:pStyle w:val="Heading4"/>
      </w:pPr>
      <w:r>
        <w:t>Kiviniemi, A.M. et al. (2007)</w:t>
      </w:r>
    </w:p>
    <w:p>
      <w:pPr>
        <w:pStyle w:val="Heading3"/>
      </w:pPr>
      <w:r>
        <w:t>1.2 — Thermography for Injury Risk</w:t>
      </w:r>
    </w:p>
    <w:p>
      <w:pPr>
        <w:pStyle w:val="Heading4"/>
      </w:pPr>
      <w:r>
        <w:t>Gómez-Carmona et al. (2020)</w:t>
      </w:r>
    </w:p>
    <w:p>
      <w:pPr>
        <w:pStyle w:val="Heading4"/>
      </w:pPr>
      <w:r>
        <w:t>Schiavon et al. (2021)</w:t>
      </w:r>
    </w:p>
    <w:p>
      <w:pPr>
        <w:pStyle w:val="Heading4"/>
      </w:pPr>
      <w:r>
        <w:t>Costa et al. (2019)</w:t>
      </w:r>
    </w:p>
    <w:p>
      <w:pPr>
        <w:pStyle w:val="Heading3"/>
      </w:pPr>
      <w:r>
        <w:t>1.3 — ACWR and Injury Risk</w:t>
      </w:r>
    </w:p>
    <w:p>
      <w:pPr>
        <w:pStyle w:val="Heading4"/>
      </w:pPr>
      <w:r>
        <w:t>Gabbett, T.J. (2016)</w:t>
      </w:r>
    </w:p>
    <w:p>
      <w:pPr>
        <w:pStyle w:val="Heading4"/>
      </w:pPr>
      <w:r>
        <w:t>Hulin, B.T. et al. (2014)</w:t>
      </w:r>
    </w:p>
    <w:p>
      <w:pPr>
        <w:pStyle w:val="Heading3"/>
      </w:pPr>
      <w:r>
        <w:t>1.4 — Sleep and Injury Risk</w:t>
      </w:r>
    </w:p>
    <w:p>
      <w:pPr>
        <w:pStyle w:val="Heading4"/>
      </w:pPr>
      <w:r>
        <w:t>Halson, S.L. (2014)</w:t>
      </w:r>
    </w:p>
    <w:p>
      <w:pPr>
        <w:pStyle w:val="Heading4"/>
      </w:pPr>
      <w:r>
        <w:t>Saw et al. (2024)</w:t>
      </w:r>
    </w:p>
    <w:p>
      <w:pPr>
        <w:pStyle w:val="Heading3"/>
      </w:pPr>
      <w:r>
        <w:t>1.5 — Individual Baseline Normalisation</w:t>
      </w:r>
    </w:p>
    <w:p>
      <w:pPr>
        <w:pStyle w:val="Heading4"/>
      </w:pPr>
      <w:r>
        <w:t>Saw, A.E., Main, L.C., &amp; Gastin, P.B. (2016)</w:t>
      </w:r>
    </w:p>
    <w:p>
      <w:pPr>
        <w:pStyle w:val="Heading4"/>
      </w:pPr>
      <w:r>
        <w:t>Claudino et al. (2024)</w:t>
      </w:r>
    </w:p>
    <w:p>
      <w:pPr>
        <w:pStyle w:val="Heading3"/>
      </w:pPr>
      <w:r>
        <w:t>1.6 — Thermography Scan Frequency &amp; Monitoring Protocols</w:t>
      </w:r>
    </w:p>
    <w:p>
      <w:pPr/>
      <w:r>
        <w:t>The literature supports increasing scan frequency when thermal asymmetry is detected, but does not prescribe specific day-interval values. The intervals used in Section 7.3 are framework design decisions directionally supported by the studies below.</w:t>
      </w:r>
    </w:p>
    <w:p>
      <w:pPr>
        <w:pStyle w:val="Heading4"/>
      </w:pPr>
      <w:r>
        <w:t>Gómez-Carmona et al. (2020)</w:t>
      </w:r>
    </w:p>
    <w:p>
      <w:r>
        <w:t>Directly supports more frequent scanning in Deceptive Readiness and Danger zones.</w:t>
      </w:r>
    </w:p>
    <w:p>
      <w:pPr>
        <w:pStyle w:val="Heading4"/>
      </w:pPr>
      <w:r>
        <w:t>Arnaiz-Lastras et al. (2019)</w:t>
      </w:r>
    </w:p>
    <w:p>
      <w:r>
        <w:t>Directly supports the twice-weekly cadence for Return-to-Sport Rehab and elevated-risk zones.</w:t>
      </w:r>
    </w:p>
    <w:p>
      <w:pPr>
        <w:pStyle w:val="Heading4"/>
      </w:pPr>
      <w:r>
        <w:t>Frontiers in Sports and Active Living (2024)</w:t>
      </w:r>
    </w:p>
    <w:p>
      <w:pPr>
        <w:pStyle w:val="Heading3"/>
      </w:pPr>
      <w:r>
        <w:t>1.7 — Thermographic Population Normative Values</w:t>
      </w:r>
    </w:p>
    <w:p>
      <w:pPr/>
      <w:r>
        <w:t>Foundational studies establishing what constitutes a "normal" contralateral thermal asymmetry in healthy athletes. These normative values anchor the population-based classification framework used in Section 05A and define the population fallback thresholds active during athlete onboarding.</w:t>
      </w:r>
    </w:p>
    <w:p>
      <w:pPr>
        <w:pStyle w:val="Heading4"/>
      </w:pPr>
      <w:r>
        <w:t>ThermoHuman Research Group (2022)</w:t>
      </w:r>
    </w:p>
    <w:p>
      <w:r>
        <w:t>Directly underpins the No Finding (&lt;0.3°C) and Moderate (0.30–0.49°C) tiers of the population framework.</w:t>
      </w:r>
    </w:p>
    <w:p>
      <w:pPr>
        <w:pStyle w:val="Heading4"/>
      </w:pPr>
      <w:r>
        <w:t>Uematsu et al. (1988) — Part 1: Normal Values</w:t>
      </w:r>
    </w:p>
    <w:p>
      <w:r>
        <w:t>Establishes the population-level SD framework: the per-region SD from this dataset is the reference against which the SD-based tier classifications are calibrated.</w:t>
      </w:r>
    </w:p>
    <w:p>
      <w:pPr>
        <w:pStyle w:val="Heading4"/>
      </w:pPr>
      <w:r>
        <w:t>Uematsu et al. (1988) — Part 2: Clinical Application</w:t>
      </w:r>
    </w:p>
    <w:p>
      <w:r>
        <w:t>Establishes that 1 SD above the mean is a clinically meaningful threshold with strong diagnostic performance — the theoretical basis for the SD-based tier classification in Section 05B. A 2.0 SD personal threshold (Severe tier) would represent an even higher-confidence signal.</w:t>
      </w:r>
    </w:p>
    <w:p>
      <w:pPr>
        <w:pStyle w:val="Heading3"/>
      </w:pPr>
      <w:r>
        <w:t>1.8 — SD Classification Framework in Sports Monitoring</w:t>
      </w:r>
    </w:p>
    <w:p>
      <w:pPr/>
      <w:r>
        <w:t>Evidence supporting the use of standard deviation tiers — rather than fixed absolute values — as the authoritative classification system once an individual baseline is established. These studies underpin the COMPASS 1.5 SD alert threshold and the broader SD tier framework in Section 05B.</w:t>
      </w:r>
    </w:p>
    <w:p>
      <w:pPr>
        <w:pStyle w:val="Heading4"/>
      </w:pPr>
      <w:r>
        <w:t>Plews, D.J. et al. (2013) — SD Tier Consensus</w:t>
      </w:r>
    </w:p>
    <w:p>
      <w:r>
        <w:t>Directly supports the 1.0 / 1.5 / 2.0 SD tier boundaries used in Section 05B.</w:t>
      </w:r>
    </w:p>
    <w:p>
      <w:pPr>
        <w:pStyle w:val="Heading4"/>
      </w:pPr>
      <w:r>
        <w:t>Saw, A.E., Main, L.C., &amp; Gastin, P.B. (2016) — Individual vs. Population Reference</w:t>
      </w:r>
    </w:p>
    <w:p>
      <w:r>
        <w:t>Directly validates the principle that individual SD thresholds supersede population °C thresholds — the foundational logic of the Section 05B framework.</w:t>
      </w:r>
    </w:p>
    <w:p>
      <w:pPr>
        <w:pStyle w:val="Heading4"/>
      </w:pPr>
      <w:r>
        <w:t>Claudino et al. (2024) — Individual Baselines in ML Models</w:t>
      </w:r>
    </w:p>
    <w:p>
      <w:r>
        <w:t>Quantifies the performance gap between individual and population reference frames: the SD-based individual framework is not just conceptually superior — it is measurably more predictive.</w:t>
      </w:r>
    </w:p>
    <w:p>
      <w:pPr>
        <w:pStyle w:val="Heading3"/>
      </w:pPr>
      <w:r>
        <w:t>1.9 — Thermal Asymmetry Risk Stratification Studies</w:t>
      </w:r>
    </w:p>
    <w:p>
      <w:pPr/>
      <w:r>
        <w:t>Studies directly establishing which absolute asymmetry values (°C) correspond to clinically meaningful injury risk levels. These anchor the Moderate and High population-based tiers where the literature provides most specific threshold evidence.</w:t>
      </w:r>
    </w:p>
    <w:p>
      <w:pPr>
        <w:pStyle w:val="Heading4"/>
      </w:pPr>
      <w:r>
        <w:t>Marins, J.C.B. et al. (2014)</w:t>
      </w:r>
    </w:p>
    <w:p>
      <w:r>
        <w:t>Anchors the lower boundary of the Moderate tier (0.30°C) and confirms the transition zone toward the High tier prevention threshold approaching 0.4–0.5°C.</w:t>
      </w:r>
    </w:p>
    <w:p>
      <w:pPr>
        <w:pStyle w:val="Heading4"/>
      </w:pPr>
      <w:r>
        <w:t>Gómez-Carmona et al. (2020) — 0.5°C Clinical Threshold</w:t>
      </w:r>
    </w:p>
    <w:p>
      <w:r>
        <w:t>Definitively establishes 0.5°C as the lower boundary of the High tier — and confirms that the corresponding SD value (≈ 1.85 SD) sits firmly within the 1.5–1.99 SD COMPASS alert band, validating the calibration between both frameworks.</w:t>
      </w:r>
    </w:p>
    <w:p>
      <w:pPr>
        <w:pStyle w:val="Heading4"/>
      </w:pPr>
      <w:r>
        <w:t>Arnaiz-Lastras et al. (2019) — 0.4°C Prevention Protocol</w:t>
      </w:r>
    </w:p>
    <w:p>
      <w:r>
        <w:t>Establishes 0.4°C as an operational prevention threshold. Critically, 0.4°C ≈ 1.5 SD for major muscle groups, confirming that the COMPASS 1.5 SD alert threshold and this literature-based 0.4°C threshold are drawing the line at the same physiological signal.</w:t>
      </w:r>
    </w:p>
    <w:p>
      <w:pPr>
        <w:pStyle w:val="Heading3"/>
      </w:pPr>
      <w:r>
        <w:t>1.10 — Training Load Theory &amp; the Capacity Gap Model</w:t>
      </w:r>
    </w:p>
    <w:p>
      <w:pPr/>
      <w:r>
        <w:t>The theoretical underpinning of COMPASS's dual-axis design: why systemic load monitoring alone is insufficient for tissue-level injury risk detection, and how the IOC load-capacity model maps onto the four COMPASS zones.</w:t>
      </w:r>
    </w:p>
    <w:p>
      <w:pPr>
        <w:pStyle w:val="Heading4"/>
      </w:pPr>
      <w:r>
        <w:t>Kalkhoven, J.T., Watsford, M.L., &amp; Impellizzeri, F.M. (2021)</w:t>
      </w:r>
    </w:p>
    <w:p>
      <w:r>
        <w:t>PMC7534945 ↗</w:t>
      </w:r>
    </w:p>
    <w:p>
      <w:r>
        <w:t>Directly motivates the COMPASS dual-axis architecture: the Thermal Asymmetry Index provides the spatially-resolved tissue signal that no systemic metric can reach, operationalising the theoretical gap this paper identifies.</w:t>
      </w:r>
    </w:p>
    <w:p>
      <w:pPr>
        <w:pStyle w:val="Heading4"/>
      </w:pPr>
      <w:r>
        <w:t>Soligard, T. et al. (2016) — IOC Consensus on Load in Sport</w:t>
      </w:r>
    </w:p>
    <w:p>
      <w:r>
        <w:t>COMPASS zones map directly onto this model — Safe (no gap), Recovery (systemic capacity eroded), Deceptive Readiness (hidden local-tissue capacity gap invisible to systemic metrics), Danger (critical dual-axis gap) — providing a principled clinical interpretation for each zone beyond the score label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