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 Work Policy (2026)</w:t>
      </w:r>
    </w:p>
    <w:p>
      <w:r>
        <w:t>This policy explains who may work remotely, what the company provides, and the security rules that apply outside an office.</w:t>
      </w:r>
    </w:p>
    <w:p>
      <w:pPr>
        <w:pStyle w:val="Heading2"/>
      </w:pPr>
      <w:r>
        <w:t>Eligibility</w:t>
      </w:r>
    </w:p>
    <w:p>
      <w:r>
        <w:t>Employees become eligible for fully remote work after completing 90 days of service and a security training refresher.</w:t>
      </w:r>
    </w:p>
    <w:p>
      <w:r>
        <w:t>Contractors are eligible when the contract explicitly permits remote work and the client data processing addendum is signed.</w:t>
      </w:r>
    </w:p>
    <w:p>
      <w:pPr>
        <w:pStyle w:val="Heading2"/>
      </w:pPr>
      <w:r>
        <w:t>Equipment and allowances</w:t>
      </w:r>
    </w:p>
    <w:p>
      <w:r>
        <w:t>The company provides a managed laptop and a one-time home office allowance of 750 USD.</w:t>
      </w:r>
    </w:p>
    <w:p>
      <w:r>
        <w:t>Monthly internet allowance is 40 USD; larger amounts require manager approval and a receipt.</w:t>
      </w:r>
    </w:p>
    <w:p>
      <w:pPr>
        <w:pStyle w:val="Heading2"/>
      </w:pPr>
      <w:r>
        <w:t>Working from another country</w:t>
      </w:r>
    </w:p>
    <w:p>
      <w:r>
        <w:t>Work from another country for more than 30 consecutive days requires People, Finance and Legal approval because of tax and immigration consequences.</w:t>
      </w:r>
    </w:p>
    <w:p>
      <w:r>
        <w:t>Short business travel is covered by the travel policy and does not require this approval.</w:t>
      </w:r>
    </w:p>
    <w:p>
      <w:pPr>
        <w:pStyle w:val="Heading2"/>
      </w:pPr>
      <w:r>
        <w:t>Security requirements</w:t>
      </w:r>
    </w:p>
    <w:p>
      <w:r>
        <w:t>A private, encrypted network is required for handling confidential or restricted data.</w:t>
      </w:r>
    </w:p>
    <w:p>
      <w:r>
        <w:t>Public wireless networks may only be used with the corporate VPN active, including for internal tools.</w:t>
      </w:r>
    </w:p>
    <w:p>
      <w:r>
        <w:t>Screen privacy filters are mandatory when working in shared or public spaces.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Approval required</w:t>
            </w:r>
          </w:p>
        </w:tc>
      </w:tr>
      <w:tr>
        <w:tc>
          <w:tcPr>
            <w:tcW w:type="dxa" w:w="4320"/>
          </w:tcPr>
          <w:p>
            <w:r>
              <w:t>Remote within the same country</w:t>
            </w:r>
          </w:p>
        </w:tc>
        <w:tc>
          <w:tcPr>
            <w:tcW w:type="dxa" w:w="4320"/>
          </w:tcPr>
          <w:p>
            <w:r>
              <w:t>Manager</w:t>
            </w:r>
          </w:p>
        </w:tc>
      </w:tr>
      <w:tr>
        <w:tc>
          <w:tcPr>
            <w:tcW w:type="dxa" w:w="4320"/>
          </w:tcPr>
          <w:p>
            <w:r>
              <w:t>Remote from another country up to 30 days</w:t>
            </w:r>
          </w:p>
        </w:tc>
        <w:tc>
          <w:tcPr>
            <w:tcW w:type="dxa" w:w="4320"/>
          </w:tcPr>
          <w:p>
            <w:r>
              <w:t>Manager and People</w:t>
            </w:r>
          </w:p>
        </w:tc>
      </w:tr>
      <w:tr>
        <w:tc>
          <w:tcPr>
            <w:tcW w:type="dxa" w:w="4320"/>
          </w:tcPr>
          <w:p>
            <w:r>
              <w:t>Remote from another country beyond 30 days</w:t>
            </w:r>
          </w:p>
        </w:tc>
        <w:tc>
          <w:tcPr>
            <w:tcW w:type="dxa" w:w="4320"/>
          </w:tcPr>
          <w:p>
            <w:r>
              <w:t>People, Finance and Legal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