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Evaluation: ET-OvR</w:t>
      </w:r>
    </w:p>
    <w:p>
      <w:r>
        <w:t>Accuracy: 0.9464</w:t>
      </w:r>
    </w:p>
    <w:p>
      <w:r>
        <w:t>Precision: 0.946601525198827</w:t>
      </w:r>
    </w:p>
    <w:p>
      <w:r>
        <w:t>Recall: 0.9464</w:t>
      </w:r>
    </w:p>
    <w:p>
      <w:r>
        <w:t>F1 Score: 0.9462308816196928</w:t>
      </w:r>
    </w:p>
    <w:p>
      <w:r>
        <w:t>Jaccard Index: 0.8990510007965294</w:t>
      </w:r>
    </w:p>
    <w:p>
      <w:r>
        <w:t>Matthews CorrCoef: 0.933129527368222</w:t>
      </w:r>
    </w:p>
    <w:p>
      <w:r>
        <w:t>Cohen’s Kappa: 0.933</w:t>
      </w:r>
    </w:p>
    <w:p>
      <w:r>
        <w:t>Specificity: 0.9865999999999999</w:t>
      </w:r>
    </w:p>
    <w:p>
      <w:r>
        <w:t>AUC: 0.994809</w:t>
      </w:r>
    </w:p>
    <w:p>
      <w:r>
        <w:drawing>
          <wp:inline xmlns:a="http://schemas.openxmlformats.org/drawingml/2006/main" xmlns:pic="http://schemas.openxmlformats.org/drawingml/2006/picture">
            <wp:extent cx="3657600" cy="36576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6_7vvkwi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3657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Combined ROC Curves</w:t>
      </w:r>
    </w:p>
    <w:p>
      <w:r>
        <w:drawing>
          <wp:inline xmlns:a="http://schemas.openxmlformats.org/drawingml/2006/main" xmlns:pic="http://schemas.openxmlformats.org/drawingml/2006/picture">
            <wp:extent cx="5486400" cy="54864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t2yjd42h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Evaluation: RF-OvR</w:t>
      </w:r>
    </w:p>
    <w:p>
      <w:r>
        <w:t>Accuracy: 0.9388</w:t>
      </w:r>
    </w:p>
    <w:p>
      <w:r>
        <w:t>Precision: 0.9387946371923197</w:t>
      </w:r>
    </w:p>
    <w:p>
      <w:r>
        <w:t>Recall: 0.9388</w:t>
      </w:r>
    </w:p>
    <w:p>
      <w:r>
        <w:t>F1 Score: 0.9386646762385346</w:t>
      </w:r>
    </w:p>
    <w:p>
      <w:r>
        <w:t>Jaccard Index: 0.8858401206000069</w:t>
      </w:r>
    </w:p>
    <w:p>
      <w:r>
        <w:t>Matthews CorrCoef: 0.9235633586196765</w:t>
      </w:r>
    </w:p>
    <w:p>
      <w:r>
        <w:t>Cohen’s Kappa: 0.9235</w:t>
      </w:r>
    </w:p>
    <w:p>
      <w:r>
        <w:t>Specificity: 0.9846999999999999</w:t>
      </w:r>
    </w:p>
    <w:p>
      <w:r>
        <w:t>AUC: 0.993938</w:t>
      </w:r>
    </w:p>
    <w:p>
      <w:r>
        <w:drawing>
          <wp:inline xmlns:a="http://schemas.openxmlformats.org/drawingml/2006/main" xmlns:pic="http://schemas.openxmlformats.org/drawingml/2006/picture">
            <wp:extent cx="3657600" cy="36576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u0xybl4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3657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Combined ROC Curves</w:t>
      </w:r>
    </w:p>
    <w:p>
      <w:r>
        <w:drawing>
          <wp:inline xmlns:a="http://schemas.openxmlformats.org/drawingml/2006/main" xmlns:pic="http://schemas.openxmlformats.org/drawingml/2006/picture">
            <wp:extent cx="5486400" cy="54864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sdaqx2xv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